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firstLine="482" w:firstLineChars="200"/>
        <w:outlineLvl w:val="0"/>
        <w:rPr>
          <w:rFonts w:hint="eastAsia" w:ascii="宋体" w:hAnsi="宋体" w:eastAsia="宋体" w:cs="Times New Roman"/>
          <w:b/>
          <w:sz w:val="24"/>
          <w:szCs w:val="24"/>
        </w:rPr>
      </w:pPr>
      <w:r>
        <w:rPr>
          <w:rFonts w:hint="eastAsia" w:ascii="宋体" w:hAnsi="宋体" w:eastAsia="宋体" w:cs="Times New Roman"/>
          <w:b/>
          <w:sz w:val="24"/>
          <w:szCs w:val="24"/>
        </w:rPr>
        <w:t>七、技术要求</w:t>
      </w:r>
    </w:p>
    <w:p>
      <w:pPr>
        <w:spacing w:line="360" w:lineRule="auto"/>
        <w:ind w:firstLine="480" w:firstLineChars="200"/>
        <w:rPr>
          <w:rFonts w:hint="eastAsia" w:ascii="宋体" w:hAnsi="宋体" w:eastAsia="宋体"/>
          <w:color w:val="000000" w:themeColor="text1"/>
          <w:sz w:val="24"/>
          <w:szCs w:val="24"/>
          <w14:textFill>
            <w14:solidFill>
              <w14:schemeClr w14:val="tx1"/>
            </w14:solidFill>
          </w14:textFill>
        </w:rPr>
      </w:pPr>
      <w:r>
        <w:rPr>
          <w:rFonts w:hint="eastAsia" w:ascii="宋体" w:hAnsi="宋体" w:eastAsia="宋体"/>
          <w:color w:val="000000" w:themeColor="text1"/>
          <w:sz w:val="24"/>
          <w:szCs w:val="24"/>
          <w14:textFill>
            <w14:solidFill>
              <w14:schemeClr w14:val="tx1"/>
            </w14:solidFill>
          </w14:textFill>
        </w:rPr>
        <w:t>★（一）投标人须承诺所投产品和服务符合相关强制性规定。交货时采购人有权要求投标人出具所投产品、服务符合上述规定的证明文件。</w:t>
      </w:r>
    </w:p>
    <w:p>
      <w:pPr>
        <w:spacing w:line="360" w:lineRule="auto"/>
        <w:ind w:firstLine="480" w:firstLineChars="200"/>
        <w:rPr>
          <w:rFonts w:hint="eastAsia" w:ascii="宋体" w:hAnsi="宋体" w:eastAsia="宋体"/>
          <w:color w:val="000000" w:themeColor="text1"/>
          <w:sz w:val="24"/>
          <w:szCs w:val="24"/>
          <w14:textFill>
            <w14:solidFill>
              <w14:schemeClr w14:val="tx1"/>
            </w14:solidFill>
          </w14:textFill>
        </w:rPr>
      </w:pPr>
      <w:r>
        <w:rPr>
          <w:rFonts w:hint="eastAsia" w:ascii="宋体" w:hAnsi="宋体" w:eastAsia="宋体"/>
          <w:color w:val="000000" w:themeColor="text1"/>
          <w:sz w:val="24"/>
          <w:szCs w:val="24"/>
          <w14:textFill>
            <w14:solidFill>
              <w14:schemeClr w14:val="tx1"/>
            </w14:solidFill>
          </w14:textFill>
        </w:rPr>
        <w:t>（二）采购清单</w:t>
      </w:r>
    </w:p>
    <w:tbl>
      <w:tblPr>
        <w:tblStyle w:val="25"/>
        <w:tblW w:w="708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5"/>
        <w:gridCol w:w="3442"/>
        <w:gridCol w:w="776"/>
        <w:gridCol w:w="776"/>
        <w:gridCol w:w="13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3" w:hRule="atLeast"/>
          <w:jc w:val="center"/>
        </w:trPr>
        <w:tc>
          <w:tcPr>
            <w:tcW w:w="775" w:type="dxa"/>
            <w:shd w:val="clear" w:color="auto" w:fill="auto"/>
            <w:vAlign w:val="center"/>
          </w:tcPr>
          <w:p>
            <w:pPr>
              <w:widowControl/>
              <w:spacing w:line="360" w:lineRule="auto"/>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序号</w:t>
            </w:r>
          </w:p>
        </w:tc>
        <w:tc>
          <w:tcPr>
            <w:tcW w:w="3442" w:type="dxa"/>
            <w:shd w:val="clear" w:color="auto" w:fill="auto"/>
            <w:vAlign w:val="center"/>
          </w:tcPr>
          <w:p>
            <w:pPr>
              <w:widowControl/>
              <w:spacing w:line="360" w:lineRule="auto"/>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采购内容</w:t>
            </w:r>
          </w:p>
        </w:tc>
        <w:tc>
          <w:tcPr>
            <w:tcW w:w="776" w:type="dxa"/>
            <w:shd w:val="clear" w:color="auto" w:fill="auto"/>
            <w:vAlign w:val="center"/>
          </w:tcPr>
          <w:p>
            <w:pPr>
              <w:widowControl/>
              <w:spacing w:line="360" w:lineRule="auto"/>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数量</w:t>
            </w:r>
          </w:p>
        </w:tc>
        <w:tc>
          <w:tcPr>
            <w:tcW w:w="776" w:type="dxa"/>
            <w:shd w:val="clear" w:color="auto" w:fill="auto"/>
            <w:vAlign w:val="center"/>
          </w:tcPr>
          <w:p>
            <w:pPr>
              <w:widowControl/>
              <w:spacing w:line="360" w:lineRule="auto"/>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单位</w:t>
            </w:r>
          </w:p>
        </w:tc>
        <w:tc>
          <w:tcPr>
            <w:tcW w:w="1312" w:type="dxa"/>
            <w:vAlign w:val="center"/>
          </w:tcPr>
          <w:p>
            <w:pPr>
              <w:widowControl/>
              <w:spacing w:line="360" w:lineRule="auto"/>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质保期限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3" w:hRule="atLeast"/>
          <w:jc w:val="center"/>
        </w:trPr>
        <w:tc>
          <w:tcPr>
            <w:tcW w:w="775"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c>
          <w:tcPr>
            <w:tcW w:w="3442"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b/>
                <w:sz w:val="24"/>
                <w:szCs w:val="24"/>
              </w:rPr>
              <w:t>▲</w:t>
            </w:r>
            <w:r>
              <w:rPr>
                <w:rFonts w:hint="eastAsia" w:ascii="宋体" w:hAnsi="宋体" w:eastAsia="宋体" w:cs="宋体"/>
                <w:kern w:val="0"/>
                <w:sz w:val="24"/>
                <w:szCs w:val="24"/>
              </w:rPr>
              <w:t>裸金属数据库服务器</w:t>
            </w:r>
          </w:p>
        </w:tc>
        <w:tc>
          <w:tcPr>
            <w:tcW w:w="776"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3</w:t>
            </w:r>
          </w:p>
        </w:tc>
        <w:tc>
          <w:tcPr>
            <w:tcW w:w="776"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台</w:t>
            </w:r>
          </w:p>
        </w:tc>
        <w:tc>
          <w:tcPr>
            <w:tcW w:w="1312" w:type="dxa"/>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三年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5" w:hRule="atLeast"/>
          <w:jc w:val="center"/>
        </w:trPr>
        <w:tc>
          <w:tcPr>
            <w:tcW w:w="775"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w:t>
            </w:r>
          </w:p>
        </w:tc>
        <w:tc>
          <w:tcPr>
            <w:tcW w:w="3442"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数据库高可用软件</w:t>
            </w:r>
          </w:p>
        </w:tc>
        <w:tc>
          <w:tcPr>
            <w:tcW w:w="776"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c>
          <w:tcPr>
            <w:tcW w:w="776"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套</w:t>
            </w:r>
          </w:p>
        </w:tc>
        <w:tc>
          <w:tcPr>
            <w:tcW w:w="1312" w:type="dxa"/>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三年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3" w:hRule="atLeast"/>
          <w:jc w:val="center"/>
        </w:trPr>
        <w:tc>
          <w:tcPr>
            <w:tcW w:w="775"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3</w:t>
            </w:r>
          </w:p>
        </w:tc>
        <w:tc>
          <w:tcPr>
            <w:tcW w:w="3442"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数据库自动化运维监控软件</w:t>
            </w:r>
          </w:p>
        </w:tc>
        <w:tc>
          <w:tcPr>
            <w:tcW w:w="776"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6</w:t>
            </w:r>
          </w:p>
        </w:tc>
        <w:tc>
          <w:tcPr>
            <w:tcW w:w="776"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节点</w:t>
            </w:r>
          </w:p>
        </w:tc>
        <w:tc>
          <w:tcPr>
            <w:tcW w:w="1312" w:type="dxa"/>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三年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2" w:hRule="atLeast"/>
          <w:jc w:val="center"/>
        </w:trPr>
        <w:tc>
          <w:tcPr>
            <w:tcW w:w="775"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4</w:t>
            </w:r>
          </w:p>
        </w:tc>
        <w:tc>
          <w:tcPr>
            <w:tcW w:w="3442"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超融合一体机</w:t>
            </w:r>
          </w:p>
        </w:tc>
        <w:tc>
          <w:tcPr>
            <w:tcW w:w="776"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8</w:t>
            </w:r>
          </w:p>
        </w:tc>
        <w:tc>
          <w:tcPr>
            <w:tcW w:w="776"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台</w:t>
            </w:r>
          </w:p>
        </w:tc>
        <w:tc>
          <w:tcPr>
            <w:tcW w:w="1312" w:type="dxa"/>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三年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2" w:hRule="atLeast"/>
          <w:jc w:val="center"/>
        </w:trPr>
        <w:tc>
          <w:tcPr>
            <w:tcW w:w="775"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5</w:t>
            </w:r>
          </w:p>
        </w:tc>
        <w:tc>
          <w:tcPr>
            <w:tcW w:w="3442"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超融合交换机</w:t>
            </w:r>
          </w:p>
        </w:tc>
        <w:tc>
          <w:tcPr>
            <w:tcW w:w="776"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w:t>
            </w:r>
          </w:p>
        </w:tc>
        <w:tc>
          <w:tcPr>
            <w:tcW w:w="776"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台</w:t>
            </w:r>
          </w:p>
        </w:tc>
        <w:tc>
          <w:tcPr>
            <w:tcW w:w="1312" w:type="dxa"/>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三年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2" w:hRule="atLeast"/>
          <w:jc w:val="center"/>
        </w:trPr>
        <w:tc>
          <w:tcPr>
            <w:tcW w:w="775"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6</w:t>
            </w:r>
          </w:p>
        </w:tc>
        <w:tc>
          <w:tcPr>
            <w:tcW w:w="3442"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万兆光模块</w:t>
            </w:r>
          </w:p>
        </w:tc>
        <w:tc>
          <w:tcPr>
            <w:tcW w:w="776"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10</w:t>
            </w:r>
          </w:p>
        </w:tc>
        <w:tc>
          <w:tcPr>
            <w:tcW w:w="776"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个</w:t>
            </w:r>
          </w:p>
        </w:tc>
        <w:tc>
          <w:tcPr>
            <w:tcW w:w="1312" w:type="dxa"/>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三年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2" w:hRule="atLeast"/>
          <w:jc w:val="center"/>
        </w:trPr>
        <w:tc>
          <w:tcPr>
            <w:tcW w:w="775"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7</w:t>
            </w:r>
          </w:p>
        </w:tc>
        <w:tc>
          <w:tcPr>
            <w:tcW w:w="3442"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操作系统</w:t>
            </w:r>
          </w:p>
        </w:tc>
        <w:tc>
          <w:tcPr>
            <w:tcW w:w="776"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5</w:t>
            </w:r>
          </w:p>
        </w:tc>
        <w:tc>
          <w:tcPr>
            <w:tcW w:w="776"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套</w:t>
            </w:r>
          </w:p>
        </w:tc>
        <w:tc>
          <w:tcPr>
            <w:tcW w:w="1312" w:type="dxa"/>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一年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2" w:hRule="atLeast"/>
          <w:jc w:val="center"/>
        </w:trPr>
        <w:tc>
          <w:tcPr>
            <w:tcW w:w="775"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8</w:t>
            </w:r>
          </w:p>
        </w:tc>
        <w:tc>
          <w:tcPr>
            <w:tcW w:w="3442"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数据库</w:t>
            </w:r>
          </w:p>
        </w:tc>
        <w:tc>
          <w:tcPr>
            <w:tcW w:w="776"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c>
          <w:tcPr>
            <w:tcW w:w="776"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套</w:t>
            </w:r>
          </w:p>
        </w:tc>
        <w:tc>
          <w:tcPr>
            <w:tcW w:w="1312" w:type="dxa"/>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一年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2" w:hRule="atLeast"/>
          <w:jc w:val="center"/>
        </w:trPr>
        <w:tc>
          <w:tcPr>
            <w:tcW w:w="775"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13</w:t>
            </w:r>
          </w:p>
        </w:tc>
        <w:tc>
          <w:tcPr>
            <w:tcW w:w="3442"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系统集成</w:t>
            </w:r>
          </w:p>
        </w:tc>
        <w:tc>
          <w:tcPr>
            <w:tcW w:w="776"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c>
          <w:tcPr>
            <w:tcW w:w="776"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项</w:t>
            </w:r>
          </w:p>
        </w:tc>
        <w:tc>
          <w:tcPr>
            <w:tcW w:w="1312" w:type="dxa"/>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一年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2" w:hRule="atLeast"/>
          <w:jc w:val="center"/>
        </w:trPr>
        <w:tc>
          <w:tcPr>
            <w:tcW w:w="775"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14</w:t>
            </w:r>
          </w:p>
        </w:tc>
        <w:tc>
          <w:tcPr>
            <w:tcW w:w="3442"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机房服务</w:t>
            </w:r>
          </w:p>
        </w:tc>
        <w:tc>
          <w:tcPr>
            <w:tcW w:w="776"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c>
          <w:tcPr>
            <w:tcW w:w="776" w:type="dxa"/>
            <w:shd w:val="clear" w:color="auto" w:fill="auto"/>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项</w:t>
            </w:r>
          </w:p>
        </w:tc>
        <w:tc>
          <w:tcPr>
            <w:tcW w:w="1312" w:type="dxa"/>
            <w:vAlign w:val="center"/>
          </w:tcPr>
          <w:p>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一年</w:t>
            </w:r>
          </w:p>
        </w:tc>
      </w:tr>
    </w:tbl>
    <w:p>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注：</w:t>
      </w:r>
      <w:r>
        <w:rPr>
          <w:rFonts w:hint="eastAsia" w:ascii="宋体" w:hAnsi="宋体" w:eastAsia="宋体"/>
          <w:b/>
          <w:sz w:val="24"/>
          <w:szCs w:val="24"/>
        </w:rPr>
        <w:t>“▲”号的产品为核心产品。</w:t>
      </w:r>
    </w:p>
    <w:p>
      <w:pPr>
        <w:spacing w:line="360" w:lineRule="auto"/>
        <w:ind w:firstLine="480" w:firstLineChars="200"/>
        <w:rPr>
          <w:rFonts w:hint="eastAsia" w:ascii="宋体" w:hAnsi="宋体" w:eastAsia="宋体"/>
          <w:color w:val="000000" w:themeColor="text1"/>
          <w:sz w:val="24"/>
          <w:szCs w:val="24"/>
          <w14:textFill>
            <w14:solidFill>
              <w14:schemeClr w14:val="tx1"/>
            </w14:solidFill>
          </w14:textFill>
        </w:rPr>
      </w:pPr>
      <w:r>
        <w:rPr>
          <w:rFonts w:hint="eastAsia" w:ascii="宋体" w:hAnsi="宋体" w:eastAsia="宋体"/>
          <w:color w:val="000000" w:themeColor="text1"/>
          <w:sz w:val="24"/>
          <w:szCs w:val="24"/>
          <w14:textFill>
            <w14:solidFill>
              <w14:schemeClr w14:val="tx1"/>
            </w14:solidFill>
          </w14:textFill>
        </w:rPr>
        <w:t>（三）技术参数</w:t>
      </w:r>
    </w:p>
    <w:p>
      <w:pPr>
        <w:spacing w:line="360" w:lineRule="auto"/>
        <w:ind w:firstLine="420"/>
        <w:rPr>
          <w:rFonts w:hint="eastAsia" w:ascii="宋体" w:hAnsi="宋体" w:eastAsia="宋体"/>
          <w:sz w:val="24"/>
          <w:szCs w:val="24"/>
        </w:rPr>
      </w:pPr>
    </w:p>
    <w:tbl>
      <w:tblPr>
        <w:tblStyle w:val="25"/>
        <w:tblW w:w="13921" w:type="dxa"/>
        <w:tblInd w:w="0" w:type="dxa"/>
        <w:tblLayout w:type="fixed"/>
        <w:tblCellMar>
          <w:top w:w="0" w:type="dxa"/>
          <w:left w:w="108" w:type="dxa"/>
          <w:bottom w:w="0" w:type="dxa"/>
          <w:right w:w="108" w:type="dxa"/>
        </w:tblCellMar>
      </w:tblPr>
      <w:tblGrid>
        <w:gridCol w:w="536"/>
        <w:gridCol w:w="1212"/>
        <w:gridCol w:w="1216"/>
        <w:gridCol w:w="997"/>
        <w:gridCol w:w="1812"/>
        <w:gridCol w:w="8148"/>
      </w:tblGrid>
      <w:tr>
        <w:tblPrEx>
          <w:tblLayout w:type="fixed"/>
          <w:tblCellMar>
            <w:top w:w="0" w:type="dxa"/>
            <w:left w:w="108" w:type="dxa"/>
            <w:bottom w:w="0" w:type="dxa"/>
            <w:right w:w="108" w:type="dxa"/>
          </w:tblCellMar>
        </w:tblPrEx>
        <w:trPr>
          <w:trHeight w:val="570" w:hRule="atLeast"/>
        </w:trPr>
        <w:tc>
          <w:tcPr>
            <w:tcW w:w="53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kern w:val="0"/>
                <w:sz w:val="24"/>
                <w:szCs w:val="24"/>
              </w:rPr>
            </w:pPr>
            <w:r>
              <w:rPr>
                <w:rFonts w:hint="eastAsia"/>
              </w:rPr>
              <w:t>序号</w:t>
            </w:r>
          </w:p>
        </w:tc>
        <w:tc>
          <w:tcPr>
            <w:tcW w:w="1212" w:type="dxa"/>
            <w:tcBorders>
              <w:top w:val="single" w:color="auto" w:sz="4" w:space="0"/>
              <w:left w:val="nil"/>
              <w:bottom w:val="single" w:color="auto" w:sz="4" w:space="0"/>
              <w:right w:val="single" w:color="auto" w:sz="4" w:space="0"/>
            </w:tcBorders>
            <w:shd w:val="clear" w:color="auto" w:fill="auto"/>
            <w:vAlign w:val="center"/>
          </w:tcPr>
          <w:p>
            <w:pPr>
              <w:jc w:val="center"/>
            </w:pPr>
            <w:r>
              <w:rPr>
                <w:rFonts w:hint="eastAsia"/>
              </w:rPr>
              <w:t>采购项名称</w:t>
            </w:r>
          </w:p>
        </w:tc>
        <w:tc>
          <w:tcPr>
            <w:tcW w:w="12173" w:type="dxa"/>
            <w:gridSpan w:val="4"/>
            <w:tcBorders>
              <w:top w:val="single" w:color="auto" w:sz="4" w:space="0"/>
              <w:left w:val="nil"/>
              <w:bottom w:val="single" w:color="auto" w:sz="4" w:space="0"/>
              <w:right w:val="single" w:color="000000" w:sz="4" w:space="0"/>
            </w:tcBorders>
            <w:shd w:val="clear" w:color="auto" w:fill="auto"/>
            <w:vAlign w:val="center"/>
          </w:tcPr>
          <w:p>
            <w:pPr>
              <w:jc w:val="center"/>
            </w:pPr>
            <w:r>
              <w:rPr>
                <w:rFonts w:hint="eastAsia"/>
              </w:rPr>
              <w:t>招标要求</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pPr>
              <w:jc w:val="left"/>
            </w:pPr>
            <w:r>
              <w:rPr>
                <w:rFonts w:hint="eastAsia"/>
              </w:rPr>
              <w:t>1</w:t>
            </w:r>
          </w:p>
        </w:tc>
        <w:tc>
          <w:tcPr>
            <w:tcW w:w="1212" w:type="dxa"/>
            <w:vMerge w:val="restart"/>
            <w:tcBorders>
              <w:top w:val="nil"/>
              <w:left w:val="single" w:color="auto" w:sz="4" w:space="0"/>
              <w:bottom w:val="single" w:color="000000" w:sz="4" w:space="0"/>
              <w:right w:val="single" w:color="auto" w:sz="4" w:space="0"/>
            </w:tcBorders>
            <w:shd w:val="clear" w:color="auto" w:fill="auto"/>
            <w:vAlign w:val="center"/>
          </w:tcPr>
          <w:p>
            <w:pPr>
              <w:jc w:val="center"/>
            </w:pPr>
            <w:r>
              <w:rPr>
                <w:rFonts w:hint="eastAsia"/>
              </w:rPr>
              <w:t>祼金属数据库服务器</w:t>
            </w:r>
          </w:p>
        </w:tc>
        <w:tc>
          <w:tcPr>
            <w:tcW w:w="1216" w:type="dxa"/>
            <w:vMerge w:val="restart"/>
            <w:tcBorders>
              <w:top w:val="nil"/>
              <w:left w:val="single" w:color="auto" w:sz="4" w:space="0"/>
              <w:bottom w:val="single" w:color="000000" w:sz="4" w:space="0"/>
              <w:right w:val="single" w:color="auto" w:sz="4" w:space="0"/>
            </w:tcBorders>
            <w:shd w:val="clear" w:color="auto" w:fill="auto"/>
            <w:vAlign w:val="center"/>
          </w:tcPr>
          <w:p>
            <w:pPr>
              <w:jc w:val="center"/>
            </w:pPr>
            <w:r>
              <w:rPr>
                <w:rFonts w:hint="eastAsia"/>
              </w:rPr>
              <w:t>产品规格</w:t>
            </w:r>
          </w:p>
        </w:tc>
        <w:tc>
          <w:tcPr>
            <w:tcW w:w="997" w:type="dxa"/>
            <w:tcBorders>
              <w:top w:val="nil"/>
              <w:left w:val="nil"/>
              <w:bottom w:val="single" w:color="auto" w:sz="4" w:space="0"/>
              <w:right w:val="single" w:color="auto" w:sz="4" w:space="0"/>
            </w:tcBorders>
            <w:shd w:val="clear" w:color="auto" w:fill="auto"/>
            <w:vAlign w:val="center"/>
          </w:tcPr>
          <w:p>
            <w:pPr>
              <w:jc w:val="left"/>
            </w:pPr>
            <w:r>
              <w:rPr>
                <w:rFonts w:hint="eastAsia"/>
              </w:rPr>
              <w:t>★CPU规格</w:t>
            </w:r>
          </w:p>
        </w:tc>
        <w:tc>
          <w:tcPr>
            <w:tcW w:w="1812" w:type="dxa"/>
            <w:tcBorders>
              <w:top w:val="nil"/>
              <w:left w:val="nil"/>
              <w:bottom w:val="single" w:color="auto" w:sz="4" w:space="0"/>
              <w:right w:val="single" w:color="auto" w:sz="4" w:space="0"/>
            </w:tcBorders>
            <w:shd w:val="clear" w:color="auto" w:fill="auto"/>
            <w:vAlign w:val="center"/>
          </w:tcPr>
          <w:p>
            <w:r>
              <w:rPr>
                <w:rFonts w:hint="eastAsia"/>
              </w:rPr>
              <w:t>★CPU信息</w:t>
            </w:r>
          </w:p>
        </w:tc>
        <w:tc>
          <w:tcPr>
            <w:tcW w:w="8148" w:type="dxa"/>
            <w:tcBorders>
              <w:top w:val="nil"/>
              <w:left w:val="nil"/>
              <w:bottom w:val="single" w:color="auto" w:sz="4" w:space="0"/>
              <w:right w:val="single" w:color="auto" w:sz="4" w:space="0"/>
            </w:tcBorders>
            <w:shd w:val="clear" w:color="auto" w:fill="auto"/>
            <w:vAlign w:val="center"/>
          </w:tcPr>
          <w:p>
            <w:r>
              <w:rPr>
                <w:rFonts w:hint="eastAsia"/>
              </w:rPr>
              <w:t>配置≥4颗第三代Intel Xeon Scalable  processor ,单CPU核数≥18核，主频≥2.5GHz，缓存容量≥24.75MB,线程数≥36,热设计功耗≤150W, 内存的最高速率≥2667MHz</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pPr>
            <w:r>
              <w:rPr>
                <w:rFonts w:hint="eastAsia"/>
              </w:rPr>
              <w:t>★主板规 格</w:t>
            </w:r>
          </w:p>
        </w:tc>
        <w:tc>
          <w:tcPr>
            <w:tcW w:w="1812" w:type="dxa"/>
            <w:tcBorders>
              <w:top w:val="nil"/>
              <w:left w:val="nil"/>
              <w:bottom w:val="single" w:color="auto" w:sz="4" w:space="0"/>
              <w:right w:val="single" w:color="auto" w:sz="4" w:space="0"/>
            </w:tcBorders>
            <w:shd w:val="clear" w:color="auto" w:fill="auto"/>
            <w:vAlign w:val="center"/>
          </w:tcPr>
          <w:p>
            <w:pPr>
              <w:jc w:val="left"/>
            </w:pPr>
            <w:r>
              <w:rPr>
                <w:rFonts w:hint="eastAsia"/>
              </w:rPr>
              <w:t>★主板支持的CPU和内存情况</w:t>
            </w:r>
          </w:p>
        </w:tc>
        <w:tc>
          <w:tcPr>
            <w:tcW w:w="8148" w:type="dxa"/>
            <w:tcBorders>
              <w:top w:val="nil"/>
              <w:left w:val="nil"/>
              <w:bottom w:val="single" w:color="auto" w:sz="4" w:space="0"/>
              <w:right w:val="single" w:color="auto" w:sz="4" w:space="0"/>
            </w:tcBorders>
            <w:shd w:val="clear" w:color="auto" w:fill="auto"/>
            <w:vAlign w:val="center"/>
          </w:tcPr>
          <w:p>
            <w:r>
              <w:rPr>
                <w:rFonts w:hint="eastAsia"/>
              </w:rPr>
              <w:t>支持第三代Intel Xeon Scalable processor,支 持16GB、32GB、64GB DDR4 3200MHz内存</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★主板内存槽数量</w:t>
            </w:r>
          </w:p>
        </w:tc>
        <w:tc>
          <w:tcPr>
            <w:tcW w:w="8148" w:type="dxa"/>
            <w:tcBorders>
              <w:top w:val="nil"/>
              <w:left w:val="nil"/>
              <w:bottom w:val="single" w:color="auto" w:sz="4" w:space="0"/>
              <w:right w:val="single" w:color="auto" w:sz="4" w:space="0"/>
            </w:tcBorders>
            <w:shd w:val="clear" w:color="auto" w:fill="auto"/>
            <w:vAlign w:val="center"/>
          </w:tcPr>
          <w:p>
            <w:r>
              <w:rPr>
                <w:rFonts w:hint="eastAsia"/>
              </w:rPr>
              <w:t>配置≥48个内存槽</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★主板存储接口</w:t>
            </w:r>
          </w:p>
        </w:tc>
        <w:tc>
          <w:tcPr>
            <w:tcW w:w="8148" w:type="dxa"/>
            <w:tcBorders>
              <w:top w:val="nil"/>
              <w:left w:val="nil"/>
              <w:bottom w:val="single" w:color="auto" w:sz="4" w:space="0"/>
              <w:right w:val="single" w:color="auto" w:sz="4" w:space="0"/>
            </w:tcBorders>
            <w:shd w:val="clear" w:color="auto" w:fill="auto"/>
            <w:vAlign w:val="center"/>
          </w:tcPr>
          <w:p>
            <w:r>
              <w:rPr>
                <w:rFonts w:hint="eastAsia"/>
              </w:rPr>
              <w:t>最少支持SATA、SAS、M.2、U.2等存储</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★PCIe插槽接口</w:t>
            </w:r>
          </w:p>
        </w:tc>
        <w:tc>
          <w:tcPr>
            <w:tcW w:w="8148" w:type="dxa"/>
            <w:tcBorders>
              <w:top w:val="nil"/>
              <w:left w:val="nil"/>
              <w:bottom w:val="single" w:color="auto" w:sz="4" w:space="0"/>
              <w:right w:val="single" w:color="auto" w:sz="4" w:space="0"/>
            </w:tcBorders>
            <w:shd w:val="clear" w:color="auto" w:fill="auto"/>
            <w:vAlign w:val="center"/>
          </w:tcPr>
          <w:p>
            <w:r>
              <w:rPr>
                <w:rFonts w:hint="eastAsia"/>
              </w:rPr>
              <w:t>符合PCIe3.0或以上的高速串行计算机扩展总线标准，PCIe的接口速率与位宽需保证向下兼容</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★主板PCIe插槽数量及规格</w:t>
            </w:r>
          </w:p>
        </w:tc>
        <w:tc>
          <w:tcPr>
            <w:tcW w:w="8148" w:type="dxa"/>
            <w:tcBorders>
              <w:top w:val="nil"/>
              <w:left w:val="nil"/>
              <w:bottom w:val="single" w:color="auto" w:sz="4" w:space="0"/>
              <w:right w:val="single" w:color="auto" w:sz="4" w:space="0"/>
            </w:tcBorders>
            <w:shd w:val="clear" w:color="auto" w:fill="auto"/>
            <w:vAlign w:val="center"/>
          </w:tcPr>
          <w:p>
            <w:r>
              <w:rPr>
                <w:rFonts w:hint="eastAsia"/>
              </w:rPr>
              <w:t>支持≥18个PCIe 3.0插槽</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主板OCP插</w:t>
            </w:r>
            <w:r>
              <w:rPr>
                <w:rFonts w:hint="eastAsia"/>
              </w:rPr>
              <w:br w:type="textWrapping"/>
            </w:r>
            <w:r>
              <w:rPr>
                <w:rFonts w:hint="eastAsia"/>
              </w:rPr>
              <w:t>槽数量</w:t>
            </w:r>
          </w:p>
        </w:tc>
        <w:tc>
          <w:tcPr>
            <w:tcW w:w="8148" w:type="dxa"/>
            <w:tcBorders>
              <w:top w:val="nil"/>
              <w:left w:val="nil"/>
              <w:bottom w:val="single" w:color="auto" w:sz="4" w:space="0"/>
              <w:right w:val="single" w:color="auto" w:sz="4" w:space="0"/>
            </w:tcBorders>
            <w:shd w:val="clear" w:color="auto" w:fill="auto"/>
            <w:vAlign w:val="center"/>
          </w:tcPr>
          <w:p>
            <w:r>
              <w:rPr>
                <w:rFonts w:hint="eastAsia"/>
              </w:rPr>
              <w:t>配置OCP3.0及以上插槽的数量≥1个</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restart"/>
            <w:tcBorders>
              <w:top w:val="nil"/>
              <w:left w:val="single" w:color="auto" w:sz="4" w:space="0"/>
              <w:bottom w:val="single" w:color="000000" w:sz="4" w:space="0"/>
              <w:right w:val="single" w:color="auto" w:sz="4" w:space="0"/>
            </w:tcBorders>
            <w:shd w:val="clear" w:color="auto" w:fill="auto"/>
            <w:vAlign w:val="center"/>
          </w:tcPr>
          <w:p>
            <w:pPr>
              <w:jc w:val="center"/>
            </w:pPr>
            <w:r>
              <w:rPr>
                <w:rFonts w:hint="eastAsia"/>
              </w:rPr>
              <w:t>★内存规格</w:t>
            </w:r>
          </w:p>
        </w:tc>
        <w:tc>
          <w:tcPr>
            <w:tcW w:w="1812" w:type="dxa"/>
            <w:tcBorders>
              <w:top w:val="nil"/>
              <w:left w:val="nil"/>
              <w:bottom w:val="single" w:color="auto" w:sz="4" w:space="0"/>
              <w:right w:val="single" w:color="auto" w:sz="4" w:space="0"/>
            </w:tcBorders>
            <w:shd w:val="clear" w:color="auto" w:fill="auto"/>
            <w:vAlign w:val="center"/>
          </w:tcPr>
          <w:p>
            <w:pPr>
              <w:jc w:val="left"/>
            </w:pPr>
            <w:r>
              <w:rPr>
                <w:rFonts w:hint="eastAsia"/>
              </w:rPr>
              <w:t>★内存数量</w:t>
            </w:r>
          </w:p>
        </w:tc>
        <w:tc>
          <w:tcPr>
            <w:tcW w:w="8148" w:type="dxa"/>
            <w:tcBorders>
              <w:top w:val="nil"/>
              <w:left w:val="nil"/>
              <w:bottom w:val="single" w:color="auto" w:sz="4" w:space="0"/>
              <w:right w:val="single" w:color="auto" w:sz="4" w:space="0"/>
            </w:tcBorders>
            <w:shd w:val="clear" w:color="auto" w:fill="auto"/>
            <w:vAlign w:val="center"/>
          </w:tcPr>
          <w:p>
            <w:r>
              <w:rPr>
                <w:rFonts w:hint="eastAsia"/>
              </w:rPr>
              <w:t>配置≥16条内存</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★内存规格</w:t>
            </w:r>
          </w:p>
        </w:tc>
        <w:tc>
          <w:tcPr>
            <w:tcW w:w="8148" w:type="dxa"/>
            <w:tcBorders>
              <w:top w:val="nil"/>
              <w:left w:val="nil"/>
              <w:bottom w:val="single" w:color="auto" w:sz="4" w:space="0"/>
              <w:right w:val="single" w:color="auto" w:sz="4" w:space="0"/>
            </w:tcBorders>
            <w:shd w:val="clear" w:color="auto" w:fill="auto"/>
            <w:vAlign w:val="center"/>
          </w:tcPr>
          <w:p>
            <w:r>
              <w:rPr>
                <w:rFonts w:hint="eastAsia"/>
              </w:rPr>
              <w:t>DDR4 3200MHz,单条内存≥64GB</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★内存通道</w:t>
            </w:r>
          </w:p>
        </w:tc>
        <w:tc>
          <w:tcPr>
            <w:tcW w:w="8148" w:type="dxa"/>
            <w:tcBorders>
              <w:top w:val="nil"/>
              <w:left w:val="nil"/>
              <w:bottom w:val="single" w:color="auto" w:sz="4" w:space="0"/>
              <w:right w:val="single" w:color="auto" w:sz="4" w:space="0"/>
            </w:tcBorders>
            <w:shd w:val="clear" w:color="auto" w:fill="auto"/>
            <w:vAlign w:val="center"/>
          </w:tcPr>
          <w:p>
            <w:r>
              <w:rPr>
                <w:rFonts w:hint="eastAsia"/>
              </w:rPr>
              <w:t>每处理器≥8个内存接口通道，每个通道可支持1DPC或2DPC,当支持2DPC时，印制电路板上应具备插槽的序号标识，具体通道数应在随机文件中明确；</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restart"/>
            <w:tcBorders>
              <w:top w:val="nil"/>
              <w:left w:val="single" w:color="auto" w:sz="4" w:space="0"/>
              <w:bottom w:val="single" w:color="000000" w:sz="4" w:space="0"/>
              <w:right w:val="single" w:color="auto" w:sz="4" w:space="0"/>
            </w:tcBorders>
            <w:shd w:val="clear" w:color="auto" w:fill="auto"/>
            <w:vAlign w:val="center"/>
          </w:tcPr>
          <w:p>
            <w:pPr>
              <w:jc w:val="center"/>
            </w:pPr>
            <w:r>
              <w:rPr>
                <w:rFonts w:hint="eastAsia"/>
              </w:rPr>
              <w:t>★存储规格</w:t>
            </w:r>
          </w:p>
        </w:tc>
        <w:tc>
          <w:tcPr>
            <w:tcW w:w="1812" w:type="dxa"/>
            <w:tcBorders>
              <w:top w:val="nil"/>
              <w:left w:val="nil"/>
              <w:bottom w:val="single" w:color="auto" w:sz="4" w:space="0"/>
              <w:right w:val="single" w:color="auto" w:sz="4" w:space="0"/>
            </w:tcBorders>
            <w:shd w:val="clear" w:color="auto" w:fill="auto"/>
            <w:vAlign w:val="center"/>
          </w:tcPr>
          <w:p>
            <w:pPr>
              <w:jc w:val="left"/>
            </w:pPr>
            <w:r>
              <w:rPr>
                <w:rFonts w:hint="eastAsia"/>
              </w:rPr>
              <w:t>★硬磁盘实配容量</w:t>
            </w:r>
          </w:p>
        </w:tc>
        <w:tc>
          <w:tcPr>
            <w:tcW w:w="8148" w:type="dxa"/>
            <w:tcBorders>
              <w:top w:val="nil"/>
              <w:left w:val="nil"/>
              <w:bottom w:val="single" w:color="auto" w:sz="4" w:space="0"/>
              <w:right w:val="single" w:color="auto" w:sz="4" w:space="0"/>
            </w:tcBorders>
            <w:shd w:val="clear" w:color="auto" w:fill="auto"/>
            <w:vAlign w:val="center"/>
          </w:tcPr>
          <w:p>
            <w:r>
              <w:rPr>
                <w:rFonts w:hint="eastAsia"/>
              </w:rPr>
              <w:t>1.92TSSD硬盘</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★硬盘实配数量</w:t>
            </w:r>
          </w:p>
        </w:tc>
        <w:tc>
          <w:tcPr>
            <w:tcW w:w="8148" w:type="dxa"/>
            <w:tcBorders>
              <w:top w:val="nil"/>
              <w:left w:val="nil"/>
              <w:bottom w:val="single" w:color="auto" w:sz="4" w:space="0"/>
              <w:right w:val="single" w:color="auto" w:sz="4" w:space="0"/>
            </w:tcBorders>
            <w:shd w:val="clear" w:color="auto" w:fill="auto"/>
            <w:vAlign w:val="center"/>
          </w:tcPr>
          <w:p>
            <w:r>
              <w:rPr>
                <w:rFonts w:hint="eastAsia"/>
              </w:rPr>
              <w:t xml:space="preserve">配置≥8块1.92TB SSD硬盘 </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★硬盘插槽数量及规格</w:t>
            </w:r>
          </w:p>
        </w:tc>
        <w:tc>
          <w:tcPr>
            <w:tcW w:w="8148" w:type="dxa"/>
            <w:tcBorders>
              <w:top w:val="nil"/>
              <w:left w:val="nil"/>
              <w:bottom w:val="single" w:color="auto" w:sz="4" w:space="0"/>
              <w:right w:val="single" w:color="auto" w:sz="4" w:space="0"/>
            </w:tcBorders>
            <w:shd w:val="clear" w:color="auto" w:fill="auto"/>
            <w:vAlign w:val="center"/>
          </w:tcPr>
          <w:p>
            <w:r>
              <w:rPr>
                <w:rFonts w:hint="eastAsia"/>
              </w:rPr>
              <w:t>最大支持≥50个2.5英寸硬盘扩展，支持≥24个NVMe SSD硬盘扩展，支持两个M.2驱动器，且支持RAID 0/1</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tcBorders>
              <w:top w:val="nil"/>
              <w:left w:val="nil"/>
              <w:bottom w:val="nil"/>
              <w:right w:val="single" w:color="auto" w:sz="4" w:space="0"/>
            </w:tcBorders>
            <w:shd w:val="clear" w:color="auto" w:fill="auto"/>
            <w:vAlign w:val="center"/>
          </w:tcPr>
          <w:p>
            <w:pPr>
              <w:jc w:val="center"/>
            </w:pPr>
            <w:r>
              <w:rPr>
                <w:rFonts w:hint="eastAsia"/>
              </w:rPr>
              <w:t>RAID卡规格</w:t>
            </w:r>
          </w:p>
        </w:tc>
        <w:tc>
          <w:tcPr>
            <w:tcW w:w="1812" w:type="dxa"/>
            <w:tcBorders>
              <w:top w:val="nil"/>
              <w:left w:val="nil"/>
              <w:bottom w:val="single" w:color="auto" w:sz="4" w:space="0"/>
              <w:right w:val="single" w:color="auto" w:sz="4" w:space="0"/>
            </w:tcBorders>
            <w:shd w:val="clear" w:color="auto" w:fill="auto"/>
            <w:vAlign w:val="center"/>
          </w:tcPr>
          <w:p>
            <w:pPr>
              <w:jc w:val="left"/>
            </w:pPr>
            <w:r>
              <w:rPr>
                <w:rFonts w:hint="eastAsia"/>
              </w:rPr>
              <w:t>RAID卡支持的SAS接口数</w:t>
            </w:r>
          </w:p>
        </w:tc>
        <w:tc>
          <w:tcPr>
            <w:tcW w:w="8148" w:type="dxa"/>
            <w:tcBorders>
              <w:top w:val="nil"/>
              <w:left w:val="nil"/>
              <w:bottom w:val="single" w:color="auto" w:sz="4" w:space="0"/>
              <w:right w:val="single" w:color="auto" w:sz="4" w:space="0"/>
            </w:tcBorders>
            <w:shd w:val="clear" w:color="auto" w:fill="auto"/>
            <w:vAlign w:val="center"/>
          </w:tcPr>
          <w:p>
            <w:r>
              <w:rPr>
                <w:rFonts w:hint="eastAsia"/>
              </w:rPr>
              <w:t>≥8</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tcBorders>
              <w:top w:val="single" w:color="auto" w:sz="4" w:space="0"/>
              <w:left w:val="nil"/>
              <w:bottom w:val="single" w:color="auto" w:sz="4" w:space="0"/>
              <w:right w:val="single" w:color="auto" w:sz="4" w:space="0"/>
            </w:tcBorders>
            <w:shd w:val="clear" w:color="auto" w:fill="auto"/>
            <w:vAlign w:val="center"/>
          </w:tcPr>
          <w:p>
            <w:r>
              <w:rPr>
                <w:rFonts w:hint="eastAsia"/>
              </w:rPr>
              <w:t>★网络规格</w:t>
            </w:r>
          </w:p>
        </w:tc>
        <w:tc>
          <w:tcPr>
            <w:tcW w:w="1812" w:type="dxa"/>
            <w:tcBorders>
              <w:top w:val="nil"/>
              <w:left w:val="nil"/>
              <w:bottom w:val="single" w:color="auto" w:sz="4" w:space="0"/>
              <w:right w:val="single" w:color="auto" w:sz="4" w:space="0"/>
            </w:tcBorders>
            <w:shd w:val="clear" w:color="auto" w:fill="auto"/>
            <w:vAlign w:val="center"/>
          </w:tcPr>
          <w:p>
            <w:r>
              <w:rPr>
                <w:rFonts w:hint="eastAsia"/>
              </w:rPr>
              <w:t>★网口速率和数量</w:t>
            </w:r>
          </w:p>
        </w:tc>
        <w:tc>
          <w:tcPr>
            <w:tcW w:w="8148" w:type="dxa"/>
            <w:tcBorders>
              <w:top w:val="nil"/>
              <w:left w:val="nil"/>
              <w:bottom w:val="single" w:color="auto" w:sz="4" w:space="0"/>
              <w:right w:val="single" w:color="auto" w:sz="4" w:space="0"/>
            </w:tcBorders>
            <w:shd w:val="clear" w:color="auto" w:fill="auto"/>
            <w:vAlign w:val="center"/>
          </w:tcPr>
          <w:p>
            <w:r>
              <w:rPr>
                <w:rFonts w:hint="eastAsia"/>
              </w:rPr>
              <w:t>配置≥2个1Gb网口(RJ45),配置≥2个10Gb</w:t>
            </w:r>
            <w:r>
              <w:rPr>
                <w:rFonts w:hint="eastAsia"/>
              </w:rPr>
              <w:br w:type="textWrapping"/>
            </w:r>
            <w:r>
              <w:rPr>
                <w:rFonts w:hint="eastAsia"/>
              </w:rPr>
              <w:t>端口(含全部万兆多模模块)</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restart"/>
            <w:tcBorders>
              <w:top w:val="nil"/>
              <w:left w:val="single" w:color="auto" w:sz="4" w:space="0"/>
              <w:bottom w:val="single" w:color="000000" w:sz="4" w:space="0"/>
              <w:right w:val="single" w:color="auto" w:sz="4" w:space="0"/>
            </w:tcBorders>
            <w:shd w:val="clear" w:color="auto" w:fill="auto"/>
            <w:vAlign w:val="center"/>
          </w:tcPr>
          <w:p>
            <w:pPr>
              <w:jc w:val="center"/>
            </w:pPr>
            <w:r>
              <w:rPr>
                <w:rFonts w:hint="eastAsia"/>
              </w:rPr>
              <w:t>★外部接口规格</w:t>
            </w:r>
          </w:p>
        </w:tc>
        <w:tc>
          <w:tcPr>
            <w:tcW w:w="1812" w:type="dxa"/>
            <w:tcBorders>
              <w:top w:val="nil"/>
              <w:left w:val="nil"/>
              <w:bottom w:val="single" w:color="auto" w:sz="4" w:space="0"/>
              <w:right w:val="single" w:color="auto" w:sz="4" w:space="0"/>
            </w:tcBorders>
            <w:shd w:val="clear" w:color="auto" w:fill="auto"/>
            <w:vAlign w:val="center"/>
          </w:tcPr>
          <w:p>
            <w:pPr>
              <w:jc w:val="left"/>
            </w:pPr>
            <w:r>
              <w:rPr>
                <w:rFonts w:hint="eastAsia"/>
              </w:rPr>
              <w:t>★显示接口</w:t>
            </w:r>
          </w:p>
        </w:tc>
        <w:tc>
          <w:tcPr>
            <w:tcW w:w="8148" w:type="dxa"/>
            <w:tcBorders>
              <w:top w:val="nil"/>
              <w:left w:val="nil"/>
              <w:bottom w:val="single" w:color="auto" w:sz="4" w:space="0"/>
              <w:right w:val="single" w:color="auto" w:sz="4" w:space="0"/>
            </w:tcBorders>
            <w:shd w:val="clear" w:color="auto" w:fill="auto"/>
            <w:vAlign w:val="center"/>
          </w:tcPr>
          <w:p>
            <w:r>
              <w:rPr>
                <w:rFonts w:hint="eastAsia"/>
              </w:rPr>
              <w:t>≥1个VGA显示接口</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★USB接口</w:t>
            </w:r>
          </w:p>
        </w:tc>
        <w:tc>
          <w:tcPr>
            <w:tcW w:w="8148" w:type="dxa"/>
            <w:tcBorders>
              <w:top w:val="nil"/>
              <w:left w:val="nil"/>
              <w:bottom w:val="single" w:color="auto" w:sz="4" w:space="0"/>
              <w:right w:val="single" w:color="auto" w:sz="4" w:space="0"/>
            </w:tcBorders>
            <w:shd w:val="clear" w:color="auto" w:fill="auto"/>
            <w:vAlign w:val="center"/>
          </w:tcPr>
          <w:p>
            <w:r>
              <w:rPr>
                <w:rFonts w:hint="eastAsia"/>
              </w:rPr>
              <w:t>≥6个USB3.0接口</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其他接口</w:t>
            </w:r>
          </w:p>
        </w:tc>
        <w:tc>
          <w:tcPr>
            <w:tcW w:w="8148" w:type="dxa"/>
            <w:tcBorders>
              <w:top w:val="nil"/>
              <w:left w:val="nil"/>
              <w:bottom w:val="single" w:color="auto" w:sz="4" w:space="0"/>
              <w:right w:val="single" w:color="auto" w:sz="4" w:space="0"/>
            </w:tcBorders>
            <w:shd w:val="clear" w:color="auto" w:fill="auto"/>
            <w:vAlign w:val="center"/>
          </w:tcPr>
          <w:p>
            <w:r>
              <w:rPr>
                <w:rFonts w:hint="eastAsia"/>
              </w:rPr>
              <w:t>≥1个独立的专用管理网络接口</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restart"/>
            <w:tcBorders>
              <w:top w:val="nil"/>
              <w:left w:val="single" w:color="auto" w:sz="4" w:space="0"/>
              <w:bottom w:val="single" w:color="000000" w:sz="4" w:space="0"/>
              <w:right w:val="single" w:color="auto" w:sz="4" w:space="0"/>
            </w:tcBorders>
            <w:shd w:val="clear" w:color="auto" w:fill="auto"/>
            <w:vAlign w:val="center"/>
          </w:tcPr>
          <w:p>
            <w:pPr>
              <w:jc w:val="center"/>
            </w:pPr>
            <w:r>
              <w:rPr>
                <w:rFonts w:hint="eastAsia"/>
              </w:rPr>
              <w:t>★电源规格</w:t>
            </w:r>
          </w:p>
        </w:tc>
        <w:tc>
          <w:tcPr>
            <w:tcW w:w="1812" w:type="dxa"/>
            <w:tcBorders>
              <w:top w:val="nil"/>
              <w:left w:val="nil"/>
              <w:bottom w:val="single" w:color="auto" w:sz="4" w:space="0"/>
              <w:right w:val="single" w:color="auto" w:sz="4" w:space="0"/>
            </w:tcBorders>
            <w:shd w:val="clear" w:color="auto" w:fill="auto"/>
            <w:vAlign w:val="center"/>
          </w:tcPr>
          <w:p>
            <w:pPr>
              <w:jc w:val="left"/>
            </w:pPr>
            <w:r>
              <w:rPr>
                <w:rFonts w:hint="eastAsia"/>
              </w:rPr>
              <w:t>电源冗余模式</w:t>
            </w:r>
          </w:p>
        </w:tc>
        <w:tc>
          <w:tcPr>
            <w:tcW w:w="8148" w:type="dxa"/>
            <w:tcBorders>
              <w:top w:val="nil"/>
              <w:left w:val="nil"/>
              <w:bottom w:val="single" w:color="auto" w:sz="4" w:space="0"/>
              <w:right w:val="single" w:color="auto" w:sz="4" w:space="0"/>
            </w:tcBorders>
            <w:shd w:val="clear" w:color="auto" w:fill="auto"/>
            <w:vAlign w:val="center"/>
          </w:tcPr>
          <w:p>
            <w:r>
              <w:rPr>
                <w:rFonts w:hint="eastAsia"/>
              </w:rPr>
              <w:t>整机电源模块按1+1冗余或N+N冗余配置</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★电源模块数量</w:t>
            </w:r>
          </w:p>
        </w:tc>
        <w:tc>
          <w:tcPr>
            <w:tcW w:w="8148" w:type="dxa"/>
            <w:tcBorders>
              <w:top w:val="nil"/>
              <w:left w:val="nil"/>
              <w:bottom w:val="single" w:color="auto" w:sz="4" w:space="0"/>
              <w:right w:val="single" w:color="auto" w:sz="4" w:space="0"/>
            </w:tcBorders>
            <w:shd w:val="clear" w:color="auto" w:fill="auto"/>
            <w:vAlign w:val="center"/>
          </w:tcPr>
          <w:p>
            <w:r>
              <w:rPr>
                <w:rFonts w:hint="eastAsia"/>
              </w:rPr>
              <w:t>≥4</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★电源功率</w:t>
            </w:r>
          </w:p>
        </w:tc>
        <w:tc>
          <w:tcPr>
            <w:tcW w:w="8148" w:type="dxa"/>
            <w:tcBorders>
              <w:top w:val="nil"/>
              <w:left w:val="nil"/>
              <w:bottom w:val="single" w:color="auto" w:sz="4" w:space="0"/>
              <w:right w:val="single" w:color="auto" w:sz="4" w:space="0"/>
            </w:tcBorders>
            <w:shd w:val="clear" w:color="auto" w:fill="auto"/>
            <w:vAlign w:val="center"/>
          </w:tcPr>
          <w:p>
            <w:r>
              <w:rPr>
                <w:rFonts w:hint="eastAsia"/>
              </w:rPr>
              <w:t>≥800W</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restart"/>
            <w:tcBorders>
              <w:top w:val="nil"/>
              <w:left w:val="single" w:color="auto" w:sz="4" w:space="0"/>
              <w:bottom w:val="single" w:color="000000" w:sz="4" w:space="0"/>
              <w:right w:val="single" w:color="auto" w:sz="4" w:space="0"/>
            </w:tcBorders>
            <w:shd w:val="clear" w:color="auto" w:fill="auto"/>
            <w:vAlign w:val="center"/>
          </w:tcPr>
          <w:p>
            <w:pPr>
              <w:jc w:val="center"/>
            </w:pPr>
            <w:r>
              <w:rPr>
                <w:rFonts w:hint="eastAsia"/>
              </w:rPr>
              <w:t>★整机规格</w:t>
            </w:r>
          </w:p>
        </w:tc>
        <w:tc>
          <w:tcPr>
            <w:tcW w:w="1812" w:type="dxa"/>
            <w:vMerge w:val="restart"/>
            <w:tcBorders>
              <w:top w:val="nil"/>
              <w:left w:val="single" w:color="auto" w:sz="4" w:space="0"/>
              <w:bottom w:val="single" w:color="000000" w:sz="4" w:space="0"/>
              <w:right w:val="single" w:color="auto" w:sz="4" w:space="0"/>
            </w:tcBorders>
            <w:shd w:val="clear" w:color="auto" w:fill="auto"/>
            <w:vAlign w:val="center"/>
          </w:tcPr>
          <w:p>
            <w:pPr>
              <w:jc w:val="center"/>
            </w:pPr>
            <w:r>
              <w:rPr>
                <w:rFonts w:hint="eastAsia"/>
              </w:rPr>
              <w:t>★外观和结构</w:t>
            </w:r>
          </w:p>
        </w:tc>
        <w:tc>
          <w:tcPr>
            <w:tcW w:w="8148" w:type="dxa"/>
            <w:tcBorders>
              <w:top w:val="nil"/>
              <w:left w:val="nil"/>
              <w:bottom w:val="single" w:color="auto" w:sz="4" w:space="0"/>
              <w:right w:val="single" w:color="auto" w:sz="4" w:space="0"/>
            </w:tcBorders>
            <w:shd w:val="clear" w:color="auto" w:fill="auto"/>
            <w:vAlign w:val="center"/>
          </w:tcPr>
          <w:p>
            <w:pPr>
              <w:jc w:val="left"/>
            </w:pPr>
            <w:r>
              <w:rPr>
                <w:rFonts w:hint="eastAsia"/>
              </w:rPr>
              <w:t>a)服务器的零部件应紧固无松动，可插拔部件应可靠连接，开关、按钮和其它控制部件应灵活可靠，布局应方便使用；</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b)产品表面不应有明显的凹痕、划伤、裂缝、变形和污染等。表面涂层均匀，不应起泡、龟裂、脱落和磨损，金属零部件无锈蚀及其它机械损伤；</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c)产品表面说明功能的文字、符号和标志应清晰、端正且牢固；</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d)应在服务器的显著位置提供运行状态的指示功能，并在随机文件中明确具体含义；</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e)机架、机箱的尺寸应符合通用机柜的安装要求插入总线插座的电路板接口外形尺寸应符合有关总线标准的规定，将机箱固定在机柜上，机箱底面最大下垂变形不得干涉相邻机体；</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f)高密度服务器应给出CPU个数与机柜高度；</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g)服务器尺寸具体要求在随机文件中明确</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★尺寸(高×宽×深)</w:t>
            </w:r>
          </w:p>
        </w:tc>
        <w:tc>
          <w:tcPr>
            <w:tcW w:w="8148" w:type="dxa"/>
            <w:tcBorders>
              <w:top w:val="nil"/>
              <w:left w:val="nil"/>
              <w:bottom w:val="single" w:color="auto" w:sz="4" w:space="0"/>
              <w:right w:val="single" w:color="auto" w:sz="4" w:space="0"/>
            </w:tcBorders>
            <w:shd w:val="clear" w:color="auto" w:fill="auto"/>
            <w:vAlign w:val="center"/>
          </w:tcPr>
          <w:p>
            <w:r>
              <w:rPr>
                <w:rFonts w:hint="eastAsia"/>
              </w:rPr>
              <w:t>≤高174(mm)×≤宽447(mm)×≤深799(mm)</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服务器导轨</w:t>
            </w:r>
          </w:p>
        </w:tc>
        <w:tc>
          <w:tcPr>
            <w:tcW w:w="8148" w:type="dxa"/>
            <w:tcBorders>
              <w:top w:val="nil"/>
              <w:left w:val="nil"/>
              <w:bottom w:val="single" w:color="auto" w:sz="4" w:space="0"/>
              <w:right w:val="single" w:color="auto" w:sz="4" w:space="0"/>
            </w:tcBorders>
            <w:shd w:val="clear" w:color="auto" w:fill="auto"/>
            <w:vAlign w:val="center"/>
          </w:tcPr>
          <w:p>
            <w:r>
              <w:rPr>
                <w:rFonts w:hint="eastAsia"/>
              </w:rPr>
              <w:t>配置≥1套滑动导轨</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★环境适应性</w:t>
            </w:r>
          </w:p>
        </w:tc>
        <w:tc>
          <w:tcPr>
            <w:tcW w:w="8148" w:type="dxa"/>
            <w:tcBorders>
              <w:top w:val="nil"/>
              <w:left w:val="nil"/>
              <w:bottom w:val="single" w:color="auto" w:sz="4" w:space="0"/>
              <w:right w:val="single" w:color="auto" w:sz="4" w:space="0"/>
            </w:tcBorders>
            <w:shd w:val="clear" w:color="auto" w:fill="auto"/>
            <w:vAlign w:val="center"/>
          </w:tcPr>
          <w:p>
            <w:r>
              <w:rPr>
                <w:rFonts w:hint="eastAsia"/>
              </w:rPr>
              <w:t>气候环境适应性应符合GB/T9813.3的有关规定，工作温度10～35℃,贮存运输温度-40～55℃;工作相对湿度35%～80%,贮存运输相对湿度20～93%(40℃);大气压86～106kPa</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★机械环境适应性</w:t>
            </w:r>
          </w:p>
        </w:tc>
        <w:tc>
          <w:tcPr>
            <w:tcW w:w="8148" w:type="dxa"/>
            <w:tcBorders>
              <w:top w:val="nil"/>
              <w:left w:val="nil"/>
              <w:bottom w:val="single" w:color="auto" w:sz="4" w:space="0"/>
              <w:right w:val="single" w:color="auto" w:sz="4" w:space="0"/>
            </w:tcBorders>
            <w:shd w:val="clear" w:color="auto" w:fill="auto"/>
            <w:vAlign w:val="center"/>
          </w:tcPr>
          <w:p>
            <w:r>
              <w:rPr>
                <w:rFonts w:hint="eastAsia"/>
              </w:rPr>
              <w:t>机械环境适应性应符合GB/T9813.3的有关规定</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★噪声</w:t>
            </w:r>
          </w:p>
        </w:tc>
        <w:tc>
          <w:tcPr>
            <w:tcW w:w="8148" w:type="dxa"/>
            <w:tcBorders>
              <w:top w:val="nil"/>
              <w:left w:val="nil"/>
              <w:bottom w:val="single" w:color="auto" w:sz="4" w:space="0"/>
              <w:right w:val="single" w:color="auto" w:sz="4" w:space="0"/>
            </w:tcBorders>
            <w:shd w:val="clear" w:color="auto" w:fill="auto"/>
            <w:vAlign w:val="center"/>
          </w:tcPr>
          <w:p>
            <w:r>
              <w:rPr>
                <w:rFonts w:hint="eastAsia"/>
              </w:rPr>
              <w:t>符合GB/T9813.3的有关规定，在产品说明中给出具体测试值</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tcBorders>
              <w:top w:val="nil"/>
              <w:left w:val="nil"/>
              <w:bottom w:val="single" w:color="auto" w:sz="4" w:space="0"/>
              <w:right w:val="single" w:color="auto" w:sz="4" w:space="0"/>
            </w:tcBorders>
            <w:shd w:val="clear" w:color="auto" w:fill="auto"/>
            <w:vAlign w:val="center"/>
          </w:tcPr>
          <w:p>
            <w:r>
              <w:rPr>
                <w:rFonts w:hint="eastAsia"/>
              </w:rPr>
              <w:t>机柜规格</w:t>
            </w:r>
          </w:p>
        </w:tc>
        <w:tc>
          <w:tcPr>
            <w:tcW w:w="1812" w:type="dxa"/>
            <w:tcBorders>
              <w:top w:val="nil"/>
              <w:left w:val="nil"/>
              <w:bottom w:val="single" w:color="auto" w:sz="4" w:space="0"/>
              <w:right w:val="single" w:color="auto" w:sz="4" w:space="0"/>
            </w:tcBorders>
            <w:shd w:val="clear" w:color="auto" w:fill="auto"/>
            <w:vAlign w:val="center"/>
          </w:tcPr>
          <w:p>
            <w:r>
              <w:rPr>
                <w:rFonts w:hint="eastAsia"/>
              </w:rPr>
              <w:t>★机柜尺寸</w:t>
            </w:r>
          </w:p>
        </w:tc>
        <w:tc>
          <w:tcPr>
            <w:tcW w:w="8148" w:type="dxa"/>
            <w:tcBorders>
              <w:top w:val="nil"/>
              <w:left w:val="nil"/>
              <w:bottom w:val="single" w:color="auto" w:sz="4" w:space="0"/>
              <w:right w:val="single" w:color="auto" w:sz="4" w:space="0"/>
            </w:tcBorders>
            <w:shd w:val="clear" w:color="auto" w:fill="auto"/>
            <w:vAlign w:val="center"/>
          </w:tcPr>
          <w:p>
            <w:r>
              <w:rPr>
                <w:rFonts w:hint="eastAsia"/>
              </w:rPr>
              <w:t>≥高1100(mm)×宽600(mm)×≥深1000(mm)</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restart"/>
            <w:tcBorders>
              <w:top w:val="nil"/>
              <w:left w:val="single" w:color="auto" w:sz="4" w:space="0"/>
              <w:bottom w:val="single" w:color="000000" w:sz="4" w:space="0"/>
              <w:right w:val="single" w:color="auto" w:sz="4" w:space="0"/>
            </w:tcBorders>
            <w:shd w:val="clear" w:color="auto" w:fill="auto"/>
            <w:vAlign w:val="center"/>
          </w:tcPr>
          <w:p>
            <w:pPr>
              <w:jc w:val="center"/>
            </w:pPr>
            <w:r>
              <w:rPr>
                <w:rFonts w:hint="eastAsia"/>
              </w:rPr>
              <w:t>功能要求</w:t>
            </w:r>
          </w:p>
        </w:tc>
        <w:tc>
          <w:tcPr>
            <w:tcW w:w="997" w:type="dxa"/>
            <w:tcBorders>
              <w:top w:val="nil"/>
              <w:left w:val="nil"/>
              <w:bottom w:val="single" w:color="auto" w:sz="4" w:space="0"/>
              <w:right w:val="single" w:color="auto" w:sz="4" w:space="0"/>
            </w:tcBorders>
            <w:shd w:val="clear" w:color="auto" w:fill="auto"/>
            <w:vAlign w:val="center"/>
          </w:tcPr>
          <w:p>
            <w:pPr>
              <w:jc w:val="left"/>
            </w:pPr>
            <w:r>
              <w:rPr>
                <w:rFonts w:hint="eastAsia"/>
              </w:rPr>
              <w:t>★主板功能</w:t>
            </w:r>
          </w:p>
        </w:tc>
        <w:tc>
          <w:tcPr>
            <w:tcW w:w="1812" w:type="dxa"/>
            <w:tcBorders>
              <w:top w:val="nil"/>
              <w:left w:val="nil"/>
              <w:bottom w:val="single" w:color="auto" w:sz="4" w:space="0"/>
              <w:right w:val="single" w:color="auto" w:sz="4" w:space="0"/>
            </w:tcBorders>
            <w:shd w:val="clear" w:color="auto" w:fill="auto"/>
            <w:vAlign w:val="center"/>
          </w:tcPr>
          <w:p>
            <w:r>
              <w:rPr>
                <w:rFonts w:hint="eastAsia"/>
              </w:rPr>
              <w:t>★主板外部接口种类</w:t>
            </w:r>
          </w:p>
        </w:tc>
        <w:tc>
          <w:tcPr>
            <w:tcW w:w="8148" w:type="dxa"/>
            <w:tcBorders>
              <w:top w:val="nil"/>
              <w:left w:val="nil"/>
              <w:bottom w:val="single" w:color="auto" w:sz="4" w:space="0"/>
              <w:right w:val="single" w:color="auto" w:sz="4" w:space="0"/>
            </w:tcBorders>
            <w:shd w:val="clear" w:color="auto" w:fill="auto"/>
            <w:vAlign w:val="center"/>
          </w:tcPr>
          <w:p>
            <w:r>
              <w:rPr>
                <w:rFonts w:hint="eastAsia"/>
              </w:rPr>
              <w:t>支持USB、显示、管理等接口</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tcBorders>
              <w:top w:val="nil"/>
              <w:left w:val="nil"/>
              <w:bottom w:val="single" w:color="auto" w:sz="4" w:space="0"/>
              <w:right w:val="single" w:color="auto" w:sz="4" w:space="0"/>
            </w:tcBorders>
            <w:shd w:val="clear" w:color="auto" w:fill="auto"/>
            <w:vAlign w:val="center"/>
          </w:tcPr>
          <w:p>
            <w:r>
              <w:rPr>
                <w:rFonts w:hint="eastAsia"/>
              </w:rPr>
              <w:t>★网络功能</w:t>
            </w:r>
          </w:p>
        </w:tc>
        <w:tc>
          <w:tcPr>
            <w:tcW w:w="1812" w:type="dxa"/>
            <w:tcBorders>
              <w:top w:val="nil"/>
              <w:left w:val="nil"/>
              <w:bottom w:val="single" w:color="auto" w:sz="4" w:space="0"/>
              <w:right w:val="single" w:color="auto" w:sz="4" w:space="0"/>
            </w:tcBorders>
            <w:shd w:val="clear" w:color="auto" w:fill="auto"/>
            <w:vAlign w:val="center"/>
          </w:tcPr>
          <w:p>
            <w:r>
              <w:rPr>
                <w:rFonts w:hint="eastAsia"/>
              </w:rPr>
              <w:t>★网络功能</w:t>
            </w:r>
          </w:p>
        </w:tc>
        <w:tc>
          <w:tcPr>
            <w:tcW w:w="8148" w:type="dxa"/>
            <w:tcBorders>
              <w:top w:val="nil"/>
              <w:left w:val="nil"/>
              <w:bottom w:val="single" w:color="auto" w:sz="4" w:space="0"/>
              <w:right w:val="single" w:color="auto" w:sz="4" w:space="0"/>
            </w:tcBorders>
            <w:shd w:val="clear" w:color="auto" w:fill="auto"/>
            <w:vAlign w:val="center"/>
          </w:tcPr>
          <w:p>
            <w:r>
              <w:rPr>
                <w:rFonts w:hint="eastAsia"/>
              </w:rPr>
              <w:t>支持网络连接、网络访问、数据交换和网络管控功能</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tcBorders>
              <w:top w:val="nil"/>
              <w:left w:val="nil"/>
              <w:bottom w:val="single" w:color="auto" w:sz="4" w:space="0"/>
              <w:right w:val="single" w:color="auto" w:sz="4" w:space="0"/>
            </w:tcBorders>
            <w:shd w:val="clear" w:color="auto" w:fill="auto"/>
            <w:vAlign w:val="center"/>
          </w:tcPr>
          <w:p>
            <w:r>
              <w:rPr>
                <w:rFonts w:hint="eastAsia"/>
              </w:rPr>
              <w:t>★CPU功能</w:t>
            </w:r>
          </w:p>
        </w:tc>
        <w:tc>
          <w:tcPr>
            <w:tcW w:w="1812" w:type="dxa"/>
            <w:tcBorders>
              <w:top w:val="nil"/>
              <w:left w:val="nil"/>
              <w:bottom w:val="single" w:color="auto" w:sz="4" w:space="0"/>
              <w:right w:val="single" w:color="auto" w:sz="4" w:space="0"/>
            </w:tcBorders>
            <w:shd w:val="clear" w:color="auto" w:fill="auto"/>
            <w:vAlign w:val="center"/>
          </w:tcPr>
          <w:p>
            <w:r>
              <w:rPr>
                <w:rFonts w:hint="eastAsia"/>
              </w:rPr>
              <w:t>★计算处理</w:t>
            </w:r>
          </w:p>
        </w:tc>
        <w:tc>
          <w:tcPr>
            <w:tcW w:w="8148" w:type="dxa"/>
            <w:tcBorders>
              <w:top w:val="nil"/>
              <w:left w:val="nil"/>
              <w:bottom w:val="single" w:color="auto" w:sz="4" w:space="0"/>
              <w:right w:val="single" w:color="auto" w:sz="4" w:space="0"/>
            </w:tcBorders>
            <w:shd w:val="clear" w:color="auto" w:fill="auto"/>
            <w:vAlign w:val="center"/>
          </w:tcPr>
          <w:p>
            <w:r>
              <w:rPr>
                <w:rFonts w:hint="eastAsia"/>
              </w:rPr>
              <w:t>支持通用计算及虚拟化功能。处理器需集成整型计算单元、浮点计算单元、内存控制器、I/0模块等处理器与存储部件、网络部件、I/0部件等组成计算系统，提供数据处理、网络接入等计算相关功能</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pPr>
            <w:r>
              <w:rPr>
                <w:rFonts w:hint="eastAsia"/>
              </w:rPr>
              <w:t>★电源功能</w:t>
            </w:r>
          </w:p>
        </w:tc>
        <w:tc>
          <w:tcPr>
            <w:tcW w:w="1812" w:type="dxa"/>
            <w:tcBorders>
              <w:top w:val="nil"/>
              <w:left w:val="nil"/>
              <w:bottom w:val="single" w:color="auto" w:sz="4" w:space="0"/>
              <w:right w:val="single" w:color="auto" w:sz="4" w:space="0"/>
            </w:tcBorders>
            <w:shd w:val="clear" w:color="auto" w:fill="auto"/>
            <w:vAlign w:val="center"/>
          </w:tcPr>
          <w:p>
            <w:pPr>
              <w:jc w:val="left"/>
            </w:pPr>
            <w:r>
              <w:rPr>
                <w:rFonts w:hint="eastAsia"/>
              </w:rPr>
              <w:t>★电源热插拔</w:t>
            </w:r>
          </w:p>
        </w:tc>
        <w:tc>
          <w:tcPr>
            <w:tcW w:w="8148" w:type="dxa"/>
            <w:tcBorders>
              <w:top w:val="nil"/>
              <w:left w:val="nil"/>
              <w:bottom w:val="single" w:color="auto" w:sz="4" w:space="0"/>
              <w:right w:val="single" w:color="auto" w:sz="4" w:space="0"/>
            </w:tcBorders>
            <w:shd w:val="clear" w:color="auto" w:fill="auto"/>
            <w:vAlign w:val="center"/>
          </w:tcPr>
          <w:p>
            <w:r>
              <w:rPr>
                <w:rFonts w:hint="eastAsia"/>
              </w:rPr>
              <w:t>整机电源模块应具备热插拔功能</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★电源过流保护</w:t>
            </w:r>
          </w:p>
        </w:tc>
        <w:tc>
          <w:tcPr>
            <w:tcW w:w="8148" w:type="dxa"/>
            <w:tcBorders>
              <w:top w:val="nil"/>
              <w:left w:val="nil"/>
              <w:bottom w:val="single" w:color="auto" w:sz="4" w:space="0"/>
              <w:right w:val="single" w:color="auto" w:sz="4" w:space="0"/>
            </w:tcBorders>
            <w:shd w:val="clear" w:color="auto" w:fill="auto"/>
            <w:vAlign w:val="center"/>
          </w:tcPr>
          <w:p>
            <w:r>
              <w:rPr>
                <w:rFonts w:hint="eastAsia"/>
              </w:rPr>
              <w:t>支持过流及短路保护的功能</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pPr>
            <w:r>
              <w:rPr>
                <w:rFonts w:hint="eastAsia"/>
              </w:rPr>
              <w:t>★整机功能</w:t>
            </w:r>
          </w:p>
        </w:tc>
        <w:tc>
          <w:tcPr>
            <w:tcW w:w="1812" w:type="dxa"/>
            <w:tcBorders>
              <w:top w:val="nil"/>
              <w:left w:val="nil"/>
              <w:bottom w:val="single" w:color="auto" w:sz="4" w:space="0"/>
              <w:right w:val="single" w:color="auto" w:sz="4" w:space="0"/>
            </w:tcBorders>
            <w:shd w:val="clear" w:color="auto" w:fill="auto"/>
            <w:vAlign w:val="center"/>
          </w:tcPr>
          <w:p>
            <w:pPr>
              <w:jc w:val="left"/>
            </w:pPr>
            <w:r>
              <w:rPr>
                <w:rFonts w:hint="eastAsia"/>
              </w:rPr>
              <w:t>★散热方式</w:t>
            </w:r>
          </w:p>
        </w:tc>
        <w:tc>
          <w:tcPr>
            <w:tcW w:w="8148" w:type="dxa"/>
            <w:tcBorders>
              <w:top w:val="nil"/>
              <w:left w:val="nil"/>
              <w:bottom w:val="single" w:color="auto" w:sz="4" w:space="0"/>
              <w:right w:val="single" w:color="auto" w:sz="4" w:space="0"/>
            </w:tcBorders>
            <w:shd w:val="clear" w:color="auto" w:fill="auto"/>
            <w:vAlign w:val="center"/>
          </w:tcPr>
          <w:p>
            <w:r>
              <w:rPr>
                <w:rFonts w:hint="eastAsia"/>
              </w:rPr>
              <w:t>支持风冷或液冷等散热方式</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其他功能</w:t>
            </w:r>
          </w:p>
        </w:tc>
        <w:tc>
          <w:tcPr>
            <w:tcW w:w="8148" w:type="dxa"/>
            <w:tcBorders>
              <w:top w:val="nil"/>
              <w:left w:val="nil"/>
              <w:bottom w:val="single" w:color="auto" w:sz="4" w:space="0"/>
              <w:right w:val="single" w:color="auto" w:sz="4" w:space="0"/>
            </w:tcBorders>
            <w:shd w:val="clear" w:color="auto" w:fill="auto"/>
            <w:vAlign w:val="center"/>
          </w:tcPr>
          <w:p>
            <w:r>
              <w:rPr>
                <w:rFonts w:hint="eastAsia"/>
              </w:rPr>
              <w:t>支持风扇冗余</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restart"/>
            <w:tcBorders>
              <w:top w:val="nil"/>
              <w:left w:val="single" w:color="auto" w:sz="4" w:space="0"/>
              <w:bottom w:val="single" w:color="000000" w:sz="4" w:space="0"/>
              <w:right w:val="single" w:color="auto" w:sz="4" w:space="0"/>
            </w:tcBorders>
            <w:shd w:val="clear" w:color="auto" w:fill="auto"/>
            <w:vAlign w:val="center"/>
          </w:tcPr>
          <w:p>
            <w:pPr>
              <w:jc w:val="center"/>
            </w:pPr>
            <w:r>
              <w:rPr>
                <w:rFonts w:hint="eastAsia"/>
              </w:rPr>
              <w:t>★管理系统功能</w:t>
            </w:r>
          </w:p>
        </w:tc>
        <w:tc>
          <w:tcPr>
            <w:tcW w:w="1812" w:type="dxa"/>
            <w:vMerge w:val="restart"/>
            <w:tcBorders>
              <w:top w:val="nil"/>
              <w:left w:val="single" w:color="auto" w:sz="4" w:space="0"/>
              <w:bottom w:val="single" w:color="000000" w:sz="4" w:space="0"/>
              <w:right w:val="single" w:color="auto" w:sz="4" w:space="0"/>
            </w:tcBorders>
            <w:shd w:val="clear" w:color="auto" w:fill="auto"/>
            <w:vAlign w:val="center"/>
          </w:tcPr>
          <w:p>
            <w:pPr>
              <w:jc w:val="center"/>
            </w:pPr>
            <w:r>
              <w:rPr>
                <w:rFonts w:hint="eastAsia"/>
              </w:rPr>
              <w:t>★BMC固件基础功能</w:t>
            </w:r>
          </w:p>
        </w:tc>
        <w:tc>
          <w:tcPr>
            <w:tcW w:w="8148" w:type="dxa"/>
            <w:tcBorders>
              <w:top w:val="nil"/>
              <w:left w:val="nil"/>
              <w:bottom w:val="single" w:color="auto" w:sz="4" w:space="0"/>
              <w:right w:val="single" w:color="auto" w:sz="4" w:space="0"/>
            </w:tcBorders>
            <w:shd w:val="clear" w:color="auto" w:fill="auto"/>
            <w:vAlign w:val="center"/>
          </w:tcPr>
          <w:p>
            <w:pPr>
              <w:jc w:val="left"/>
            </w:pPr>
            <w:r>
              <w:rPr>
                <w:rFonts w:hint="eastAsia"/>
              </w:rPr>
              <w:t>1)支持DHCP设置网络功能；</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2)支持静态IP设置网络功能；</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3)支持设备日志记录，包括但不限于登录日志、操作日志和报警日志等功能</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4)支持日志信息导出和记录删除功能；</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5)支持通过管理接口向外输出准确的报警信息功能 ；</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6)设备的BMC管理软件应能够按报警的严重程度进行区分</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7)支持IPMI2.0、SNMP或Redfish等接口功能</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8)支持键盘、鼠标和视频的重定向、文本控制台的 重定向、远程虚拟媒体、高可靠的硬件监控和管理功能</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50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9)支持基于网络开启、关闭和重启设备的功能，并查询当前设备开机运行状态；</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51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10)支持故障提示功能，并可通过接口读取服务器故障信息 ；</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52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11)支持基于网络的固件更新功能，包括BMC和BIOS 等 ；</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53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12)支持基于网络安装操作系统的功能，并可通过网络控制台访问设备；</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54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13)支持通过本地的硬盘或光驱等存储设备，基于网络完成设备的操作系统安装功能</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55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14)支持通过浏览器打开管理界面并登录功能；</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56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 xml:space="preserve"> 15)支持设置口令策略功能；</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57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16)支持访问权限设置功能，并通过日志记录访问事件 ；</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58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17)支持对出厂默认的用户名及口令进行安全保护功能，并提供默认口令修改提示</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59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18)支持读取设备主板的工作环境温度功能；</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60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 xml:space="preserve">  19)支持读取服务器CPU等核心器件的温度功能；</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61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20)支持通过外部管理工具进行BMC参数设置的功  能，并可基于网络通过外部管理工具对BMC进行管 理 ；</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62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21)应支持固件版本查询、固件升级</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63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22)支持基于网络实现开关机和复位控制的功能</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64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23)BMC启动时间应不超过180s,实现功能包括网、IPMI、散热、传感器服务可用；</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65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24)支持BMC固件设置的恢复出厂功能</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66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restart"/>
            <w:tcBorders>
              <w:top w:val="nil"/>
              <w:left w:val="single" w:color="auto" w:sz="4" w:space="0"/>
              <w:bottom w:val="single" w:color="000000" w:sz="4" w:space="0"/>
              <w:right w:val="single" w:color="auto" w:sz="4" w:space="0"/>
            </w:tcBorders>
            <w:shd w:val="clear" w:color="auto" w:fill="auto"/>
            <w:vAlign w:val="center"/>
          </w:tcPr>
          <w:p>
            <w:pPr>
              <w:jc w:val="center"/>
            </w:pPr>
            <w:r>
              <w:rPr>
                <w:rFonts w:hint="eastAsia"/>
              </w:rPr>
              <w:t>★BIOS固件基础功能</w:t>
            </w:r>
          </w:p>
        </w:tc>
        <w:tc>
          <w:tcPr>
            <w:tcW w:w="8148" w:type="dxa"/>
            <w:tcBorders>
              <w:top w:val="nil"/>
              <w:left w:val="nil"/>
              <w:bottom w:val="single" w:color="auto" w:sz="4" w:space="0"/>
              <w:right w:val="single" w:color="auto" w:sz="4" w:space="0"/>
            </w:tcBorders>
            <w:shd w:val="clear" w:color="auto" w:fill="auto"/>
            <w:vAlign w:val="center"/>
          </w:tcPr>
          <w:p>
            <w:pPr>
              <w:jc w:val="left"/>
            </w:pPr>
            <w:r>
              <w:rPr>
                <w:rFonts w:hint="eastAsia"/>
              </w:rPr>
              <w:t>a)支持查看固件版本、内存信息、主板信息、处理器信息和系统时间信息功能；</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67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b)支持上电初始化界面显示CPU信息、内存信息、固件版本和部分快捷键信息功能；</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68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c)支持设置界面中英文显示切换功能；</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69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d)支持查看PCIe设备信息，SATA设备信息功能；</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70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e)支持操作系统安装和引导功能，应并向操作系统提供计算机主板信息和服务接口；</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71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f)支持设置启动顺序，并按照设置的启动顺序启动功能 ；</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72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g)支持安全启动功能</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73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h)支持设置口令、修改口令、验证口令功能；</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74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i)支持板载显示控制或独立显卡的显示控制功能；</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75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j)支持RAID识别和启动功能；</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76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k)支持串口重定向功能</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77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1)支持固件更新功能；</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78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m)支持BIOS固件设置的恢复出厂功能</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79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n)支持网络引导启用和关闭功能</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80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★远程控制</w:t>
            </w:r>
          </w:p>
        </w:tc>
        <w:tc>
          <w:tcPr>
            <w:tcW w:w="8148" w:type="dxa"/>
            <w:tcBorders>
              <w:top w:val="nil"/>
              <w:left w:val="nil"/>
              <w:bottom w:val="single" w:color="auto" w:sz="4" w:space="0"/>
              <w:right w:val="single" w:color="auto" w:sz="4" w:space="0"/>
            </w:tcBorders>
            <w:shd w:val="clear" w:color="auto" w:fill="auto"/>
            <w:vAlign w:val="center"/>
          </w:tcPr>
          <w:p>
            <w:r>
              <w:rPr>
                <w:rFonts w:hint="eastAsia"/>
              </w:rPr>
              <w:t>支持远程关机和重新启动功能</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81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restart"/>
            <w:tcBorders>
              <w:top w:val="nil"/>
              <w:left w:val="single" w:color="auto" w:sz="4" w:space="0"/>
              <w:bottom w:val="single" w:color="000000" w:sz="4" w:space="0"/>
              <w:right w:val="single" w:color="auto" w:sz="4" w:space="0"/>
            </w:tcBorders>
            <w:shd w:val="clear" w:color="auto" w:fill="auto"/>
            <w:vAlign w:val="center"/>
          </w:tcPr>
          <w:p>
            <w:r>
              <w:rPr>
                <w:rFonts w:hint="eastAsia"/>
              </w:rPr>
              <w:t>★操作系统及驱动功能</w:t>
            </w:r>
          </w:p>
        </w:tc>
        <w:tc>
          <w:tcPr>
            <w:tcW w:w="1812" w:type="dxa"/>
            <w:tcBorders>
              <w:top w:val="nil"/>
              <w:left w:val="nil"/>
              <w:bottom w:val="single" w:color="auto" w:sz="4" w:space="0"/>
              <w:right w:val="single" w:color="auto" w:sz="4" w:space="0"/>
            </w:tcBorders>
            <w:shd w:val="clear" w:color="auto" w:fill="auto"/>
            <w:vAlign w:val="center"/>
          </w:tcPr>
          <w:p>
            <w:r>
              <w:rPr>
                <w:rFonts w:hint="eastAsia"/>
              </w:rPr>
              <w:t>★操作系统及驱动的升级</w:t>
            </w:r>
          </w:p>
        </w:tc>
        <w:tc>
          <w:tcPr>
            <w:tcW w:w="8148" w:type="dxa"/>
            <w:tcBorders>
              <w:top w:val="nil"/>
              <w:left w:val="nil"/>
              <w:bottom w:val="single" w:color="auto" w:sz="4" w:space="0"/>
              <w:right w:val="single" w:color="auto" w:sz="4" w:space="0"/>
            </w:tcBorders>
            <w:shd w:val="clear" w:color="auto" w:fill="auto"/>
            <w:vAlign w:val="center"/>
          </w:tcPr>
          <w:p>
            <w:r>
              <w:rPr>
                <w:rFonts w:hint="eastAsia"/>
              </w:rPr>
              <w:t>本次服务器无需配备操作系统</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82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★操作系统功能</w:t>
            </w:r>
          </w:p>
        </w:tc>
        <w:tc>
          <w:tcPr>
            <w:tcW w:w="8148" w:type="dxa"/>
            <w:tcBorders>
              <w:top w:val="nil"/>
              <w:left w:val="nil"/>
              <w:bottom w:val="single" w:color="auto" w:sz="4" w:space="0"/>
              <w:right w:val="single" w:color="auto" w:sz="4" w:space="0"/>
            </w:tcBorders>
            <w:shd w:val="clear" w:color="auto" w:fill="auto"/>
            <w:vAlign w:val="center"/>
          </w:tcPr>
          <w:p>
            <w:r>
              <w:rPr>
                <w:rFonts w:hint="eastAsia"/>
              </w:rPr>
              <w:t>本次服务器无需配备操作系统</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83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tcBorders>
              <w:top w:val="nil"/>
              <w:left w:val="nil"/>
              <w:bottom w:val="single" w:color="auto" w:sz="4" w:space="0"/>
              <w:right w:val="single" w:color="auto" w:sz="4" w:space="0"/>
            </w:tcBorders>
            <w:shd w:val="clear" w:color="auto" w:fill="auto"/>
            <w:vAlign w:val="center"/>
          </w:tcPr>
          <w:p>
            <w:r>
              <w:rPr>
                <w:rFonts w:hint="eastAsia"/>
              </w:rPr>
              <w:t>★中文信息处理功能</w:t>
            </w:r>
          </w:p>
        </w:tc>
        <w:tc>
          <w:tcPr>
            <w:tcW w:w="1812" w:type="dxa"/>
            <w:tcBorders>
              <w:top w:val="nil"/>
              <w:left w:val="nil"/>
              <w:bottom w:val="single" w:color="auto" w:sz="4" w:space="0"/>
              <w:right w:val="single" w:color="auto" w:sz="4" w:space="0"/>
            </w:tcBorders>
            <w:shd w:val="clear" w:color="auto" w:fill="auto"/>
            <w:vAlign w:val="center"/>
          </w:tcPr>
          <w:p>
            <w:r>
              <w:rPr>
                <w:rFonts w:hint="eastAsia"/>
              </w:rPr>
              <w:t>★中文信息处理</w:t>
            </w:r>
          </w:p>
        </w:tc>
        <w:tc>
          <w:tcPr>
            <w:tcW w:w="8148" w:type="dxa"/>
            <w:tcBorders>
              <w:top w:val="nil"/>
              <w:left w:val="nil"/>
              <w:bottom w:val="single" w:color="auto" w:sz="4" w:space="0"/>
              <w:right w:val="single" w:color="auto" w:sz="4" w:space="0"/>
            </w:tcBorders>
            <w:shd w:val="clear" w:color="auto" w:fill="auto"/>
            <w:vAlign w:val="center"/>
          </w:tcPr>
          <w:p>
            <w:r>
              <w:rPr>
                <w:rFonts w:hint="eastAsia"/>
              </w:rPr>
              <w:t>符合GB 18030的有关规定</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84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restart"/>
            <w:tcBorders>
              <w:top w:val="nil"/>
              <w:left w:val="single" w:color="auto" w:sz="4" w:space="0"/>
              <w:bottom w:val="single" w:color="000000" w:sz="4" w:space="0"/>
              <w:right w:val="single" w:color="auto" w:sz="4" w:space="0"/>
            </w:tcBorders>
            <w:shd w:val="clear" w:color="auto" w:fill="auto"/>
            <w:vAlign w:val="center"/>
          </w:tcPr>
          <w:p>
            <w:pPr>
              <w:jc w:val="center"/>
            </w:pPr>
            <w:r>
              <w:rPr>
                <w:rFonts w:hint="eastAsia"/>
              </w:rPr>
              <w:t>安全要求</w:t>
            </w:r>
          </w:p>
        </w:tc>
        <w:tc>
          <w:tcPr>
            <w:tcW w:w="997" w:type="dxa"/>
            <w:tcBorders>
              <w:top w:val="nil"/>
              <w:left w:val="nil"/>
              <w:bottom w:val="single" w:color="auto" w:sz="4" w:space="0"/>
              <w:right w:val="single" w:color="auto" w:sz="4" w:space="0"/>
            </w:tcBorders>
            <w:shd w:val="clear" w:color="auto" w:fill="auto"/>
            <w:vAlign w:val="center"/>
          </w:tcPr>
          <w:p>
            <w:pPr>
              <w:jc w:val="left"/>
            </w:pPr>
            <w:r>
              <w:rPr>
                <w:rFonts w:hint="eastAsia"/>
              </w:rPr>
              <w:t>★固件安全要求</w:t>
            </w:r>
          </w:p>
        </w:tc>
        <w:tc>
          <w:tcPr>
            <w:tcW w:w="1812" w:type="dxa"/>
            <w:tcBorders>
              <w:top w:val="nil"/>
              <w:left w:val="nil"/>
              <w:bottom w:val="single" w:color="auto" w:sz="4" w:space="0"/>
              <w:right w:val="single" w:color="auto" w:sz="4" w:space="0"/>
            </w:tcBorders>
            <w:shd w:val="clear" w:color="auto" w:fill="auto"/>
            <w:vAlign w:val="center"/>
          </w:tcPr>
          <w:p>
            <w:r>
              <w:rPr>
                <w:rFonts w:hint="eastAsia"/>
              </w:rPr>
              <w:t>★故障检测</w:t>
            </w:r>
          </w:p>
        </w:tc>
        <w:tc>
          <w:tcPr>
            <w:tcW w:w="8148" w:type="dxa"/>
            <w:tcBorders>
              <w:top w:val="nil"/>
              <w:left w:val="nil"/>
              <w:bottom w:val="single" w:color="auto" w:sz="4" w:space="0"/>
              <w:right w:val="single" w:color="auto" w:sz="4" w:space="0"/>
            </w:tcBorders>
            <w:shd w:val="clear" w:color="auto" w:fill="auto"/>
            <w:vAlign w:val="center"/>
          </w:tcPr>
          <w:p>
            <w:r>
              <w:rPr>
                <w:rFonts w:hint="eastAsia"/>
              </w:rPr>
              <w:t>支持故障检测功能，可以检测到具体的FRU(内存、硬盘)的故障并发出告警</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85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restart"/>
            <w:tcBorders>
              <w:top w:val="nil"/>
              <w:left w:val="single" w:color="auto" w:sz="4" w:space="0"/>
              <w:bottom w:val="single" w:color="000000" w:sz="4" w:space="0"/>
              <w:right w:val="single" w:color="auto" w:sz="4" w:space="0"/>
            </w:tcBorders>
            <w:shd w:val="clear" w:color="auto" w:fill="auto"/>
            <w:vAlign w:val="center"/>
          </w:tcPr>
          <w:p>
            <w:pPr>
              <w:jc w:val="center"/>
            </w:pPr>
            <w:r>
              <w:rPr>
                <w:rFonts w:hint="eastAsia"/>
              </w:rPr>
              <w:t>★系统安全要求</w:t>
            </w:r>
          </w:p>
        </w:tc>
        <w:tc>
          <w:tcPr>
            <w:tcW w:w="1812" w:type="dxa"/>
            <w:tcBorders>
              <w:top w:val="nil"/>
              <w:left w:val="nil"/>
              <w:bottom w:val="single" w:color="auto" w:sz="4" w:space="0"/>
              <w:right w:val="single" w:color="auto" w:sz="4" w:space="0"/>
            </w:tcBorders>
            <w:shd w:val="clear" w:color="auto" w:fill="auto"/>
            <w:vAlign w:val="center"/>
          </w:tcPr>
          <w:p>
            <w:pPr>
              <w:jc w:val="left"/>
            </w:pPr>
            <w:r>
              <w:rPr>
                <w:rFonts w:hint="eastAsia"/>
              </w:rPr>
              <w:t>★弱口令字典检查</w:t>
            </w:r>
          </w:p>
        </w:tc>
        <w:tc>
          <w:tcPr>
            <w:tcW w:w="8148" w:type="dxa"/>
            <w:tcBorders>
              <w:top w:val="nil"/>
              <w:left w:val="nil"/>
              <w:bottom w:val="single" w:color="auto" w:sz="4" w:space="0"/>
              <w:right w:val="single" w:color="auto" w:sz="4" w:space="0"/>
            </w:tcBorders>
            <w:shd w:val="clear" w:color="auto" w:fill="auto"/>
            <w:vAlign w:val="center"/>
          </w:tcPr>
          <w:p>
            <w:r>
              <w:rPr>
                <w:rFonts w:hint="eastAsia"/>
              </w:rPr>
              <w:t>支持弱口令字典检查功能，出现在弱口令字典中的 字符串不能被设置为用户口令</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86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★白名单访问控制</w:t>
            </w:r>
          </w:p>
        </w:tc>
        <w:tc>
          <w:tcPr>
            <w:tcW w:w="8148" w:type="dxa"/>
            <w:tcBorders>
              <w:top w:val="nil"/>
              <w:left w:val="nil"/>
              <w:bottom w:val="single" w:color="auto" w:sz="4" w:space="0"/>
              <w:right w:val="single" w:color="auto" w:sz="4" w:space="0"/>
            </w:tcBorders>
            <w:shd w:val="clear" w:color="auto" w:fill="auto"/>
            <w:vAlign w:val="center"/>
          </w:tcPr>
          <w:p>
            <w:r>
              <w:rPr>
                <w:rFonts w:hint="eastAsia"/>
              </w:rPr>
              <w:t>支持基于时间、IP或MAC白名单访问控制</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87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★二次鉴别</w:t>
            </w:r>
          </w:p>
        </w:tc>
        <w:tc>
          <w:tcPr>
            <w:tcW w:w="8148" w:type="dxa"/>
            <w:tcBorders>
              <w:top w:val="nil"/>
              <w:left w:val="nil"/>
              <w:bottom w:val="single" w:color="auto" w:sz="4" w:space="0"/>
              <w:right w:val="single" w:color="auto" w:sz="4" w:space="0"/>
            </w:tcBorders>
            <w:shd w:val="clear" w:color="auto" w:fill="auto"/>
            <w:vAlign w:val="center"/>
          </w:tcPr>
          <w:p>
            <w:r>
              <w:rPr>
                <w:rFonts w:hint="eastAsia"/>
              </w:rPr>
              <w:t>支持二次鉴别功能。对于用户配置、权限配置、公钥导入等重要的管理操作，已登录用户应通过二次鉴别后，才能执行操作</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88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★密码证书安全加存储</w:t>
            </w:r>
          </w:p>
        </w:tc>
        <w:tc>
          <w:tcPr>
            <w:tcW w:w="8148" w:type="dxa"/>
            <w:tcBorders>
              <w:top w:val="nil"/>
              <w:left w:val="nil"/>
              <w:bottom w:val="single" w:color="auto" w:sz="4" w:space="0"/>
              <w:right w:val="single" w:color="auto" w:sz="4" w:space="0"/>
            </w:tcBorders>
            <w:shd w:val="clear" w:color="auto" w:fill="auto"/>
            <w:vAlign w:val="center"/>
          </w:tcPr>
          <w:p>
            <w:r>
              <w:rPr>
                <w:rFonts w:hint="eastAsia"/>
              </w:rPr>
              <w:t>支持对带外管理系统中的用户口令和证书等敏感信息进行加密存储，禁止使用私有的和业界已知不安全的密码算法</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89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★敏感信息安全加密传输</w:t>
            </w:r>
          </w:p>
        </w:tc>
        <w:tc>
          <w:tcPr>
            <w:tcW w:w="8148" w:type="dxa"/>
            <w:tcBorders>
              <w:top w:val="nil"/>
              <w:left w:val="nil"/>
              <w:bottom w:val="single" w:color="auto" w:sz="4" w:space="0"/>
              <w:right w:val="single" w:color="auto" w:sz="4" w:space="0"/>
            </w:tcBorders>
            <w:shd w:val="clear" w:color="auto" w:fill="auto"/>
            <w:vAlign w:val="center"/>
          </w:tcPr>
          <w:p>
            <w:r>
              <w:rPr>
                <w:rFonts w:hint="eastAsia"/>
              </w:rPr>
              <w:t>支持使用安全的传输加密协议(如SSH或HTTPS等)传输用户的敏感信息</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90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tcBorders>
              <w:top w:val="nil"/>
              <w:left w:val="nil"/>
              <w:bottom w:val="single" w:color="auto" w:sz="4" w:space="0"/>
              <w:right w:val="single" w:color="auto" w:sz="4" w:space="0"/>
            </w:tcBorders>
            <w:shd w:val="clear" w:color="auto" w:fill="auto"/>
            <w:vAlign w:val="center"/>
          </w:tcPr>
          <w:p>
            <w:r>
              <w:rPr>
                <w:rFonts w:hint="eastAsia"/>
              </w:rPr>
              <w:t>★信息安全要求</w:t>
            </w:r>
          </w:p>
        </w:tc>
        <w:tc>
          <w:tcPr>
            <w:tcW w:w="1812" w:type="dxa"/>
            <w:tcBorders>
              <w:top w:val="nil"/>
              <w:left w:val="nil"/>
              <w:bottom w:val="single" w:color="auto" w:sz="4" w:space="0"/>
              <w:right w:val="single" w:color="auto" w:sz="4" w:space="0"/>
            </w:tcBorders>
            <w:shd w:val="clear" w:color="auto" w:fill="auto"/>
            <w:vAlign w:val="center"/>
          </w:tcPr>
          <w:p>
            <w:r>
              <w:rPr>
                <w:rFonts w:hint="eastAsia"/>
              </w:rPr>
              <w:t>★研发过程安全</w:t>
            </w:r>
          </w:p>
        </w:tc>
        <w:tc>
          <w:tcPr>
            <w:tcW w:w="8148" w:type="dxa"/>
            <w:tcBorders>
              <w:top w:val="nil"/>
              <w:left w:val="nil"/>
              <w:bottom w:val="single" w:color="auto" w:sz="4" w:space="0"/>
              <w:right w:val="single" w:color="auto" w:sz="4" w:space="0"/>
            </w:tcBorders>
            <w:shd w:val="clear" w:color="auto" w:fill="auto"/>
            <w:vAlign w:val="center"/>
          </w:tcPr>
          <w:p>
            <w:r>
              <w:rPr>
                <w:rFonts w:hint="eastAsia"/>
              </w:rPr>
              <w:t>供应商承诺，生产商已建立从需求、设计、开发、 测试、维护端到端的开发流程管理制，输出和保存开发流程中每个阶段的产品需求清单、设计文档、开发文档、测试记录等材料，保证各个流程可追溯</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91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tcBorders>
              <w:top w:val="nil"/>
              <w:left w:val="nil"/>
              <w:bottom w:val="single" w:color="auto" w:sz="4" w:space="0"/>
              <w:right w:val="single" w:color="auto" w:sz="4" w:space="0"/>
            </w:tcBorders>
            <w:shd w:val="clear" w:color="auto" w:fill="auto"/>
            <w:vAlign w:val="center"/>
          </w:tcPr>
          <w:p>
            <w:r>
              <w:rPr>
                <w:rFonts w:hint="eastAsia"/>
              </w:rPr>
              <w:t>★物理安全</w:t>
            </w:r>
          </w:p>
        </w:tc>
        <w:tc>
          <w:tcPr>
            <w:tcW w:w="1812" w:type="dxa"/>
            <w:tcBorders>
              <w:top w:val="nil"/>
              <w:left w:val="nil"/>
              <w:bottom w:val="single" w:color="auto" w:sz="4" w:space="0"/>
              <w:right w:val="single" w:color="auto" w:sz="4" w:space="0"/>
            </w:tcBorders>
            <w:shd w:val="clear" w:color="auto" w:fill="auto"/>
            <w:vAlign w:val="center"/>
          </w:tcPr>
          <w:p>
            <w:r>
              <w:rPr>
                <w:rFonts w:hint="eastAsia"/>
              </w:rPr>
              <w:t>★物理安全</w:t>
            </w:r>
          </w:p>
        </w:tc>
        <w:tc>
          <w:tcPr>
            <w:tcW w:w="8148" w:type="dxa"/>
            <w:tcBorders>
              <w:top w:val="nil"/>
              <w:left w:val="nil"/>
              <w:bottom w:val="single" w:color="auto" w:sz="4" w:space="0"/>
              <w:right w:val="single" w:color="auto" w:sz="4" w:space="0"/>
            </w:tcBorders>
            <w:shd w:val="clear" w:color="auto" w:fill="auto"/>
            <w:vAlign w:val="center"/>
          </w:tcPr>
          <w:p>
            <w:r>
              <w:rPr>
                <w:rFonts w:hint="eastAsia"/>
              </w:rPr>
              <w:t>安全要求应符合GB 4943.1的规定</w:t>
            </w:r>
          </w:p>
        </w:tc>
      </w:tr>
      <w:tr>
        <w:tblPrEx>
          <w:tblLayout w:type="fixed"/>
          <w:tblCellMar>
            <w:top w:w="0" w:type="dxa"/>
            <w:left w:w="108" w:type="dxa"/>
            <w:bottom w:w="0" w:type="dxa"/>
            <w:right w:w="108" w:type="dxa"/>
          </w:tblCellMar>
        </w:tblPrEx>
        <w:trPr>
          <w:trHeight w:val="114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92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tcBorders>
              <w:top w:val="nil"/>
              <w:left w:val="nil"/>
              <w:bottom w:val="single" w:color="auto" w:sz="4" w:space="0"/>
              <w:right w:val="single" w:color="auto" w:sz="4" w:space="0"/>
            </w:tcBorders>
            <w:shd w:val="clear" w:color="auto" w:fill="auto"/>
            <w:vAlign w:val="center"/>
          </w:tcPr>
          <w:p>
            <w:r>
              <w:rPr>
                <w:rFonts w:hint="eastAsia"/>
              </w:rPr>
              <w:t>★限用物质的限量要求</w:t>
            </w:r>
          </w:p>
        </w:tc>
        <w:tc>
          <w:tcPr>
            <w:tcW w:w="1812" w:type="dxa"/>
            <w:tcBorders>
              <w:top w:val="nil"/>
              <w:left w:val="nil"/>
              <w:bottom w:val="single" w:color="auto" w:sz="4" w:space="0"/>
              <w:right w:val="single" w:color="auto" w:sz="4" w:space="0"/>
            </w:tcBorders>
            <w:shd w:val="clear" w:color="auto" w:fill="auto"/>
            <w:vAlign w:val="center"/>
          </w:tcPr>
          <w:p>
            <w:r>
              <w:rPr>
                <w:rFonts w:hint="eastAsia"/>
              </w:rPr>
              <w:t>★限用物质的限量要求</w:t>
            </w:r>
          </w:p>
        </w:tc>
        <w:tc>
          <w:tcPr>
            <w:tcW w:w="8148" w:type="dxa"/>
            <w:tcBorders>
              <w:top w:val="nil"/>
              <w:left w:val="nil"/>
              <w:bottom w:val="single" w:color="auto" w:sz="4" w:space="0"/>
              <w:right w:val="single" w:color="auto" w:sz="4" w:space="0"/>
            </w:tcBorders>
            <w:shd w:val="clear" w:color="auto" w:fill="auto"/>
            <w:vAlign w:val="center"/>
          </w:tcPr>
          <w:p>
            <w:r>
              <w:rPr>
                <w:rFonts w:hint="eastAsia"/>
              </w:rPr>
              <w:t>限用物质的限量应符合GB/T 26572的要求</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93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restart"/>
            <w:tcBorders>
              <w:top w:val="nil"/>
              <w:left w:val="single" w:color="auto" w:sz="4" w:space="0"/>
              <w:bottom w:val="nil"/>
              <w:right w:val="single" w:color="auto" w:sz="4" w:space="0"/>
            </w:tcBorders>
            <w:shd w:val="clear" w:color="auto" w:fill="auto"/>
            <w:vAlign w:val="center"/>
          </w:tcPr>
          <w:p>
            <w:pPr>
              <w:jc w:val="center"/>
            </w:pPr>
            <w:r>
              <w:rPr>
                <w:rFonts w:hint="eastAsia"/>
              </w:rPr>
              <w:t>硬件要求</w:t>
            </w: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pPr>
            <w:r>
              <w:rPr>
                <w:rFonts w:hint="eastAsia"/>
              </w:rPr>
              <w:t>★CPU性能</w:t>
            </w:r>
          </w:p>
        </w:tc>
        <w:tc>
          <w:tcPr>
            <w:tcW w:w="1812" w:type="dxa"/>
            <w:tcBorders>
              <w:top w:val="nil"/>
              <w:left w:val="nil"/>
              <w:bottom w:val="single" w:color="auto" w:sz="4" w:space="0"/>
              <w:right w:val="single" w:color="auto" w:sz="4" w:space="0"/>
            </w:tcBorders>
            <w:shd w:val="clear" w:color="auto" w:fill="auto"/>
            <w:vAlign w:val="center"/>
          </w:tcPr>
          <w:p>
            <w:pPr>
              <w:jc w:val="left"/>
            </w:pPr>
            <w:r>
              <w:rPr>
                <w:rFonts w:hint="eastAsia"/>
              </w:rPr>
              <w:t>★CPU主频</w:t>
            </w:r>
          </w:p>
        </w:tc>
        <w:tc>
          <w:tcPr>
            <w:tcW w:w="8148" w:type="dxa"/>
            <w:tcBorders>
              <w:top w:val="nil"/>
              <w:left w:val="nil"/>
              <w:bottom w:val="single" w:color="auto" w:sz="4" w:space="0"/>
              <w:right w:val="single" w:color="auto" w:sz="4" w:space="0"/>
            </w:tcBorders>
            <w:shd w:val="clear" w:color="auto" w:fill="auto"/>
            <w:vAlign w:val="center"/>
          </w:tcPr>
          <w:p>
            <w:r>
              <w:rPr>
                <w:rFonts w:hint="eastAsia"/>
              </w:rPr>
              <w:t>≥2.5GHz</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94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nil"/>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★单CPU核数</w:t>
            </w:r>
          </w:p>
        </w:tc>
        <w:tc>
          <w:tcPr>
            <w:tcW w:w="8148" w:type="dxa"/>
            <w:tcBorders>
              <w:top w:val="nil"/>
              <w:left w:val="nil"/>
              <w:bottom w:val="single" w:color="auto" w:sz="4" w:space="0"/>
              <w:right w:val="single" w:color="auto" w:sz="4" w:space="0"/>
            </w:tcBorders>
            <w:shd w:val="clear" w:color="auto" w:fill="auto"/>
            <w:vAlign w:val="center"/>
          </w:tcPr>
          <w:p>
            <w:r>
              <w:rPr>
                <w:rFonts w:hint="eastAsia"/>
              </w:rPr>
              <w:t>≥18核心</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95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nil"/>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★单CPU末级缓存容量</w:t>
            </w:r>
          </w:p>
        </w:tc>
        <w:tc>
          <w:tcPr>
            <w:tcW w:w="8148" w:type="dxa"/>
            <w:tcBorders>
              <w:top w:val="nil"/>
              <w:left w:val="nil"/>
              <w:bottom w:val="single" w:color="auto" w:sz="4" w:space="0"/>
              <w:right w:val="single" w:color="auto" w:sz="4" w:space="0"/>
            </w:tcBorders>
            <w:shd w:val="clear" w:color="auto" w:fill="auto"/>
            <w:vAlign w:val="center"/>
          </w:tcPr>
          <w:p>
            <w:r>
              <w:rPr>
                <w:rFonts w:hint="eastAsia"/>
              </w:rPr>
              <w:t>≥24.75MB</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96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nil"/>
              <w:right w:val="single" w:color="auto" w:sz="4" w:space="0"/>
            </w:tcBorders>
            <w:vAlign w:val="center"/>
          </w:tcPr>
          <w:p>
            <w:pPr>
              <w:rPr>
                <w:rFonts w:hint="eastAsia" w:ascii="宋体" w:hAnsi="宋体" w:eastAsia="宋体" w:cs="宋体"/>
                <w:sz w:val="24"/>
                <w:szCs w:val="24"/>
              </w:rPr>
            </w:pPr>
          </w:p>
        </w:tc>
        <w:tc>
          <w:tcPr>
            <w:tcW w:w="997" w:type="dxa"/>
            <w:vMerge w:val="restart"/>
            <w:tcBorders>
              <w:top w:val="nil"/>
              <w:left w:val="single" w:color="auto" w:sz="4" w:space="0"/>
              <w:bottom w:val="single" w:color="000000" w:sz="4" w:space="0"/>
              <w:right w:val="single" w:color="auto" w:sz="4" w:space="0"/>
            </w:tcBorders>
            <w:shd w:val="clear" w:color="auto" w:fill="auto"/>
            <w:vAlign w:val="center"/>
          </w:tcPr>
          <w:p>
            <w:pPr>
              <w:jc w:val="center"/>
            </w:pPr>
            <w:r>
              <w:rPr>
                <w:rFonts w:hint="eastAsia"/>
              </w:rPr>
              <w:t>★内存性能</w:t>
            </w:r>
          </w:p>
        </w:tc>
        <w:tc>
          <w:tcPr>
            <w:tcW w:w="1812" w:type="dxa"/>
            <w:tcBorders>
              <w:top w:val="nil"/>
              <w:left w:val="nil"/>
              <w:bottom w:val="single" w:color="auto" w:sz="4" w:space="0"/>
              <w:right w:val="single" w:color="auto" w:sz="4" w:space="0"/>
            </w:tcBorders>
            <w:shd w:val="clear" w:color="auto" w:fill="auto"/>
            <w:vAlign w:val="center"/>
          </w:tcPr>
          <w:p>
            <w:pPr>
              <w:jc w:val="left"/>
            </w:pPr>
            <w:r>
              <w:rPr>
                <w:rFonts w:hint="eastAsia"/>
              </w:rPr>
              <w:t>单内存模块容量</w:t>
            </w:r>
          </w:p>
        </w:tc>
        <w:tc>
          <w:tcPr>
            <w:tcW w:w="8148" w:type="dxa"/>
            <w:tcBorders>
              <w:top w:val="nil"/>
              <w:left w:val="nil"/>
              <w:bottom w:val="single" w:color="auto" w:sz="4" w:space="0"/>
              <w:right w:val="single" w:color="auto" w:sz="4" w:space="0"/>
            </w:tcBorders>
            <w:shd w:val="clear" w:color="auto" w:fill="auto"/>
            <w:vAlign w:val="center"/>
          </w:tcPr>
          <w:p>
            <w:r>
              <w:rPr>
                <w:rFonts w:hint="eastAsia"/>
              </w:rPr>
              <w:t>≥64GB</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97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nil"/>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★内存速率</w:t>
            </w:r>
          </w:p>
        </w:tc>
        <w:tc>
          <w:tcPr>
            <w:tcW w:w="8148" w:type="dxa"/>
            <w:tcBorders>
              <w:top w:val="nil"/>
              <w:left w:val="nil"/>
              <w:bottom w:val="single" w:color="auto" w:sz="4" w:space="0"/>
              <w:right w:val="single" w:color="auto" w:sz="4" w:space="0"/>
            </w:tcBorders>
            <w:shd w:val="clear" w:color="auto" w:fill="auto"/>
            <w:vAlign w:val="center"/>
          </w:tcPr>
          <w:p>
            <w:r>
              <w:rPr>
                <w:rFonts w:hint="eastAsia"/>
              </w:rPr>
              <w:t>≥3200MHz</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98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nil"/>
              <w:right w:val="single" w:color="auto" w:sz="4" w:space="0"/>
            </w:tcBorders>
            <w:vAlign w:val="center"/>
          </w:tcPr>
          <w:p>
            <w:pPr>
              <w:rPr>
                <w:rFonts w:hint="eastAsia" w:ascii="宋体" w:hAnsi="宋体" w:eastAsia="宋体" w:cs="宋体"/>
                <w:sz w:val="24"/>
                <w:szCs w:val="24"/>
              </w:rPr>
            </w:pPr>
          </w:p>
        </w:tc>
        <w:tc>
          <w:tcPr>
            <w:tcW w:w="997" w:type="dxa"/>
            <w:tcBorders>
              <w:top w:val="nil"/>
              <w:left w:val="nil"/>
              <w:bottom w:val="single" w:color="auto" w:sz="4" w:space="0"/>
              <w:right w:val="single" w:color="auto" w:sz="4" w:space="0"/>
            </w:tcBorders>
            <w:shd w:val="clear" w:color="auto" w:fill="auto"/>
            <w:vAlign w:val="center"/>
          </w:tcPr>
          <w:p>
            <w:r>
              <w:rPr>
                <w:rFonts w:hint="eastAsia"/>
              </w:rPr>
              <w:t>RAID卡性能</w:t>
            </w:r>
          </w:p>
        </w:tc>
        <w:tc>
          <w:tcPr>
            <w:tcW w:w="1812" w:type="dxa"/>
            <w:tcBorders>
              <w:top w:val="nil"/>
              <w:left w:val="nil"/>
              <w:bottom w:val="single" w:color="auto" w:sz="4" w:space="0"/>
              <w:right w:val="single" w:color="auto" w:sz="4" w:space="0"/>
            </w:tcBorders>
            <w:shd w:val="clear" w:color="auto" w:fill="auto"/>
            <w:vAlign w:val="center"/>
          </w:tcPr>
          <w:p>
            <w:r>
              <w:rPr>
                <w:rFonts w:hint="eastAsia"/>
              </w:rPr>
              <w:t>RAID卡缓存容量小</w:t>
            </w:r>
          </w:p>
        </w:tc>
        <w:tc>
          <w:tcPr>
            <w:tcW w:w="8148" w:type="dxa"/>
            <w:tcBorders>
              <w:top w:val="nil"/>
              <w:left w:val="nil"/>
              <w:bottom w:val="single" w:color="auto" w:sz="4" w:space="0"/>
              <w:right w:val="single" w:color="auto" w:sz="4" w:space="0"/>
            </w:tcBorders>
            <w:shd w:val="clear" w:color="auto" w:fill="auto"/>
            <w:vAlign w:val="center"/>
          </w:tcPr>
          <w:p>
            <w:r>
              <w:rPr>
                <w:rFonts w:hint="eastAsia"/>
              </w:rPr>
              <w:t>配备RAID卡且RAID卡有缓存容量，容量不少于4GB</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99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nil"/>
              <w:right w:val="single" w:color="auto" w:sz="4" w:space="0"/>
            </w:tcBorders>
            <w:vAlign w:val="center"/>
          </w:tcPr>
          <w:p>
            <w:pPr>
              <w:rPr>
                <w:rFonts w:hint="eastAsia" w:ascii="宋体" w:hAnsi="宋体" w:eastAsia="宋体" w:cs="宋体"/>
                <w:sz w:val="24"/>
                <w:szCs w:val="24"/>
              </w:rPr>
            </w:pPr>
          </w:p>
        </w:tc>
        <w:tc>
          <w:tcPr>
            <w:tcW w:w="997" w:type="dxa"/>
            <w:tcBorders>
              <w:top w:val="nil"/>
              <w:left w:val="nil"/>
              <w:bottom w:val="nil"/>
              <w:right w:val="single" w:color="auto" w:sz="4" w:space="0"/>
            </w:tcBorders>
            <w:shd w:val="clear" w:color="auto" w:fill="auto"/>
            <w:vAlign w:val="center"/>
          </w:tcPr>
          <w:p>
            <w:r>
              <w:rPr>
                <w:rFonts w:hint="eastAsia"/>
              </w:rPr>
              <w:t>★电源能耗</w:t>
            </w:r>
          </w:p>
        </w:tc>
        <w:tc>
          <w:tcPr>
            <w:tcW w:w="1812" w:type="dxa"/>
            <w:tcBorders>
              <w:top w:val="nil"/>
              <w:left w:val="nil"/>
              <w:bottom w:val="nil"/>
              <w:right w:val="single" w:color="auto" w:sz="4" w:space="0"/>
            </w:tcBorders>
            <w:shd w:val="clear" w:color="auto" w:fill="auto"/>
            <w:vAlign w:val="center"/>
          </w:tcPr>
          <w:p>
            <w:r>
              <w:rPr>
                <w:rFonts w:hint="eastAsia"/>
              </w:rPr>
              <w:t>★电源能耗</w:t>
            </w:r>
          </w:p>
        </w:tc>
        <w:tc>
          <w:tcPr>
            <w:tcW w:w="8148" w:type="dxa"/>
            <w:tcBorders>
              <w:top w:val="nil"/>
              <w:left w:val="nil"/>
              <w:bottom w:val="nil"/>
              <w:right w:val="single" w:color="auto" w:sz="4" w:space="0"/>
            </w:tcBorders>
            <w:shd w:val="clear" w:color="auto" w:fill="auto"/>
            <w:vAlign w:val="center"/>
          </w:tcPr>
          <w:p>
            <w:r>
              <w:rPr>
                <w:rFonts w:hint="eastAsia"/>
              </w:rPr>
              <w:t>符合GB/T 9813.3的有关规定</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100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jc w:val="center"/>
            </w:pPr>
            <w:r>
              <w:rPr>
                <w:rFonts w:hint="eastAsia"/>
              </w:rPr>
              <w:t>兼容要求</w:t>
            </w:r>
          </w:p>
        </w:tc>
        <w:tc>
          <w:tcPr>
            <w:tcW w:w="997"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jc w:val="center"/>
            </w:pPr>
            <w:r>
              <w:rPr>
                <w:rFonts w:hint="eastAsia"/>
              </w:rPr>
              <w:t>★部件兼容性要求</w:t>
            </w:r>
          </w:p>
        </w:tc>
        <w:tc>
          <w:tcPr>
            <w:tcW w:w="1812" w:type="dxa"/>
            <w:tcBorders>
              <w:top w:val="single" w:color="auto" w:sz="4" w:space="0"/>
              <w:left w:val="nil"/>
              <w:bottom w:val="single" w:color="auto" w:sz="4" w:space="0"/>
              <w:right w:val="single" w:color="auto" w:sz="4" w:space="0"/>
            </w:tcBorders>
            <w:shd w:val="clear" w:color="auto" w:fill="auto"/>
            <w:vAlign w:val="center"/>
          </w:tcPr>
          <w:p>
            <w:pPr>
              <w:jc w:val="left"/>
            </w:pPr>
            <w:r>
              <w:rPr>
                <w:rFonts w:hint="eastAsia"/>
              </w:rPr>
              <w:t>★内存兼容性</w:t>
            </w:r>
          </w:p>
        </w:tc>
        <w:tc>
          <w:tcPr>
            <w:tcW w:w="8148" w:type="dxa"/>
            <w:tcBorders>
              <w:top w:val="single" w:color="auto" w:sz="4" w:space="0"/>
              <w:left w:val="nil"/>
              <w:bottom w:val="single" w:color="auto" w:sz="4" w:space="0"/>
              <w:right w:val="single" w:color="auto" w:sz="4" w:space="0"/>
            </w:tcBorders>
            <w:shd w:val="clear" w:color="auto" w:fill="auto"/>
            <w:vAlign w:val="center"/>
          </w:tcPr>
          <w:p>
            <w:r>
              <w:rPr>
                <w:rFonts w:hint="eastAsia"/>
              </w:rPr>
              <w:t>适配3种及以上厂商的内存产品，且均不低于产品 支持的内存规格</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101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single" w:color="auto" w:sz="4" w:space="0"/>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single" w:color="auto" w:sz="4" w:space="0"/>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★固态存储兼容性</w:t>
            </w:r>
          </w:p>
        </w:tc>
        <w:tc>
          <w:tcPr>
            <w:tcW w:w="8148" w:type="dxa"/>
            <w:tcBorders>
              <w:top w:val="nil"/>
              <w:left w:val="nil"/>
              <w:bottom w:val="single" w:color="auto" w:sz="4" w:space="0"/>
              <w:right w:val="single" w:color="auto" w:sz="4" w:space="0"/>
            </w:tcBorders>
            <w:shd w:val="clear" w:color="auto" w:fill="auto"/>
            <w:vAlign w:val="center"/>
          </w:tcPr>
          <w:p>
            <w:r>
              <w:rPr>
                <w:rFonts w:hint="eastAsia"/>
              </w:rPr>
              <w:t>适配3种或以上厂商的固态存储产品，且均不低于 产品支持的固态存储设备规格</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102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single" w:color="auto" w:sz="4" w:space="0"/>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single" w:color="auto" w:sz="4" w:space="0"/>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★网卡兼容性</w:t>
            </w:r>
          </w:p>
        </w:tc>
        <w:tc>
          <w:tcPr>
            <w:tcW w:w="8148" w:type="dxa"/>
            <w:tcBorders>
              <w:top w:val="nil"/>
              <w:left w:val="nil"/>
              <w:bottom w:val="single" w:color="auto" w:sz="4" w:space="0"/>
              <w:right w:val="single" w:color="auto" w:sz="4" w:space="0"/>
            </w:tcBorders>
            <w:shd w:val="clear" w:color="auto" w:fill="auto"/>
            <w:vAlign w:val="center"/>
          </w:tcPr>
          <w:p>
            <w:r>
              <w:rPr>
                <w:rFonts w:hint="eastAsia"/>
              </w:rPr>
              <w:t>网卡应适配两种或以上厂商产品</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103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single" w:color="auto" w:sz="4" w:space="0"/>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single" w:color="auto" w:sz="4" w:space="0"/>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★功能卡兼容性</w:t>
            </w:r>
          </w:p>
        </w:tc>
        <w:tc>
          <w:tcPr>
            <w:tcW w:w="8148" w:type="dxa"/>
            <w:tcBorders>
              <w:top w:val="nil"/>
              <w:left w:val="nil"/>
              <w:bottom w:val="single" w:color="auto" w:sz="4" w:space="0"/>
              <w:right w:val="single" w:color="auto" w:sz="4" w:space="0"/>
            </w:tcBorders>
            <w:shd w:val="clear" w:color="auto" w:fill="auto"/>
            <w:vAlign w:val="center"/>
          </w:tcPr>
          <w:p>
            <w:r>
              <w:rPr>
                <w:rFonts w:hint="eastAsia"/>
              </w:rPr>
              <w:t>内置或适配符合PCIe的功能卡，如：网络功能卡、存储功能卡及图形显示功能卡</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104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single" w:color="auto" w:sz="4" w:space="0"/>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997" w:type="dxa"/>
            <w:tcBorders>
              <w:top w:val="nil"/>
              <w:left w:val="nil"/>
              <w:bottom w:val="single" w:color="auto" w:sz="4" w:space="0"/>
              <w:right w:val="single" w:color="auto" w:sz="4" w:space="0"/>
            </w:tcBorders>
            <w:shd w:val="clear" w:color="auto" w:fill="auto"/>
            <w:vAlign w:val="center"/>
          </w:tcPr>
          <w:p>
            <w:r>
              <w:rPr>
                <w:rFonts w:hint="eastAsia"/>
              </w:rPr>
              <w:t>★外设兼容性</w:t>
            </w:r>
          </w:p>
        </w:tc>
        <w:tc>
          <w:tcPr>
            <w:tcW w:w="1812" w:type="dxa"/>
            <w:tcBorders>
              <w:top w:val="nil"/>
              <w:left w:val="nil"/>
              <w:bottom w:val="single" w:color="auto" w:sz="4" w:space="0"/>
              <w:right w:val="single" w:color="auto" w:sz="4" w:space="0"/>
            </w:tcBorders>
            <w:shd w:val="clear" w:color="auto" w:fill="auto"/>
            <w:vAlign w:val="center"/>
          </w:tcPr>
          <w:p>
            <w:r>
              <w:rPr>
                <w:rFonts w:hint="eastAsia"/>
              </w:rPr>
              <w:t>★外设兼容性</w:t>
            </w:r>
          </w:p>
        </w:tc>
        <w:tc>
          <w:tcPr>
            <w:tcW w:w="8148" w:type="dxa"/>
            <w:tcBorders>
              <w:top w:val="nil"/>
              <w:left w:val="nil"/>
              <w:bottom w:val="single" w:color="auto" w:sz="4" w:space="0"/>
              <w:right w:val="single" w:color="auto" w:sz="4" w:space="0"/>
            </w:tcBorders>
            <w:shd w:val="clear" w:color="auto" w:fill="auto"/>
            <w:vAlign w:val="center"/>
          </w:tcPr>
          <w:p>
            <w:r>
              <w:rPr>
                <w:rFonts w:hint="eastAsia"/>
              </w:rPr>
              <w:t>兼容多种主流生产商的外部设备，包括显示器、键盘、鼠标、闪存盘、移动硬盘、USB光驱及KVM等，要求使用不同厂商的外部设备时，系统均能正常识别和安装驱动</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105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single" w:color="auto" w:sz="4" w:space="0"/>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pPr>
            <w:r>
              <w:rPr>
                <w:rFonts w:hint="eastAsia"/>
              </w:rPr>
              <w:t>★软件兼容性</w:t>
            </w:r>
          </w:p>
        </w:tc>
        <w:tc>
          <w:tcPr>
            <w:tcW w:w="1812" w:type="dxa"/>
            <w:tcBorders>
              <w:top w:val="nil"/>
              <w:left w:val="nil"/>
              <w:bottom w:val="single" w:color="auto" w:sz="4" w:space="0"/>
              <w:right w:val="single" w:color="auto" w:sz="4" w:space="0"/>
            </w:tcBorders>
            <w:shd w:val="clear" w:color="auto" w:fill="auto"/>
            <w:vAlign w:val="center"/>
          </w:tcPr>
          <w:p>
            <w:pPr>
              <w:jc w:val="left"/>
            </w:pPr>
            <w:r>
              <w:rPr>
                <w:rFonts w:hint="eastAsia"/>
              </w:rPr>
              <w:t>★数据库兼容</w:t>
            </w:r>
          </w:p>
        </w:tc>
        <w:tc>
          <w:tcPr>
            <w:tcW w:w="8148" w:type="dxa"/>
            <w:tcBorders>
              <w:top w:val="nil"/>
              <w:left w:val="nil"/>
              <w:bottom w:val="single" w:color="auto" w:sz="4" w:space="0"/>
              <w:right w:val="single" w:color="auto" w:sz="4" w:space="0"/>
            </w:tcBorders>
            <w:shd w:val="clear" w:color="auto" w:fill="auto"/>
            <w:vAlign w:val="center"/>
          </w:tcPr>
          <w:p>
            <w:r>
              <w:rPr>
                <w:rFonts w:hint="eastAsia"/>
              </w:rPr>
              <w:t>兼容3个及以上厂商的数据库产品</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106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single" w:color="auto" w:sz="4" w:space="0"/>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★中间件兼容</w:t>
            </w:r>
          </w:p>
        </w:tc>
        <w:tc>
          <w:tcPr>
            <w:tcW w:w="8148" w:type="dxa"/>
            <w:tcBorders>
              <w:top w:val="nil"/>
              <w:left w:val="nil"/>
              <w:bottom w:val="single" w:color="auto" w:sz="4" w:space="0"/>
              <w:right w:val="single" w:color="auto" w:sz="4" w:space="0"/>
            </w:tcBorders>
            <w:shd w:val="clear" w:color="auto" w:fill="auto"/>
            <w:vAlign w:val="center"/>
          </w:tcPr>
          <w:p>
            <w:r>
              <w:rPr>
                <w:rFonts w:hint="eastAsia"/>
              </w:rPr>
              <w:t>兼容3个及以上厂商的中间件产品</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107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single" w:color="auto" w:sz="4" w:space="0"/>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★平台软件兼容</w:t>
            </w:r>
          </w:p>
        </w:tc>
        <w:tc>
          <w:tcPr>
            <w:tcW w:w="8148" w:type="dxa"/>
            <w:tcBorders>
              <w:top w:val="nil"/>
              <w:left w:val="nil"/>
              <w:bottom w:val="single" w:color="auto" w:sz="4" w:space="0"/>
              <w:right w:val="single" w:color="auto" w:sz="4" w:space="0"/>
            </w:tcBorders>
            <w:shd w:val="clear" w:color="auto" w:fill="auto"/>
            <w:vAlign w:val="center"/>
          </w:tcPr>
          <w:p>
            <w:r>
              <w:rPr>
                <w:rFonts w:hint="eastAsia"/>
              </w:rPr>
              <w:t>兼容3个及以上厂商的大数据平台</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108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single" w:color="auto" w:sz="4" w:space="0"/>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虚拟化软件兼容</w:t>
            </w:r>
          </w:p>
        </w:tc>
        <w:tc>
          <w:tcPr>
            <w:tcW w:w="8148" w:type="dxa"/>
            <w:tcBorders>
              <w:top w:val="nil"/>
              <w:left w:val="nil"/>
              <w:bottom w:val="single" w:color="auto" w:sz="4" w:space="0"/>
              <w:right w:val="single" w:color="auto" w:sz="4" w:space="0"/>
            </w:tcBorders>
            <w:shd w:val="clear" w:color="auto" w:fill="auto"/>
            <w:vAlign w:val="center"/>
          </w:tcPr>
          <w:p>
            <w:r>
              <w:rPr>
                <w:rFonts w:hint="eastAsia"/>
              </w:rPr>
              <w:t>兼容2款及以上虚拟化软件</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109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restart"/>
            <w:tcBorders>
              <w:top w:val="nil"/>
              <w:left w:val="single" w:color="auto" w:sz="4" w:space="0"/>
              <w:bottom w:val="single" w:color="auto" w:sz="4" w:space="0"/>
              <w:right w:val="single" w:color="auto" w:sz="4" w:space="0"/>
            </w:tcBorders>
            <w:shd w:val="clear" w:color="auto" w:fill="auto"/>
            <w:vAlign w:val="center"/>
          </w:tcPr>
          <w:p>
            <w:pPr>
              <w:jc w:val="center"/>
            </w:pPr>
            <w:r>
              <w:rPr>
                <w:rFonts w:hint="eastAsia"/>
              </w:rPr>
              <w:t>可靠性要求</w:t>
            </w: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pPr>
            <w:r>
              <w:rPr>
                <w:rFonts w:hint="eastAsia"/>
              </w:rPr>
              <w:t>★整机可靠性要求</w:t>
            </w:r>
          </w:p>
        </w:tc>
        <w:tc>
          <w:tcPr>
            <w:tcW w:w="1812" w:type="dxa"/>
            <w:tcBorders>
              <w:top w:val="nil"/>
              <w:left w:val="nil"/>
              <w:bottom w:val="single" w:color="auto" w:sz="4" w:space="0"/>
              <w:right w:val="single" w:color="auto" w:sz="4" w:space="0"/>
            </w:tcBorders>
            <w:shd w:val="clear" w:color="auto" w:fill="auto"/>
            <w:vAlign w:val="center"/>
          </w:tcPr>
          <w:p>
            <w:pPr>
              <w:jc w:val="left"/>
            </w:pPr>
            <w:r>
              <w:rPr>
                <w:rFonts w:hint="eastAsia"/>
              </w:rPr>
              <w:t>★整机可靠性</w:t>
            </w:r>
          </w:p>
        </w:tc>
        <w:tc>
          <w:tcPr>
            <w:tcW w:w="8148" w:type="dxa"/>
            <w:tcBorders>
              <w:top w:val="nil"/>
              <w:left w:val="nil"/>
              <w:bottom w:val="single" w:color="auto" w:sz="4" w:space="0"/>
              <w:right w:val="single" w:color="auto" w:sz="4" w:space="0"/>
            </w:tcBorders>
            <w:shd w:val="clear" w:color="auto" w:fill="auto"/>
            <w:vAlign w:val="center"/>
          </w:tcPr>
          <w:p>
            <w:r>
              <w:rPr>
                <w:rFonts w:hint="eastAsia"/>
              </w:rPr>
              <w:t>m1值(MTBF的不可接受值)不得低于30000h</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110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★风扇可靠性</w:t>
            </w:r>
          </w:p>
        </w:tc>
        <w:tc>
          <w:tcPr>
            <w:tcW w:w="8148" w:type="dxa"/>
            <w:tcBorders>
              <w:top w:val="nil"/>
              <w:left w:val="nil"/>
              <w:bottom w:val="single" w:color="auto" w:sz="4" w:space="0"/>
              <w:right w:val="single" w:color="auto" w:sz="4" w:space="0"/>
            </w:tcBorders>
            <w:shd w:val="clear" w:color="auto" w:fill="auto"/>
            <w:vAlign w:val="center"/>
          </w:tcPr>
          <w:p>
            <w:r>
              <w:rPr>
                <w:rFonts w:hint="eastAsia"/>
              </w:rPr>
              <w:t>风扇寿命应不低于40000h</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111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★部件可靠性</w:t>
            </w:r>
          </w:p>
        </w:tc>
        <w:tc>
          <w:tcPr>
            <w:tcW w:w="8148" w:type="dxa"/>
            <w:tcBorders>
              <w:top w:val="nil"/>
              <w:left w:val="nil"/>
              <w:bottom w:val="single" w:color="auto" w:sz="4" w:space="0"/>
              <w:right w:val="single" w:color="auto" w:sz="4" w:space="0"/>
            </w:tcBorders>
            <w:shd w:val="clear" w:color="auto" w:fill="auto"/>
            <w:vAlign w:val="center"/>
          </w:tcPr>
          <w:p>
            <w:r>
              <w:rPr>
                <w:rFonts w:hint="eastAsia"/>
              </w:rPr>
              <w:t>支持硬盘、电源、风扇热插拔(内置风扇除外)</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112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tcBorders>
              <w:top w:val="nil"/>
              <w:left w:val="nil"/>
              <w:bottom w:val="single" w:color="auto" w:sz="4" w:space="0"/>
              <w:right w:val="single" w:color="auto" w:sz="4" w:space="0"/>
            </w:tcBorders>
            <w:shd w:val="clear" w:color="auto" w:fill="auto"/>
            <w:vAlign w:val="center"/>
          </w:tcPr>
          <w:p>
            <w:r>
              <w:rPr>
                <w:rFonts w:hint="eastAsia"/>
              </w:rPr>
              <w:t>包装及运输要求</w:t>
            </w:r>
          </w:p>
        </w:tc>
        <w:tc>
          <w:tcPr>
            <w:tcW w:w="997" w:type="dxa"/>
            <w:tcBorders>
              <w:top w:val="nil"/>
              <w:left w:val="nil"/>
              <w:bottom w:val="single" w:color="auto" w:sz="4" w:space="0"/>
              <w:right w:val="single" w:color="auto" w:sz="4" w:space="0"/>
            </w:tcBorders>
            <w:shd w:val="clear" w:color="auto" w:fill="auto"/>
            <w:vAlign w:val="center"/>
          </w:tcPr>
          <w:p>
            <w:r>
              <w:rPr>
                <w:rFonts w:hint="eastAsia"/>
              </w:rPr>
              <w:t>★包装及运输要求</w:t>
            </w:r>
          </w:p>
        </w:tc>
        <w:tc>
          <w:tcPr>
            <w:tcW w:w="1812" w:type="dxa"/>
            <w:tcBorders>
              <w:top w:val="nil"/>
              <w:left w:val="nil"/>
              <w:bottom w:val="single" w:color="auto" w:sz="4" w:space="0"/>
              <w:right w:val="single" w:color="auto" w:sz="4" w:space="0"/>
            </w:tcBorders>
            <w:shd w:val="clear" w:color="auto" w:fill="auto"/>
            <w:vAlign w:val="center"/>
          </w:tcPr>
          <w:p>
            <w:r>
              <w:rPr>
                <w:rFonts w:hint="eastAsia"/>
              </w:rPr>
              <w:t>★标志、包装、运输和贮存</w:t>
            </w:r>
          </w:p>
        </w:tc>
        <w:tc>
          <w:tcPr>
            <w:tcW w:w="8148" w:type="dxa"/>
            <w:tcBorders>
              <w:top w:val="nil"/>
              <w:left w:val="nil"/>
              <w:bottom w:val="single" w:color="auto" w:sz="4" w:space="0"/>
              <w:right w:val="single" w:color="auto" w:sz="4" w:space="0"/>
            </w:tcBorders>
            <w:shd w:val="clear" w:color="auto" w:fill="auto"/>
            <w:vAlign w:val="center"/>
          </w:tcPr>
          <w:p>
            <w:r>
              <w:rPr>
                <w:rFonts w:hint="eastAsia"/>
              </w:rPr>
              <w:t>符合GB/T 9813.3和商品包装政府采购需求标准的相关规定</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113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restart"/>
            <w:tcBorders>
              <w:top w:val="nil"/>
              <w:left w:val="single" w:color="auto" w:sz="4" w:space="0"/>
              <w:bottom w:val="single" w:color="000000" w:sz="4" w:space="0"/>
              <w:right w:val="single" w:color="auto" w:sz="4" w:space="0"/>
            </w:tcBorders>
            <w:shd w:val="clear" w:color="auto" w:fill="auto"/>
            <w:vAlign w:val="center"/>
          </w:tcPr>
          <w:p>
            <w:pPr>
              <w:jc w:val="center"/>
            </w:pPr>
            <w:r>
              <w:rPr>
                <w:rFonts w:hint="eastAsia"/>
              </w:rPr>
              <w:t>服务要求</w:t>
            </w: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pPr>
            <w:r>
              <w:rPr>
                <w:rFonts w:hint="eastAsia"/>
              </w:rPr>
              <w:t>★服务响应</w:t>
            </w:r>
          </w:p>
        </w:tc>
        <w:tc>
          <w:tcPr>
            <w:tcW w:w="1812" w:type="dxa"/>
            <w:vMerge w:val="restart"/>
            <w:tcBorders>
              <w:top w:val="nil"/>
              <w:left w:val="single" w:color="auto" w:sz="4" w:space="0"/>
              <w:bottom w:val="single" w:color="000000" w:sz="4" w:space="0"/>
              <w:right w:val="single" w:color="auto" w:sz="4" w:space="0"/>
            </w:tcBorders>
            <w:shd w:val="clear" w:color="auto" w:fill="auto"/>
            <w:vAlign w:val="center"/>
          </w:tcPr>
          <w:p>
            <w:pPr>
              <w:jc w:val="center"/>
            </w:pPr>
            <w:r>
              <w:rPr>
                <w:rFonts w:hint="eastAsia"/>
              </w:rPr>
              <w:t>★服务响应</w:t>
            </w:r>
          </w:p>
        </w:tc>
        <w:tc>
          <w:tcPr>
            <w:tcW w:w="8148" w:type="dxa"/>
            <w:tcBorders>
              <w:top w:val="nil"/>
              <w:left w:val="nil"/>
              <w:bottom w:val="single" w:color="auto" w:sz="4" w:space="0"/>
              <w:right w:val="single" w:color="auto" w:sz="4" w:space="0"/>
            </w:tcBorders>
            <w:shd w:val="clear" w:color="auto" w:fill="auto"/>
            <w:vAlign w:val="center"/>
          </w:tcPr>
          <w:p>
            <w:pPr>
              <w:jc w:val="left"/>
            </w:pPr>
            <w:r>
              <w:rPr>
                <w:rFonts w:hint="eastAsia"/>
              </w:rPr>
              <w:t>a)提供电话、电子邮件、远程连接等多种形式服务；</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114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b)提供同城4h、异地12h技术响应服务，2个工</w:t>
            </w:r>
            <w:r>
              <w:rPr>
                <w:rFonts w:hint="eastAsia"/>
              </w:rPr>
              <w:br w:type="textWrapping"/>
            </w:r>
            <w:r>
              <w:rPr>
                <w:rFonts w:hint="eastAsia"/>
              </w:rPr>
              <w:t>作日解决问题，对于未能解决的问题和故障应提供 可行的升级方案，并提供周转设备；</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115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c)建立全国技术服务体系和服务团体，符合专业服务体系标准要求，提供原厂中文服务；</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116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d)服务周期内提供产品的维修、换件和升级服务</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117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★培训服务</w:t>
            </w:r>
          </w:p>
        </w:tc>
        <w:tc>
          <w:tcPr>
            <w:tcW w:w="8148" w:type="dxa"/>
            <w:tcBorders>
              <w:top w:val="nil"/>
              <w:left w:val="nil"/>
              <w:bottom w:val="single" w:color="auto" w:sz="4" w:space="0"/>
              <w:right w:val="single" w:color="auto" w:sz="4" w:space="0"/>
            </w:tcBorders>
            <w:shd w:val="clear" w:color="auto" w:fill="auto"/>
            <w:vAlign w:val="center"/>
          </w:tcPr>
          <w:p>
            <w:r>
              <w:rPr>
                <w:rFonts w:hint="eastAsia"/>
              </w:rPr>
              <w:t>供应商提供培训材料、产品手册、培训视频等培训相关内容</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118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restart"/>
            <w:tcBorders>
              <w:top w:val="nil"/>
              <w:left w:val="single" w:color="auto" w:sz="4" w:space="0"/>
              <w:bottom w:val="single" w:color="000000" w:sz="4" w:space="0"/>
              <w:right w:val="single" w:color="auto" w:sz="4" w:space="0"/>
            </w:tcBorders>
            <w:shd w:val="clear" w:color="auto" w:fill="auto"/>
            <w:vAlign w:val="center"/>
          </w:tcPr>
          <w:p>
            <w:pPr>
              <w:jc w:val="center"/>
            </w:pPr>
            <w:r>
              <w:rPr>
                <w:rFonts w:hint="eastAsia"/>
              </w:rPr>
              <w:t>★服务周期</w:t>
            </w:r>
          </w:p>
        </w:tc>
        <w:tc>
          <w:tcPr>
            <w:tcW w:w="1812" w:type="dxa"/>
            <w:vMerge w:val="restart"/>
            <w:tcBorders>
              <w:top w:val="nil"/>
              <w:left w:val="single" w:color="auto" w:sz="4" w:space="0"/>
              <w:bottom w:val="single" w:color="000000" w:sz="4" w:space="0"/>
              <w:right w:val="single" w:color="auto" w:sz="4" w:space="0"/>
            </w:tcBorders>
            <w:shd w:val="clear" w:color="auto" w:fill="auto"/>
            <w:vAlign w:val="center"/>
          </w:tcPr>
          <w:p>
            <w:pPr>
              <w:jc w:val="center"/>
            </w:pPr>
            <w:r>
              <w:rPr>
                <w:rFonts w:hint="eastAsia"/>
              </w:rPr>
              <w:t>★服务周期</w:t>
            </w:r>
          </w:p>
        </w:tc>
        <w:tc>
          <w:tcPr>
            <w:tcW w:w="8148" w:type="dxa"/>
            <w:tcBorders>
              <w:top w:val="nil"/>
              <w:left w:val="nil"/>
              <w:bottom w:val="single" w:color="auto" w:sz="4" w:space="0"/>
              <w:right w:val="single" w:color="auto" w:sz="4" w:space="0"/>
            </w:tcBorders>
            <w:shd w:val="clear" w:color="auto" w:fill="auto"/>
            <w:vAlign w:val="center"/>
          </w:tcPr>
          <w:p>
            <w:pPr>
              <w:jc w:val="left"/>
            </w:pPr>
            <w:r>
              <w:rPr>
                <w:rFonts w:hint="eastAsia"/>
              </w:rPr>
              <w:t>a)产品免费服务周期(含换件和维修)应不小于3 年；</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119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b)设备停产后继续提供质量保障服务(含备品备件),服务终止时间与最后一批设备交付时间间隔不低于6年；</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120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c)产品停止服务时间应提前1年告知客户</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121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8148" w:type="dxa"/>
            <w:tcBorders>
              <w:top w:val="nil"/>
              <w:left w:val="nil"/>
              <w:bottom w:val="single" w:color="auto" w:sz="4" w:space="0"/>
              <w:right w:val="single" w:color="auto" w:sz="4" w:space="0"/>
            </w:tcBorders>
            <w:shd w:val="clear" w:color="auto" w:fill="auto"/>
            <w:vAlign w:val="center"/>
          </w:tcPr>
          <w:p>
            <w:r>
              <w:rPr>
                <w:rFonts w:hint="eastAsia"/>
              </w:rPr>
              <w:t>d)产品发布日期需在随机文件中明确</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122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restart"/>
            <w:tcBorders>
              <w:top w:val="nil"/>
              <w:left w:val="single" w:color="auto" w:sz="4" w:space="0"/>
              <w:bottom w:val="nil"/>
              <w:right w:val="single" w:color="auto" w:sz="4" w:space="0"/>
            </w:tcBorders>
            <w:shd w:val="clear" w:color="auto" w:fill="auto"/>
            <w:vAlign w:val="center"/>
          </w:tcPr>
          <w:p>
            <w:pPr>
              <w:jc w:val="center"/>
            </w:pPr>
            <w:r>
              <w:rPr>
                <w:rFonts w:hint="eastAsia"/>
              </w:rPr>
              <w:t>★服务工具要求</w:t>
            </w:r>
          </w:p>
        </w:tc>
        <w:tc>
          <w:tcPr>
            <w:tcW w:w="1812" w:type="dxa"/>
            <w:tcBorders>
              <w:top w:val="nil"/>
              <w:left w:val="nil"/>
              <w:bottom w:val="single" w:color="auto" w:sz="4" w:space="0"/>
              <w:right w:val="single" w:color="auto" w:sz="4" w:space="0"/>
            </w:tcBorders>
            <w:shd w:val="clear" w:color="auto" w:fill="auto"/>
            <w:vAlign w:val="center"/>
          </w:tcPr>
          <w:p>
            <w:pPr>
              <w:jc w:val="left"/>
            </w:pPr>
            <w:r>
              <w:rPr>
                <w:rFonts w:hint="eastAsia"/>
              </w:rPr>
              <w:t>★工具要求</w:t>
            </w:r>
          </w:p>
        </w:tc>
        <w:tc>
          <w:tcPr>
            <w:tcW w:w="8148" w:type="dxa"/>
            <w:tcBorders>
              <w:top w:val="nil"/>
              <w:left w:val="nil"/>
              <w:bottom w:val="single" w:color="auto" w:sz="4" w:space="0"/>
              <w:right w:val="single" w:color="auto" w:sz="4" w:space="0"/>
            </w:tcBorders>
            <w:shd w:val="clear" w:color="auto" w:fill="auto"/>
            <w:vAlign w:val="center"/>
          </w:tcPr>
          <w:p>
            <w:r>
              <w:rPr>
                <w:rFonts w:hint="eastAsia"/>
              </w:rPr>
              <w:t>供应商提供设置服务器硬件、辅助操作系统安装等 功能的辅助工具和管理软件。且随附软件应具有合法授权或版权</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123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nil"/>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★驱动安装升级指引</w:t>
            </w:r>
          </w:p>
        </w:tc>
        <w:tc>
          <w:tcPr>
            <w:tcW w:w="8148" w:type="dxa"/>
            <w:tcBorders>
              <w:top w:val="nil"/>
              <w:left w:val="nil"/>
              <w:bottom w:val="single" w:color="auto" w:sz="4" w:space="0"/>
              <w:right w:val="single" w:color="auto" w:sz="4" w:space="0"/>
            </w:tcBorders>
            <w:shd w:val="clear" w:color="auto" w:fill="auto"/>
            <w:vAlign w:val="center"/>
          </w:tcPr>
          <w:p>
            <w:r>
              <w:rPr>
                <w:rFonts w:hint="eastAsia"/>
              </w:rPr>
              <w:t>供应商提供出厂安装的配件所需的驱动程序，形式包括但不限于驱动光盘、驱动下载链接等。其他配件应提供指引</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124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nil"/>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★管理软件</w:t>
            </w:r>
          </w:p>
        </w:tc>
        <w:tc>
          <w:tcPr>
            <w:tcW w:w="8148" w:type="dxa"/>
            <w:tcBorders>
              <w:top w:val="nil"/>
              <w:left w:val="nil"/>
              <w:bottom w:val="single" w:color="auto" w:sz="4" w:space="0"/>
              <w:right w:val="single" w:color="auto" w:sz="4" w:space="0"/>
            </w:tcBorders>
            <w:shd w:val="clear" w:color="auto" w:fill="auto"/>
            <w:vAlign w:val="center"/>
          </w:tcPr>
          <w:p>
            <w:r>
              <w:rPr>
                <w:rFonts w:hint="eastAsia"/>
              </w:rPr>
              <w:t>具备资源管理、系统管理、性能监控、健康监控、基于网络控制、报警设置功能；</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125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restart"/>
            <w:tcBorders>
              <w:top w:val="single" w:color="auto" w:sz="4" w:space="0"/>
              <w:left w:val="single" w:color="auto" w:sz="4" w:space="0"/>
              <w:bottom w:val="single" w:color="000000" w:sz="4" w:space="0"/>
              <w:right w:val="single" w:color="auto" w:sz="4" w:space="0"/>
            </w:tcBorders>
            <w:shd w:val="clear" w:color="auto" w:fill="auto"/>
            <w:vAlign w:val="center"/>
          </w:tcPr>
          <w:p>
            <w:pPr>
              <w:jc w:val="center"/>
            </w:pPr>
            <w:r>
              <w:rPr>
                <w:rFonts w:hint="eastAsia"/>
              </w:rPr>
              <w:t>★增值服务</w:t>
            </w:r>
          </w:p>
        </w:tc>
        <w:tc>
          <w:tcPr>
            <w:tcW w:w="1812" w:type="dxa"/>
            <w:tcBorders>
              <w:top w:val="nil"/>
              <w:left w:val="nil"/>
              <w:bottom w:val="single" w:color="auto" w:sz="4" w:space="0"/>
              <w:right w:val="single" w:color="auto" w:sz="4" w:space="0"/>
            </w:tcBorders>
            <w:shd w:val="clear" w:color="auto" w:fill="auto"/>
            <w:vAlign w:val="center"/>
          </w:tcPr>
          <w:p>
            <w:pPr>
              <w:jc w:val="left"/>
            </w:pPr>
            <w:r>
              <w:rPr>
                <w:rFonts w:hint="eastAsia"/>
              </w:rPr>
              <w:t>★厂家升级产品软件与扩容服务</w:t>
            </w:r>
          </w:p>
        </w:tc>
        <w:tc>
          <w:tcPr>
            <w:tcW w:w="8148" w:type="dxa"/>
            <w:tcBorders>
              <w:top w:val="nil"/>
              <w:left w:val="nil"/>
              <w:bottom w:val="single" w:color="auto" w:sz="4" w:space="0"/>
              <w:right w:val="single" w:color="auto" w:sz="4" w:space="0"/>
            </w:tcBorders>
            <w:shd w:val="clear" w:color="auto" w:fill="auto"/>
            <w:vAlign w:val="center"/>
          </w:tcPr>
          <w:p>
            <w:r>
              <w:rPr>
                <w:rFonts w:hint="eastAsia"/>
              </w:rPr>
              <w:t>供应商提供原厂级的部件/软件产品升级和扩容能 力</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126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single" w:color="auto" w:sz="4" w:space="0"/>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★提供上门服务</w:t>
            </w:r>
          </w:p>
        </w:tc>
        <w:tc>
          <w:tcPr>
            <w:tcW w:w="8148" w:type="dxa"/>
            <w:tcBorders>
              <w:top w:val="nil"/>
              <w:left w:val="nil"/>
              <w:bottom w:val="single" w:color="auto" w:sz="4" w:space="0"/>
              <w:right w:val="single" w:color="auto" w:sz="4" w:space="0"/>
            </w:tcBorders>
            <w:shd w:val="clear" w:color="auto" w:fill="auto"/>
            <w:vAlign w:val="center"/>
          </w:tcPr>
          <w:p>
            <w:r>
              <w:rPr>
                <w:rFonts w:hint="eastAsia"/>
              </w:rPr>
              <w:t>供应商具备提供上门服务的能力(可收费)</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127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restart"/>
            <w:tcBorders>
              <w:top w:val="nil"/>
              <w:left w:val="single" w:color="auto" w:sz="4" w:space="0"/>
              <w:bottom w:val="single" w:color="000000" w:sz="4" w:space="0"/>
              <w:right w:val="single" w:color="auto" w:sz="4" w:space="0"/>
            </w:tcBorders>
            <w:shd w:val="clear" w:color="auto" w:fill="auto"/>
            <w:vAlign w:val="center"/>
          </w:tcPr>
          <w:p>
            <w:pPr>
              <w:jc w:val="center"/>
            </w:pPr>
            <w:r>
              <w:rPr>
                <w:rFonts w:hint="eastAsia"/>
              </w:rPr>
              <w:t>供保要求</w:t>
            </w:r>
          </w:p>
        </w:tc>
        <w:tc>
          <w:tcPr>
            <w:tcW w:w="997" w:type="dxa"/>
            <w:vMerge w:val="restart"/>
            <w:tcBorders>
              <w:top w:val="nil"/>
              <w:left w:val="single" w:color="auto" w:sz="4" w:space="0"/>
              <w:bottom w:val="single" w:color="000000" w:sz="4" w:space="0"/>
              <w:right w:val="single" w:color="auto" w:sz="4" w:space="0"/>
            </w:tcBorders>
            <w:shd w:val="clear" w:color="auto" w:fill="auto"/>
            <w:vAlign w:val="center"/>
          </w:tcPr>
          <w:p>
            <w:pPr>
              <w:jc w:val="center"/>
            </w:pPr>
            <w:r>
              <w:rPr>
                <w:rFonts w:hint="eastAsia"/>
              </w:rPr>
              <w:t>★供应链质量</w:t>
            </w:r>
          </w:p>
        </w:tc>
        <w:tc>
          <w:tcPr>
            <w:tcW w:w="1812" w:type="dxa"/>
            <w:tcBorders>
              <w:top w:val="nil"/>
              <w:left w:val="nil"/>
              <w:bottom w:val="single" w:color="auto" w:sz="4" w:space="0"/>
              <w:right w:val="single" w:color="auto" w:sz="4" w:space="0"/>
            </w:tcBorders>
            <w:shd w:val="clear" w:color="auto" w:fill="auto"/>
            <w:vAlign w:val="center"/>
          </w:tcPr>
          <w:p>
            <w:pPr>
              <w:jc w:val="left"/>
            </w:pPr>
            <w:r>
              <w:rPr>
                <w:rFonts w:hint="eastAsia"/>
              </w:rPr>
              <w:t>★抗干扰性</w:t>
            </w:r>
          </w:p>
        </w:tc>
        <w:tc>
          <w:tcPr>
            <w:tcW w:w="8148" w:type="dxa"/>
            <w:tcBorders>
              <w:top w:val="nil"/>
              <w:left w:val="nil"/>
              <w:bottom w:val="single" w:color="auto" w:sz="4" w:space="0"/>
              <w:right w:val="single" w:color="auto" w:sz="4" w:space="0"/>
            </w:tcBorders>
            <w:shd w:val="clear" w:color="auto" w:fill="auto"/>
            <w:vAlign w:val="center"/>
          </w:tcPr>
          <w:p>
            <w:r>
              <w:rPr>
                <w:rFonts w:hint="eastAsia"/>
              </w:rPr>
              <w:t>当产品部件出现供应风险时，应通知客户并提供风险应对方案确保产品的服务保障，必要时应停止相关受影响产品的销售</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128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sz w:val="24"/>
                <w:szCs w:val="24"/>
              </w:rPr>
            </w:pPr>
          </w:p>
        </w:tc>
        <w:tc>
          <w:tcPr>
            <w:tcW w:w="1812" w:type="dxa"/>
            <w:tcBorders>
              <w:top w:val="nil"/>
              <w:left w:val="nil"/>
              <w:bottom w:val="single" w:color="auto" w:sz="4" w:space="0"/>
              <w:right w:val="single" w:color="auto" w:sz="4" w:space="0"/>
            </w:tcBorders>
            <w:shd w:val="clear" w:color="auto" w:fill="auto"/>
            <w:vAlign w:val="center"/>
          </w:tcPr>
          <w:p>
            <w:r>
              <w:rPr>
                <w:rFonts w:hint="eastAsia"/>
              </w:rPr>
              <w:t>★供应能力证明</w:t>
            </w:r>
          </w:p>
        </w:tc>
        <w:tc>
          <w:tcPr>
            <w:tcW w:w="8148" w:type="dxa"/>
            <w:tcBorders>
              <w:top w:val="nil"/>
              <w:left w:val="nil"/>
              <w:bottom w:val="single" w:color="auto" w:sz="4" w:space="0"/>
              <w:right w:val="single" w:color="auto" w:sz="4" w:space="0"/>
            </w:tcBorders>
            <w:shd w:val="clear" w:color="auto" w:fill="auto"/>
            <w:vAlign w:val="center"/>
          </w:tcPr>
          <w:p>
            <w:r>
              <w:rPr>
                <w:rFonts w:hint="eastAsia"/>
              </w:rPr>
              <w:t>供应商提供供应链稳定承诺书，确保产品的部件在产品服务周期内稳定供货</w:t>
            </w:r>
          </w:p>
        </w:tc>
      </w:tr>
      <w:tr>
        <w:tblPrEx>
          <w:tblLayout w:type="fixed"/>
          <w:tblCellMar>
            <w:top w:w="0" w:type="dxa"/>
            <w:left w:w="108" w:type="dxa"/>
            <w:bottom w:w="0" w:type="dxa"/>
            <w:right w:w="108" w:type="dxa"/>
          </w:tblCellMar>
        </w:tblPrEx>
        <w:trPr>
          <w:trHeight w:val="88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129</w:t>
            </w:r>
          </w:p>
        </w:tc>
        <w:tc>
          <w:tcPr>
            <w:tcW w:w="1212" w:type="dxa"/>
            <w:vMerge w:val="restart"/>
            <w:tcBorders>
              <w:top w:val="nil"/>
              <w:left w:val="single" w:color="auto" w:sz="4" w:space="0"/>
              <w:bottom w:val="single" w:color="000000" w:sz="4" w:space="0"/>
              <w:right w:val="single" w:color="auto" w:sz="4" w:space="0"/>
            </w:tcBorders>
            <w:shd w:val="clear" w:color="auto" w:fill="auto"/>
            <w:vAlign w:val="center"/>
          </w:tcPr>
          <w:p>
            <w:pPr>
              <w:jc w:val="center"/>
              <w:rPr>
                <w:color w:val="000000"/>
              </w:rPr>
            </w:pPr>
            <w:r>
              <w:rPr>
                <w:rFonts w:hint="eastAsia"/>
                <w:color w:val="000000"/>
              </w:rPr>
              <w:t>超融合一体机</w:t>
            </w:r>
          </w:p>
        </w:tc>
        <w:tc>
          <w:tcPr>
            <w:tcW w:w="1216"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硬件要求</w:t>
            </w: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★高度≥2U，CPU频率≥2.1GHZ，CPU型号不低于金牌系列，CPU颗数≥2颗，单颗CPU核数≥</w:t>
            </w:r>
            <w:r>
              <w:rPr>
                <w:rFonts w:hint="eastAsia"/>
              </w:rPr>
              <w:t>24</w:t>
            </w:r>
            <w:r>
              <w:rPr>
                <w:rFonts w:hint="eastAsia"/>
                <w:color w:val="000000"/>
              </w:rPr>
              <w:t>核，内存≥</w:t>
            </w:r>
            <w:r>
              <w:rPr>
                <w:rFonts w:hint="eastAsia"/>
              </w:rPr>
              <w:t>32*32GB</w:t>
            </w:r>
            <w:r>
              <w:rPr>
                <w:rFonts w:hint="eastAsia"/>
                <w:color w:val="000000"/>
              </w:rPr>
              <w:t>,系统盘≥240GB  SATA SSD、系统盘数量≥2块；</w:t>
            </w:r>
            <w:r>
              <w:rPr>
                <w:rFonts w:hint="eastAsia"/>
              </w:rPr>
              <w:t>数据盘≥1.92T SSD，数据盘数量≥12块；千兆电口≥6个，万兆光口≥4个（满配光模块）。</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130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restart"/>
            <w:tcBorders>
              <w:top w:val="nil"/>
              <w:left w:val="single" w:color="auto" w:sz="4" w:space="0"/>
              <w:bottom w:val="single" w:color="000000" w:sz="4" w:space="0"/>
              <w:right w:val="single" w:color="auto" w:sz="4" w:space="0"/>
            </w:tcBorders>
            <w:shd w:val="clear" w:color="auto" w:fill="auto"/>
            <w:vAlign w:val="center"/>
          </w:tcPr>
          <w:p>
            <w:pPr>
              <w:jc w:val="center"/>
              <w:rPr>
                <w:color w:val="000000"/>
              </w:rPr>
            </w:pPr>
            <w:r>
              <w:rPr>
                <w:rFonts w:hint="eastAsia"/>
                <w:color w:val="000000"/>
              </w:rPr>
              <w:t>虚拟化软件要求</w:t>
            </w:r>
          </w:p>
        </w:tc>
        <w:tc>
          <w:tcPr>
            <w:tcW w:w="997"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配置要求</w:t>
            </w: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★1、软件授权≥16颗CPU，含计算虚拟化功能、网络虚拟化功能、存储虚拟化功能、统一云管功能。提供3年软件升级。</w:t>
            </w:r>
          </w:p>
        </w:tc>
      </w:tr>
      <w:tr>
        <w:tblPrEx>
          <w:tblLayout w:type="fixed"/>
          <w:tblCellMar>
            <w:top w:w="0" w:type="dxa"/>
            <w:left w:w="108" w:type="dxa"/>
            <w:bottom w:w="0" w:type="dxa"/>
            <w:right w:w="108" w:type="dxa"/>
          </w:tblCellMar>
        </w:tblPrEx>
        <w:trPr>
          <w:trHeight w:val="70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131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000000" w:sz="4" w:space="0"/>
              <w:right w:val="single" w:color="auto" w:sz="4" w:space="0"/>
            </w:tcBorders>
            <w:shd w:val="clear" w:color="auto" w:fill="auto"/>
            <w:vAlign w:val="center"/>
          </w:tcPr>
          <w:p>
            <w:pPr>
              <w:jc w:val="center"/>
              <w:rPr>
                <w:color w:val="000000"/>
              </w:rPr>
            </w:pPr>
            <w:r>
              <w:rPr>
                <w:rFonts w:hint="eastAsia"/>
                <w:color w:val="000000"/>
              </w:rPr>
              <w:t>计算虚拟化功能</w:t>
            </w: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jc w:val="left"/>
              <w:rPr>
                <w:color w:val="000000"/>
              </w:rPr>
            </w:pPr>
            <w:r>
              <w:rPr>
                <w:rFonts w:hint="eastAsia"/>
                <w:color w:val="000000"/>
              </w:rPr>
              <w:t>1、支持对超融合平台的硬件进行监控和大屏展示，包含CPU、内存、存储等硬件健康检测，便于及时发现问题并提供相应异常检测项的恢复指导建议</w:t>
            </w:r>
          </w:p>
        </w:tc>
      </w:tr>
      <w:tr>
        <w:tblPrEx>
          <w:tblLayout w:type="fixed"/>
          <w:tblCellMar>
            <w:top w:w="0" w:type="dxa"/>
            <w:left w:w="108" w:type="dxa"/>
            <w:bottom w:w="0" w:type="dxa"/>
            <w:right w:w="108" w:type="dxa"/>
          </w:tblCellMar>
        </w:tblPrEx>
        <w:trPr>
          <w:trHeight w:val="9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132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2、我院原有业务部署在VMware平台，平台需支持双向迁移操作，可将VMware虚拟机迁移到平台上，也可将平台上的虚拟机迁移到VMware vCenter的集群中，以保障新平台与原有平台的相互兼容性。</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133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3、支持在线升级不影响业务，在升级过程中支持对升级节点进行升级顺序编排、升级暂停，以保障业务运行的稳定性。</w:t>
            </w:r>
          </w:p>
        </w:tc>
      </w:tr>
      <w:tr>
        <w:tblPrEx>
          <w:tblLayout w:type="fixed"/>
          <w:tblCellMar>
            <w:top w:w="0" w:type="dxa"/>
            <w:left w:w="108" w:type="dxa"/>
            <w:bottom w:w="0" w:type="dxa"/>
            <w:right w:w="108" w:type="dxa"/>
          </w:tblCellMar>
        </w:tblPrEx>
        <w:trPr>
          <w:trHeight w:val="66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134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4、支持指定网口迁移、限制迁移速度、启用压缩传输，当虚拟机迁移过程中因数据写入量过大迁移不完，可支持强制切换操作。（需提供产品功能截图）</w:t>
            </w:r>
          </w:p>
        </w:tc>
      </w:tr>
      <w:tr>
        <w:tblPrEx>
          <w:tblLayout w:type="fixed"/>
          <w:tblCellMar>
            <w:top w:w="0" w:type="dxa"/>
            <w:left w:w="108" w:type="dxa"/>
            <w:bottom w:w="0" w:type="dxa"/>
            <w:right w:w="108" w:type="dxa"/>
          </w:tblCellMar>
        </w:tblPrEx>
        <w:trPr>
          <w:trHeight w:val="63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135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5、为方便运维人员使用，需提供基于PowerShell的CLI命令行功能，通过命令行可以管理计算、存储、网络等相关资源，简化运维操作（需提供产品功能截图）</w:t>
            </w:r>
          </w:p>
        </w:tc>
      </w:tr>
      <w:tr>
        <w:tblPrEx>
          <w:tblLayout w:type="fixed"/>
          <w:tblCellMar>
            <w:top w:w="0" w:type="dxa"/>
            <w:left w:w="108" w:type="dxa"/>
            <w:bottom w:w="0" w:type="dxa"/>
            <w:right w:w="108" w:type="dxa"/>
          </w:tblCellMar>
        </w:tblPrEx>
        <w:trPr>
          <w:trHeight w:val="64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136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6、支持内存ECC自动纠错机制，扫描到物理主机的内存条出现ECC CE、UE错误时，能够将对应内存空间进行隔离并告警故障内存条的槽位。避免内存问题带来的宕机问题影响业务</w:t>
            </w:r>
          </w:p>
        </w:tc>
      </w:tr>
      <w:tr>
        <w:tblPrEx>
          <w:tblLayout w:type="fixed"/>
          <w:tblCellMar>
            <w:top w:w="0" w:type="dxa"/>
            <w:left w:w="108" w:type="dxa"/>
            <w:bottom w:w="0" w:type="dxa"/>
            <w:right w:w="108" w:type="dxa"/>
          </w:tblCellMar>
        </w:tblPrEx>
        <w:trPr>
          <w:trHeight w:val="70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137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7、为确保业务持续稳定和集群主机负载均衡，支持集群动态资源调度DRS，当物理主机负载过高时，自动将该物理主机上的虚拟机迁移到其他负载较低的主机上。</w:t>
            </w:r>
          </w:p>
        </w:tc>
      </w:tr>
      <w:tr>
        <w:tblPrEx>
          <w:tblLayout w:type="fixed"/>
          <w:tblCellMar>
            <w:top w:w="0" w:type="dxa"/>
            <w:left w:w="108" w:type="dxa"/>
            <w:bottom w:w="0" w:type="dxa"/>
            <w:right w:w="108" w:type="dxa"/>
          </w:tblCellMar>
        </w:tblPrEx>
        <w:trPr>
          <w:trHeight w:val="63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138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000000" w:sz="4" w:space="0"/>
              <w:right w:val="single" w:color="auto" w:sz="4" w:space="0"/>
            </w:tcBorders>
            <w:shd w:val="clear" w:color="auto" w:fill="auto"/>
            <w:vAlign w:val="center"/>
          </w:tcPr>
          <w:p>
            <w:pPr>
              <w:jc w:val="center"/>
              <w:rPr>
                <w:color w:val="000000"/>
              </w:rPr>
            </w:pPr>
            <w:r>
              <w:rPr>
                <w:rFonts w:hint="eastAsia"/>
                <w:color w:val="000000"/>
              </w:rPr>
              <w:t>网络虚拟化功能</w:t>
            </w: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jc w:val="left"/>
              <w:rPr>
                <w:color w:val="000000"/>
              </w:rPr>
            </w:pPr>
            <w:r>
              <w:rPr>
                <w:rFonts w:hint="eastAsia"/>
                <w:color w:val="000000"/>
              </w:rPr>
              <w:t>1、为方便我院运维人员快速定位问题，需提供网络可视化功能，可以观察到所有虚拟机的流量走向与访问关系，提高问题排查效率。</w:t>
            </w:r>
          </w:p>
        </w:tc>
      </w:tr>
      <w:tr>
        <w:tblPrEx>
          <w:tblLayout w:type="fixed"/>
          <w:tblCellMar>
            <w:top w:w="0" w:type="dxa"/>
            <w:left w:w="108" w:type="dxa"/>
            <w:bottom w:w="0" w:type="dxa"/>
            <w:right w:w="108" w:type="dxa"/>
          </w:tblCellMar>
        </w:tblPrEx>
        <w:trPr>
          <w:trHeight w:val="60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139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2、为了提升我院网络质量，支持网络硬件检测等能力，以便帮助运维人员及时检测和处理网络硬件故障，保障网络的稳定性和可靠性（需提供产品功能截图）。</w:t>
            </w:r>
          </w:p>
        </w:tc>
      </w:tr>
      <w:tr>
        <w:tblPrEx>
          <w:tblLayout w:type="fixed"/>
          <w:tblCellMar>
            <w:top w:w="0" w:type="dxa"/>
            <w:left w:w="108" w:type="dxa"/>
            <w:bottom w:w="0" w:type="dxa"/>
            <w:right w:w="108" w:type="dxa"/>
          </w:tblCellMar>
        </w:tblPrEx>
        <w:trPr>
          <w:trHeight w:val="63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140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3、为确保业务的高可靠性，需要支持虚拟路由器高可用功能。当虚拟路由器所在的主机发生故障时，系统应能够自动进行故障恢复。</w:t>
            </w:r>
          </w:p>
        </w:tc>
      </w:tr>
      <w:tr>
        <w:tblPrEx>
          <w:tblLayout w:type="fixed"/>
          <w:tblCellMar>
            <w:top w:w="0" w:type="dxa"/>
            <w:left w:w="108" w:type="dxa"/>
            <w:bottom w:w="0" w:type="dxa"/>
            <w:right w:w="108" w:type="dxa"/>
          </w:tblCellMar>
        </w:tblPrEx>
        <w:trPr>
          <w:trHeight w:val="63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141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rFonts w:ascii="Times New Roman" w:hAnsi="Times New Roman" w:eastAsia="等线" w:cs="Times New Roman"/>
                <w:color w:val="000000"/>
              </w:rPr>
            </w:pPr>
            <w:r>
              <w:rPr>
                <w:rFonts w:ascii="Times New Roman" w:hAnsi="Times New Roman" w:eastAsia="等线" w:cs="Times New Roman"/>
                <w:color w:val="000000"/>
              </w:rPr>
              <w:t>4</w:t>
            </w:r>
            <w:r>
              <w:rPr>
                <w:rFonts w:hint="eastAsia" w:cs="Times New Roman"/>
                <w:color w:val="000000"/>
              </w:rPr>
              <w:t>、为实现虚拟网络连接、开启和关闭等操作，在管理平台上通过托、拉、拽方式完成虚拟网络拓扑创建，能够通过同一界面中的功能按键。以提升我院运维人员部署效率。</w:t>
            </w:r>
          </w:p>
        </w:tc>
      </w:tr>
      <w:tr>
        <w:tblPrEx>
          <w:tblLayout w:type="fixed"/>
          <w:tblCellMar>
            <w:top w:w="0" w:type="dxa"/>
            <w:left w:w="108" w:type="dxa"/>
            <w:bottom w:w="0" w:type="dxa"/>
            <w:right w:w="108" w:type="dxa"/>
          </w:tblCellMar>
        </w:tblPrEx>
        <w:trPr>
          <w:trHeight w:val="675" w:hRule="atLeast"/>
        </w:trPr>
        <w:tc>
          <w:tcPr>
            <w:tcW w:w="536" w:type="dxa"/>
            <w:tcBorders>
              <w:top w:val="nil"/>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rPr>
            </w:pPr>
            <w:r>
              <w:rPr>
                <w:rFonts w:hint="eastAsia"/>
              </w:rPr>
              <w:t>142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000000" w:sz="4" w:space="0"/>
              <w:right w:val="single" w:color="auto" w:sz="4" w:space="0"/>
            </w:tcBorders>
            <w:shd w:val="clear" w:color="auto" w:fill="auto"/>
            <w:vAlign w:val="center"/>
          </w:tcPr>
          <w:p>
            <w:pPr>
              <w:jc w:val="center"/>
              <w:rPr>
                <w:color w:val="000000"/>
              </w:rPr>
            </w:pPr>
            <w:r>
              <w:rPr>
                <w:rFonts w:hint="eastAsia"/>
                <w:color w:val="000000"/>
              </w:rPr>
              <w:t>存储虚拟化功能</w:t>
            </w: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jc w:val="left"/>
              <w:rPr>
                <w:color w:val="000000"/>
              </w:rPr>
            </w:pPr>
            <w:r>
              <w:rPr>
                <w:rFonts w:hint="eastAsia"/>
                <w:color w:val="000000"/>
              </w:rPr>
              <w:t>1、能够通过将硬盘资源池化提高资源利用率，利用智能条带化、分层、热点数据预测等技术提高存储性能。</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143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000000" w:fill="FFFFFF"/>
            <w:vAlign w:val="center"/>
          </w:tcPr>
          <w:p>
            <w:pPr>
              <w:rPr>
                <w:color w:val="000000"/>
              </w:rPr>
            </w:pPr>
            <w:r>
              <w:rPr>
                <w:rFonts w:hint="eastAsia"/>
                <w:color w:val="000000"/>
              </w:rPr>
              <w:t>2、支持创建虚拟存储卷，灵活配置存储策略（多副本、QoS等）；具备磁盘故障重建、硬盘亚健康检测等功能。</w:t>
            </w:r>
          </w:p>
        </w:tc>
      </w:tr>
      <w:tr>
        <w:tblPrEx>
          <w:tblLayout w:type="fixed"/>
          <w:tblCellMar>
            <w:top w:w="0" w:type="dxa"/>
            <w:left w:w="108" w:type="dxa"/>
            <w:bottom w:w="0" w:type="dxa"/>
            <w:right w:w="108" w:type="dxa"/>
          </w:tblCellMar>
        </w:tblPrEx>
        <w:trPr>
          <w:trHeight w:val="63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144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rFonts w:ascii="Calibri" w:hAnsi="Calibri" w:eastAsia="等线" w:cs="Calibri"/>
                <w:color w:val="000000"/>
              </w:rPr>
            </w:pPr>
            <w:r>
              <w:rPr>
                <w:rFonts w:ascii="Calibri" w:hAnsi="Calibri" w:eastAsia="等线" w:cs="Calibri"/>
                <w:color w:val="000000"/>
              </w:rPr>
              <w:t>3</w:t>
            </w:r>
            <w:r>
              <w:rPr>
                <w:rFonts w:hint="eastAsia" w:cs="Calibri"/>
                <w:color w:val="000000"/>
              </w:rPr>
              <w:t>、支持数据重建优先级调整，可以查看数据重建信息，包括重建的对象名称、类型、数据量和优先级等信息，支持对不同对象的重建优先级进行调整，保证重要的业务优先恢复</w:t>
            </w:r>
          </w:p>
        </w:tc>
      </w:tr>
      <w:tr>
        <w:tblPrEx>
          <w:tblLayout w:type="fixed"/>
          <w:tblCellMar>
            <w:top w:w="0" w:type="dxa"/>
            <w:left w:w="108" w:type="dxa"/>
            <w:bottom w:w="0" w:type="dxa"/>
            <w:right w:w="108" w:type="dxa"/>
          </w:tblCellMar>
        </w:tblPrEx>
        <w:trPr>
          <w:trHeight w:val="630" w:hRule="atLeast"/>
        </w:trPr>
        <w:tc>
          <w:tcPr>
            <w:tcW w:w="536" w:type="dxa"/>
            <w:tcBorders>
              <w:top w:val="nil"/>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rPr>
            </w:pPr>
            <w:r>
              <w:rPr>
                <w:rFonts w:hint="eastAsia"/>
              </w:rPr>
              <w:t>145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rFonts w:ascii="Calibri" w:hAnsi="Calibri" w:eastAsia="等线" w:cs="Calibri"/>
                <w:color w:val="000000"/>
              </w:rPr>
            </w:pPr>
            <w:r>
              <w:rPr>
                <w:rFonts w:ascii="Calibri" w:hAnsi="Calibri" w:eastAsia="等线" w:cs="Calibri"/>
                <w:color w:val="000000"/>
              </w:rPr>
              <w:t>4</w:t>
            </w:r>
            <w:r>
              <w:rPr>
                <w:rFonts w:hint="eastAsia" w:cs="Calibri"/>
                <w:color w:val="000000"/>
              </w:rPr>
              <w:t>、采用分布式的软件定义存储架构，提供分布式存储服务；通过新增物理服务器可以实现存储容量和性能的横向扩展，扩容过程保证业务零中断</w:t>
            </w:r>
          </w:p>
        </w:tc>
      </w:tr>
      <w:tr>
        <w:tblPrEx>
          <w:tblLayout w:type="fixed"/>
          <w:tblCellMar>
            <w:top w:w="0" w:type="dxa"/>
            <w:left w:w="108" w:type="dxa"/>
            <w:bottom w:w="0" w:type="dxa"/>
            <w:right w:w="108" w:type="dxa"/>
          </w:tblCellMar>
        </w:tblPrEx>
        <w:trPr>
          <w:trHeight w:val="885" w:hRule="atLeast"/>
        </w:trPr>
        <w:tc>
          <w:tcPr>
            <w:tcW w:w="536" w:type="dxa"/>
            <w:tcBorders>
              <w:top w:val="nil"/>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rPr>
            </w:pPr>
            <w:r>
              <w:rPr>
                <w:rFonts w:hint="eastAsia"/>
              </w:rPr>
              <w:t>146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rFonts w:ascii="Calibri" w:hAnsi="Calibri" w:eastAsia="等线" w:cs="Calibri"/>
                <w:color w:val="000000"/>
              </w:rPr>
            </w:pPr>
            <w:r>
              <w:rPr>
                <w:rFonts w:ascii="Calibri" w:hAnsi="Calibri" w:eastAsia="等线" w:cs="Calibri"/>
                <w:color w:val="000000"/>
              </w:rPr>
              <w:t>5</w:t>
            </w:r>
            <w:r>
              <w:rPr>
                <w:rFonts w:hint="eastAsia" w:cs="Calibri"/>
                <w:color w:val="000000"/>
              </w:rPr>
              <w:t>、支持坏道扫描功能，由用户设置扫描的时间段定期对集群的硬盘进行扫描，及时发现潜藏的坏道。同时支持坏道修复功能，发现坏道后，可以点击操作中的优先级对数据重建进行优先重建。</w:t>
            </w:r>
          </w:p>
        </w:tc>
      </w:tr>
      <w:tr>
        <w:tblPrEx>
          <w:tblLayout w:type="fixed"/>
          <w:tblCellMar>
            <w:top w:w="0" w:type="dxa"/>
            <w:left w:w="108" w:type="dxa"/>
            <w:bottom w:w="0" w:type="dxa"/>
            <w:right w:w="108" w:type="dxa"/>
          </w:tblCellMar>
        </w:tblPrEx>
        <w:trPr>
          <w:trHeight w:val="630" w:hRule="atLeast"/>
        </w:trPr>
        <w:tc>
          <w:tcPr>
            <w:tcW w:w="536" w:type="dxa"/>
            <w:tcBorders>
              <w:top w:val="nil"/>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rPr>
            </w:pPr>
            <w:r>
              <w:rPr>
                <w:rFonts w:hint="eastAsia"/>
              </w:rPr>
              <w:t>147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rFonts w:ascii="Calibri" w:hAnsi="Calibri" w:eastAsia="等线" w:cs="Calibri"/>
                <w:color w:val="000000"/>
              </w:rPr>
            </w:pPr>
            <w:r>
              <w:rPr>
                <w:rFonts w:ascii="Calibri" w:hAnsi="Calibri" w:eastAsia="等线" w:cs="Calibri"/>
                <w:color w:val="000000"/>
              </w:rPr>
              <w:t>6</w:t>
            </w:r>
            <w:r>
              <w:rPr>
                <w:rFonts w:hint="eastAsia" w:cs="Calibri"/>
                <w:color w:val="000000"/>
              </w:rPr>
              <w:t>、支持快照功能，可以新增快照策略，并设置快照频率，包括按周快照、按天快照和按小时快照，实现可以点击快照克隆进行克隆新虚拟机操作</w:t>
            </w:r>
          </w:p>
        </w:tc>
      </w:tr>
      <w:tr>
        <w:tblPrEx>
          <w:tblLayout w:type="fixed"/>
          <w:tblCellMar>
            <w:top w:w="0" w:type="dxa"/>
            <w:left w:w="108" w:type="dxa"/>
            <w:bottom w:w="0" w:type="dxa"/>
            <w:right w:w="108" w:type="dxa"/>
          </w:tblCellMar>
        </w:tblPrEx>
        <w:trPr>
          <w:trHeight w:val="990" w:hRule="atLeast"/>
        </w:trPr>
        <w:tc>
          <w:tcPr>
            <w:tcW w:w="536" w:type="dxa"/>
            <w:tcBorders>
              <w:top w:val="nil"/>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rPr>
            </w:pPr>
            <w:r>
              <w:rPr>
                <w:rFonts w:hint="eastAsia"/>
              </w:rPr>
              <w:t>148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rFonts w:ascii="Calibri" w:hAnsi="Calibri" w:eastAsia="等线" w:cs="Calibri"/>
                <w:color w:val="000000"/>
              </w:rPr>
            </w:pPr>
            <w:r>
              <w:rPr>
                <w:rFonts w:ascii="Calibri" w:hAnsi="Calibri" w:eastAsia="等线" w:cs="Calibri"/>
                <w:color w:val="000000"/>
              </w:rPr>
              <w:t>7</w:t>
            </w:r>
            <w:r>
              <w:rPr>
                <w:rFonts w:hint="eastAsia" w:cs="Calibri"/>
                <w:color w:val="000000"/>
              </w:rPr>
              <w:t>、支持对虚拟机或虚拟磁盘设置数据分布策略，当采用散列策略时，可以保证虚拟机以分布均匀优先为原则，打散分布均匀在各物理主机上，当采用聚合策略时，可以保证以性能优先为原则，实现</w:t>
            </w:r>
            <w:r>
              <w:rPr>
                <w:rFonts w:ascii="Times New Roman" w:hAnsi="Times New Roman" w:eastAsia="等线" w:cs="Times New Roman"/>
                <w:color w:val="000000"/>
              </w:rPr>
              <w:t>IO</w:t>
            </w:r>
            <w:r>
              <w:rPr>
                <w:rFonts w:hint="eastAsia" w:cs="Calibri"/>
                <w:color w:val="000000"/>
              </w:rPr>
              <w:t>本地读效果，</w:t>
            </w:r>
          </w:p>
        </w:tc>
      </w:tr>
      <w:tr>
        <w:tblPrEx>
          <w:tblLayout w:type="fixed"/>
          <w:tblCellMar>
            <w:top w:w="0" w:type="dxa"/>
            <w:left w:w="108" w:type="dxa"/>
            <w:bottom w:w="0" w:type="dxa"/>
            <w:right w:w="108" w:type="dxa"/>
          </w:tblCellMar>
        </w:tblPrEx>
        <w:trPr>
          <w:trHeight w:val="630" w:hRule="atLeast"/>
        </w:trPr>
        <w:tc>
          <w:tcPr>
            <w:tcW w:w="536" w:type="dxa"/>
            <w:tcBorders>
              <w:top w:val="nil"/>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rPr>
            </w:pPr>
            <w:r>
              <w:rPr>
                <w:rFonts w:hint="eastAsia"/>
              </w:rPr>
              <w:t>149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000000" w:sz="4" w:space="0"/>
              <w:right w:val="single" w:color="auto" w:sz="4" w:space="0"/>
            </w:tcBorders>
            <w:shd w:val="clear" w:color="auto" w:fill="auto"/>
            <w:vAlign w:val="center"/>
          </w:tcPr>
          <w:p>
            <w:pPr>
              <w:jc w:val="center"/>
              <w:rPr>
                <w:rFonts w:hint="eastAsia" w:ascii="等线" w:hAnsi="等线" w:eastAsia="等线"/>
                <w:color w:val="000000"/>
              </w:rPr>
            </w:pPr>
            <w:r>
              <w:rPr>
                <w:rFonts w:hint="eastAsia" w:ascii="等线" w:hAnsi="等线" w:eastAsia="等线"/>
                <w:color w:val="000000"/>
              </w:rPr>
              <w:t>云管功能</w:t>
            </w: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jc w:val="left"/>
              <w:rPr>
                <w:rFonts w:hint="eastAsia" w:ascii="宋体" w:hAnsi="宋体" w:eastAsia="宋体"/>
                <w:color w:val="000000"/>
              </w:rPr>
            </w:pPr>
            <w:r>
              <w:rPr>
                <w:rFonts w:hint="eastAsia"/>
                <w:color w:val="000000"/>
              </w:rPr>
              <w:t>1、支持大屏展示便于直观查看虚拟化资源池的使用情况和健康状态。</w:t>
            </w:r>
          </w:p>
        </w:tc>
      </w:tr>
      <w:tr>
        <w:tblPrEx>
          <w:tblLayout w:type="fixed"/>
          <w:tblCellMar>
            <w:top w:w="0" w:type="dxa"/>
            <w:left w:w="108" w:type="dxa"/>
            <w:bottom w:w="0" w:type="dxa"/>
            <w:right w:w="108" w:type="dxa"/>
          </w:tblCellMar>
        </w:tblPrEx>
        <w:trPr>
          <w:trHeight w:val="67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150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2、支持对镜像进行管理、关联资源池等操作，支持将镜像分发至不同版本的资源池，当数据中心存在多个版本资源池时，无需手动多次上传。</w:t>
            </w:r>
          </w:p>
        </w:tc>
      </w:tr>
      <w:tr>
        <w:tblPrEx>
          <w:tblLayout w:type="fixed"/>
          <w:tblCellMar>
            <w:top w:w="0" w:type="dxa"/>
            <w:left w:w="108" w:type="dxa"/>
            <w:bottom w:w="0" w:type="dxa"/>
            <w:right w:w="108" w:type="dxa"/>
          </w:tblCellMar>
        </w:tblPrEx>
        <w:trPr>
          <w:trHeight w:val="58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151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3、须满足与医院现有超融合集群实现统一平台运维管理，并且可对集群内虚拟机全生命周期统一管理和资源监控，实现集群内虚拟机跨集群迁移。减轻我院运维人员管理压力（需提供承诺函并加盖厂商公章）</w:t>
            </w:r>
          </w:p>
        </w:tc>
      </w:tr>
      <w:tr>
        <w:tblPrEx>
          <w:tblLayout w:type="fixed"/>
          <w:tblCellMar>
            <w:top w:w="0" w:type="dxa"/>
            <w:left w:w="108" w:type="dxa"/>
            <w:bottom w:w="0" w:type="dxa"/>
            <w:right w:w="108" w:type="dxa"/>
          </w:tblCellMar>
        </w:tblPrEx>
        <w:trPr>
          <w:trHeight w:val="103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152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000000" w:sz="4" w:space="0"/>
              <w:right w:val="single" w:color="auto" w:sz="4" w:space="0"/>
            </w:tcBorders>
            <w:shd w:val="clear" w:color="auto" w:fill="auto"/>
            <w:vAlign w:val="center"/>
          </w:tcPr>
          <w:p>
            <w:pPr>
              <w:jc w:val="center"/>
              <w:rPr>
                <w:color w:val="000000"/>
              </w:rPr>
            </w:pPr>
            <w:r>
              <w:rPr>
                <w:rFonts w:hint="eastAsia"/>
                <w:color w:val="000000"/>
              </w:rPr>
              <w:t>持续数据保护软件</w:t>
            </w: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jc w:val="left"/>
              <w:rPr>
                <w:color w:val="000000"/>
              </w:rPr>
            </w:pPr>
            <w:r>
              <w:rPr>
                <w:rFonts w:hint="eastAsia"/>
                <w:color w:val="000000"/>
              </w:rPr>
              <w:t>1、要求提供持续数据保护能力的品牌须与超融合品牌为同一家，禁止借用第三方软件的整合为保证我院业务的高可靠性与稳定性，确保我院业务的高可靠性与稳定性，（提供对应持续数据保护软件著作权证书）</w:t>
            </w:r>
          </w:p>
        </w:tc>
      </w:tr>
      <w:tr>
        <w:tblPrEx>
          <w:tblLayout w:type="fixed"/>
          <w:tblCellMar>
            <w:top w:w="0" w:type="dxa"/>
            <w:left w:w="108" w:type="dxa"/>
            <w:bottom w:w="0" w:type="dxa"/>
            <w:right w:w="108" w:type="dxa"/>
          </w:tblCellMar>
        </w:tblPrEx>
        <w:trPr>
          <w:trHeight w:val="67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153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2、针对我院核心业务数据，需支持持续数据保护，RPO可设置为1s或5s；为避免对虚拟机的稳定性和性能产生影响，无需在虚拟机上安装插件（需提供产品功能截图）</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154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rFonts w:ascii="Times New Roman" w:hAnsi="Times New Roman" w:eastAsia="等线" w:cs="Times New Roman"/>
                <w:color w:val="000000"/>
              </w:rPr>
            </w:pPr>
            <w:r>
              <w:rPr>
                <w:rFonts w:ascii="Times New Roman" w:hAnsi="Times New Roman" w:eastAsia="等线" w:cs="Times New Roman"/>
                <w:color w:val="000000"/>
              </w:rPr>
              <w:t>3</w:t>
            </w:r>
            <w:r>
              <w:rPr>
                <w:rFonts w:hint="eastAsia" w:cs="Times New Roman"/>
                <w:color w:val="000000"/>
              </w:rPr>
              <w:t>、支持点击页面列表指定项操作栏中的找回文件按钮进行备份以及找回文件操作。</w:t>
            </w:r>
          </w:p>
        </w:tc>
      </w:tr>
      <w:tr>
        <w:tblPrEx>
          <w:tblLayout w:type="fixed"/>
          <w:tblCellMar>
            <w:top w:w="0" w:type="dxa"/>
            <w:left w:w="108" w:type="dxa"/>
            <w:bottom w:w="0" w:type="dxa"/>
            <w:right w:w="108" w:type="dxa"/>
          </w:tblCellMar>
        </w:tblPrEx>
        <w:trPr>
          <w:trHeight w:val="405" w:hRule="atLeast"/>
        </w:trPr>
        <w:tc>
          <w:tcPr>
            <w:tcW w:w="536" w:type="dxa"/>
            <w:tcBorders>
              <w:top w:val="nil"/>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rPr>
            </w:pPr>
            <w:r>
              <w:rPr>
                <w:rFonts w:hint="eastAsia"/>
              </w:rPr>
              <w:t>155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000000" w:sz="4" w:space="0"/>
              <w:right w:val="single" w:color="auto" w:sz="4" w:space="0"/>
            </w:tcBorders>
            <w:shd w:val="clear" w:color="auto" w:fill="auto"/>
            <w:vAlign w:val="center"/>
          </w:tcPr>
          <w:p>
            <w:pPr>
              <w:jc w:val="center"/>
              <w:rPr>
                <w:color w:val="000000"/>
              </w:rPr>
            </w:pPr>
            <w:r>
              <w:rPr>
                <w:rFonts w:hint="eastAsia"/>
                <w:color w:val="000000"/>
              </w:rPr>
              <w:t>虚拟化防火墙</w:t>
            </w: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jc w:val="left"/>
              <w:rPr>
                <w:color w:val="000000"/>
              </w:rPr>
            </w:pPr>
            <w:r>
              <w:rPr>
                <w:rFonts w:hint="eastAsia"/>
                <w:color w:val="000000"/>
              </w:rPr>
              <w:t>★1、带宽性能≥800Mpps，提供三年软件升级服务。</w:t>
            </w:r>
          </w:p>
        </w:tc>
      </w:tr>
      <w:tr>
        <w:tblPrEx>
          <w:tblLayout w:type="fixed"/>
          <w:tblCellMar>
            <w:top w:w="0" w:type="dxa"/>
            <w:left w:w="108" w:type="dxa"/>
            <w:bottom w:w="0" w:type="dxa"/>
            <w:right w:w="108" w:type="dxa"/>
          </w:tblCellMar>
        </w:tblPrEx>
        <w:trPr>
          <w:trHeight w:val="70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156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2、支持DDoS攻击防护、Web应用安全防护、入侵防护功能、支持URL过滤和文件过滤功能、僵尸主机检测、病毒防护等功能。</w:t>
            </w:r>
          </w:p>
        </w:tc>
      </w:tr>
      <w:tr>
        <w:tblPrEx>
          <w:tblLayout w:type="fixed"/>
          <w:tblCellMar>
            <w:top w:w="0" w:type="dxa"/>
            <w:left w:w="108" w:type="dxa"/>
            <w:bottom w:w="0" w:type="dxa"/>
            <w:right w:w="108" w:type="dxa"/>
          </w:tblCellMar>
        </w:tblPrEx>
        <w:trPr>
          <w:trHeight w:val="78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157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3、支持对压缩病毒文件进行检测和拦截，支持杀毒白名单设置，针对特定文件不进行查杀。（需提供产品功能截图证明）</w:t>
            </w:r>
          </w:p>
        </w:tc>
      </w:tr>
      <w:tr>
        <w:tblPrEx>
          <w:tblLayout w:type="fixed"/>
          <w:tblCellMar>
            <w:top w:w="0" w:type="dxa"/>
            <w:left w:w="108" w:type="dxa"/>
            <w:bottom w:w="0" w:type="dxa"/>
            <w:right w:w="108" w:type="dxa"/>
          </w:tblCellMar>
        </w:tblPrEx>
        <w:trPr>
          <w:trHeight w:val="63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158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4、提供虚拟化防火墙厂商要求为公安部第二代防火墙标准的制定单位之一，符合国家信息安全规范要求，以保障办公防火墙软件功能的领先性，提供相应的证书。</w:t>
            </w:r>
          </w:p>
        </w:tc>
      </w:tr>
      <w:tr>
        <w:tblPrEx>
          <w:tblLayout w:type="fixed"/>
          <w:tblCellMar>
            <w:top w:w="0" w:type="dxa"/>
            <w:left w:w="108" w:type="dxa"/>
            <w:bottom w:w="0" w:type="dxa"/>
            <w:right w:w="108" w:type="dxa"/>
          </w:tblCellMar>
        </w:tblPrEx>
        <w:trPr>
          <w:trHeight w:val="6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159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5、具备对常见网络协议（SSH、FTP、RDP、VNC、Netbios）和数据库（MySQL、Oracle、MSSQL）的弱密码扫描功能，全面保障业务的安全。</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160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6、支持勒索病毒检测与防御功能</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161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7、支持对非法源IP进行日志记录和联动封锁，支持X-Forworded-For字段检测。</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162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8、支持信息泄露攻击防护、服务器信息隐藏、cookie攻击防护、木马远控防护。</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163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9、支持将管理员权限分为安全管理员、审计员、系统管理员三种角色，实现灵活管理。</w:t>
            </w:r>
          </w:p>
        </w:tc>
      </w:tr>
      <w:tr>
        <w:tblPrEx>
          <w:tblLayout w:type="fixed"/>
          <w:tblCellMar>
            <w:top w:w="0" w:type="dxa"/>
            <w:left w:w="108" w:type="dxa"/>
            <w:bottom w:w="0" w:type="dxa"/>
            <w:right w:w="108" w:type="dxa"/>
          </w:tblCellMar>
        </w:tblPrEx>
        <w:trPr>
          <w:trHeight w:val="37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164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000000" w:sz="4" w:space="0"/>
              <w:right w:val="single" w:color="auto" w:sz="4" w:space="0"/>
            </w:tcBorders>
            <w:shd w:val="clear" w:color="auto" w:fill="auto"/>
            <w:vAlign w:val="center"/>
          </w:tcPr>
          <w:p>
            <w:pPr>
              <w:jc w:val="center"/>
              <w:rPr>
                <w:color w:val="000000"/>
              </w:rPr>
            </w:pPr>
            <w:r>
              <w:rPr>
                <w:rFonts w:hint="eastAsia"/>
                <w:color w:val="000000"/>
              </w:rPr>
              <w:t>虚拟化终端防护系统</w:t>
            </w: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jc w:val="left"/>
              <w:rPr>
                <w:color w:val="000000"/>
              </w:rPr>
            </w:pPr>
            <w:r>
              <w:rPr>
                <w:rFonts w:hint="eastAsia"/>
                <w:color w:val="000000"/>
              </w:rPr>
              <w:t>★1、提供3年软件升级服务。</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165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2、具备虚拟机安全可视，虚拟机统一管理，统一威胁处置，统一漏洞修复，威胁响应处置，日志记录与查询等功能。</w:t>
            </w:r>
          </w:p>
        </w:tc>
      </w:tr>
      <w:tr>
        <w:tblPrEx>
          <w:tblLayout w:type="fixed"/>
          <w:tblCellMar>
            <w:top w:w="0" w:type="dxa"/>
            <w:left w:w="108" w:type="dxa"/>
            <w:bottom w:w="0" w:type="dxa"/>
            <w:right w:w="108" w:type="dxa"/>
          </w:tblCellMar>
        </w:tblPrEx>
        <w:trPr>
          <w:trHeight w:val="64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166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3、具备勒索病毒整体防护体系入口功能，直观展示最近一周勒索病毒防护效果。（需提供产品截图证明 ）</w:t>
            </w:r>
          </w:p>
        </w:tc>
      </w:tr>
      <w:tr>
        <w:tblPrEx>
          <w:tblLayout w:type="fixed"/>
          <w:tblCellMar>
            <w:top w:w="0" w:type="dxa"/>
            <w:left w:w="108" w:type="dxa"/>
            <w:bottom w:w="0" w:type="dxa"/>
            <w:right w:w="108" w:type="dxa"/>
          </w:tblCellMar>
        </w:tblPrEx>
        <w:trPr>
          <w:trHeight w:val="63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167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4、支持对勒索入侵的主流方式RDP暴破做全方位保护，包括RDP登录校验、RDP文件加白二次校验等功能。</w:t>
            </w:r>
          </w:p>
        </w:tc>
      </w:tr>
      <w:tr>
        <w:tblPrEx>
          <w:tblLayout w:type="fixed"/>
          <w:tblCellMar>
            <w:top w:w="0" w:type="dxa"/>
            <w:left w:w="108" w:type="dxa"/>
            <w:bottom w:w="0" w:type="dxa"/>
            <w:right w:w="108" w:type="dxa"/>
          </w:tblCellMar>
        </w:tblPrEx>
        <w:trPr>
          <w:trHeight w:val="64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168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5、支持展示终端检测到的暴力破解事件及事件详情，包括：攻击源、攻击类型、最后攻击时间、发现方式、攻击内容、攻击历史。</w:t>
            </w:r>
          </w:p>
        </w:tc>
      </w:tr>
      <w:tr>
        <w:tblPrEx>
          <w:tblLayout w:type="fixed"/>
          <w:tblCellMar>
            <w:top w:w="0" w:type="dxa"/>
            <w:left w:w="108" w:type="dxa"/>
            <w:bottom w:w="0" w:type="dxa"/>
            <w:right w:w="108" w:type="dxa"/>
          </w:tblCellMar>
        </w:tblPrEx>
        <w:trPr>
          <w:trHeight w:val="58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169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6、支持监控诱饵文件，诱饵文件可被实时监控，当勒索病毒对该文件进行修改或加密操作时进行拦截。</w:t>
            </w:r>
          </w:p>
        </w:tc>
      </w:tr>
      <w:tr>
        <w:tblPrEx>
          <w:tblLayout w:type="fixed"/>
          <w:tblCellMar>
            <w:top w:w="0" w:type="dxa"/>
            <w:left w:w="108" w:type="dxa"/>
            <w:bottom w:w="0" w:type="dxa"/>
            <w:right w:w="108" w:type="dxa"/>
          </w:tblCellMar>
        </w:tblPrEx>
        <w:trPr>
          <w:trHeight w:val="84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170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7、提供虚拟主机安全防护软件的品牌须与超融合品牌为同一家，禁止借用第三方软件的整合，保障平台质检的兼容性与安全性（提供相应虚拟主机安全防护软件著作权证书）</w:t>
            </w:r>
          </w:p>
        </w:tc>
      </w:tr>
      <w:tr>
        <w:tblPrEx>
          <w:tblLayout w:type="fixed"/>
          <w:tblCellMar>
            <w:top w:w="0" w:type="dxa"/>
            <w:left w:w="108" w:type="dxa"/>
            <w:bottom w:w="0" w:type="dxa"/>
            <w:right w:w="108" w:type="dxa"/>
          </w:tblCellMar>
        </w:tblPrEx>
        <w:trPr>
          <w:trHeight w:val="118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171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000000" w:sz="4" w:space="0"/>
              <w:right w:val="single" w:color="auto" w:sz="4" w:space="0"/>
            </w:tcBorders>
            <w:shd w:val="clear" w:color="auto" w:fill="auto"/>
            <w:vAlign w:val="center"/>
          </w:tcPr>
          <w:p>
            <w:pPr>
              <w:jc w:val="center"/>
              <w:rPr>
                <w:color w:val="000000"/>
              </w:rPr>
            </w:pPr>
            <w:r>
              <w:rPr>
                <w:rFonts w:hint="eastAsia"/>
                <w:color w:val="000000"/>
              </w:rPr>
              <w:t>超融合交换机</w:t>
            </w: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jc w:val="left"/>
              <w:rPr>
                <w:color w:val="000000"/>
              </w:rPr>
            </w:pPr>
            <w:r>
              <w:rPr>
                <w:rFonts w:hint="eastAsia"/>
                <w:color w:val="000000"/>
              </w:rPr>
              <w:t>1、单台交换机配置：千兆电口≥24个，万兆SFP+光口≥24个，交换容量≥2.56Tbps，包转发率≥720Mpps，满配万兆多模光模块及1根堆叠线缆</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172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60" w:type="dxa"/>
            <w:gridSpan w:val="2"/>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2、支持全端口线速转发</w:t>
            </w:r>
          </w:p>
        </w:tc>
      </w:tr>
      <w:tr>
        <w:tblPrEx>
          <w:tblLayout w:type="fixed"/>
          <w:tblCellMar>
            <w:top w:w="0" w:type="dxa"/>
            <w:left w:w="108" w:type="dxa"/>
            <w:bottom w:w="0" w:type="dxa"/>
            <w:right w:w="108" w:type="dxa"/>
          </w:tblCellMar>
        </w:tblPrEx>
        <w:trPr>
          <w:trHeight w:val="78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173</w:t>
            </w:r>
          </w:p>
        </w:tc>
        <w:tc>
          <w:tcPr>
            <w:tcW w:w="1212" w:type="dxa"/>
            <w:vMerge w:val="restart"/>
            <w:tcBorders>
              <w:top w:val="nil"/>
              <w:left w:val="single" w:color="auto" w:sz="4" w:space="0"/>
              <w:bottom w:val="single" w:color="000000" w:sz="4" w:space="0"/>
              <w:right w:val="single" w:color="auto" w:sz="4" w:space="0"/>
            </w:tcBorders>
            <w:shd w:val="clear" w:color="auto" w:fill="auto"/>
            <w:vAlign w:val="center"/>
          </w:tcPr>
          <w:p>
            <w:pPr>
              <w:jc w:val="center"/>
              <w:rPr>
                <w:color w:val="000000"/>
              </w:rPr>
            </w:pPr>
            <w:r>
              <w:rPr>
                <w:rFonts w:hint="eastAsia"/>
                <w:color w:val="000000"/>
              </w:rPr>
              <w:t>机房设备维护服务</w:t>
            </w:r>
          </w:p>
        </w:tc>
        <w:tc>
          <w:tcPr>
            <w:tcW w:w="1216"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服务时间</w:t>
            </w:r>
          </w:p>
        </w:tc>
        <w:tc>
          <w:tcPr>
            <w:tcW w:w="10957" w:type="dxa"/>
            <w:gridSpan w:val="3"/>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医院运行设备包括服务器、存储、交换机、安全设备等，维保期限为一年（以合同签订时间为准）。</w:t>
            </w:r>
          </w:p>
        </w:tc>
      </w:tr>
      <w:tr>
        <w:tblPrEx>
          <w:tblLayout w:type="fixed"/>
          <w:tblCellMar>
            <w:top w:w="0" w:type="dxa"/>
            <w:left w:w="108" w:type="dxa"/>
            <w:bottom w:w="0" w:type="dxa"/>
            <w:right w:w="108" w:type="dxa"/>
          </w:tblCellMar>
        </w:tblPrEx>
        <w:trPr>
          <w:trHeight w:val="69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174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服务内容</w:t>
            </w:r>
          </w:p>
        </w:tc>
        <w:tc>
          <w:tcPr>
            <w:tcW w:w="10957" w:type="dxa"/>
            <w:gridSpan w:val="3"/>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提供设备的维保服务，服务包括但不限于包括电话支持、日常检修、季度巡检、配置调整、数据迁移、故障配件维修、规则库升级，协助医院做好网络规划等。</w:t>
            </w:r>
          </w:p>
        </w:tc>
      </w:tr>
      <w:tr>
        <w:tblPrEx>
          <w:tblLayout w:type="fixed"/>
          <w:tblCellMar>
            <w:top w:w="0" w:type="dxa"/>
            <w:left w:w="108" w:type="dxa"/>
            <w:bottom w:w="0" w:type="dxa"/>
            <w:right w:w="108" w:type="dxa"/>
          </w:tblCellMar>
        </w:tblPrEx>
        <w:trPr>
          <w:trHeight w:val="100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175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restart"/>
            <w:tcBorders>
              <w:top w:val="nil"/>
              <w:left w:val="single" w:color="auto" w:sz="4" w:space="0"/>
              <w:bottom w:val="single" w:color="000000" w:sz="4" w:space="0"/>
              <w:right w:val="single" w:color="auto" w:sz="4" w:space="0"/>
            </w:tcBorders>
            <w:shd w:val="clear" w:color="auto" w:fill="auto"/>
            <w:vAlign w:val="center"/>
          </w:tcPr>
          <w:p>
            <w:pPr>
              <w:rPr>
                <w:color w:val="000000"/>
              </w:rPr>
            </w:pPr>
            <w:r>
              <w:rPr>
                <w:rFonts w:hint="eastAsia"/>
                <w:color w:val="000000"/>
              </w:rPr>
              <w:t>服务要求</w:t>
            </w:r>
          </w:p>
        </w:tc>
        <w:tc>
          <w:tcPr>
            <w:tcW w:w="10957" w:type="dxa"/>
            <w:gridSpan w:val="3"/>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1.提供远程技术支持：供应商通过免费热线电话、电子邮件、即时通讯工具等远程支持方式向甲方提供7x24远程技术支持服务，支持范围包括问题提交、问题远程指导、分析和排除、产品功能介绍、配置、安装、调试、客户化以及使用中遇到的技术问题的咨询等，供应商需在规定时间内响应。</w:t>
            </w:r>
          </w:p>
        </w:tc>
      </w:tr>
      <w:tr>
        <w:tblPrEx>
          <w:tblLayout w:type="fixed"/>
          <w:tblCellMar>
            <w:top w:w="0" w:type="dxa"/>
            <w:left w:w="108" w:type="dxa"/>
            <w:bottom w:w="0" w:type="dxa"/>
            <w:right w:w="108" w:type="dxa"/>
          </w:tblCellMar>
        </w:tblPrEx>
        <w:trPr>
          <w:trHeight w:val="321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176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0957" w:type="dxa"/>
            <w:gridSpan w:val="3"/>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2.现场故障解决服务：供应商服务工程师手机需7x24小时待机，此外，根据甲方需求接电话后天津本地2小时内到现场，供应商需提供7x24小时故障报修服务热线电话，随时准备处理各种突发事件。当甲方发现设备故障报修时，需及时响应并提供电话支持，根据情况，服务工程师及时到达现场进行故障诊断及维修，尽快恢复设备可用状态。对未明确原因的故障和维护清单以外的设备系统故障协助进行排查，并给出合理意见和建议。每周提供不少于2天的驻场服务。提供后台技术支撑团队，团队至少包含项目经理、存储专家、安全专家、数据库专家、网络专家、运维专家。预防性检查服务：提供每季度进行1次巡检，并提出日常维护的建议，根据运行情况，提供优化方案。服务年度期满前十五天，提供年度服务总结报告。提供神州云科存储原厂质保服务和技术支持，提供（非现场）备机服务。重要时刻现场值守服务：在出现新系统上线、系统割接、设备扩容、移机、机房调整等重大系统变更事件时，须对维保设备提供设备移动、安装调试、配置调整、数据迁移、辅助工具软件安装等现场服务。对于维护设备范围外设备，提供相关配合服务。</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　</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0957" w:type="dxa"/>
            <w:gridSpan w:val="3"/>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3.备件保障服务：供应商备件库应满足为本项目提供本地备件服务，保证备件的品质和可用性，按服务级别提供备件保障服务。设备故障无法修复时提供相应备件，2小时内备件到达现场。</w:t>
            </w:r>
          </w:p>
        </w:tc>
      </w:tr>
      <w:tr>
        <w:tblPrEx>
          <w:tblLayout w:type="fixed"/>
          <w:tblCellMar>
            <w:top w:w="0" w:type="dxa"/>
            <w:left w:w="108" w:type="dxa"/>
            <w:bottom w:w="0" w:type="dxa"/>
            <w:right w:w="108" w:type="dxa"/>
          </w:tblCellMar>
        </w:tblPrEx>
        <w:trPr>
          <w:trHeight w:val="70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178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人员资质</w:t>
            </w:r>
          </w:p>
        </w:tc>
        <w:tc>
          <w:tcPr>
            <w:tcW w:w="10957" w:type="dxa"/>
            <w:gridSpan w:val="3"/>
            <w:tcBorders>
              <w:top w:val="single" w:color="auto" w:sz="4" w:space="0"/>
              <w:left w:val="nil"/>
              <w:bottom w:val="single" w:color="auto" w:sz="4" w:space="0"/>
              <w:right w:val="single" w:color="000000" w:sz="4" w:space="0"/>
            </w:tcBorders>
            <w:shd w:val="clear" w:color="auto" w:fill="auto"/>
            <w:vAlign w:val="center"/>
          </w:tcPr>
          <w:p>
            <w:pPr>
              <w:rPr>
                <w:color w:val="000000"/>
              </w:rPr>
            </w:pPr>
            <w:r>
              <w:rPr>
                <w:rFonts w:hint="eastAsia"/>
                <w:color w:val="000000"/>
              </w:rPr>
              <w:t>工程师具备 CCNP 或HCNP 以上级别证书</w:t>
            </w:r>
          </w:p>
        </w:tc>
      </w:tr>
      <w:tr>
        <w:tblPrEx>
          <w:tblLayout w:type="fixed"/>
          <w:tblCellMar>
            <w:top w:w="0" w:type="dxa"/>
            <w:left w:w="108" w:type="dxa"/>
            <w:bottom w:w="0" w:type="dxa"/>
            <w:right w:w="108" w:type="dxa"/>
          </w:tblCellMar>
        </w:tblPrEx>
        <w:trPr>
          <w:trHeight w:val="96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179</w:t>
            </w:r>
          </w:p>
        </w:tc>
        <w:tc>
          <w:tcPr>
            <w:tcW w:w="1212" w:type="dxa"/>
            <w:vMerge w:val="restart"/>
            <w:tcBorders>
              <w:top w:val="nil"/>
              <w:left w:val="single" w:color="auto" w:sz="4" w:space="0"/>
              <w:bottom w:val="single" w:color="000000" w:sz="4" w:space="0"/>
              <w:right w:val="single" w:color="auto" w:sz="4" w:space="0"/>
            </w:tcBorders>
            <w:shd w:val="clear" w:color="auto" w:fill="auto"/>
            <w:vAlign w:val="center"/>
          </w:tcPr>
          <w:p>
            <w:pPr>
              <w:jc w:val="center"/>
              <w:rPr>
                <w:color w:val="000000"/>
              </w:rPr>
            </w:pPr>
            <w:r>
              <w:rPr>
                <w:rFonts w:hint="eastAsia"/>
                <w:color w:val="000000"/>
              </w:rPr>
              <w:t>数据库软件</w:t>
            </w:r>
          </w:p>
        </w:tc>
        <w:tc>
          <w:tcPr>
            <w:tcW w:w="1216"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质量和能力评估</w:t>
            </w:r>
          </w:p>
        </w:tc>
        <w:tc>
          <w:tcPr>
            <w:tcW w:w="10957" w:type="dxa"/>
            <w:gridSpan w:val="3"/>
            <w:tcBorders>
              <w:top w:val="single" w:color="auto" w:sz="4" w:space="0"/>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★数据库原厂商获得信息系统建设和服务能力评估</w:t>
            </w:r>
            <w:r>
              <w:rPr>
                <w:rFonts w:ascii="Times New Roman" w:hAnsi="Times New Roman" w:cs="Times New Roman"/>
                <w:color w:val="000000"/>
              </w:rPr>
              <w:t>CS4</w:t>
            </w:r>
            <w:r>
              <w:rPr>
                <w:rFonts w:hint="eastAsia"/>
                <w:color w:val="000000"/>
              </w:rPr>
              <w:t>级（优秀级）或以上认证，以及</w:t>
            </w:r>
            <w:r>
              <w:rPr>
                <w:rFonts w:ascii="Times New Roman" w:hAnsi="Times New Roman" w:cs="Times New Roman"/>
                <w:color w:val="000000"/>
              </w:rPr>
              <w:t>CNAS</w:t>
            </w:r>
            <w:r>
              <w:rPr>
                <w:rFonts w:hint="eastAsia"/>
                <w:color w:val="000000"/>
              </w:rPr>
              <w:t>（中国合格评定国家认可委员会）认可的软件过程及能力成熟度评估（</w:t>
            </w:r>
            <w:r>
              <w:rPr>
                <w:rFonts w:ascii="Times New Roman" w:hAnsi="Times New Roman" w:cs="Times New Roman"/>
                <w:color w:val="000000"/>
              </w:rPr>
              <w:t>SPCA</w:t>
            </w:r>
            <w:r>
              <w:rPr>
                <w:rFonts w:hint="eastAsia"/>
                <w:color w:val="000000"/>
              </w:rPr>
              <w:t>）</w:t>
            </w:r>
            <w:r>
              <w:rPr>
                <w:rFonts w:ascii="Times New Roman" w:hAnsi="Times New Roman" w:cs="Times New Roman"/>
                <w:color w:val="000000"/>
              </w:rPr>
              <w:t>L4</w:t>
            </w:r>
            <w:r>
              <w:rPr>
                <w:rFonts w:hint="eastAsia"/>
                <w:color w:val="000000"/>
              </w:rPr>
              <w:t>级或更高级别的评估，提供证书复印件并加盖原厂商公章。</w:t>
            </w:r>
          </w:p>
        </w:tc>
      </w:tr>
      <w:tr>
        <w:tblPrEx>
          <w:tblLayout w:type="fixed"/>
          <w:tblCellMar>
            <w:top w:w="0" w:type="dxa"/>
            <w:left w:w="108" w:type="dxa"/>
            <w:bottom w:w="0" w:type="dxa"/>
            <w:right w:w="108" w:type="dxa"/>
          </w:tblCellMar>
        </w:tblPrEx>
        <w:trPr>
          <w:trHeight w:val="120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180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全面索引和灵活触发器管理</w:t>
            </w:r>
          </w:p>
        </w:tc>
        <w:tc>
          <w:tcPr>
            <w:tcW w:w="10957" w:type="dxa"/>
            <w:gridSpan w:val="3"/>
            <w:tcBorders>
              <w:top w:val="single" w:color="auto" w:sz="4" w:space="0"/>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支持多种索引，包括</w:t>
            </w:r>
            <w:r>
              <w:rPr>
                <w:rFonts w:ascii="Times New Roman" w:hAnsi="Times New Roman" w:cs="Times New Roman"/>
                <w:color w:val="000000"/>
              </w:rPr>
              <w:t>B</w:t>
            </w:r>
            <w:r>
              <w:rPr>
                <w:rFonts w:hint="eastAsia"/>
                <w:color w:val="000000"/>
              </w:rPr>
              <w:t>树索引、聚集索引、唯一索引、非唯一索引、函数索引、分区索引（包括本地分区索引和全局分区索引）、位图索引、位图连接索引、空间索引、数组索引；支持多种触发器，支持</w:t>
            </w:r>
            <w:r>
              <w:rPr>
                <w:rFonts w:ascii="Times New Roman" w:hAnsi="Times New Roman" w:cs="Times New Roman"/>
                <w:color w:val="000000"/>
              </w:rPr>
              <w:t>BEFORE</w:t>
            </w:r>
            <w:r>
              <w:rPr>
                <w:rFonts w:hint="eastAsia"/>
                <w:color w:val="000000"/>
              </w:rPr>
              <w:t>、</w:t>
            </w:r>
            <w:r>
              <w:rPr>
                <w:rFonts w:ascii="Times New Roman" w:hAnsi="Times New Roman" w:cs="Times New Roman"/>
                <w:color w:val="000000"/>
              </w:rPr>
              <w:t>AFTER</w:t>
            </w:r>
            <w:r>
              <w:rPr>
                <w:rFonts w:hint="eastAsia"/>
                <w:color w:val="000000"/>
              </w:rPr>
              <w:t>、</w:t>
            </w:r>
            <w:r>
              <w:rPr>
                <w:rFonts w:ascii="Times New Roman" w:hAnsi="Times New Roman" w:cs="Times New Roman"/>
                <w:color w:val="000000"/>
              </w:rPr>
              <w:t>INSTEAD OF</w:t>
            </w:r>
            <w:r>
              <w:rPr>
                <w:rFonts w:hint="eastAsia"/>
                <w:color w:val="000000"/>
              </w:rPr>
              <w:t>、</w:t>
            </w:r>
            <w:r>
              <w:rPr>
                <w:rFonts w:ascii="Times New Roman" w:hAnsi="Times New Roman" w:cs="Times New Roman"/>
                <w:color w:val="000000"/>
              </w:rPr>
              <w:t>DDL</w:t>
            </w:r>
            <w:r>
              <w:rPr>
                <w:rFonts w:hint="eastAsia"/>
                <w:color w:val="000000"/>
              </w:rPr>
              <w:t>事件、系统事件、时间、行级触发器。提供权威检测机构出具的测试报告。</w:t>
            </w:r>
          </w:p>
        </w:tc>
      </w:tr>
      <w:tr>
        <w:tblPrEx>
          <w:tblLayout w:type="fixed"/>
          <w:tblCellMar>
            <w:top w:w="0" w:type="dxa"/>
            <w:left w:w="108" w:type="dxa"/>
            <w:bottom w:w="0" w:type="dxa"/>
            <w:right w:w="108" w:type="dxa"/>
          </w:tblCellMar>
        </w:tblPrEx>
        <w:trPr>
          <w:trHeight w:val="66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181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灵活表空间扩展</w:t>
            </w:r>
          </w:p>
        </w:tc>
        <w:tc>
          <w:tcPr>
            <w:tcW w:w="10957" w:type="dxa"/>
            <w:gridSpan w:val="3"/>
            <w:tcBorders>
              <w:top w:val="single" w:color="auto" w:sz="4" w:space="0"/>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★支持表空间自动扩展，并允许调整其扩展参数，包含支持修改扩展值：</w:t>
            </w:r>
            <w:r>
              <w:rPr>
                <w:rFonts w:ascii="Times New Roman" w:hAnsi="Times New Roman" w:cs="Times New Roman"/>
                <w:color w:val="000000"/>
              </w:rPr>
              <w:t>next_size</w:t>
            </w:r>
            <w:r>
              <w:rPr>
                <w:rFonts w:hint="eastAsia"/>
                <w:color w:val="000000"/>
              </w:rPr>
              <w:t>值、扩展上限，需提供由工信部下属的专业测评机构出具的带有</w:t>
            </w:r>
            <w:r>
              <w:rPr>
                <w:rFonts w:ascii="Times New Roman" w:hAnsi="Times New Roman" w:cs="Times New Roman"/>
                <w:color w:val="000000"/>
              </w:rPr>
              <w:t>CNAS</w:t>
            </w:r>
            <w:r>
              <w:rPr>
                <w:rFonts w:hint="eastAsia"/>
                <w:color w:val="000000"/>
              </w:rPr>
              <w:t>标识的测试报告。</w:t>
            </w:r>
          </w:p>
        </w:tc>
      </w:tr>
      <w:tr>
        <w:tblPrEx>
          <w:tblLayout w:type="fixed"/>
          <w:tblCellMar>
            <w:top w:w="0" w:type="dxa"/>
            <w:left w:w="108" w:type="dxa"/>
            <w:bottom w:w="0" w:type="dxa"/>
            <w:right w:w="108" w:type="dxa"/>
          </w:tblCellMar>
        </w:tblPrEx>
        <w:trPr>
          <w:trHeight w:val="97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182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tcBorders>
              <w:top w:val="nil"/>
              <w:left w:val="nil"/>
              <w:bottom w:val="single" w:color="auto" w:sz="4" w:space="0"/>
              <w:right w:val="single" w:color="auto" w:sz="4" w:space="0"/>
            </w:tcBorders>
            <w:shd w:val="clear" w:color="auto" w:fill="auto"/>
            <w:vAlign w:val="center"/>
          </w:tcPr>
          <w:p>
            <w:pPr>
              <w:rPr>
                <w:rFonts w:ascii="Times New Roman" w:hAnsi="Times New Roman" w:eastAsia="等线" w:cs="Times New Roman"/>
                <w:color w:val="000000"/>
              </w:rPr>
            </w:pPr>
            <w:r>
              <w:rPr>
                <w:rFonts w:ascii="Times New Roman" w:hAnsi="Times New Roman" w:eastAsia="等线" w:cs="Times New Roman"/>
                <w:color w:val="000000"/>
              </w:rPr>
              <w:t>Oracle</w:t>
            </w:r>
            <w:r>
              <w:rPr>
                <w:rFonts w:hint="eastAsia" w:cs="Times New Roman"/>
                <w:color w:val="000000"/>
              </w:rPr>
              <w:t>语法兼容</w:t>
            </w:r>
          </w:p>
        </w:tc>
        <w:tc>
          <w:tcPr>
            <w:tcW w:w="10957" w:type="dxa"/>
            <w:gridSpan w:val="3"/>
            <w:tcBorders>
              <w:top w:val="single" w:color="auto" w:sz="4" w:space="0"/>
              <w:left w:val="nil"/>
              <w:bottom w:val="single" w:color="auto" w:sz="4" w:space="0"/>
              <w:right w:val="single" w:color="auto" w:sz="4" w:space="0"/>
            </w:tcBorders>
            <w:shd w:val="clear" w:color="auto" w:fill="auto"/>
            <w:vAlign w:val="center"/>
          </w:tcPr>
          <w:p>
            <w:pPr>
              <w:jc w:val="left"/>
              <w:rPr>
                <w:rFonts w:hint="eastAsia" w:ascii="宋体" w:hAnsi="宋体" w:eastAsia="宋体" w:cs="宋体"/>
                <w:color w:val="000000"/>
              </w:rPr>
            </w:pPr>
            <w:r>
              <w:rPr>
                <w:rFonts w:hint="eastAsia"/>
                <w:color w:val="000000"/>
              </w:rPr>
              <w:t>★兼容</w:t>
            </w:r>
            <w:r>
              <w:rPr>
                <w:rFonts w:ascii="Times New Roman" w:hAnsi="Times New Roman" w:cs="Times New Roman"/>
                <w:color w:val="000000"/>
              </w:rPr>
              <w:t>Oracle</w:t>
            </w:r>
            <w:r>
              <w:rPr>
                <w:rFonts w:hint="eastAsia"/>
                <w:color w:val="000000"/>
              </w:rPr>
              <w:t>语法功能，包括支持单</w:t>
            </w:r>
            <w:r>
              <w:rPr>
                <w:rFonts w:ascii="Times New Roman" w:hAnsi="Times New Roman" w:cs="Times New Roman"/>
                <w:color w:val="000000"/>
              </w:rPr>
              <w:t>SQL</w:t>
            </w:r>
            <w:r>
              <w:rPr>
                <w:rFonts w:hint="eastAsia"/>
                <w:color w:val="000000"/>
              </w:rPr>
              <w:t>支持多个</w:t>
            </w:r>
            <w:r>
              <w:rPr>
                <w:rFonts w:ascii="Times New Roman" w:hAnsi="Times New Roman" w:cs="Times New Roman"/>
                <w:color w:val="000000"/>
              </w:rPr>
              <w:t>unpivot</w:t>
            </w:r>
            <w:r>
              <w:rPr>
                <w:rFonts w:hint="eastAsia"/>
                <w:color w:val="000000"/>
              </w:rPr>
              <w:t>子句、支持</w:t>
            </w:r>
            <w:r>
              <w:rPr>
                <w:rFonts w:ascii="Times New Roman" w:hAnsi="Times New Roman" w:cs="Times New Roman"/>
                <w:color w:val="000000"/>
              </w:rPr>
              <w:t>for update</w:t>
            </w:r>
            <w:r>
              <w:rPr>
                <w:rFonts w:hint="eastAsia"/>
                <w:color w:val="000000"/>
              </w:rPr>
              <w:t>子句及</w:t>
            </w:r>
            <w:r>
              <w:rPr>
                <w:rFonts w:ascii="Times New Roman" w:hAnsi="Times New Roman" w:cs="Times New Roman"/>
                <w:color w:val="000000"/>
              </w:rPr>
              <w:t>for update nowait</w:t>
            </w:r>
            <w:r>
              <w:rPr>
                <w:rFonts w:hint="eastAsia"/>
                <w:color w:val="000000"/>
              </w:rPr>
              <w:t>语法、支持外连接操作符（</w:t>
            </w:r>
            <w:r>
              <w:rPr>
                <w:rFonts w:ascii="Times New Roman" w:hAnsi="Times New Roman" w:cs="Times New Roman"/>
                <w:color w:val="000000"/>
              </w:rPr>
              <w:t>+</w:t>
            </w:r>
            <w:r>
              <w:rPr>
                <w:rFonts w:hint="eastAsia"/>
                <w:color w:val="000000"/>
              </w:rPr>
              <w:t>）来替代</w:t>
            </w:r>
            <w:r>
              <w:rPr>
                <w:rFonts w:ascii="Times New Roman" w:hAnsi="Times New Roman" w:cs="Times New Roman"/>
                <w:color w:val="000000"/>
              </w:rPr>
              <w:t>join</w:t>
            </w:r>
            <w:r>
              <w:rPr>
                <w:rFonts w:hint="eastAsia"/>
                <w:color w:val="000000"/>
              </w:rPr>
              <w:t>外连接语法、支持</w:t>
            </w:r>
            <w:r>
              <w:rPr>
                <w:rFonts w:ascii="Times New Roman" w:hAnsi="Times New Roman" w:cs="Times New Roman"/>
                <w:color w:val="000000"/>
              </w:rPr>
              <w:t>default on null</w:t>
            </w:r>
            <w:r>
              <w:rPr>
                <w:rFonts w:hint="eastAsia"/>
                <w:color w:val="000000"/>
              </w:rPr>
              <w:t>语法，需提供由工信部下属的专业测评机构出具的带有</w:t>
            </w:r>
            <w:r>
              <w:rPr>
                <w:rFonts w:ascii="Times New Roman" w:hAnsi="Times New Roman" w:cs="Times New Roman"/>
                <w:color w:val="000000"/>
              </w:rPr>
              <w:t>CNAS</w:t>
            </w:r>
            <w:r>
              <w:rPr>
                <w:rFonts w:hint="eastAsia"/>
                <w:color w:val="000000"/>
              </w:rPr>
              <w:t>标识的测试报告。</w:t>
            </w:r>
          </w:p>
        </w:tc>
      </w:tr>
      <w:tr>
        <w:tblPrEx>
          <w:tblLayout w:type="fixed"/>
          <w:tblCellMar>
            <w:top w:w="0" w:type="dxa"/>
            <w:left w:w="108" w:type="dxa"/>
            <w:bottom w:w="0" w:type="dxa"/>
            <w:right w:w="108" w:type="dxa"/>
          </w:tblCellMar>
        </w:tblPrEx>
        <w:trPr>
          <w:trHeight w:val="102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183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大数据处理能力</w:t>
            </w:r>
          </w:p>
        </w:tc>
        <w:tc>
          <w:tcPr>
            <w:tcW w:w="10957" w:type="dxa"/>
            <w:gridSpan w:val="3"/>
            <w:tcBorders>
              <w:top w:val="single" w:color="auto" w:sz="4" w:space="0"/>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★系统可以处理千万级别的数据，在十亿数据量级下至少</w:t>
            </w:r>
            <w:r>
              <w:rPr>
                <w:rFonts w:ascii="Times New Roman" w:hAnsi="Times New Roman" w:cs="Times New Roman"/>
                <w:color w:val="000000"/>
              </w:rPr>
              <w:t>100</w:t>
            </w:r>
            <w:r>
              <w:rPr>
                <w:rFonts w:hint="eastAsia"/>
                <w:color w:val="000000"/>
              </w:rPr>
              <w:t>个用户同时进行单表多条件组合查询操作，返回数据条数＜</w:t>
            </w:r>
            <w:r>
              <w:rPr>
                <w:rFonts w:ascii="Times New Roman" w:hAnsi="Times New Roman" w:cs="Times New Roman"/>
                <w:color w:val="000000"/>
              </w:rPr>
              <w:t>200</w:t>
            </w:r>
            <w:r>
              <w:rPr>
                <w:rFonts w:hint="eastAsia"/>
                <w:color w:val="000000"/>
              </w:rPr>
              <w:t>时的平均查询时间不高于</w:t>
            </w:r>
            <w:r>
              <w:rPr>
                <w:rFonts w:ascii="Times New Roman" w:hAnsi="Times New Roman" w:cs="Times New Roman"/>
                <w:color w:val="000000"/>
              </w:rPr>
              <w:t>170ms</w:t>
            </w:r>
            <w:r>
              <w:rPr>
                <w:rFonts w:hint="eastAsia"/>
                <w:color w:val="000000"/>
              </w:rPr>
              <w:t>。需提供包含测试结果截图的权威检测机构出具的测试报告。</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184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页级数据恢复</w:t>
            </w:r>
          </w:p>
        </w:tc>
        <w:tc>
          <w:tcPr>
            <w:tcW w:w="10957" w:type="dxa"/>
            <w:gridSpan w:val="3"/>
            <w:tcBorders>
              <w:top w:val="single" w:color="auto" w:sz="4" w:space="0"/>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★提供数据页级恢复功能，允许从备份中还原并恢复指定的数据页，需提供由工信部下属的专业测评机构出具的带有</w:t>
            </w:r>
            <w:r>
              <w:rPr>
                <w:rFonts w:ascii="Times New Roman" w:hAnsi="Times New Roman" w:cs="Times New Roman"/>
                <w:color w:val="000000"/>
              </w:rPr>
              <w:t>CNAS</w:t>
            </w:r>
            <w:r>
              <w:rPr>
                <w:rFonts w:hint="eastAsia"/>
                <w:color w:val="000000"/>
              </w:rPr>
              <w:t>标识的测试报告。</w:t>
            </w:r>
          </w:p>
        </w:tc>
      </w:tr>
      <w:tr>
        <w:tblPrEx>
          <w:tblLayout w:type="fixed"/>
          <w:tblCellMar>
            <w:top w:w="0" w:type="dxa"/>
            <w:left w:w="108" w:type="dxa"/>
            <w:bottom w:w="0" w:type="dxa"/>
            <w:right w:w="108" w:type="dxa"/>
          </w:tblCellMar>
        </w:tblPrEx>
        <w:trPr>
          <w:trHeight w:val="96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185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迁移质量保证</w:t>
            </w:r>
          </w:p>
        </w:tc>
        <w:tc>
          <w:tcPr>
            <w:tcW w:w="10957" w:type="dxa"/>
            <w:gridSpan w:val="3"/>
            <w:tcBorders>
              <w:top w:val="single" w:color="auto" w:sz="4" w:space="0"/>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★支持数据迁移评估和数据比对，能够支持至少一个运行中的系统实现平滑的数据迁移而不中断业务，并且单个系统中不同类型的</w:t>
            </w:r>
            <w:r>
              <w:rPr>
                <w:rFonts w:ascii="Times New Roman" w:hAnsi="Times New Roman" w:cs="Times New Roman"/>
                <w:color w:val="000000"/>
              </w:rPr>
              <w:t>SQL</w:t>
            </w:r>
            <w:r>
              <w:rPr>
                <w:rFonts w:hint="eastAsia"/>
                <w:color w:val="000000"/>
              </w:rPr>
              <w:t>语法错误为零，需提供包括测试过程截图的工信部下属专业测评机构出具的测试报告。</w:t>
            </w:r>
          </w:p>
        </w:tc>
      </w:tr>
      <w:tr>
        <w:tblPrEx>
          <w:tblLayout w:type="fixed"/>
          <w:tblCellMar>
            <w:top w:w="0" w:type="dxa"/>
            <w:left w:w="108" w:type="dxa"/>
            <w:bottom w:w="0" w:type="dxa"/>
            <w:right w:w="108" w:type="dxa"/>
          </w:tblCellMar>
        </w:tblPrEx>
        <w:trPr>
          <w:trHeight w:val="105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186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共享存储集群</w:t>
            </w:r>
          </w:p>
        </w:tc>
        <w:tc>
          <w:tcPr>
            <w:tcW w:w="10957" w:type="dxa"/>
            <w:gridSpan w:val="3"/>
            <w:tcBorders>
              <w:top w:val="single" w:color="auto" w:sz="4" w:space="0"/>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★共享存储集群数据库规模可达</w:t>
            </w:r>
            <w:r>
              <w:rPr>
                <w:rFonts w:ascii="Times New Roman" w:hAnsi="Times New Roman" w:cs="Times New Roman"/>
                <w:color w:val="000000"/>
              </w:rPr>
              <w:t>8</w:t>
            </w:r>
            <w:r>
              <w:rPr>
                <w:rFonts w:hint="eastAsia"/>
                <w:color w:val="000000"/>
              </w:rPr>
              <w:t>节点，且每个节点均支持写入；支持基于数据亲和特征的负载均衡功能，并能够实现面向裸设备、块设备的存储管理，具备存储设备的多副本容错功能。需提供具有</w:t>
            </w:r>
            <w:r>
              <w:rPr>
                <w:rFonts w:ascii="Times New Roman" w:hAnsi="Times New Roman" w:cs="Times New Roman"/>
                <w:color w:val="000000"/>
              </w:rPr>
              <w:t>CNAS</w:t>
            </w:r>
            <w:r>
              <w:rPr>
                <w:rFonts w:hint="eastAsia"/>
                <w:color w:val="000000"/>
              </w:rPr>
              <w:t>标识的权威检测机构出具的测试报告，并附带详细功能测试结果截图。</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187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自动存储管理</w:t>
            </w:r>
          </w:p>
        </w:tc>
        <w:tc>
          <w:tcPr>
            <w:tcW w:w="10957" w:type="dxa"/>
            <w:gridSpan w:val="3"/>
            <w:tcBorders>
              <w:top w:val="single" w:color="auto" w:sz="4" w:space="0"/>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★数据库共享存储集群支持不依赖第三方的自动存储管理系统</w:t>
            </w:r>
            <w:r>
              <w:rPr>
                <w:rFonts w:ascii="Times New Roman" w:hAnsi="Times New Roman" w:cs="Times New Roman"/>
                <w:color w:val="000000"/>
              </w:rPr>
              <w:t>(ASM)</w:t>
            </w:r>
            <w:r>
              <w:rPr>
                <w:rFonts w:hint="eastAsia"/>
                <w:color w:val="000000"/>
              </w:rPr>
              <w:t>，支持创建、添加、删除磁盘组及在线添加磁盘，支持新建、删除、截断及动态扩展文件，提供工信部下属专业测评机构出具的测试报告。</w:t>
            </w:r>
          </w:p>
        </w:tc>
      </w:tr>
      <w:tr>
        <w:tblPrEx>
          <w:tblLayout w:type="fixed"/>
          <w:tblCellMar>
            <w:top w:w="0" w:type="dxa"/>
            <w:left w:w="108" w:type="dxa"/>
            <w:bottom w:w="0" w:type="dxa"/>
            <w:right w:w="108" w:type="dxa"/>
          </w:tblCellMar>
        </w:tblPrEx>
        <w:trPr>
          <w:trHeight w:val="114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188</w:t>
            </w:r>
          </w:p>
        </w:tc>
        <w:tc>
          <w:tcPr>
            <w:tcW w:w="1212" w:type="dxa"/>
            <w:vMerge w:val="restart"/>
            <w:tcBorders>
              <w:top w:val="nil"/>
              <w:left w:val="single" w:color="auto" w:sz="4" w:space="0"/>
              <w:bottom w:val="single" w:color="000000" w:sz="4" w:space="0"/>
              <w:right w:val="single" w:color="auto" w:sz="4" w:space="0"/>
            </w:tcBorders>
            <w:shd w:val="clear" w:color="auto" w:fill="auto"/>
            <w:vAlign w:val="center"/>
          </w:tcPr>
          <w:p>
            <w:pPr>
              <w:jc w:val="center"/>
              <w:rPr>
                <w:color w:val="000000"/>
              </w:rPr>
            </w:pPr>
            <w:r>
              <w:rPr>
                <w:rFonts w:hint="eastAsia"/>
                <w:color w:val="000000"/>
              </w:rPr>
              <w:t>服务器操作系统</w:t>
            </w:r>
          </w:p>
        </w:tc>
        <w:tc>
          <w:tcPr>
            <w:tcW w:w="1216"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功能要求</w:t>
            </w:r>
          </w:p>
        </w:tc>
        <w:tc>
          <w:tcPr>
            <w:tcW w:w="997"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*操作系统支持 多 CPU 架构</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*同源兼容多CPU平台架构</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操作系统支持同源兼容ARM、LoongArch、MIPS、SW64、x86 架构的CPU</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189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spacing w:after="240"/>
              <w:jc w:val="center"/>
              <w:rPr>
                <w:color w:val="000000"/>
              </w:rPr>
            </w:pPr>
            <w:r>
              <w:rPr>
                <w:rFonts w:hint="eastAsia"/>
                <w:color w:val="000000"/>
              </w:rPr>
              <w:br w:type="textWrapping"/>
            </w:r>
            <w:r>
              <w:rPr>
                <w:rFonts w:hint="eastAsia"/>
                <w:color w:val="000000"/>
              </w:rPr>
              <w:br w:type="textWrapping"/>
            </w:r>
            <w:r>
              <w:rPr>
                <w:rFonts w:hint="eastAsia"/>
                <w:color w:val="000000"/>
              </w:rPr>
              <w:br w:type="textWrapping"/>
            </w:r>
            <w:r>
              <w:rPr>
                <w:rFonts w:hint="eastAsia"/>
                <w:color w:val="000000"/>
              </w:rPr>
              <w:br w:type="textWrapping"/>
            </w:r>
            <w:r>
              <w:rPr>
                <w:rFonts w:hint="eastAsia"/>
                <w:color w:val="000000"/>
              </w:rPr>
              <w:br w:type="textWrapping"/>
            </w:r>
            <w:r>
              <w:rPr>
                <w:rFonts w:hint="eastAsia"/>
                <w:color w:val="000000"/>
              </w:rPr>
              <w:br w:type="textWrapping"/>
            </w:r>
            <w:r>
              <w:rPr>
                <w:rFonts w:hint="eastAsia"/>
                <w:color w:val="000000"/>
              </w:rPr>
              <w:br w:type="textWrapping"/>
            </w:r>
            <w:r>
              <w:rPr>
                <w:rFonts w:hint="eastAsia"/>
                <w:color w:val="000000"/>
              </w:rPr>
              <w:t>*操作系统支持CPU内置功能</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*多核支持</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操作系统支持双核及多核处理器，包括核间负载均衡、线程绑定等，并提供接口，通过访问接口获取运行状态和控制多核调度</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190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*CPU虚拟化支持</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操作系统支持CPU虚拟化技术</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191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*动态调节CPU运行频率</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操作系统根据负载情况，自动调节CPU的运行频率</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192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*支持多CPU</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支持跨路内存访问，支持CPU间负载均衡，支持并优化NUMA体系架构</w:t>
            </w:r>
          </w:p>
        </w:tc>
      </w:tr>
      <w:tr>
        <w:tblPrEx>
          <w:tblLayout w:type="fixed"/>
          <w:tblCellMar>
            <w:top w:w="0" w:type="dxa"/>
            <w:left w:w="108" w:type="dxa"/>
            <w:bottom w:w="0" w:type="dxa"/>
            <w:right w:w="108" w:type="dxa"/>
          </w:tblCellMar>
        </w:tblPrEx>
        <w:trPr>
          <w:trHeight w:val="154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193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*支持CPU内置安全功能</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操作系统支持CPU 硬件密码运算与随机数生成等功能；提供编程接口供应用程序调用；支持通过硬件指令判别临界区冲突；支持调用CPU 指令，实现自旋锁</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194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*安装部署</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*安装方式</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操作系统支持光盘安装、USB闪存盘安装、网络安装和无人值守安装</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195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*安装模式</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操作系统支持图形或文本安装模式</w:t>
            </w:r>
          </w:p>
        </w:tc>
      </w:tr>
      <w:tr>
        <w:tblPrEx>
          <w:tblLayout w:type="fixed"/>
          <w:tblCellMar>
            <w:top w:w="0" w:type="dxa"/>
            <w:left w:w="108" w:type="dxa"/>
            <w:bottom w:w="0" w:type="dxa"/>
            <w:right w:w="108" w:type="dxa"/>
          </w:tblCellMar>
        </w:tblPrEx>
        <w:trPr>
          <w:trHeight w:val="114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196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*安装过程配置</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操作系统支持安装界面文种设置、逻辑分区配置（如  LVM）、自定义分区设置、安装组件设置、时区设置、键盘布局设置、初始用户设置、计算机名设置和网络设置，支持通过 USB 闪存盘等方式加载硬件驱动、支持设置加密文件系统</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197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vMerge w:val="restart"/>
            <w:tcBorders>
              <w:top w:val="nil"/>
              <w:left w:val="single" w:color="auto" w:sz="4" w:space="0"/>
              <w:bottom w:val="single" w:color="000000" w:sz="4" w:space="0"/>
              <w:right w:val="single" w:color="auto" w:sz="4" w:space="0"/>
            </w:tcBorders>
            <w:shd w:val="clear" w:color="auto" w:fill="auto"/>
            <w:vAlign w:val="center"/>
          </w:tcPr>
          <w:p>
            <w:pPr>
              <w:jc w:val="center"/>
              <w:rPr>
                <w:color w:val="000000"/>
              </w:rPr>
            </w:pPr>
            <w:r>
              <w:rPr>
                <w:rFonts w:hint="eastAsia"/>
                <w:color w:val="000000"/>
              </w:rPr>
              <w:t>*系统引导</w:t>
            </w:r>
          </w:p>
        </w:tc>
        <w:tc>
          <w:tcPr>
            <w:tcW w:w="8148"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a )操作系统应支持 UEFI2.0 及以上规范固件引导，当计算机以 UEFI 模式启动安装时，安装程序应分配 ESP，并在 ESP中放置启动引导文件，使系统能以 UEFI模式引导；</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198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b)支持 bootloader引导，支持 MBR及GPT</w:t>
            </w:r>
          </w:p>
        </w:tc>
      </w:tr>
      <w:tr>
        <w:tblPrEx>
          <w:tblLayout w:type="fixed"/>
          <w:tblCellMar>
            <w:top w:w="0" w:type="dxa"/>
            <w:left w:w="108" w:type="dxa"/>
            <w:bottom w:w="0" w:type="dxa"/>
            <w:right w:w="108" w:type="dxa"/>
          </w:tblCellMar>
        </w:tblPrEx>
        <w:trPr>
          <w:trHeight w:val="66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199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*引导修复</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操作系统安装媒体提供系统引导修复功能，当已安装的系统引导被破坏时，可重建系统引导</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200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*引导参数编辑</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操作系统支持用户编辑引导参数，支持GRUB 口令保护</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201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*数据保护</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安装程序在安装执行前明确提示用户可能会删除已有数据，并提供退出/取消功能，当用户取消安装时，不改变硬盘上已有数据</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202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*分辨率自适应</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操作系统安装完成后应自动适配显示器最佳分辨率(文本模式除外)</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203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*安装配置正确 性校验</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操作系统安装和配置过程中，如用户自定义的某些配置可能会影响系统启动或正常使用，予以明确提示</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204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000000" w:sz="4" w:space="0"/>
              <w:right w:val="single" w:color="auto" w:sz="4" w:space="0"/>
            </w:tcBorders>
            <w:shd w:val="clear" w:color="auto" w:fill="auto"/>
            <w:vAlign w:val="center"/>
          </w:tcPr>
          <w:p>
            <w:pPr>
              <w:rPr>
                <w:color w:val="000000"/>
              </w:rPr>
            </w:pPr>
            <w:r>
              <w:rPr>
                <w:rFonts w:hint="eastAsia"/>
                <w:color w:val="000000"/>
              </w:rPr>
              <w:t>*系统内核</w:t>
            </w:r>
          </w:p>
        </w:tc>
        <w:tc>
          <w:tcPr>
            <w:tcW w:w="1812" w:type="dxa"/>
            <w:vMerge w:val="restart"/>
            <w:tcBorders>
              <w:top w:val="nil"/>
              <w:left w:val="single" w:color="auto" w:sz="4" w:space="0"/>
              <w:bottom w:val="single" w:color="000000" w:sz="4" w:space="0"/>
              <w:right w:val="single" w:color="auto" w:sz="4" w:space="0"/>
            </w:tcBorders>
            <w:shd w:val="clear" w:color="auto" w:fill="auto"/>
            <w:vAlign w:val="center"/>
          </w:tcPr>
          <w:p>
            <w:pPr>
              <w:jc w:val="center"/>
              <w:rPr>
                <w:color w:val="000000"/>
              </w:rPr>
            </w:pPr>
            <w:r>
              <w:rPr>
                <w:rFonts w:hint="eastAsia"/>
                <w:color w:val="000000"/>
              </w:rPr>
              <w:t>*内核要求</w:t>
            </w:r>
          </w:p>
        </w:tc>
        <w:tc>
          <w:tcPr>
            <w:tcW w:w="8148"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a)若操作系统是基于 Linux 内核的服务器操作系统应兼容 4.19 版内核</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205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8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b)若操作系统属于其他类型内核不做要求</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206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*进程、线程调度</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*NUMA</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操作系统支持基于 NUMA  的亲和调度</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207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*多核轮询</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 CPU 多核轮询调度</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208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*进程调度</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操作系统具备进程优先级动态调整能力，允许在进程运行时对优先级进行调整；区分实时进程与非实时进程，分别进行调度；支持进程运行状态检查</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209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*内存管理</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*内存容量</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操作系统支持最大内存不小于4TB</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210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*内存大页管理</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操作系统允许应用申请内存大页降低页表转换</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211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*NUMA</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 NUMA  近节点优化</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212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内存超分</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操作系统支持虚拟内存超分，提升内存的使用率</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213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*存储管理</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*RAID 支持</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操作系统支持硬 RAID 和软 RAID，支持软 RAID 级别 0、1、5、6、10</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214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*虚拟文件系统</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操作系统支持将不同功能的外部设备抽象为统一的文件操作接口，包括存储、输入输出设备</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215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*文件管理</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操作系统支持文件存储、检索和共享</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216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*可移动存储</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操作系统支持对可移动外部存储的管理，包括启停、禁用、恢复等</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217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*外部独立存储</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操作系统支持使用外部独立存储设备</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218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*多路径聚合</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操作系统支持存储多路径聚合及 I/O 动态负载均衡</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219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*故障检测</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操作系统支持硬盘损坏或老化检测及信息收集</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220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*虚拟内存</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操作系统支持将硬盘的特定分区或文件作为虚拟扩展内存用于存放内存数据，支持虚拟内存压缩</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221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*网络块设备挂 载</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 FCoE、iSCSI，支持将 Ceph块设备视为常规存储设备挂载到某个目录并作为标准文件系统使用</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222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存储缓存</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操作系统支持快速块设备作为慢速块设备缓存以加速 I/O</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223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*网络管理</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*网络链路检测</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操作系统支持网络链路故障检测、链路事件通知和链路状态查询</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224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*TCP 卸载引擎</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操作系统支持运行 TCP 协议卸载引擎的网卡</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225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*网络协议</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 IPv4、IPv6</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226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*多网卡绑定</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操作系统支持多网卡绑定</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227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用户态 TCP/IP 协议栈</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操作系统支持用户态 TCP/IP 协议栈</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228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*文件系统</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*文件系统支持</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 XFS、EXT3、EXT4、NTFS、FAT32  等文件系统，支持相应格式分区创建、删除、格式化等</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229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*日志式文件系统</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操作系统支持日志式文件系统</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230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*文件处理能力</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操作系统支持最大文件不小于4TB，最大分区与文件系统不小于10PB，最大文件名长度不小于 255 字节</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231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*分区大小调整</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操作系统支持动态调整分区大小，对系统分区容量进行改变</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232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授权激活</w:t>
            </w:r>
          </w:p>
        </w:tc>
        <w:tc>
          <w:tcPr>
            <w:tcW w:w="1812"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产品许可机制</w:t>
            </w:r>
          </w:p>
        </w:tc>
        <w:tc>
          <w:tcPr>
            <w:tcW w:w="8148"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a)操作系统支持序列号授权、批量激活服务、场地授权等方式；未激活期间，系统不得频繁提示干扰用户正常使用；未激活系统不得影响用户数据安全与完整性；</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233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b)免激活的系统不适用</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234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*应用开发运行环境</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*集成开发环境/ 开发框架</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操作系统通过内置、软件仓库或附加光盘等方式提供开发环境，包括 Qt、Eclipse、VSCode 等</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235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*开发工具库</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操作系统通过内置、软件仓库或附加光盘等方式提供开发库，包括GNUC、GNUC++、Java、Qt、Gtk+、Cairo、OpenGL、Perl、Python、Ruby、Rust、Golang、JS 等</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236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*编译器开发工 具</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操作系统通过内置、软件仓库或附加光盘等方式提供编译开发工具，包括GCC、G++、Binutils、GDB、Make、CMake  等</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237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*文本编辑工具</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操作系统通过内置、软件仓库或附加光盘等方式提供文本编辑工具，包括Emacs、Vim 等</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238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*软件包管理</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操作系统支持查询软件包描述和包含文件，以及软件包依赖；支持在安装时自动提示并下载安装缺失的依赖软件包</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239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*开发文档</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供应商应提供软件开发参考文档、驱动开发参考文档、应用移植开发文档、API文档</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240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*服务支持</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*网络服务</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 TCP/UDP</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241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*网络共享</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操作系统支持基于 NFS、SMB、FTP、CIFS</w:t>
            </w:r>
            <w:r>
              <w:rPr>
                <w:rFonts w:hint="eastAsia"/>
                <w:color w:val="000000"/>
              </w:rPr>
              <w:br w:type="textWrapping"/>
            </w:r>
            <w:r>
              <w:rPr>
                <w:rFonts w:hint="eastAsia"/>
                <w:color w:val="000000"/>
              </w:rPr>
              <w:t>等协议的数据网络共享服务</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242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*WEB 服务</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操作系统支持基于 HTTP、HTTPS、FastCGI 等协议 WEB 服务</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243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*加密传输服务</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操作系统支持基于 IPSec 和 SSL 协议的</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244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*数字证书服务</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操作系统支持基于 PKI 体系的数字证书服务</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245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*访问控制服务</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操作系统支持基于  RBAC(基于角色的访</w:t>
            </w:r>
            <w:r>
              <w:rPr>
                <w:rFonts w:hint="eastAsia"/>
                <w:color w:val="000000"/>
              </w:rPr>
              <w:br w:type="textWrapping"/>
            </w:r>
            <w:r>
              <w:rPr>
                <w:rFonts w:hint="eastAsia"/>
                <w:color w:val="000000"/>
              </w:rPr>
              <w:t>问控制)机制的访问控制服务</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246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*网络管理服务</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操作系统支持基于   SNMP、NETCONF、</w:t>
            </w:r>
            <w:r>
              <w:rPr>
                <w:rFonts w:hint="eastAsia"/>
                <w:color w:val="000000"/>
              </w:rPr>
              <w:br w:type="textWrapping"/>
            </w:r>
            <w:r>
              <w:rPr>
                <w:rFonts w:hint="eastAsia"/>
                <w:color w:val="000000"/>
              </w:rPr>
              <w:t>RESTCONF  等协议的网络管理服务</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247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*时间同步服务</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操作系统支持基于 NTP 协议网络时间同步服务</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248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*远程连接服务</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 RPC、rsync、SSH 等远程服务</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249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*邮件服务</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操作系统支持基于 SMTP、POP3、IMAP等的邮件服务</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250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*身份鉴别服务</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操作系统支持基于轻量级目录访问协议的统一身份鉴别服务</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251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br w:type="textWrapping"/>
            </w:r>
            <w:r>
              <w:rPr>
                <w:rFonts w:hint="eastAsia"/>
                <w:color w:val="000000"/>
              </w:rPr>
              <w:br w:type="textWrapping"/>
            </w:r>
            <w:r>
              <w:rPr>
                <w:rFonts w:hint="eastAsia"/>
                <w:color w:val="000000"/>
              </w:rPr>
              <w:t>*数据存储和查询服务</w:t>
            </w:r>
          </w:p>
        </w:tc>
        <w:tc>
          <w:tcPr>
            <w:tcW w:w="8148"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操作系统支持结构化和非结构化格式数据的存储和查询服务</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252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操作系统支持块、文件、对象等类型的数据存储服务</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253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   SQL、NoSQL、键值等类型的数据库</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254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*存储服务</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操作系统支持多种传输速率和存储协议的 SAN 和 NAS 存储</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255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*集群支持</w:t>
            </w:r>
          </w:p>
        </w:tc>
        <w:tc>
          <w:tcPr>
            <w:tcW w:w="8148"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操作系统支持服务基于主备机制的分布式集群、高可用集群的部署模式</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256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操作系统支持服务基于分布式通信协议的分布式集群、高可用集群的部署模式</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257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操作系统支持基于虚拟路由器冗余协议的高可用集群部署模式</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258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*分布式服务</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操作系统支持基于同步、异步请求处理机制的分布式服务</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259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*负载均衡模式</w:t>
            </w:r>
          </w:p>
        </w:tc>
        <w:tc>
          <w:tcPr>
            <w:tcW w:w="8148"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操作系统支持基于 OSI 模型的 4/7 层和</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260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操作系统支持基于不同调度算法的负载均衡模式</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261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*高可用服务</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操作系统提供对 HA 的支持，支持多种集群配置模式，包括主主模式、主备模式、N+1 模式和 N+M 模式，支持资源及节点故障检测</w:t>
            </w:r>
          </w:p>
        </w:tc>
      </w:tr>
      <w:tr>
        <w:tblPrEx>
          <w:tblLayout w:type="fixed"/>
          <w:tblCellMar>
            <w:top w:w="0" w:type="dxa"/>
            <w:left w:w="108" w:type="dxa"/>
            <w:bottom w:w="0" w:type="dxa"/>
            <w:right w:w="108" w:type="dxa"/>
          </w:tblCellMar>
        </w:tblPrEx>
        <w:trPr>
          <w:trHeight w:val="67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262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开源组件</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开源数据库</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供应商可通过安装镜像内置、软件仓库或附加光盘等方式提供开源数据库，并对提供的开源组件进行签名认证，确保组件的安全性、稳定性、可靠性</w:t>
            </w:r>
          </w:p>
        </w:tc>
      </w:tr>
      <w:tr>
        <w:tblPrEx>
          <w:tblLayout w:type="fixed"/>
          <w:tblCellMar>
            <w:top w:w="0" w:type="dxa"/>
            <w:left w:w="108" w:type="dxa"/>
            <w:bottom w:w="0" w:type="dxa"/>
            <w:right w:w="108" w:type="dxa"/>
          </w:tblCellMar>
        </w:tblPrEx>
        <w:trPr>
          <w:trHeight w:val="75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263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开源中间件</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供应商可通过安装镜像内置、软件仓库或附加光盘等方式提供开源中间件，并对提供的开源组件进行签名认证，确保组件的安全性、稳定性、可靠性</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264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单机虚拟化管理</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供应商可通过安装镜像内置、软件仓库或附加光盘等方式提供开源单机虚拟化管理软件，并对提供的开源组件进行签名认证，确保组件的安全性、稳定性、可靠性</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265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容器虚拟化软件</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供应商可通过安装镜像内置、软件仓库或附加光盘等方式提供开源容器虚拟化软件，并对提供的开源组件进行签名认证，确保组件的安全性、稳定性、可靠性</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266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容器管理工具</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供应商可通过安装镜像内置、软件仓库 或附加光盘等方式提供开源容器管理 工具，并对提供的开源组件进行签名认 证，确保组件的安全性、稳定性、可靠性</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267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分布式存储软件</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供应商可通过安装镜像内置、软件仓库或附加光盘等方式提供开源分布式存储软件，并对提供的开源组件进行签名认证，确保组件的安全性、稳定性、可靠性</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268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云计算管理平台</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供应商可通过安装镜像内置、软件仓库或附加光盘等方式提供开源云计算管理平台，并对提供的开源组件进行签名认证，确保组件的安全性、稳定性、可靠性</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269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*虚拟化</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*虚拟化部署</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操作系统支持在 KVM、Xen、Hyper-V 虚拟机上安装部署操作系统</w:t>
            </w:r>
          </w:p>
        </w:tc>
      </w:tr>
      <w:tr>
        <w:tblPrEx>
          <w:tblLayout w:type="fixed"/>
          <w:tblCellMar>
            <w:top w:w="0" w:type="dxa"/>
            <w:left w:w="108" w:type="dxa"/>
            <w:bottom w:w="0" w:type="dxa"/>
            <w:right w:w="108" w:type="dxa"/>
          </w:tblCellMar>
        </w:tblPrEx>
        <w:trPr>
          <w:trHeight w:val="342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270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br w:type="textWrapping"/>
            </w:r>
            <w:r>
              <w:rPr>
                <w:rFonts w:hint="eastAsia"/>
                <w:color w:val="000000"/>
              </w:rPr>
              <w:t>*内核虚拟化 (KVM)</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操作系统支持KVM虚拟化：</w:t>
            </w:r>
            <w:r>
              <w:rPr>
                <w:rFonts w:hint="eastAsia"/>
                <w:color w:val="000000"/>
              </w:rPr>
              <w:br w:type="textWrapping"/>
            </w:r>
            <w:r>
              <w:rPr>
                <w:rFonts w:hint="eastAsia"/>
                <w:color w:val="000000"/>
              </w:rPr>
              <w:t>对虚拟机进行启、停等管理操作；对虚拟机硬盘做快照并从快照恢复；兼容qemu、libvirt 标准接口；支持 UEFI 或legacy BIOS 方式启动；</w:t>
            </w:r>
            <w:r>
              <w:rPr>
                <w:rFonts w:hint="eastAsia"/>
                <w:color w:val="000000"/>
              </w:rPr>
              <w:br w:type="textWrapping"/>
            </w:r>
            <w:r>
              <w:rPr>
                <w:rFonts w:hint="eastAsia"/>
                <w:color w:val="000000"/>
              </w:rPr>
              <w:t>支持虚拟时钟 arch-timer；支持虚拟鼠标、键盘、触控板、声卡、显卡、硬盘、CDROM、串口 pty/pipe/file 等设备；</w:t>
            </w:r>
            <w:r>
              <w:rPr>
                <w:rFonts w:hint="eastAsia"/>
                <w:color w:val="000000"/>
              </w:rPr>
              <w:br w:type="textWrapping"/>
            </w:r>
            <w:r>
              <w:rPr>
                <w:rFonts w:hint="eastAsia"/>
                <w:color w:val="000000"/>
              </w:rPr>
              <w:t>支持 Virtio 协议下的虚拟设备，包括串口、blk 驱动硬盘、SCSI 驱动硬盘、不同后端控制器类型的 Virtio 网卡(包括内核态、用户态、qemu)、GPU、vsock设备等；支持硬盘和网卡选择类型VFIO设备；支持虚拟机  CPU、内存、网卡、硬盘等离线调整；支持虚拟机网卡、硬盘、USB 设备热插拔；支持 PCI/PCIE 设备直通；支持虚拟机热迁移和加密传输；支持虚拟机远程访问；支持虚拟机</w:t>
            </w:r>
            <w:r>
              <w:rPr>
                <w:rFonts w:hint="eastAsia"/>
                <w:color w:val="000000"/>
              </w:rPr>
              <w:br w:type="textWrapping"/>
            </w:r>
            <w:r>
              <w:rPr>
                <w:rFonts w:hint="eastAsia"/>
                <w:color w:val="000000"/>
              </w:rPr>
              <w:t>CPU 和 I/O 线程绑定</w:t>
            </w:r>
          </w:p>
        </w:tc>
      </w:tr>
      <w:tr>
        <w:tblPrEx>
          <w:tblLayout w:type="fixed"/>
          <w:tblCellMar>
            <w:top w:w="0" w:type="dxa"/>
            <w:left w:w="108" w:type="dxa"/>
            <w:bottom w:w="0" w:type="dxa"/>
            <w:right w:w="108" w:type="dxa"/>
          </w:tblCellMar>
        </w:tblPrEx>
        <w:trPr>
          <w:trHeight w:val="142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271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*KVM 虚拟机管理</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操作系统支持虚拟机对主机的访问控制；虚拟机可以拥有独立的物理资源，且各个虚拟机之间严格隔离；支持大页内存运行虚拟机；支持三种 CPU 型号模拟模式，包括直通、宿主模型、自定义；</w:t>
            </w:r>
            <w:r>
              <w:rPr>
                <w:rFonts w:hint="eastAsia"/>
                <w:color w:val="000000"/>
              </w:rPr>
              <w:br w:type="textWrapping"/>
            </w:r>
            <w:r>
              <w:rPr>
                <w:rFonts w:hint="eastAsia"/>
                <w:color w:val="000000"/>
              </w:rPr>
              <w:t>支持虚拟机资源调配控制，包括Numa、CPU、内存、I/O、网卡；支持  CPU  拓扑模拟和透传</w:t>
            </w:r>
          </w:p>
        </w:tc>
      </w:tr>
      <w:tr>
        <w:tblPrEx>
          <w:tblLayout w:type="fixed"/>
          <w:tblCellMar>
            <w:top w:w="0" w:type="dxa"/>
            <w:left w:w="108" w:type="dxa"/>
            <w:bottom w:w="0" w:type="dxa"/>
            <w:right w:w="108" w:type="dxa"/>
          </w:tblCellMar>
        </w:tblPrEx>
        <w:trPr>
          <w:trHeight w:val="256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272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*容器</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*容器虚拟化</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   OCI；支持进程命名空间隔离技术包括不限于 mnt、pid、ipc、uts、user、network 等；支持在同 CPU指令架构下的不同规格硬件上无缝分发，保障运行兼容性；支持沙箱扩展；</w:t>
            </w:r>
            <w:r>
              <w:rPr>
                <w:rFonts w:hint="eastAsia"/>
                <w:color w:val="000000"/>
              </w:rPr>
              <w:br w:type="textWrapping"/>
            </w:r>
            <w:r>
              <w:rPr>
                <w:rFonts w:hint="eastAsia"/>
                <w:color w:val="000000"/>
              </w:rPr>
              <w:t>支持面向容器的独立逻辑文件管理，具备在容器创建时指定专用根文件夹，容器内进程文件访问重定向等功能；支持日志查询功能；支持通过控制终端对容器内主进程的标准输入输出对接交互；</w:t>
            </w:r>
            <w:r>
              <w:rPr>
                <w:rFonts w:hint="eastAsia"/>
                <w:color w:val="000000"/>
              </w:rPr>
              <w:br w:type="textWrapping"/>
            </w:r>
            <w:r>
              <w:rPr>
                <w:rFonts w:hint="eastAsia"/>
                <w:color w:val="000000"/>
              </w:rPr>
              <w:t>支持通过控制终端对容器内新建进程的标准输入输出对接交互；支持容器存储卷管理（新增、删除、卷容量配置、自动回收）、卷共享；支持面向容器的网络设备资源分配和使用；支持CNI；支持容器获取物理节点资源信息</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273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*容器镜像和存</w:t>
            </w:r>
            <w:r>
              <w:rPr>
                <w:rFonts w:hint="eastAsia"/>
                <w:color w:val="000000"/>
              </w:rPr>
              <w:br w:type="textWrapping"/>
            </w:r>
            <w:r>
              <w:rPr>
                <w:rFonts w:hint="eastAsia"/>
                <w:color w:val="000000"/>
              </w:rPr>
              <w:t>储管理</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操作系统支持容器镜像导入、导出；支持容器镜像分层保存、导入</w:t>
            </w:r>
          </w:p>
        </w:tc>
      </w:tr>
      <w:tr>
        <w:tblPrEx>
          <w:tblLayout w:type="fixed"/>
          <w:tblCellMar>
            <w:top w:w="0" w:type="dxa"/>
            <w:left w:w="108" w:type="dxa"/>
            <w:bottom w:w="0" w:type="dxa"/>
            <w:right w:w="108" w:type="dxa"/>
          </w:tblCellMar>
        </w:tblPrEx>
        <w:trPr>
          <w:trHeight w:val="313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274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*容器资源隔离 和调配</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操作系统支持容器资源在线调整，包括CPU 资源、内存资源、I/O 资源等；支持文件配额分配、存储带宽资源使用量监控等机制，实现容器级 I/O 控制能力；</w:t>
            </w:r>
            <w:r>
              <w:rPr>
                <w:rFonts w:hint="eastAsia"/>
                <w:color w:val="000000"/>
              </w:rPr>
              <w:br w:type="textWrapping"/>
            </w:r>
            <w:r>
              <w:rPr>
                <w:rFonts w:hint="eastAsia"/>
                <w:color w:val="000000"/>
              </w:rPr>
              <w:t>支持面向容器的网络带宽调度策略，实现容器级网络带宽分配、使用量监控等机制；支持面向容器的存储空间使用监控、分配机制；支持容器 CPU 核独占；</w:t>
            </w:r>
            <w:r>
              <w:rPr>
                <w:rFonts w:hint="eastAsia"/>
                <w:color w:val="000000"/>
              </w:rPr>
              <w:br w:type="textWrapping"/>
            </w:r>
            <w:r>
              <w:rPr>
                <w:rFonts w:hint="eastAsia"/>
                <w:color w:val="000000"/>
              </w:rPr>
              <w:t>支持面向容器的 CPU 时间片资源按需划分机制；支持面向容器的内存分配和回收机制，实现内存使用量跟踪和管理；</w:t>
            </w:r>
            <w:r>
              <w:rPr>
                <w:rFonts w:hint="eastAsia"/>
                <w:color w:val="000000"/>
              </w:rPr>
              <w:br w:type="textWrapping"/>
            </w:r>
            <w:r>
              <w:rPr>
                <w:rFonts w:hint="eastAsia"/>
                <w:color w:val="000000"/>
              </w:rPr>
              <w:t>支持同一集群在线、离线业务混合部署；支持对容器的编排、负载均衡、调度等能力；支持根据容器在线与离线混合部署状态进行资源优先调度，提高计算机资源利用率</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275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易用性要求</w:t>
            </w: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*中文支持</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*字符编码集</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操作系统应符合GB18030的要求</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276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*中文帮助文档</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操作系统内置中文帮助文档</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277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tcPr>
          <w:p>
            <w:pPr>
              <w:rPr>
                <w:color w:val="000000"/>
              </w:rPr>
            </w:pPr>
            <w:r>
              <w:rPr>
                <w:rFonts w:hint="eastAsia"/>
                <w:color w:val="000000"/>
              </w:rPr>
              <w:t>多语言图形界面</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操作系统的多文种图形用户界面应支持GB 18030规定</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278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中文图形界面</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操作系统支持中文图形操作界面</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279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*管理工具</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*系统信息查看 工具</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操作系统支持查看系统版本、内核版本、内存容量、CPU型号等信息</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280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*网络管理工具</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操作系统支持多网口自动连接、网络地址（常被称为“IP  地址”）设置、DNS设置、路由设置；支持多网卡链路聚合，模式类型包括但不仅限于轮询、主备、802.3AD 动态链路聚合</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281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*日期和时间管 理工具</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操作系统可设置时间同步服务器地址，支持局域网和广域网的同步设置</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282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*日志服务管理 工具</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操作系统支持收集系统日志</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283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*帐户管理工具</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操作系统支持帐户添加、删除、属性修 改等</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284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*用户操作审计 工具</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操作系统支持用户操作痕迹查询</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285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*存储管理工具</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   EXT、XFS、NTFS、FAT、 SWAP  等多种格式的分区管理</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286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*SNMP 协议工具</w:t>
            </w:r>
            <w:r>
              <w:rPr>
                <w:rFonts w:hint="eastAsia"/>
                <w:color w:val="000000"/>
              </w:rPr>
              <w:br w:type="textWrapping"/>
            </w:r>
            <w:r>
              <w:rPr>
                <w:rFonts w:hint="eastAsia"/>
                <w:color w:val="000000"/>
              </w:rPr>
              <w:t>包</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 SNMP 设备和操作信息检</w:t>
            </w:r>
            <w:r>
              <w:rPr>
                <w:rFonts w:hint="eastAsia"/>
                <w:color w:val="000000"/>
              </w:rPr>
              <w:br w:type="textWrapping"/>
            </w:r>
            <w:r>
              <w:rPr>
                <w:rFonts w:hint="eastAsia"/>
                <w:color w:val="000000"/>
              </w:rPr>
              <w:t>索</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287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*文本终端连接 工具</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操作系统支持多终端协同管理</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288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*服务管理工具 集</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操作系统支持服务启动与停止，查看服务状态及日志，查询服务启动顺序及依赖关系</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289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*配置管理工具</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操作系统提供配置管理工具，可以简化 任务配置及服务管理</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290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*监控管理工具</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操作系统支持监控系统资源使用情况，包含 CPU、内存、存储 I/O、网络 I/O等</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291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*守护进程</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操作系统支持按需启动守护进程，用户可自定义设定需求守护的进程，如遇异常可重新加载，实现应用持续运行</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292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兼容性要求</w:t>
            </w: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基础组件兼容</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*版本兼容</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操作系统基础运行库或开发环境向后（向下）兼容，即系统版本升级后，能兼容上一版本所运行的软件与设备</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293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*兼容周期</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操作系统主版本兼容维护时间自发布之日起不低于 5 年，包括但不限于安全修复、功能升级、新硬件支持等</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294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兼容方式</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操作系统支持以增量升级包的方式实 现版本更新</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295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*运行环境</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*文件系统层次 结构</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供应商应给出长期兼容支持的文件系 统层次结构</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296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*运行库</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供应商应给出长期兼容支持的运行库</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297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*命令</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供应商应给出长期兼容支持的常用命 令</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298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软件包格式</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br w:type="textWrapping"/>
            </w:r>
            <w:r>
              <w:rPr>
                <w:rFonts w:hint="eastAsia"/>
                <w:color w:val="000000"/>
              </w:rPr>
              <w:t>软件包格式转换</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 RPM 或 DEB 格式的软件包，当系统不支持 RPM 或 DEB 格式的软件包时，提供工具对软件包格式进行转换</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299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*软件兼容</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*集群软件</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供应商提供兼容的集群软件清单，且至少兼容一款产品</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300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*虚拟化云平台</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供应商提供兼容的虚拟化平台软件清 单，且至少兼容三款产品</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301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*容器云</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供应商提供兼容的容器云软件清单，且至少兼容三款产品</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302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*存储软件</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供应商提供兼容的存储软件清单，且至少兼容一款产品</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303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*数据库管理系 统</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供应商提供兼容的数据库软件清单，且至少兼容三款产品</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304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*中间件</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供应商提供兼容的中间件软件清单，且至少兼容三款产品</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305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*运维平台</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供应商提供兼容的运维平台软件清单，且至少兼容一款产品</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306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*备份软件</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供应商提供兼容的备份恢复软件清单，且至少兼容一款产品</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307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*大数据平台</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供应商提供兼容的大数据平台软件清 单，且至少兼容一款产品</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308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*终端防护及杀 毒</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供应商提供兼容的终端防护及杀毒软件清单，且至少兼容一款产品</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309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*网络防护</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供应商提供兼容的网络防护软件清单，且至少兼容一款产品</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310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*身份认证</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供应商提供兼容的身份认证软件清单，且至少兼容一款产品</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311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*硬件兼容</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*服务器整机</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供应商提供兼容的服务器整机品牌及 型号清单，且至少兼容一款产品</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312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*AI 服务器</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供应商提供兼容的 AI 服务器整机品牌 及型号清单，且至少兼容一款产品</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313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*存储</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供应商提供兼容的存储服务器整机品 牌及型号清单，且至少兼容一款产品</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314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*部件兼容</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供应商提供兼容的系统总线、HBA  卡、RAID 卡、网卡、光纤卡、AI 加速卡、GPU、NPU 等品牌及型号清单</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315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可靠性要求</w:t>
            </w:r>
          </w:p>
        </w:tc>
        <w:tc>
          <w:tcPr>
            <w:tcW w:w="997"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*稳定性</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*操作系统连续 运行 168 小时</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操作系统高负载下连续常态运行168小时无故障</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316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*备份还原</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*备份还原</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操作系统提供备份还原功能，支持生成系统状态快照及恢复系统状态</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317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*内存纠错</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*内存纠错</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操作系统支持DDR3、DDR4 等内存上的 ECC  查错、纠错</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318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*热插拔</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CPU 热插拔</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硬件支持时，操作系统支持 CPU 热插拔</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319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内存热插拔</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硬件支持时，操作系统支持内存热插拔</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320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*硬盘热插拔</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硬件支持时，操作系统支持硬盘热插拔</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321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可维护性要求</w:t>
            </w: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*维护工具</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*远程维护</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操作系统提供远程控制管理工具，支持RDP、SSH、SPICE、VNC  等协议，方便用户进行文本或图形化形式的远程连接及维护</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322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*文件完整检查</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操作系统提供文件系统检查工具，对文 件系统完整性进行检测和修复</w:t>
            </w:r>
          </w:p>
        </w:tc>
      </w:tr>
      <w:tr>
        <w:tblPrEx>
          <w:tblLayout w:type="fixed"/>
          <w:tblCellMar>
            <w:top w:w="0" w:type="dxa"/>
            <w:left w:w="108" w:type="dxa"/>
            <w:bottom w:w="0" w:type="dxa"/>
            <w:right w:w="108" w:type="dxa"/>
          </w:tblCellMar>
        </w:tblPrEx>
        <w:trPr>
          <w:trHeight w:val="114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323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*内核分析</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操作系统提供内核性能分析工具，提供</w:t>
            </w:r>
            <w:r>
              <w:rPr>
                <w:rFonts w:hint="eastAsia"/>
                <w:color w:val="000000"/>
              </w:rPr>
              <w:br w:type="textWrapping"/>
            </w:r>
            <w:r>
              <w:rPr>
                <w:rFonts w:hint="eastAsia"/>
                <w:color w:val="000000"/>
              </w:rPr>
              <w:t>性能分析框架，支持对内核函数层面进</w:t>
            </w:r>
            <w:r>
              <w:rPr>
                <w:rFonts w:hint="eastAsia"/>
                <w:color w:val="000000"/>
              </w:rPr>
              <w:br w:type="textWrapping"/>
            </w:r>
            <w:r>
              <w:rPr>
                <w:rFonts w:hint="eastAsia"/>
                <w:color w:val="000000"/>
              </w:rPr>
              <w:t>行分析；提供内核探测工具，支持对内</w:t>
            </w:r>
            <w:r>
              <w:rPr>
                <w:rFonts w:hint="eastAsia"/>
                <w:color w:val="000000"/>
              </w:rPr>
              <w:br w:type="textWrapping"/>
            </w:r>
            <w:r>
              <w:rPr>
                <w:rFonts w:hint="eastAsia"/>
                <w:color w:val="000000"/>
              </w:rPr>
              <w:t>核及用户态程序动态追踪</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324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集中管可控</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操作系统提供集中管控工具，支持对区域内服务器操作系统进行集中管理维护</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325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兼容性评价</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操作系统提供软硬件兼容性检查工具，自动分析应用软件、硬件兼容性，定位兼容性问题；提供操作系统跨版本兼容性分析工具，在迁移前检查分析软硬件，定位兼容性问题。</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326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性能调优</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操作系统提供性能测试调优工具，按系统工作特点（如计算为主、存储为主等）自动优化系统配置</w:t>
            </w:r>
          </w:p>
        </w:tc>
      </w:tr>
      <w:tr>
        <w:tblPrEx>
          <w:tblLayout w:type="fixed"/>
          <w:tblCellMar>
            <w:top w:w="0" w:type="dxa"/>
            <w:left w:w="108" w:type="dxa"/>
            <w:bottom w:w="0" w:type="dxa"/>
            <w:right w:w="108" w:type="dxa"/>
          </w:tblCellMar>
        </w:tblPrEx>
        <w:trPr>
          <w:trHeight w:val="171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327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*日志管理</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*日志记录与存储</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对安全事件的日志记录，包括帐户增删改、成功登录、失败登录、敏感服务开启关闭、配置修改等，日志信息详实，包括所属用户、访问时间、访问地址等；支持内核异常日志信息的记录和存储；支持内核崩溃转储机制，系统崩溃时可收集整个内存信息；支持</w:t>
            </w:r>
            <w:r>
              <w:rPr>
                <w:rFonts w:hint="eastAsia"/>
                <w:color w:val="000000"/>
              </w:rPr>
              <w:br w:type="textWrapping"/>
            </w:r>
            <w:r>
              <w:rPr>
                <w:rFonts w:hint="eastAsia"/>
                <w:color w:val="000000"/>
              </w:rPr>
              <w:t>配置远程日志功能，可将指定日志内容归档到日志服务器；支持对日志功能进行访问控制，防止未经授权的访问</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328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*日志处理与分析</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操作系统提供系统错误问题回溯分析工具，对系统崩溃问题及错误问题进行回溯；支持日志切分、一键收集、转储、同步机制</w:t>
            </w:r>
          </w:p>
        </w:tc>
      </w:tr>
      <w:tr>
        <w:tblPrEx>
          <w:tblLayout w:type="fixed"/>
          <w:tblCellMar>
            <w:top w:w="0" w:type="dxa"/>
            <w:left w:w="108" w:type="dxa"/>
            <w:bottom w:w="0" w:type="dxa"/>
            <w:right w:w="108" w:type="dxa"/>
          </w:tblCellMar>
        </w:tblPrEx>
        <w:trPr>
          <w:trHeight w:val="256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329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*脆弱性管理</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*脆弱性管理</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提供故障管理框架，内置故障分析专家系统，可与外部同类型系统互联；具备故障响应、故障警告功能，提供用户接口，支持故障响应、警告信息分发；支持故障管理守护进程，使用统一的传输信道或机制上报故障信息；具备硬件故障信息捕获、紧急处理功能，</w:t>
            </w:r>
            <w:r>
              <w:rPr>
                <w:rFonts w:hint="eastAsia"/>
                <w:color w:val="000000"/>
              </w:rPr>
              <w:br w:type="textWrapping"/>
            </w:r>
            <w:r>
              <w:rPr>
                <w:rFonts w:hint="eastAsia"/>
                <w:color w:val="000000"/>
              </w:rPr>
              <w:t>包括 CPU、内存及 PCIe 设备等硬件的故障；支持诊断/响应组件动态加载机制；</w:t>
            </w:r>
            <w:r>
              <w:rPr>
                <w:rFonts w:hint="eastAsia"/>
                <w:color w:val="000000"/>
              </w:rPr>
              <w:br w:type="textWrapping"/>
            </w:r>
            <w:r>
              <w:rPr>
                <w:rFonts w:hint="eastAsia"/>
                <w:color w:val="000000"/>
              </w:rPr>
              <w:t>提供或支持第三方远程诊断框架及调测工具集，实现远程诊断及调试断点功能；</w:t>
            </w:r>
            <w:r>
              <w:rPr>
                <w:rFonts w:hint="eastAsia"/>
                <w:color w:val="000000"/>
              </w:rPr>
              <w:br w:type="textWrapping"/>
            </w:r>
            <w:r>
              <w:rPr>
                <w:rFonts w:hint="eastAsia"/>
                <w:color w:val="000000"/>
              </w:rPr>
              <w:t>支持物理机、虚拟机中操作系统的故障恢复</w:t>
            </w:r>
          </w:p>
        </w:tc>
      </w:tr>
      <w:tr>
        <w:tblPrEx>
          <w:tblLayout w:type="fixed"/>
          <w:tblCellMar>
            <w:top w:w="0" w:type="dxa"/>
            <w:left w:w="108" w:type="dxa"/>
            <w:bottom w:w="0" w:type="dxa"/>
            <w:right w:w="108" w:type="dxa"/>
          </w:tblCellMar>
        </w:tblPrEx>
        <w:trPr>
          <w:trHeight w:val="114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330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*热补丁</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*热补丁</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对内核热补丁进行编号，每个热补丁拥有独立编号；支持增量修复以及回滚机制；提供热补丁合法性和一致性校验功能；提供热补丁管理机制和工具，功能至少覆盖补丁查询、安装、移除；提供热补丁升级和回滚系统日志，便于查询或回溯</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331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*系统升级</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*升级内容</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操作系统支持系统增量升级功能，对系 统部件、安全补丁等升级</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332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*升级方式</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操作系统支持在线升级和离线升级</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333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*数据保护</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操作系统升级不得修改破坏用户数据</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334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*兼容性</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操作系统升级不得影响原有软硬件兼 容性，如有影响应显式的提示告知用户</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335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*回退</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操作系统提供升级回退机制，能卸载已升级的软件包，恢复系统原有状态，如升级为不可回退，则系统升级前以显式的提示告知用户</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336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服务要求</w:t>
            </w:r>
          </w:p>
        </w:tc>
        <w:tc>
          <w:tcPr>
            <w:tcW w:w="997"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*交付方式</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*交付方式</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供应商提供光盘、USB  闪存盘、镜像文件（下载）等交付方式</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337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*服务周期</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*产品维护周期</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产品自发布之日起至产品停止功能升级（包含不限于新特性、新硬件支持、问题修复、安全补丁等）之日止≥5 年</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338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*产品延伸服务 周期</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产品停止功能升级之日起至产品停止功能维护（包括问题修复、安全补丁等）之日止≥5年</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339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*产品延伸安全 服务周期</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≥3 年</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340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*售后服务最小 保障期</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≥8 年</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341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*售后服务</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*原厂服务</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服务由操作系统厂商的正式员工提供，不由代理商提供</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342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*服务热线电话</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操作系统厂商为最终用户提供工作日每日不少于 8h（覆盖一般工作时间，具体时间由企业标准给出）中文技术服务热线</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343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*技术服务标准</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操作系统厂商提供工作日每日不少于 8h技术支持服务</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344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定制优化增值服 务</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操作系统厂商提供代码级定制优化服务</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345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*技术服务时效</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操作系统厂商满足同城 4h、异地 12h响要求，两个工作日解决问题，对于未能解决的问题和故障提供可行的升级方案</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346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*技术服务保障</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发生非人为因素故障，在七日内由操作系统厂商原厂人员免费对产品进行补充或更换</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347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spacing w:after="240"/>
              <w:jc w:val="center"/>
              <w:rPr>
                <w:color w:val="000000"/>
              </w:rPr>
            </w:pPr>
            <w:r>
              <w:rPr>
                <w:rFonts w:hint="eastAsia"/>
                <w:color w:val="000000"/>
              </w:rPr>
              <w:br w:type="textWrapping"/>
            </w:r>
            <w:r>
              <w:rPr>
                <w:rFonts w:hint="eastAsia"/>
                <w:color w:val="000000"/>
              </w:rPr>
              <w:br w:type="textWrapping"/>
            </w:r>
            <w:r>
              <w:rPr>
                <w:rFonts w:hint="eastAsia"/>
                <w:color w:val="000000"/>
              </w:rPr>
              <w:br w:type="textWrapping"/>
            </w:r>
            <w:r>
              <w:rPr>
                <w:rFonts w:hint="eastAsia"/>
                <w:color w:val="000000"/>
              </w:rPr>
              <w:t>*现场交付与安装调试</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*现场安装调试</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操作系统厂商提供产品安装与现场调试，并提供安装与调试所需的工具和设备</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348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*配套资料</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交付产品时操作系统厂商提供配套的技术资料，包括但不限于系统说明文件、用户手册（用户安装、操作、维护、故障排除）等</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349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*系统更换</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*系统更换</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服务期内，操作系统厂商支持版本免费 更换（注：更换后不延长服务期）</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350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br w:type="textWrapping"/>
            </w:r>
            <w:r>
              <w:rPr>
                <w:rFonts w:hint="eastAsia"/>
                <w:color w:val="000000"/>
              </w:rPr>
              <w:t>*厂商能力要求</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*服务团队</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操作系统厂商建立全国技术服务体系和服务团队，为客户提供专业的原厂中文服务</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351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供应保障要求</w:t>
            </w: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br w:type="textWrapping"/>
            </w:r>
            <w:r>
              <w:rPr>
                <w:rFonts w:hint="eastAsia"/>
                <w:color w:val="000000"/>
              </w:rPr>
              <w:br w:type="textWrapping"/>
            </w:r>
            <w:r>
              <w:rPr>
                <w:rFonts w:hint="eastAsia"/>
                <w:color w:val="000000"/>
              </w:rPr>
              <w:br w:type="textWrapping"/>
            </w:r>
            <w:r>
              <w:rPr>
                <w:rFonts w:hint="eastAsia"/>
                <w:color w:val="000000"/>
              </w:rPr>
              <w:t>*数据安全保障</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*数据收集安全保障</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除用户授权采集的信息外不采集其他数据，相关信息采集无安全风险，相关数据存储在大陆境内</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352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*数据供给安全 保障</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涉及数据下载的线上服务物理服务器不出境，包括代码仓库、系统补丁、安全补丁、服务网站等</w:t>
            </w:r>
          </w:p>
        </w:tc>
      </w:tr>
      <w:tr>
        <w:tblPrEx>
          <w:tblLayout w:type="fixed"/>
          <w:tblCellMar>
            <w:top w:w="0" w:type="dxa"/>
            <w:left w:w="108" w:type="dxa"/>
            <w:bottom w:w="0" w:type="dxa"/>
            <w:right w:w="108" w:type="dxa"/>
          </w:tblCellMar>
        </w:tblPrEx>
        <w:trPr>
          <w:trHeight w:val="73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353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*代码无风险</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*代码无风险</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操作系统厂商提供源代码，源代码可供第三方机构审查，开源许可合规，代码知识产权无风险，无恶意安全漏洞或后门，代码可追溯、可重构</w:t>
            </w:r>
          </w:p>
        </w:tc>
      </w:tr>
      <w:tr>
        <w:tblPrEx>
          <w:tblLayout w:type="fixed"/>
          <w:tblCellMar>
            <w:top w:w="0" w:type="dxa"/>
            <w:left w:w="108" w:type="dxa"/>
            <w:bottom w:w="0" w:type="dxa"/>
            <w:right w:w="108" w:type="dxa"/>
          </w:tblCellMar>
        </w:tblPrEx>
        <w:trPr>
          <w:trHeight w:val="11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354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工程构建体系</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工程构建体系</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操作系统厂商具备统一的工程构建体系，能用一套操作系统源码构建用于云侧计算、边侧计算场景中部署运行的操作系统，降低部署后系统维护、使用复杂度</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355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安全要求</w:t>
            </w:r>
          </w:p>
        </w:tc>
        <w:tc>
          <w:tcPr>
            <w:tcW w:w="997"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*基本要求</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*基本要求</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操作系统应当符合安全可靠测评要求</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356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*密码算法支持</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*密码算法实现</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操作系统支持GM/T0002、GM/T0003和GM/T   0004规定的密码算法运算</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357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*随机数生成</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操作系统随机数质量符合 GM/T 0005《随</w:t>
            </w:r>
            <w:r>
              <w:rPr>
                <w:rFonts w:hint="eastAsia"/>
                <w:color w:val="000000"/>
              </w:rPr>
              <w:br w:type="textWrapping"/>
            </w:r>
            <w:r>
              <w:rPr>
                <w:rFonts w:hint="eastAsia"/>
                <w:color w:val="000000"/>
              </w:rPr>
              <w:t>机性检测规范》或GB/T32915《信息安</w:t>
            </w:r>
            <w:r>
              <w:rPr>
                <w:rFonts w:hint="eastAsia"/>
                <w:color w:val="000000"/>
              </w:rPr>
              <w:br w:type="textWrapping"/>
            </w:r>
            <w:r>
              <w:rPr>
                <w:rFonts w:hint="eastAsia"/>
                <w:color w:val="000000"/>
              </w:rPr>
              <w:t>全技术二元序列随机性检测方法》</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358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*内置数字证书</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操作系统内置国家电子认证根 CA的根证书</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359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*密码协议实现</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操作系统支持符合 GB/T   38636—2020 的 TLCP</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360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*安全管理</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*防火墙</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操作系统提供防火墙配置管理工具，支持基于协议、网络地址、端口的访问控制规则配置，规则修改后立即生效；支持关闭指定服务和端口，包括但不限于关闭远程访问、共享访问等；支持防止ARP 欺骗攻击</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361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*安全框架</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操作系统提供统一访问控制安全框架</w:t>
            </w:r>
          </w:p>
        </w:tc>
      </w:tr>
      <w:tr>
        <w:tblPrEx>
          <w:tblLayout w:type="fixed"/>
          <w:tblCellMar>
            <w:top w:w="0" w:type="dxa"/>
            <w:left w:w="108" w:type="dxa"/>
            <w:bottom w:w="0" w:type="dxa"/>
            <w:right w:w="108" w:type="dxa"/>
          </w:tblCellMar>
        </w:tblPrEx>
        <w:trPr>
          <w:trHeight w:val="40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362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三员管理</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操作系统支持系统管理员、安全管理员、审计管理员分权管理</w:t>
            </w:r>
          </w:p>
        </w:tc>
      </w:tr>
      <w:tr>
        <w:tblPrEx>
          <w:tblLayout w:type="fixed"/>
          <w:tblCellMar>
            <w:top w:w="0" w:type="dxa"/>
            <w:left w:w="108" w:type="dxa"/>
            <w:bottom w:w="0" w:type="dxa"/>
            <w:right w:w="108" w:type="dxa"/>
          </w:tblCellMar>
        </w:tblPrEx>
        <w:trPr>
          <w:trHeight w:val="67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363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文件完整性</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操作系统支持静态文件度量（如  IMA）和动态内存度量，保障特定文件及内存中运行程序的完整性</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364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可信计算</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操作系统支持机密计算框架，提供机密计算 SDK，能接入 1 种以上可信执行环境</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365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内核保护</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操作系统支持内核完整性保护，保障内核不被非授权改变；提供内核模块加载黑名单机制</w:t>
            </w:r>
          </w:p>
        </w:tc>
      </w:tr>
      <w:tr>
        <w:tblPrEx>
          <w:tblLayout w:type="fixed"/>
          <w:tblCellMar>
            <w:top w:w="0" w:type="dxa"/>
            <w:left w:w="108" w:type="dxa"/>
            <w:bottom w:w="0" w:type="dxa"/>
            <w:right w:w="108" w:type="dxa"/>
          </w:tblCellMar>
        </w:tblPrEx>
        <w:trPr>
          <w:trHeight w:val="148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366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*身份鉴别</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br w:type="textWrapping"/>
            </w:r>
            <w:r>
              <w:rPr>
                <w:rFonts w:hint="eastAsia"/>
                <w:color w:val="000000"/>
              </w:rPr>
              <w:br w:type="textWrapping"/>
            </w:r>
            <w:r>
              <w:rPr>
                <w:rFonts w:hint="eastAsia"/>
                <w:color w:val="000000"/>
              </w:rPr>
              <w:br w:type="textWrapping"/>
            </w:r>
            <w:r>
              <w:rPr>
                <w:rFonts w:hint="eastAsia"/>
                <w:color w:val="000000"/>
              </w:rPr>
              <w:br w:type="textWrapping"/>
            </w:r>
            <w:r>
              <w:rPr>
                <w:rFonts w:hint="eastAsia"/>
                <w:color w:val="000000"/>
              </w:rPr>
              <w:t>*身份鉴别服务</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用户标识使用帐户名和帐户 ID，在操作系统的整个生存周期内用户标识具有唯一性；支持用户口令复杂度校验及强口令管理；支持用户口令有效期配置；</w:t>
            </w:r>
            <w:r>
              <w:rPr>
                <w:rFonts w:hint="eastAsia"/>
                <w:color w:val="000000"/>
              </w:rPr>
              <w:br w:type="textWrapping"/>
            </w:r>
            <w:r>
              <w:rPr>
                <w:rFonts w:hint="eastAsia"/>
                <w:color w:val="000000"/>
              </w:rPr>
              <w:t>支持口令鉴别失败控制；支持口令加密算法配置，用户口令进行加密后以不可逆的密文形式保存；支持禁止根帐户（root）远程登录设置</w:t>
            </w:r>
          </w:p>
        </w:tc>
      </w:tr>
      <w:tr>
        <w:tblPrEx>
          <w:tblLayout w:type="fixed"/>
          <w:tblCellMar>
            <w:top w:w="0" w:type="dxa"/>
            <w:left w:w="108" w:type="dxa"/>
            <w:bottom w:w="0" w:type="dxa"/>
            <w:right w:w="108" w:type="dxa"/>
          </w:tblCellMar>
        </w:tblPrEx>
        <w:trPr>
          <w:trHeight w:val="171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367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color w:val="000000"/>
              </w:rPr>
            </w:pPr>
            <w:r>
              <w:rPr>
                <w:rFonts w:hint="eastAsia"/>
                <w:color w:val="000000"/>
              </w:rPr>
              <w:t>*访问控制</w:t>
            </w:r>
          </w:p>
        </w:tc>
        <w:tc>
          <w:tcPr>
            <w:tcW w:w="1812" w:type="dxa"/>
            <w:tcBorders>
              <w:top w:val="nil"/>
              <w:left w:val="nil"/>
              <w:bottom w:val="single" w:color="auto" w:sz="4" w:space="0"/>
              <w:right w:val="single" w:color="auto" w:sz="4" w:space="0"/>
            </w:tcBorders>
            <w:shd w:val="clear" w:color="auto" w:fill="auto"/>
            <w:vAlign w:val="center"/>
          </w:tcPr>
          <w:p>
            <w:pPr>
              <w:jc w:val="left"/>
              <w:rPr>
                <w:color w:val="000000"/>
              </w:rPr>
            </w:pPr>
            <w:r>
              <w:rPr>
                <w:rFonts w:hint="eastAsia"/>
                <w:color w:val="000000"/>
              </w:rPr>
              <w:t>*自主访问控制</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允许客体拥有者以普通帐户决定并控制对客体的访问，并阻止非授权用户对客体的访问；普通用户缺省拥有新建、读写和删除私有目录下文件的权限；支持细粒度的自主访问控制，将访问控制的粒度控制在单个用户，对系统中的每一个客体，实现由客体拥有者以指定用户方式确定其对该客体的访问权限，而其他同组用户或非同组的用户和用户组对该客体的访问权则由客体拥有者授予</w:t>
            </w:r>
          </w:p>
        </w:tc>
      </w:tr>
      <w:tr>
        <w:tblPrEx>
          <w:tblLayout w:type="fixed"/>
          <w:tblCellMar>
            <w:top w:w="0" w:type="dxa"/>
            <w:left w:w="108" w:type="dxa"/>
            <w:bottom w:w="0" w:type="dxa"/>
            <w:right w:w="108" w:type="dxa"/>
          </w:tblCellMar>
        </w:tblPrEx>
        <w:trPr>
          <w:trHeight w:val="84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368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*强制访问控制</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操作系统支持对应用程序的访问控制与资源限制，包括对文件、网络等客体的访问控制；支持应用安装控制、应用执行控制</w:t>
            </w:r>
          </w:p>
        </w:tc>
      </w:tr>
      <w:tr>
        <w:tblPrEx>
          <w:tblLayout w:type="fixed"/>
          <w:tblCellMar>
            <w:top w:w="0" w:type="dxa"/>
            <w:left w:w="108" w:type="dxa"/>
            <w:bottom w:w="0" w:type="dxa"/>
            <w:right w:w="108" w:type="dxa"/>
          </w:tblCellMar>
        </w:tblPrEx>
        <w:trPr>
          <w:trHeight w:val="105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369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*安全审计</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能对身份鉴别的使用、自主访问控制、标记和强制访问控制策略的修改等生成审计日志；审计记录包括：事件类型、事件发生的日期、触发事件的用户、事件成功或失败等字段；支持审计日志查询和导出功能</w:t>
            </w:r>
          </w:p>
        </w:tc>
      </w:tr>
      <w:tr>
        <w:tblPrEx>
          <w:tblLayout w:type="fixed"/>
          <w:tblCellMar>
            <w:top w:w="0" w:type="dxa"/>
            <w:left w:w="108" w:type="dxa"/>
            <w:bottom w:w="0" w:type="dxa"/>
            <w:right w:w="108" w:type="dxa"/>
          </w:tblCellMar>
        </w:tblPrEx>
        <w:trPr>
          <w:trHeight w:val="171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370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auto" w:sz="4" w:space="0"/>
              <w:right w:val="single" w:color="auto" w:sz="4" w:space="0"/>
            </w:tcBorders>
            <w:vAlign w:val="center"/>
          </w:tcPr>
          <w:p>
            <w:pPr>
              <w:rPr>
                <w:rFonts w:hint="eastAsia" w:ascii="宋体" w:hAnsi="宋体" w:eastAsia="宋体"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*漏洞管理</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*漏洞管理</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操作系统支持漏洞编号，每个漏洞独立编号，可直接使用 NVDB、CNVD 或 CVE编号；漏洞提醒，发现或获悉漏洞信息时，通过系统推送、电子邮件或官方网站等方式通知用户；漏洞修复，对已发现的安全漏洞通过补丁等方式对系统漏洞进行修复；漏洞列表，提供每个版</w:t>
            </w:r>
            <w:r>
              <w:rPr>
                <w:rFonts w:hint="eastAsia"/>
                <w:color w:val="000000"/>
              </w:rPr>
              <w:br w:type="textWrapping"/>
            </w:r>
            <w:r>
              <w:rPr>
                <w:rFonts w:hint="eastAsia"/>
                <w:color w:val="000000"/>
              </w:rPr>
              <w:t>本已修复的漏洞列表，提供命令或网页等方式方便用户查询漏洞及其修复情况</w:t>
            </w:r>
          </w:p>
        </w:tc>
      </w:tr>
      <w:tr>
        <w:tblPrEx>
          <w:tblLayout w:type="fixed"/>
          <w:tblCellMar>
            <w:top w:w="0" w:type="dxa"/>
            <w:left w:w="108" w:type="dxa"/>
            <w:bottom w:w="0" w:type="dxa"/>
            <w:right w:w="108" w:type="dxa"/>
          </w:tblCellMar>
        </w:tblPrEx>
        <w:trPr>
          <w:trHeight w:val="114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371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产品成熟度</w:t>
            </w: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*成熟稳定性</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*成熟稳定性</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主流国产操作系统产品市场占有率高，具备自主知识产权，系统基于成熟稳定的4.19内核设计开发，支持龙芯、兆芯、飞腾、鲲鹏、海光、申威等主流国产芯片；产品成熟稳定，软件能力成熟度模型集成符合第五级标准，通过CGL 5.0认证</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372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安全防护</w:t>
            </w: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*安全防护</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*安全防护</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提供自研安全中心，支持以命令行工具和图形化界面的方式对系统进行安全加固、账户保护、网络保护、应用保护、可信度量、安全内存和指令流预检测方面的安全防护</w:t>
            </w:r>
          </w:p>
        </w:tc>
      </w:tr>
      <w:tr>
        <w:tblPrEx>
          <w:tblLayout w:type="fixed"/>
          <w:tblCellMar>
            <w:top w:w="0" w:type="dxa"/>
            <w:left w:w="108" w:type="dxa"/>
            <w:bottom w:w="0" w:type="dxa"/>
            <w:right w:w="108" w:type="dxa"/>
          </w:tblCellMar>
        </w:tblPrEx>
        <w:trPr>
          <w:trHeight w:val="127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373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安全加固功能</w:t>
            </w: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*安全加固功能</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*安全加固功能</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支持安全加固功能，支持以命令行工具和图形化界面的方式提供安全服务、安全网络、磁盘检查、潜在危险、系统安全等15大类安全加固检查项，同时符合操作系统安全三级技术要求，为用户提供基于等级保护三级或CIS基线加固的“一键扫描、一键加固、自定义加固、一键还原和安全报告”等功能</w:t>
            </w:r>
          </w:p>
        </w:tc>
      </w:tr>
      <w:tr>
        <w:tblPrEx>
          <w:tblLayout w:type="fixed"/>
          <w:tblCellMar>
            <w:top w:w="0" w:type="dxa"/>
            <w:left w:w="108" w:type="dxa"/>
            <w:bottom w:w="0" w:type="dxa"/>
            <w:right w:w="108" w:type="dxa"/>
          </w:tblCellMar>
        </w:tblPrEx>
        <w:trPr>
          <w:trHeight w:val="132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374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四级测评</w:t>
            </w: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*四级测评</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*四级测评</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通过安全操作系统四级测评，提供自研内核安全访问统一控制的KYSEC安全框架，支持功能包含网络保护、应用程序执行控制、应用防护控制进程防杀死、内核模块防卸载、文件防篡改等；支持多种强制访问控制联合加载，包括SELINUX、APPARMOR等</w:t>
            </w:r>
          </w:p>
        </w:tc>
      </w:tr>
      <w:tr>
        <w:tblPrEx>
          <w:tblLayout w:type="fixed"/>
          <w:tblCellMar>
            <w:top w:w="0" w:type="dxa"/>
            <w:left w:w="108" w:type="dxa"/>
            <w:bottom w:w="0" w:type="dxa"/>
            <w:right w:w="108" w:type="dxa"/>
          </w:tblCellMar>
        </w:tblPrEx>
        <w:trPr>
          <w:trHeight w:val="52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375</w:t>
            </w:r>
          </w:p>
        </w:tc>
        <w:tc>
          <w:tcPr>
            <w:tcW w:w="1212" w:type="dxa"/>
            <w:vMerge w:val="restart"/>
            <w:tcBorders>
              <w:top w:val="nil"/>
              <w:left w:val="single" w:color="auto" w:sz="4" w:space="0"/>
              <w:bottom w:val="single" w:color="000000" w:sz="4" w:space="0"/>
              <w:right w:val="single" w:color="auto" w:sz="4" w:space="0"/>
            </w:tcBorders>
            <w:shd w:val="clear" w:color="auto" w:fill="auto"/>
            <w:vAlign w:val="center"/>
          </w:tcPr>
          <w:p>
            <w:pPr>
              <w:rPr>
                <w:color w:val="000000"/>
              </w:rPr>
            </w:pPr>
            <w:r>
              <w:rPr>
                <w:rFonts w:hint="eastAsia"/>
                <w:color w:val="000000"/>
              </w:rPr>
              <w:t>系统集成</w:t>
            </w:r>
          </w:p>
        </w:tc>
        <w:tc>
          <w:tcPr>
            <w:tcW w:w="1216" w:type="dxa"/>
            <w:vMerge w:val="restart"/>
            <w:tcBorders>
              <w:top w:val="nil"/>
              <w:left w:val="single" w:color="auto" w:sz="4" w:space="0"/>
              <w:bottom w:val="single" w:color="000000" w:sz="4" w:space="0"/>
              <w:right w:val="single" w:color="auto" w:sz="4" w:space="0"/>
            </w:tcBorders>
            <w:shd w:val="clear" w:color="auto" w:fill="auto"/>
            <w:vAlign w:val="center"/>
          </w:tcPr>
          <w:p>
            <w:pPr>
              <w:rPr>
                <w:color w:val="000000"/>
              </w:rPr>
            </w:pPr>
            <w:r>
              <w:rPr>
                <w:rFonts w:hint="eastAsia"/>
                <w:color w:val="000000"/>
              </w:rPr>
              <w:t>服务要求</w:t>
            </w: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设备的完成设备上架、安装、加电及连线，并提供跳线等附件</w:t>
            </w:r>
          </w:p>
        </w:tc>
      </w:tr>
      <w:tr>
        <w:tblPrEx>
          <w:tblLayout w:type="fixed"/>
          <w:tblCellMar>
            <w:top w:w="0" w:type="dxa"/>
            <w:left w:w="108" w:type="dxa"/>
            <w:bottom w:w="0" w:type="dxa"/>
            <w:right w:w="108" w:type="dxa"/>
          </w:tblCellMar>
        </w:tblPrEx>
        <w:trPr>
          <w:trHeight w:val="45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376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数据中心网络、计算、存储、等基础环境部署、调优</w:t>
            </w:r>
          </w:p>
        </w:tc>
      </w:tr>
      <w:tr>
        <w:tblPrEx>
          <w:tblLayout w:type="fixed"/>
          <w:tblCellMar>
            <w:top w:w="0" w:type="dxa"/>
            <w:left w:w="108" w:type="dxa"/>
            <w:bottom w:w="0" w:type="dxa"/>
            <w:right w:w="108" w:type="dxa"/>
          </w:tblCellMar>
        </w:tblPrEx>
        <w:trPr>
          <w:trHeight w:val="64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377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数据迁移，包括现有业务系统的数据迁移到新的硬件平台，数据库迁移、切换测试等</w:t>
            </w:r>
          </w:p>
        </w:tc>
      </w:tr>
      <w:tr>
        <w:tblPrEx>
          <w:tblLayout w:type="fixed"/>
          <w:tblCellMar>
            <w:top w:w="0" w:type="dxa"/>
            <w:left w:w="108" w:type="dxa"/>
            <w:bottom w:w="0" w:type="dxa"/>
            <w:right w:w="108" w:type="dxa"/>
          </w:tblCellMar>
        </w:tblPrEx>
        <w:trPr>
          <w:trHeight w:val="52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378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应用发布部署，根据业务系统特性，部署资源策略，部署应用发布策略</w:t>
            </w:r>
          </w:p>
        </w:tc>
      </w:tr>
      <w:tr>
        <w:tblPrEx>
          <w:tblLayout w:type="fixed"/>
          <w:tblCellMar>
            <w:top w:w="0" w:type="dxa"/>
            <w:left w:w="108" w:type="dxa"/>
            <w:bottom w:w="0" w:type="dxa"/>
            <w:right w:w="108" w:type="dxa"/>
          </w:tblCellMar>
        </w:tblPrEx>
        <w:trPr>
          <w:trHeight w:val="6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379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基于数据库副本库，改造系统程序逻辑，数据库业务读写分离，完成业务数据库业务只读抽取至数据平台，及数据上报</w:t>
            </w:r>
          </w:p>
        </w:tc>
      </w:tr>
      <w:tr>
        <w:tblPrEx>
          <w:tblLayout w:type="fixed"/>
          <w:tblCellMar>
            <w:top w:w="0" w:type="dxa"/>
            <w:left w:w="108" w:type="dxa"/>
            <w:bottom w:w="0" w:type="dxa"/>
            <w:right w:w="108" w:type="dxa"/>
          </w:tblCellMar>
        </w:tblPrEx>
        <w:trPr>
          <w:trHeight w:val="6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380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梅江院区启用后协助数据迁移</w:t>
            </w:r>
          </w:p>
        </w:tc>
      </w:tr>
      <w:tr>
        <w:tblPrEx>
          <w:tblLayout w:type="fixed"/>
          <w:tblCellMar>
            <w:top w:w="0" w:type="dxa"/>
            <w:left w:w="108" w:type="dxa"/>
            <w:bottom w:w="0" w:type="dxa"/>
            <w:right w:w="108" w:type="dxa"/>
          </w:tblCellMar>
        </w:tblPrEx>
        <w:trPr>
          <w:trHeight w:val="46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381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支持现有系统数据库升级</w:t>
            </w:r>
          </w:p>
        </w:tc>
      </w:tr>
      <w:tr>
        <w:tblPrEx>
          <w:tblLayout w:type="fixed"/>
          <w:tblCellMar>
            <w:top w:w="0" w:type="dxa"/>
            <w:left w:w="108" w:type="dxa"/>
            <w:bottom w:w="0" w:type="dxa"/>
            <w:right w:w="108" w:type="dxa"/>
          </w:tblCellMar>
        </w:tblPrEx>
        <w:trPr>
          <w:trHeight w:val="46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382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宋体" w:hAnsi="宋体" w:eastAsia="宋体"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支持虚拟化资源的整合</w:t>
            </w:r>
          </w:p>
        </w:tc>
      </w:tr>
      <w:tr>
        <w:tblPrEx>
          <w:tblLayout w:type="fixed"/>
          <w:tblCellMar>
            <w:top w:w="0" w:type="dxa"/>
            <w:left w:w="108" w:type="dxa"/>
            <w:bottom w:w="0" w:type="dxa"/>
            <w:right w:w="108" w:type="dxa"/>
          </w:tblCellMar>
        </w:tblPrEx>
        <w:trPr>
          <w:trHeight w:val="69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383</w:t>
            </w:r>
          </w:p>
        </w:tc>
        <w:tc>
          <w:tcPr>
            <w:tcW w:w="1212" w:type="dxa"/>
            <w:vMerge w:val="restart"/>
            <w:tcBorders>
              <w:top w:val="nil"/>
              <w:left w:val="single" w:color="auto" w:sz="4" w:space="0"/>
              <w:bottom w:val="single" w:color="000000" w:sz="4" w:space="0"/>
              <w:right w:val="single" w:color="auto" w:sz="4" w:space="0"/>
            </w:tcBorders>
            <w:shd w:val="clear" w:color="auto" w:fill="auto"/>
            <w:vAlign w:val="center"/>
          </w:tcPr>
          <w:p>
            <w:pPr>
              <w:jc w:val="center"/>
              <w:rPr>
                <w:rFonts w:hint="eastAsia" w:ascii="等线" w:hAnsi="等线" w:eastAsia="等线"/>
                <w:color w:val="000000"/>
              </w:rPr>
            </w:pPr>
            <w:r>
              <w:rPr>
                <w:rFonts w:hint="eastAsia" w:ascii="等线" w:hAnsi="等线" w:eastAsia="等线"/>
                <w:color w:val="000000"/>
              </w:rPr>
              <w:t>数据库自动化运维监控软件</w:t>
            </w:r>
          </w:p>
        </w:tc>
        <w:tc>
          <w:tcPr>
            <w:tcW w:w="1216" w:type="dxa"/>
            <w:vMerge w:val="restart"/>
            <w:tcBorders>
              <w:top w:val="nil"/>
              <w:left w:val="single" w:color="auto" w:sz="4" w:space="0"/>
              <w:bottom w:val="single" w:color="000000" w:sz="4" w:space="0"/>
              <w:right w:val="single" w:color="auto" w:sz="4" w:space="0"/>
            </w:tcBorders>
            <w:shd w:val="clear" w:color="auto" w:fill="auto"/>
            <w:vAlign w:val="center"/>
          </w:tcPr>
          <w:p>
            <w:pPr>
              <w:jc w:val="left"/>
              <w:rPr>
                <w:rFonts w:hint="eastAsia" w:ascii="等线" w:hAnsi="等线" w:eastAsia="等线"/>
                <w:color w:val="000000"/>
              </w:rPr>
            </w:pPr>
            <w:r>
              <w:rPr>
                <w:rFonts w:hint="eastAsia" w:ascii="等线" w:hAnsi="等线" w:eastAsia="等线"/>
                <w:color w:val="000000"/>
              </w:rPr>
              <w:t>技术指标</w:t>
            </w:r>
          </w:p>
        </w:tc>
        <w:tc>
          <w:tcPr>
            <w:tcW w:w="997" w:type="dxa"/>
            <w:tcBorders>
              <w:top w:val="nil"/>
              <w:left w:val="nil"/>
              <w:bottom w:val="single" w:color="auto" w:sz="4" w:space="0"/>
              <w:right w:val="single" w:color="auto" w:sz="4" w:space="0"/>
            </w:tcBorders>
            <w:shd w:val="clear" w:color="auto" w:fill="auto"/>
            <w:vAlign w:val="center"/>
          </w:tcPr>
          <w:p>
            <w:pPr>
              <w:rPr>
                <w:rFonts w:hint="eastAsia" w:ascii="宋体" w:hAnsi="宋体" w:eastAsia="宋体"/>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支持的数据库版本</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数据库MicrosoftSQLServer2005及以上Standard/</w:t>
            </w:r>
            <w:r>
              <w:rPr>
                <w:rFonts w:hint="eastAsia"/>
                <w:color w:val="000000"/>
              </w:rPr>
              <w:br w:type="textWrapping"/>
            </w:r>
            <w:r>
              <w:rPr>
                <w:rFonts w:hint="eastAsia"/>
                <w:color w:val="000000"/>
              </w:rPr>
              <w:t>Enterprise(32位/64位)版本</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384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▲大屏实时监控</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为方便日常运维管理，产品需支持多个数据库实例的统一监控大屏展示，支持实时风险告警。（提供多实例统一监控功能截图）</w:t>
            </w:r>
          </w:p>
        </w:tc>
      </w:tr>
      <w:tr>
        <w:tblPrEx>
          <w:tblLayout w:type="fixed"/>
          <w:tblCellMar>
            <w:top w:w="0" w:type="dxa"/>
            <w:left w:w="108" w:type="dxa"/>
            <w:bottom w:w="0" w:type="dxa"/>
            <w:right w:w="108" w:type="dxa"/>
          </w:tblCellMar>
        </w:tblPrEx>
        <w:trPr>
          <w:trHeight w:val="63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385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系统监控及分析</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包括操作系统、数据库的版本；网卡性能、磁盘空间、CPU配</w:t>
            </w:r>
            <w:r>
              <w:rPr>
                <w:rFonts w:hint="eastAsia"/>
                <w:color w:val="000000"/>
              </w:rPr>
              <w:br w:type="textWrapping"/>
            </w:r>
            <w:r>
              <w:rPr>
                <w:rFonts w:hint="eastAsia"/>
                <w:color w:val="000000"/>
              </w:rPr>
              <w:t>置监控及分析，提供异常告警</w:t>
            </w:r>
          </w:p>
        </w:tc>
      </w:tr>
      <w:tr>
        <w:tblPrEx>
          <w:tblLayout w:type="fixed"/>
          <w:tblCellMar>
            <w:top w:w="0" w:type="dxa"/>
            <w:left w:w="108" w:type="dxa"/>
            <w:bottom w:w="0" w:type="dxa"/>
            <w:right w:w="108" w:type="dxa"/>
          </w:tblCellMar>
        </w:tblPrEx>
        <w:trPr>
          <w:trHeight w:val="6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386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参数配置监控及分析</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包括操作系统、数据库的所有配置参数进行监控及分析，提供异常告警，并提供修改建议</w:t>
            </w:r>
          </w:p>
        </w:tc>
      </w:tr>
      <w:tr>
        <w:tblPrEx>
          <w:tblLayout w:type="fixed"/>
          <w:tblCellMar>
            <w:top w:w="0" w:type="dxa"/>
            <w:left w:w="108" w:type="dxa"/>
            <w:bottom w:w="0" w:type="dxa"/>
            <w:right w:w="108" w:type="dxa"/>
          </w:tblCellMar>
        </w:tblPrEx>
        <w:trPr>
          <w:trHeight w:val="127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387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性能计数器监控及分析</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包括Processor、PhysicalDisk、Memory、Network、Locks、SQLStatistics、</w:t>
            </w:r>
            <w:r>
              <w:rPr>
                <w:rFonts w:hint="eastAsia"/>
                <w:color w:val="000000"/>
              </w:rPr>
              <w:br w:type="textWrapping"/>
            </w:r>
            <w:r>
              <w:rPr>
                <w:rFonts w:hint="eastAsia"/>
                <w:color w:val="000000"/>
              </w:rPr>
              <w:t>bufferManager、MemoryManager、AccessMethods、GerneralStatistics、</w:t>
            </w:r>
            <w:r>
              <w:rPr>
                <w:rFonts w:hint="eastAsia"/>
                <w:color w:val="000000"/>
              </w:rPr>
              <w:br w:type="textWrapping"/>
            </w:r>
            <w:r>
              <w:rPr>
                <w:rFonts w:hint="eastAsia"/>
                <w:color w:val="000000"/>
              </w:rPr>
              <w:t>Latches、TempDB等性能计数器的全部监控及分析，提供异常告警</w:t>
            </w:r>
          </w:p>
        </w:tc>
      </w:tr>
      <w:tr>
        <w:tblPrEx>
          <w:tblLayout w:type="fixed"/>
          <w:tblCellMar>
            <w:top w:w="0" w:type="dxa"/>
            <w:left w:w="108" w:type="dxa"/>
            <w:bottom w:w="0" w:type="dxa"/>
            <w:right w:w="108" w:type="dxa"/>
          </w:tblCellMar>
        </w:tblPrEx>
        <w:trPr>
          <w:trHeight w:val="12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388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▲等待的监控及分析</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包括等待类型、平均等待时间、等待语句的统计分析，提供图形化的报表；对所有等待进行监控，支持按照等待次数、等待时间、CPU时间、逻辑读次数、物理写次数、物理写次数进行排序，支持excel导出。（提供等待按照多维度排序功能截图）</w:t>
            </w:r>
          </w:p>
        </w:tc>
      </w:tr>
      <w:tr>
        <w:tblPrEx>
          <w:tblLayout w:type="fixed"/>
          <w:tblCellMar>
            <w:top w:w="0" w:type="dxa"/>
            <w:left w:w="108" w:type="dxa"/>
            <w:bottom w:w="0" w:type="dxa"/>
            <w:right w:w="108" w:type="dxa"/>
          </w:tblCellMar>
        </w:tblPrEx>
        <w:trPr>
          <w:trHeight w:val="120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389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▲慢语句的监控及分析</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包括慢语句数量、慢语句的类型、慢语句的分布的统计分析，提供图形化的报表；对所有慢语句进行监控，支持按照执行次数、持续时间、CPU时间、读次数、读次数、影响行数等多维度进行排序，支持excel导出。（提供慢语句按照多维度排序功能截图）</w:t>
            </w:r>
          </w:p>
        </w:tc>
      </w:tr>
      <w:tr>
        <w:tblPrEx>
          <w:tblLayout w:type="fixed"/>
          <w:tblCellMar>
            <w:top w:w="0" w:type="dxa"/>
            <w:left w:w="108" w:type="dxa"/>
            <w:bottom w:w="0" w:type="dxa"/>
            <w:right w:w="108" w:type="dxa"/>
          </w:tblCellMar>
        </w:tblPrEx>
        <w:trPr>
          <w:trHeight w:val="70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390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执行计划的监控及分析</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对执行计划进行分析和监控，分析是否有缺失索引、</w:t>
            </w:r>
            <w:r>
              <w:rPr>
                <w:rFonts w:hint="eastAsia"/>
                <w:color w:val="000000"/>
              </w:rPr>
              <w:br w:type="textWrapping"/>
            </w:r>
            <w:r>
              <w:rPr>
                <w:rFonts w:hint="eastAsia"/>
                <w:color w:val="000000"/>
              </w:rPr>
              <w:t>隐式转换，并且提供异常告警</w:t>
            </w:r>
          </w:p>
        </w:tc>
      </w:tr>
      <w:tr>
        <w:tblPrEx>
          <w:tblLayout w:type="fixed"/>
          <w:tblCellMar>
            <w:top w:w="0" w:type="dxa"/>
            <w:left w:w="108" w:type="dxa"/>
            <w:bottom w:w="0" w:type="dxa"/>
            <w:right w:w="108" w:type="dxa"/>
          </w:tblCellMar>
        </w:tblPrEx>
        <w:trPr>
          <w:trHeight w:val="72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391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分布式部署</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支持将网站、采集服务、智能运维服务、存储数据库平均分到多个服务器上部署，分开运行，整体呈现，减少单台服务器的运算及存储压力</w:t>
            </w:r>
          </w:p>
        </w:tc>
      </w:tr>
      <w:tr>
        <w:tblPrEx>
          <w:tblLayout w:type="fixed"/>
          <w:tblCellMar>
            <w:top w:w="0" w:type="dxa"/>
            <w:left w:w="108" w:type="dxa"/>
            <w:bottom w:w="0" w:type="dxa"/>
            <w:right w:w="108" w:type="dxa"/>
          </w:tblCellMar>
        </w:tblPrEx>
        <w:trPr>
          <w:trHeight w:val="72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392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库对象的监控及分析</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包括数据库文件（含TempDB）的空间大小、存放路径、数据文件的增长，并提供异常告警。</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393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数据库日志的监控及分析</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包括Autogrow、Loginfailed、Operatingsystemerror、I/OrequestsDeadlockencou</w:t>
            </w:r>
            <w:r>
              <w:rPr>
                <w:rFonts w:hint="eastAsia"/>
                <w:color w:val="000000"/>
              </w:rPr>
              <w:br w:type="textWrapping"/>
            </w:r>
            <w:r>
              <w:rPr>
                <w:rFonts w:hint="eastAsia"/>
                <w:color w:val="000000"/>
              </w:rPr>
              <w:t>ntered的监控及分析，并提供异常告警。</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394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数据库作业的监控及分析</w:t>
            </w:r>
          </w:p>
        </w:tc>
        <w:tc>
          <w:tcPr>
            <w:tcW w:w="8148" w:type="dxa"/>
            <w:tcBorders>
              <w:top w:val="nil"/>
              <w:left w:val="nil"/>
              <w:bottom w:val="nil"/>
              <w:right w:val="nil"/>
            </w:tcBorders>
            <w:shd w:val="clear" w:color="auto" w:fill="auto"/>
            <w:vAlign w:val="center"/>
          </w:tcPr>
          <w:p>
            <w:pPr>
              <w:rPr>
                <w:color w:val="000000"/>
              </w:rPr>
            </w:pPr>
            <w:r>
              <w:rPr>
                <w:rFonts w:hint="eastAsia"/>
                <w:color w:val="000000"/>
              </w:rPr>
              <w:t>包括作业执行成功与否、执行时间的监控及分析，</w:t>
            </w:r>
            <w:r>
              <w:rPr>
                <w:rFonts w:hint="eastAsia"/>
                <w:color w:val="000000"/>
              </w:rPr>
              <w:br w:type="textWrapping"/>
            </w:r>
            <w:r>
              <w:rPr>
                <w:rFonts w:hint="eastAsia"/>
                <w:color w:val="000000"/>
              </w:rPr>
              <w:t>并提供异常告警。</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395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备份的监控及分析</w:t>
            </w:r>
          </w:p>
        </w:tc>
        <w:tc>
          <w:tcPr>
            <w:tcW w:w="8148" w:type="dxa"/>
            <w:tcBorders>
              <w:top w:val="single" w:color="auto" w:sz="4" w:space="0"/>
              <w:left w:val="nil"/>
              <w:bottom w:val="single" w:color="auto" w:sz="4" w:space="0"/>
              <w:right w:val="single" w:color="auto" w:sz="4" w:space="0"/>
            </w:tcBorders>
            <w:shd w:val="clear" w:color="auto" w:fill="auto"/>
            <w:vAlign w:val="center"/>
          </w:tcPr>
          <w:p>
            <w:pPr>
              <w:rPr>
                <w:color w:val="000000"/>
              </w:rPr>
            </w:pPr>
            <w:r>
              <w:rPr>
                <w:rFonts w:hint="eastAsia"/>
                <w:color w:val="000000"/>
              </w:rPr>
              <w:t>包括备份的开始时间、结束时间、备份类型、恢复模式、备份数据的大小进行监控及分析并提供异常告警</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396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索引使用的监控及分析</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包括缺失索引、未使用索引进行监控及分析，并提供异常告警，同时提供修改建议</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397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▲自主知识产权</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为避免软件侵权，要求所选产品拥有自主知识产权，要求提</w:t>
            </w:r>
            <w:r>
              <w:rPr>
                <w:rFonts w:hint="eastAsia"/>
                <w:color w:val="000000"/>
              </w:rPr>
              <w:br w:type="textWrapping"/>
            </w:r>
            <w:r>
              <w:rPr>
                <w:rFonts w:hint="eastAsia"/>
                <w:color w:val="000000"/>
              </w:rPr>
              <w:t>供投标产品的软件著作权证书。</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398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▲自动运维</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借助数据分析，自动诊断数据库内部合理的配置、索引、执行计</w:t>
            </w:r>
            <w:r>
              <w:rPr>
                <w:rFonts w:hint="eastAsia"/>
                <w:color w:val="000000"/>
              </w:rPr>
              <w:br w:type="textWrapping"/>
            </w:r>
            <w:r>
              <w:rPr>
                <w:rFonts w:hint="eastAsia"/>
                <w:color w:val="000000"/>
              </w:rPr>
              <w:t>划，并自动生成优化的脚本；可选择手动、自动两种方式进行优化。（提供优化脚本列表功能截图）</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399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权限设计</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支持管理员权限设置和分权管理，系统默认设定系统管理员、用户</w:t>
            </w:r>
            <w:r>
              <w:rPr>
                <w:rFonts w:hint="eastAsia"/>
                <w:color w:val="000000"/>
              </w:rPr>
              <w:br w:type="textWrapping"/>
            </w:r>
            <w:r>
              <w:rPr>
                <w:rFonts w:hint="eastAsia"/>
                <w:color w:val="000000"/>
              </w:rPr>
              <w:t>管理员</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400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界面可视化：</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提供图形化的WEB页面，展示数据库的运行状况。</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401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B/S架构</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所有产品组件都在一个程序包里安装，B/S架构，无需安装额外的软</w:t>
            </w:r>
            <w:r>
              <w:rPr>
                <w:rFonts w:hint="eastAsia"/>
                <w:color w:val="000000"/>
              </w:rPr>
              <w:br w:type="textWrapping"/>
            </w:r>
            <w:r>
              <w:rPr>
                <w:rFonts w:hint="eastAsia"/>
                <w:color w:val="000000"/>
              </w:rPr>
              <w:t>件就可以通过浏览器访问。</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402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产品升级</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支持定期或者需要时以邮件发送补丁包的方式对系统进行更新升级。</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403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产高可用性</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系统支持双机热备模式。</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404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▲自主知识产权</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为避免软件侵权，要求所选产品拥有自主知识产权，要求提</w:t>
            </w:r>
            <w:r>
              <w:rPr>
                <w:rFonts w:hint="eastAsia"/>
                <w:color w:val="000000"/>
              </w:rPr>
              <w:br w:type="textWrapping"/>
            </w:r>
            <w:r>
              <w:rPr>
                <w:rFonts w:hint="eastAsia"/>
                <w:color w:val="000000"/>
              </w:rPr>
              <w:t>供投标产品的软件著作权证书。</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405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授权数量</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本次项目提供6个数据库实例监控授权。</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406</w:t>
            </w:r>
          </w:p>
        </w:tc>
        <w:tc>
          <w:tcPr>
            <w:tcW w:w="1212" w:type="dxa"/>
            <w:vMerge w:val="restart"/>
            <w:tcBorders>
              <w:top w:val="nil"/>
              <w:left w:val="single" w:color="auto" w:sz="4" w:space="0"/>
              <w:bottom w:val="single" w:color="000000" w:sz="4" w:space="0"/>
              <w:right w:val="single" w:color="auto" w:sz="4" w:space="0"/>
            </w:tcBorders>
            <w:shd w:val="clear" w:color="auto" w:fill="auto"/>
            <w:vAlign w:val="center"/>
          </w:tcPr>
          <w:p>
            <w:pPr>
              <w:jc w:val="center"/>
              <w:rPr>
                <w:rFonts w:hint="eastAsia" w:ascii="等线" w:hAnsi="等线" w:eastAsia="等线"/>
                <w:color w:val="000000"/>
              </w:rPr>
            </w:pPr>
            <w:r>
              <w:rPr>
                <w:rFonts w:hint="eastAsia" w:ascii="等线" w:hAnsi="等线" w:eastAsia="等线"/>
                <w:color w:val="000000"/>
              </w:rPr>
              <w:t>高可用软件</w:t>
            </w:r>
          </w:p>
        </w:tc>
        <w:tc>
          <w:tcPr>
            <w:tcW w:w="1216" w:type="dxa"/>
            <w:vMerge w:val="restart"/>
            <w:tcBorders>
              <w:top w:val="nil"/>
              <w:left w:val="single" w:color="auto" w:sz="4" w:space="0"/>
              <w:bottom w:val="single" w:color="000000" w:sz="4" w:space="0"/>
              <w:right w:val="single" w:color="auto" w:sz="4" w:space="0"/>
            </w:tcBorders>
            <w:shd w:val="clear" w:color="auto" w:fill="auto"/>
            <w:vAlign w:val="center"/>
          </w:tcPr>
          <w:p>
            <w:pPr>
              <w:jc w:val="left"/>
              <w:rPr>
                <w:rFonts w:hint="eastAsia" w:ascii="等线" w:hAnsi="等线" w:eastAsia="等线"/>
                <w:color w:val="000000"/>
              </w:rPr>
            </w:pPr>
            <w:r>
              <w:rPr>
                <w:rFonts w:hint="eastAsia" w:ascii="等线" w:hAnsi="等线" w:eastAsia="等线"/>
                <w:color w:val="000000"/>
              </w:rPr>
              <w:t>技术指标</w:t>
            </w:r>
          </w:p>
        </w:tc>
        <w:tc>
          <w:tcPr>
            <w:tcW w:w="997" w:type="dxa"/>
            <w:tcBorders>
              <w:top w:val="nil"/>
              <w:left w:val="nil"/>
              <w:bottom w:val="single" w:color="auto" w:sz="4" w:space="0"/>
              <w:right w:val="single" w:color="auto" w:sz="4" w:space="0"/>
            </w:tcBorders>
            <w:shd w:val="clear" w:color="auto" w:fill="auto"/>
            <w:vAlign w:val="center"/>
          </w:tcPr>
          <w:p>
            <w:pPr>
              <w:rPr>
                <w:rFonts w:hint="eastAsia" w:ascii="宋体" w:hAnsi="宋体" w:eastAsia="宋体"/>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系统要求</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要求所选数据库平台软件只需两（多）台运行数据库的服务器即可组建，而无需增加其它硬件，如代理服务器、网关服务器、分发服务器等硬件，有效降低硬件投入成本。</w:t>
            </w:r>
          </w:p>
        </w:tc>
      </w:tr>
      <w:tr>
        <w:tblPrEx>
          <w:tblLayout w:type="fixed"/>
          <w:tblCellMar>
            <w:top w:w="0" w:type="dxa"/>
            <w:left w:w="108" w:type="dxa"/>
            <w:bottom w:w="0" w:type="dxa"/>
            <w:right w:w="108" w:type="dxa"/>
          </w:tblCellMar>
        </w:tblPrEx>
        <w:trPr>
          <w:trHeight w:val="114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407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▲高可用性</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采用多种故障监控机制实时监测系统的软硬件健康状况，若某节点发生故障，故障节点脱机，同时该节点虚拟IP会立即飘移到其余健康的节点来响应连接请求，保证业务不中断。（提供主节点脱机，虚拟IP漂移到其它节点的功能截图）</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408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易用性</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要求数据库平台软件简单易用、对应用完全透明，不会对现有的数据库及应用程序进行修改，不改变用户的使用习惯</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409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数据同步方式</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支持数据实时同步与异步同步两种模式。</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410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故障告警</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同时提供多种故障通知机制，如邮件、通知服务告警等</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411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数据安全性</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采用非共享存储架构设计，数据可以存放在每台机器自己的存储介质中，避免硬件单点故障，保证数据至少两份及数据安全</w:t>
            </w:r>
          </w:p>
        </w:tc>
      </w:tr>
      <w:tr>
        <w:tblPrEx>
          <w:tblLayout w:type="fixed"/>
          <w:tblCellMar>
            <w:top w:w="0" w:type="dxa"/>
            <w:left w:w="108" w:type="dxa"/>
            <w:bottom w:w="0" w:type="dxa"/>
            <w:right w:w="108" w:type="dxa"/>
          </w:tblCellMar>
        </w:tblPrEx>
        <w:trPr>
          <w:trHeight w:val="114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412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▲登录账户同步：</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支持对登录账户创建、更改、删除整个生命周期的自动同步，无需人工维护，避免辅助节点切换为主节点后，因账号、密码、权限、数据库映射关系等不一致导致业务系统无法正常使用的情况。（提供配置登录账户同步的功能截图）</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413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同步技术</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要求产品的同步技术高效稳定，不能是基于触发器、CDC、镜像、复制订阅等高消耗或有明显技术限制的同步技术</w:t>
            </w:r>
          </w:p>
        </w:tc>
      </w:tr>
      <w:tr>
        <w:tblPrEx>
          <w:tblLayout w:type="fixed"/>
          <w:tblCellMar>
            <w:top w:w="0" w:type="dxa"/>
            <w:left w:w="108" w:type="dxa"/>
            <w:bottom w:w="0" w:type="dxa"/>
            <w:right w:w="108" w:type="dxa"/>
          </w:tblCellMar>
        </w:tblPrEx>
        <w:trPr>
          <w:trHeight w:val="114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414</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▲作业同步</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支持对作业创建、更改、删除整个生命周期的自动同步，确保作业在各个节点间的一致性，避免辅助节点切换成主节点时，因作业的内容不一致、作业未及时开启等原因导致业务数据混乱等问题。（提供配置作业同步的功能截图）</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415</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可靠性</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服务器群组中任何一台服务器故障不影响业务正常使用，节点修复后自动同步差异数据可以自动加入群组中继续工作。</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416</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rFonts w:hint="eastAsia" w:ascii="等线" w:hAnsi="等线" w:eastAsia="等线"/>
                <w:color w:val="000000"/>
              </w:rPr>
            </w:pPr>
            <w:r>
              <w:rPr>
                <w:rFonts w:hint="eastAsia" w:ascii="等线" w:hAnsi="等线" w:eastAsia="等线"/>
                <w:color w:val="000000"/>
              </w:rPr>
              <w:t>▲系统库对象同步</w:t>
            </w:r>
          </w:p>
        </w:tc>
        <w:tc>
          <w:tcPr>
            <w:tcW w:w="8148" w:type="dxa"/>
            <w:tcBorders>
              <w:top w:val="nil"/>
              <w:left w:val="nil"/>
              <w:bottom w:val="single" w:color="auto" w:sz="4" w:space="0"/>
              <w:right w:val="single" w:color="auto" w:sz="4" w:space="0"/>
            </w:tcBorders>
            <w:shd w:val="clear" w:color="auto" w:fill="auto"/>
            <w:vAlign w:val="center"/>
          </w:tcPr>
          <w:p>
            <w:pPr>
              <w:rPr>
                <w:rFonts w:hint="eastAsia" w:ascii="宋体" w:hAnsi="宋体" w:eastAsia="宋体"/>
                <w:color w:val="000000"/>
              </w:rPr>
            </w:pPr>
            <w:r>
              <w:rPr>
                <w:rFonts w:hint="eastAsia"/>
                <w:color w:val="000000"/>
              </w:rPr>
              <w:t>支持对系统库中的表（结构和数据）、存储过程、视图、函数等常用对象的同步，避免因对象不同步造成业务系统无法正常使用的情况。（提供配置系统库同步的功能截图）</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417</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负载均衡</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针对查询操作提供负载均衡能力，将应用程序的查询访问在多个节点间有效的均衡负载。</w:t>
            </w:r>
          </w:p>
        </w:tc>
      </w:tr>
      <w:tr>
        <w:tblPrEx>
          <w:tblLayout w:type="fixed"/>
          <w:tblCellMar>
            <w:top w:w="0" w:type="dxa"/>
            <w:left w:w="108" w:type="dxa"/>
            <w:bottom w:w="0" w:type="dxa"/>
            <w:right w:w="108" w:type="dxa"/>
          </w:tblCellMar>
        </w:tblPrEx>
        <w:trPr>
          <w:trHeight w:val="85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418</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▲读写分离</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通过制定策略重定向SQL，支持将报表类及第三访查询接口指派到集群任意节点，降低主库服务器性能压力，透明地实现读写分离操作，无需修改应用程序。（提供配置读写分离的功能截图）</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419</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弹性扩展</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可以通过增加服务器的数量来增加数据库的处理能力，最多支持8节点，实现简单扩展，提高设备利用率。</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420</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配置透明</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要求对应用程序完全透明，提供唯一的IP地址及端口供应用程序访问。</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421</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图形化管理</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具有图形化的管理工具，可以轻松的实现数据同步、节点扩展、负载设置、日志记录、邮件通知以及更加及时的短信通知等操作。</w:t>
            </w:r>
          </w:p>
        </w:tc>
      </w:tr>
      <w:tr>
        <w:tblPrEx>
          <w:tblLayout w:type="fixed"/>
          <w:tblCellMar>
            <w:top w:w="0" w:type="dxa"/>
            <w:left w:w="108" w:type="dxa"/>
            <w:bottom w:w="0" w:type="dxa"/>
            <w:right w:w="108" w:type="dxa"/>
          </w:tblCellMar>
        </w:tblPrEx>
        <w:trPr>
          <w:trHeight w:val="570"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422</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知识产权</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▲为避免软件侵权，要求所选产品拥有自主知识产权，要求提供投标产品的软件著作权证书</w:t>
            </w:r>
          </w:p>
        </w:tc>
      </w:tr>
      <w:tr>
        <w:tblPrEx>
          <w:tblLayout w:type="fixed"/>
          <w:tblCellMar>
            <w:top w:w="0" w:type="dxa"/>
            <w:left w:w="108" w:type="dxa"/>
            <w:bottom w:w="0" w:type="dxa"/>
            <w:right w:w="108" w:type="dxa"/>
          </w:tblCellMar>
        </w:tblPrEx>
        <w:trPr>
          <w:trHeight w:val="315" w:hRule="atLeast"/>
        </w:trPr>
        <w:tc>
          <w:tcPr>
            <w:tcW w:w="536" w:type="dxa"/>
            <w:tcBorders>
              <w:top w:val="nil"/>
              <w:left w:val="single" w:color="auto" w:sz="4" w:space="0"/>
              <w:bottom w:val="single" w:color="auto" w:sz="4" w:space="0"/>
              <w:right w:val="single" w:color="auto" w:sz="4" w:space="0"/>
            </w:tcBorders>
            <w:shd w:val="clear" w:color="auto" w:fill="auto"/>
            <w:vAlign w:val="center"/>
          </w:tcPr>
          <w:p>
            <w:r>
              <w:rPr>
                <w:rFonts w:hint="eastAsia"/>
              </w:rPr>
              <w:t>423</w:t>
            </w:r>
          </w:p>
        </w:tc>
        <w:tc>
          <w:tcPr>
            <w:tcW w:w="1212"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1216" w:type="dxa"/>
            <w:vMerge w:val="continue"/>
            <w:tcBorders>
              <w:top w:val="nil"/>
              <w:left w:val="single" w:color="auto" w:sz="4" w:space="0"/>
              <w:bottom w:val="single" w:color="000000" w:sz="4" w:space="0"/>
              <w:right w:val="single" w:color="auto" w:sz="4" w:space="0"/>
            </w:tcBorders>
            <w:vAlign w:val="center"/>
          </w:tcPr>
          <w:p>
            <w:pPr>
              <w:rPr>
                <w:rFonts w:hint="eastAsia" w:ascii="等线" w:hAnsi="等线" w:eastAsia="等线" w:cs="宋体"/>
                <w:color w:val="000000"/>
                <w:sz w:val="24"/>
                <w:szCs w:val="24"/>
              </w:rPr>
            </w:pPr>
          </w:p>
        </w:tc>
        <w:tc>
          <w:tcPr>
            <w:tcW w:w="997"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　</w:t>
            </w:r>
          </w:p>
        </w:tc>
        <w:tc>
          <w:tcPr>
            <w:tcW w:w="1812"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授权数量</w:t>
            </w:r>
          </w:p>
        </w:tc>
        <w:tc>
          <w:tcPr>
            <w:tcW w:w="8148" w:type="dxa"/>
            <w:tcBorders>
              <w:top w:val="nil"/>
              <w:left w:val="nil"/>
              <w:bottom w:val="single" w:color="auto" w:sz="4" w:space="0"/>
              <w:right w:val="single" w:color="auto" w:sz="4" w:space="0"/>
            </w:tcBorders>
            <w:shd w:val="clear" w:color="auto" w:fill="auto"/>
            <w:vAlign w:val="center"/>
          </w:tcPr>
          <w:p>
            <w:pPr>
              <w:rPr>
                <w:color w:val="000000"/>
              </w:rPr>
            </w:pPr>
            <w:r>
              <w:rPr>
                <w:rFonts w:hint="eastAsia"/>
                <w:color w:val="000000"/>
              </w:rPr>
              <w:t>本次项目提供3台数据库服务器节点的授权许可。</w:t>
            </w:r>
          </w:p>
        </w:tc>
      </w:tr>
      <w:tr>
        <w:tblPrEx>
          <w:tblLayout w:type="fixed"/>
          <w:tblCellMar>
            <w:top w:w="0" w:type="dxa"/>
            <w:left w:w="108" w:type="dxa"/>
            <w:bottom w:w="0" w:type="dxa"/>
            <w:right w:w="108" w:type="dxa"/>
          </w:tblCellMar>
        </w:tblPrEx>
        <w:trPr>
          <w:trHeight w:val="315" w:hRule="atLeast"/>
        </w:trPr>
        <w:tc>
          <w:tcPr>
            <w:tcW w:w="536" w:type="dxa"/>
            <w:tcBorders>
              <w:top w:val="nil"/>
              <w:left w:val="nil"/>
              <w:bottom w:val="nil"/>
              <w:right w:val="nil"/>
            </w:tcBorders>
            <w:shd w:val="clear" w:color="auto" w:fill="auto"/>
            <w:vAlign w:val="center"/>
          </w:tcPr>
          <w:p>
            <w:pPr>
              <w:rPr>
                <w:color w:val="000000"/>
              </w:rPr>
            </w:pPr>
          </w:p>
        </w:tc>
        <w:tc>
          <w:tcPr>
            <w:tcW w:w="1212" w:type="dxa"/>
            <w:tcBorders>
              <w:top w:val="nil"/>
              <w:left w:val="nil"/>
              <w:bottom w:val="nil"/>
              <w:right w:val="nil"/>
            </w:tcBorders>
            <w:shd w:val="clear" w:color="auto" w:fill="auto"/>
            <w:vAlign w:val="center"/>
          </w:tcPr>
          <w:p>
            <w:pPr>
              <w:rPr>
                <w:rFonts w:ascii="Times New Roman" w:hAnsi="Times New Roman" w:eastAsia="Times New Roman" w:cs="Times New Roman"/>
                <w:sz w:val="20"/>
                <w:szCs w:val="20"/>
              </w:rPr>
            </w:pPr>
          </w:p>
        </w:tc>
        <w:tc>
          <w:tcPr>
            <w:tcW w:w="1216" w:type="dxa"/>
            <w:tcBorders>
              <w:top w:val="nil"/>
              <w:left w:val="nil"/>
              <w:bottom w:val="nil"/>
              <w:right w:val="nil"/>
            </w:tcBorders>
            <w:shd w:val="clear" w:color="auto" w:fill="auto"/>
            <w:vAlign w:val="center"/>
          </w:tcPr>
          <w:p>
            <w:pPr>
              <w:rPr>
                <w:rFonts w:ascii="Times New Roman" w:hAnsi="Times New Roman" w:eastAsia="Times New Roman" w:cs="Times New Roman"/>
                <w:sz w:val="20"/>
                <w:szCs w:val="20"/>
              </w:rPr>
            </w:pPr>
          </w:p>
        </w:tc>
        <w:tc>
          <w:tcPr>
            <w:tcW w:w="997" w:type="dxa"/>
            <w:tcBorders>
              <w:top w:val="nil"/>
              <w:left w:val="nil"/>
              <w:bottom w:val="nil"/>
              <w:right w:val="nil"/>
            </w:tcBorders>
            <w:shd w:val="clear" w:color="auto" w:fill="auto"/>
            <w:vAlign w:val="center"/>
          </w:tcPr>
          <w:p>
            <w:pPr>
              <w:rPr>
                <w:rFonts w:ascii="Times New Roman" w:hAnsi="Times New Roman" w:eastAsia="Times New Roman" w:cs="Times New Roman"/>
                <w:sz w:val="20"/>
                <w:szCs w:val="20"/>
              </w:rPr>
            </w:pPr>
          </w:p>
        </w:tc>
        <w:tc>
          <w:tcPr>
            <w:tcW w:w="1812" w:type="dxa"/>
            <w:tcBorders>
              <w:top w:val="nil"/>
              <w:left w:val="nil"/>
              <w:bottom w:val="nil"/>
              <w:right w:val="nil"/>
            </w:tcBorders>
            <w:shd w:val="clear" w:color="auto" w:fill="auto"/>
            <w:vAlign w:val="center"/>
          </w:tcPr>
          <w:p>
            <w:pPr>
              <w:rPr>
                <w:rFonts w:ascii="Times New Roman" w:hAnsi="Times New Roman" w:eastAsia="Times New Roman" w:cs="Times New Roman"/>
                <w:sz w:val="20"/>
                <w:szCs w:val="20"/>
              </w:rPr>
            </w:pPr>
          </w:p>
        </w:tc>
        <w:tc>
          <w:tcPr>
            <w:tcW w:w="8148" w:type="dxa"/>
            <w:tcBorders>
              <w:top w:val="nil"/>
              <w:left w:val="nil"/>
              <w:bottom w:val="nil"/>
              <w:right w:val="nil"/>
            </w:tcBorders>
            <w:shd w:val="clear" w:color="auto" w:fill="auto"/>
            <w:vAlign w:val="center"/>
          </w:tcPr>
          <w:p>
            <w:pPr>
              <w:rPr>
                <w:rFonts w:ascii="Times New Roman" w:hAnsi="Times New Roman" w:eastAsia="Times New Roman" w:cs="Times New Roman"/>
                <w:sz w:val="20"/>
                <w:szCs w:val="20"/>
              </w:rPr>
            </w:pPr>
          </w:p>
        </w:tc>
      </w:tr>
    </w:tbl>
    <w:p>
      <w:pPr>
        <w:spacing w:line="360" w:lineRule="auto"/>
        <w:ind w:firstLine="482" w:firstLineChars="200"/>
        <w:outlineLvl w:val="0"/>
        <w:rPr>
          <w:rFonts w:hint="eastAsia" w:cs="Times New Roman" w:asciiTheme="minorEastAsia" w:hAnsiTheme="minorEastAsia"/>
          <w:b/>
          <w:sz w:val="24"/>
          <w:szCs w:val="24"/>
        </w:rPr>
      </w:pPr>
      <w:bookmarkStart w:id="0" w:name="_GoBack"/>
      <w:bookmarkEnd w:id="0"/>
    </w:p>
    <w:sectPr>
      <w:headerReference r:id="rId3" w:type="default"/>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
    <w:altName w:val="宋体"/>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5A565E"/>
    <w:multiLevelType w:val="multilevel"/>
    <w:tmpl w:val="115A565E"/>
    <w:lvl w:ilvl="0" w:tentative="0">
      <w:start w:val="1"/>
      <w:numFmt w:val="chineseCounting"/>
      <w:pStyle w:val="2"/>
      <w:suff w:val="nothing"/>
      <w:lvlText w:val="第%1章 "/>
      <w:lvlJc w:val="left"/>
      <w:pPr>
        <w:ind w:left="432" w:hanging="432"/>
      </w:pPr>
      <w:rPr>
        <w:rFonts w:hint="eastAsia"/>
      </w:rPr>
    </w:lvl>
    <w:lvl w:ilvl="1" w:tentative="0">
      <w:start w:val="1"/>
      <w:numFmt w:val="decimal"/>
      <w:pStyle w:val="3"/>
      <w:isLgl/>
      <w:lvlText w:val="%1.%2."/>
      <w:lvlJc w:val="left"/>
      <w:pPr>
        <w:ind w:left="575" w:hanging="575"/>
      </w:pPr>
      <w:rPr>
        <w:rFonts w:ascii="Times New Roman" w:hAnsi="Times New Roman" w:cs="Times New Roman"/>
        <w:b w:val="0"/>
        <w:bCs w:val="0"/>
        <w:i w:val="0"/>
        <w:iCs w:val="0"/>
        <w:caps w:val="0"/>
        <w:smallCaps w:val="0"/>
        <w:strike w:val="0"/>
        <w:dstrike w:val="0"/>
        <w:snapToGrid w:val="0"/>
        <w:vanish w:val="0"/>
        <w:color w:val="000000"/>
        <w:spacing w:val="0"/>
        <w:w w:val="0"/>
        <w:kern w:val="0"/>
        <w:position w:val="0"/>
        <w:sz w:val="0"/>
        <w:szCs w:val="0"/>
        <w:u w:val="none" w:color="000000"/>
        <w:shd w:val="clear" w:color="000000" w:fill="000000"/>
        <w:vertAlign w:val="baseline"/>
        <w:lang w:val="zh-CN" w:eastAsia="zh-CN" w:bidi="zh-CN"/>
        <w14:shadow w14:blurRad="0" w14:dist="0" w14:dir="0" w14:sx="0" w14:sy="0" w14:kx="0" w14:ky="0" w14:algn="none">
          <w14:srgbClr w14:val="000000"/>
        </w14:shadow>
        <w14:ligatures w14:val="none"/>
        <w14:numForm w14:val="default"/>
        <w14:numSpacing w14:val="default"/>
      </w:rPr>
    </w:lvl>
    <w:lvl w:ilvl="2" w:tentative="0">
      <w:start w:val="1"/>
      <w:numFmt w:val="decimal"/>
      <w:pStyle w:val="4"/>
      <w:isLgl/>
      <w:lvlText w:val="%1.%2.%3."/>
      <w:lvlJc w:val="left"/>
      <w:pPr>
        <w:ind w:left="720" w:hanging="720"/>
      </w:pPr>
      <w:rPr>
        <w:rFonts w:hint="eastAsia"/>
      </w:rPr>
    </w:lvl>
    <w:lvl w:ilvl="3" w:tentative="0">
      <w:start w:val="1"/>
      <w:numFmt w:val="decimal"/>
      <w:pStyle w:val="5"/>
      <w:isLgl/>
      <w:lvlText w:val="%1.%2.%3.%4."/>
      <w:lvlJc w:val="left"/>
      <w:pPr>
        <w:ind w:left="864" w:hanging="864"/>
      </w:pPr>
      <w:rPr>
        <w:rFonts w:hint="eastAsia"/>
      </w:rPr>
    </w:lvl>
    <w:lvl w:ilvl="4" w:tentative="0">
      <w:start w:val="1"/>
      <w:numFmt w:val="decimal"/>
      <w:pStyle w:val="6"/>
      <w:isLgl/>
      <w:lvlText w:val="%1.%2.%3.%4.%5."/>
      <w:lvlJc w:val="left"/>
      <w:pPr>
        <w:ind w:left="1008" w:hanging="1008"/>
      </w:pPr>
      <w:rPr>
        <w:rFonts w:hint="eastAsia"/>
      </w:rPr>
    </w:lvl>
    <w:lvl w:ilvl="5" w:tentative="0">
      <w:start w:val="1"/>
      <w:numFmt w:val="decimal"/>
      <w:pStyle w:val="7"/>
      <w:isLgl/>
      <w:lvlText w:val="%1.%2.%3.%4.%5.%6."/>
      <w:lvlJc w:val="left"/>
      <w:pPr>
        <w:ind w:left="1151" w:hanging="1151"/>
      </w:pPr>
      <w:rPr>
        <w:rFonts w:hint="eastAsia"/>
      </w:rPr>
    </w:lvl>
    <w:lvl w:ilvl="6" w:tentative="0">
      <w:start w:val="1"/>
      <w:numFmt w:val="decimal"/>
      <w:pStyle w:val="8"/>
      <w:isLgl/>
      <w:lvlText w:val="%1.%2.%3.%4.%5.%6.%7."/>
      <w:lvlJc w:val="left"/>
      <w:pPr>
        <w:ind w:left="1296" w:hanging="1296"/>
      </w:pPr>
      <w:rPr>
        <w:rFonts w:hint="eastAsia"/>
      </w:rPr>
    </w:lvl>
    <w:lvl w:ilvl="7" w:tentative="0">
      <w:start w:val="1"/>
      <w:numFmt w:val="decimal"/>
      <w:pStyle w:val="9"/>
      <w:isLgl/>
      <w:lvlText w:val="%1.%2.%3.%4.%5.%6.%7.%8."/>
      <w:lvlJc w:val="left"/>
      <w:pPr>
        <w:ind w:left="1440" w:hanging="1440"/>
      </w:pPr>
      <w:rPr>
        <w:rFonts w:hint="eastAsia"/>
      </w:rPr>
    </w:lvl>
    <w:lvl w:ilvl="8" w:tentative="0">
      <w:start w:val="1"/>
      <w:numFmt w:val="decimal"/>
      <w:pStyle w:val="10"/>
      <w:isLgl/>
      <w:lvlText w:val="%1.%2.%3.%4.%5.%6.%7.%8.%9."/>
      <w:lvlJc w:val="left"/>
      <w:pPr>
        <w:ind w:left="1583" w:hanging="1583"/>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7"/>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1C61"/>
    <w:rsid w:val="00001B8B"/>
    <w:rsid w:val="0000216E"/>
    <w:rsid w:val="00002352"/>
    <w:rsid w:val="00003657"/>
    <w:rsid w:val="000038E8"/>
    <w:rsid w:val="00005094"/>
    <w:rsid w:val="00006D00"/>
    <w:rsid w:val="0001194C"/>
    <w:rsid w:val="00013B17"/>
    <w:rsid w:val="000146D8"/>
    <w:rsid w:val="00015375"/>
    <w:rsid w:val="0001758C"/>
    <w:rsid w:val="000201A0"/>
    <w:rsid w:val="00022D3B"/>
    <w:rsid w:val="00030970"/>
    <w:rsid w:val="00031C61"/>
    <w:rsid w:val="00041BF5"/>
    <w:rsid w:val="000444D7"/>
    <w:rsid w:val="00045BF6"/>
    <w:rsid w:val="00046889"/>
    <w:rsid w:val="0005044D"/>
    <w:rsid w:val="00050AA1"/>
    <w:rsid w:val="00051F77"/>
    <w:rsid w:val="00057DDC"/>
    <w:rsid w:val="000627E1"/>
    <w:rsid w:val="00063D78"/>
    <w:rsid w:val="000703A0"/>
    <w:rsid w:val="00071EC9"/>
    <w:rsid w:val="00076FCA"/>
    <w:rsid w:val="0008024F"/>
    <w:rsid w:val="00080359"/>
    <w:rsid w:val="00083740"/>
    <w:rsid w:val="00092A75"/>
    <w:rsid w:val="0009311F"/>
    <w:rsid w:val="0009370A"/>
    <w:rsid w:val="00094C75"/>
    <w:rsid w:val="00094F15"/>
    <w:rsid w:val="000A0498"/>
    <w:rsid w:val="000B1A4B"/>
    <w:rsid w:val="000B2CDB"/>
    <w:rsid w:val="000B734C"/>
    <w:rsid w:val="000C1ADC"/>
    <w:rsid w:val="000D0805"/>
    <w:rsid w:val="000D38A2"/>
    <w:rsid w:val="000D44A1"/>
    <w:rsid w:val="000D6032"/>
    <w:rsid w:val="000E0478"/>
    <w:rsid w:val="000E07EF"/>
    <w:rsid w:val="000E2220"/>
    <w:rsid w:val="000E2233"/>
    <w:rsid w:val="000E3C68"/>
    <w:rsid w:val="000E44C8"/>
    <w:rsid w:val="000E671F"/>
    <w:rsid w:val="000E7A2E"/>
    <w:rsid w:val="000F0530"/>
    <w:rsid w:val="000F063E"/>
    <w:rsid w:val="000F1A81"/>
    <w:rsid w:val="000F30FE"/>
    <w:rsid w:val="00100461"/>
    <w:rsid w:val="001036BC"/>
    <w:rsid w:val="001051F6"/>
    <w:rsid w:val="001056C3"/>
    <w:rsid w:val="001060F0"/>
    <w:rsid w:val="0011064C"/>
    <w:rsid w:val="001120E6"/>
    <w:rsid w:val="001122CC"/>
    <w:rsid w:val="001165BB"/>
    <w:rsid w:val="00116633"/>
    <w:rsid w:val="00120AAE"/>
    <w:rsid w:val="00121F6A"/>
    <w:rsid w:val="00122150"/>
    <w:rsid w:val="00122935"/>
    <w:rsid w:val="00123373"/>
    <w:rsid w:val="00125DE1"/>
    <w:rsid w:val="00126C91"/>
    <w:rsid w:val="0012730D"/>
    <w:rsid w:val="00127EAB"/>
    <w:rsid w:val="00136ECC"/>
    <w:rsid w:val="00152E1D"/>
    <w:rsid w:val="001544A2"/>
    <w:rsid w:val="00155C92"/>
    <w:rsid w:val="00160F73"/>
    <w:rsid w:val="00174A4C"/>
    <w:rsid w:val="00180BE8"/>
    <w:rsid w:val="00190FD0"/>
    <w:rsid w:val="00191F7E"/>
    <w:rsid w:val="001926A7"/>
    <w:rsid w:val="00193E52"/>
    <w:rsid w:val="00193EC1"/>
    <w:rsid w:val="001951BF"/>
    <w:rsid w:val="001A046D"/>
    <w:rsid w:val="001A104F"/>
    <w:rsid w:val="001A7F3A"/>
    <w:rsid w:val="001B077E"/>
    <w:rsid w:val="001B081C"/>
    <w:rsid w:val="001B18FD"/>
    <w:rsid w:val="001B301B"/>
    <w:rsid w:val="001B481E"/>
    <w:rsid w:val="001C1284"/>
    <w:rsid w:val="001C1BDB"/>
    <w:rsid w:val="001C3DF0"/>
    <w:rsid w:val="001D1283"/>
    <w:rsid w:val="001D1896"/>
    <w:rsid w:val="001D2506"/>
    <w:rsid w:val="001D479B"/>
    <w:rsid w:val="001D76E3"/>
    <w:rsid w:val="001E28E1"/>
    <w:rsid w:val="001E58DB"/>
    <w:rsid w:val="001E75CD"/>
    <w:rsid w:val="001F4BBD"/>
    <w:rsid w:val="001F4EC2"/>
    <w:rsid w:val="001F515D"/>
    <w:rsid w:val="001F7CAE"/>
    <w:rsid w:val="00210D3C"/>
    <w:rsid w:val="00212361"/>
    <w:rsid w:val="002150E9"/>
    <w:rsid w:val="0021669B"/>
    <w:rsid w:val="00217D44"/>
    <w:rsid w:val="00220D5C"/>
    <w:rsid w:val="0022195C"/>
    <w:rsid w:val="00223AEA"/>
    <w:rsid w:val="00230F0A"/>
    <w:rsid w:val="00236F00"/>
    <w:rsid w:val="002376CD"/>
    <w:rsid w:val="00237D39"/>
    <w:rsid w:val="00240385"/>
    <w:rsid w:val="00241B2B"/>
    <w:rsid w:val="00242782"/>
    <w:rsid w:val="00244518"/>
    <w:rsid w:val="002471CA"/>
    <w:rsid w:val="0025300C"/>
    <w:rsid w:val="00260A52"/>
    <w:rsid w:val="00275B64"/>
    <w:rsid w:val="00280225"/>
    <w:rsid w:val="00282BBF"/>
    <w:rsid w:val="00282ED3"/>
    <w:rsid w:val="002831A1"/>
    <w:rsid w:val="00286A70"/>
    <w:rsid w:val="00287A46"/>
    <w:rsid w:val="00290FB7"/>
    <w:rsid w:val="00291A3B"/>
    <w:rsid w:val="00293CF5"/>
    <w:rsid w:val="002947BF"/>
    <w:rsid w:val="00295191"/>
    <w:rsid w:val="002973B8"/>
    <w:rsid w:val="002A1F70"/>
    <w:rsid w:val="002A271F"/>
    <w:rsid w:val="002B119D"/>
    <w:rsid w:val="002B16AB"/>
    <w:rsid w:val="002B2539"/>
    <w:rsid w:val="002B4A0D"/>
    <w:rsid w:val="002B4CD9"/>
    <w:rsid w:val="002B7699"/>
    <w:rsid w:val="002C0B90"/>
    <w:rsid w:val="002C234F"/>
    <w:rsid w:val="002C240D"/>
    <w:rsid w:val="002C4326"/>
    <w:rsid w:val="002D0435"/>
    <w:rsid w:val="002D321A"/>
    <w:rsid w:val="002D6819"/>
    <w:rsid w:val="002E0923"/>
    <w:rsid w:val="002E1FC9"/>
    <w:rsid w:val="002E7356"/>
    <w:rsid w:val="002F434F"/>
    <w:rsid w:val="00303FAE"/>
    <w:rsid w:val="003050A1"/>
    <w:rsid w:val="00306929"/>
    <w:rsid w:val="00313CA9"/>
    <w:rsid w:val="003145DD"/>
    <w:rsid w:val="0032710F"/>
    <w:rsid w:val="0033139D"/>
    <w:rsid w:val="00333FC6"/>
    <w:rsid w:val="00336927"/>
    <w:rsid w:val="00336DE2"/>
    <w:rsid w:val="00342B8A"/>
    <w:rsid w:val="0034577B"/>
    <w:rsid w:val="0035319D"/>
    <w:rsid w:val="003568CB"/>
    <w:rsid w:val="00357422"/>
    <w:rsid w:val="00360F99"/>
    <w:rsid w:val="0036147C"/>
    <w:rsid w:val="0036260A"/>
    <w:rsid w:val="003665E0"/>
    <w:rsid w:val="0036780E"/>
    <w:rsid w:val="003704F7"/>
    <w:rsid w:val="00375B86"/>
    <w:rsid w:val="003769CC"/>
    <w:rsid w:val="00380297"/>
    <w:rsid w:val="003805D9"/>
    <w:rsid w:val="00380F7A"/>
    <w:rsid w:val="00382C29"/>
    <w:rsid w:val="00384893"/>
    <w:rsid w:val="00385874"/>
    <w:rsid w:val="00390CDD"/>
    <w:rsid w:val="00391ECA"/>
    <w:rsid w:val="00391F49"/>
    <w:rsid w:val="00396063"/>
    <w:rsid w:val="003967A8"/>
    <w:rsid w:val="00397026"/>
    <w:rsid w:val="003A0D3D"/>
    <w:rsid w:val="003A338D"/>
    <w:rsid w:val="003A55FF"/>
    <w:rsid w:val="003A65E6"/>
    <w:rsid w:val="003A6CD4"/>
    <w:rsid w:val="003B4524"/>
    <w:rsid w:val="003B45E1"/>
    <w:rsid w:val="003C17DB"/>
    <w:rsid w:val="003C188F"/>
    <w:rsid w:val="003C58A3"/>
    <w:rsid w:val="003D1B15"/>
    <w:rsid w:val="003D2DFD"/>
    <w:rsid w:val="003D39DC"/>
    <w:rsid w:val="003E095C"/>
    <w:rsid w:val="003E0C6F"/>
    <w:rsid w:val="003E2F2B"/>
    <w:rsid w:val="003E5ABE"/>
    <w:rsid w:val="003E6494"/>
    <w:rsid w:val="003E657B"/>
    <w:rsid w:val="003F0967"/>
    <w:rsid w:val="003F532A"/>
    <w:rsid w:val="00400170"/>
    <w:rsid w:val="004018C4"/>
    <w:rsid w:val="0040222C"/>
    <w:rsid w:val="00402754"/>
    <w:rsid w:val="004041E7"/>
    <w:rsid w:val="004059A2"/>
    <w:rsid w:val="004112E2"/>
    <w:rsid w:val="004117D8"/>
    <w:rsid w:val="00411B82"/>
    <w:rsid w:val="004132DE"/>
    <w:rsid w:val="004142F2"/>
    <w:rsid w:val="00415870"/>
    <w:rsid w:val="00430711"/>
    <w:rsid w:val="00436F93"/>
    <w:rsid w:val="00440243"/>
    <w:rsid w:val="00440831"/>
    <w:rsid w:val="00445645"/>
    <w:rsid w:val="004478EF"/>
    <w:rsid w:val="004521B7"/>
    <w:rsid w:val="00453386"/>
    <w:rsid w:val="0045467C"/>
    <w:rsid w:val="00455EC2"/>
    <w:rsid w:val="00460849"/>
    <w:rsid w:val="00461841"/>
    <w:rsid w:val="00473C5A"/>
    <w:rsid w:val="00473F4B"/>
    <w:rsid w:val="0047559B"/>
    <w:rsid w:val="0047782E"/>
    <w:rsid w:val="00480445"/>
    <w:rsid w:val="004809D5"/>
    <w:rsid w:val="00486F3D"/>
    <w:rsid w:val="00496036"/>
    <w:rsid w:val="004962C8"/>
    <w:rsid w:val="0049798F"/>
    <w:rsid w:val="004A4CE5"/>
    <w:rsid w:val="004B186E"/>
    <w:rsid w:val="004B19FC"/>
    <w:rsid w:val="004B3E0D"/>
    <w:rsid w:val="004B4FE8"/>
    <w:rsid w:val="004B52B9"/>
    <w:rsid w:val="004B7049"/>
    <w:rsid w:val="004C3024"/>
    <w:rsid w:val="004C4AD1"/>
    <w:rsid w:val="004C4DF0"/>
    <w:rsid w:val="004C6BD7"/>
    <w:rsid w:val="004D1E00"/>
    <w:rsid w:val="004D5166"/>
    <w:rsid w:val="004E28B6"/>
    <w:rsid w:val="004E56A9"/>
    <w:rsid w:val="004E6247"/>
    <w:rsid w:val="004E63CA"/>
    <w:rsid w:val="004E6457"/>
    <w:rsid w:val="004E74F6"/>
    <w:rsid w:val="00503D0D"/>
    <w:rsid w:val="00511004"/>
    <w:rsid w:val="00514118"/>
    <w:rsid w:val="00514C01"/>
    <w:rsid w:val="00514E6A"/>
    <w:rsid w:val="00515FF6"/>
    <w:rsid w:val="00516FBC"/>
    <w:rsid w:val="00525CA0"/>
    <w:rsid w:val="00527DF3"/>
    <w:rsid w:val="005319D2"/>
    <w:rsid w:val="00532E4C"/>
    <w:rsid w:val="00544A8E"/>
    <w:rsid w:val="00544E25"/>
    <w:rsid w:val="005456D4"/>
    <w:rsid w:val="00546BDD"/>
    <w:rsid w:val="005514AE"/>
    <w:rsid w:val="005550E4"/>
    <w:rsid w:val="00557AFE"/>
    <w:rsid w:val="00560F76"/>
    <w:rsid w:val="00563FF1"/>
    <w:rsid w:val="005648BB"/>
    <w:rsid w:val="00564B22"/>
    <w:rsid w:val="00564DF5"/>
    <w:rsid w:val="00567151"/>
    <w:rsid w:val="005729F8"/>
    <w:rsid w:val="0057455D"/>
    <w:rsid w:val="0057493E"/>
    <w:rsid w:val="00574A18"/>
    <w:rsid w:val="00576F03"/>
    <w:rsid w:val="005800B4"/>
    <w:rsid w:val="0058015B"/>
    <w:rsid w:val="005837B1"/>
    <w:rsid w:val="005848F8"/>
    <w:rsid w:val="00584E8F"/>
    <w:rsid w:val="005861AA"/>
    <w:rsid w:val="00587A03"/>
    <w:rsid w:val="005939C7"/>
    <w:rsid w:val="0059476A"/>
    <w:rsid w:val="005A00D4"/>
    <w:rsid w:val="005A16ED"/>
    <w:rsid w:val="005A1A7B"/>
    <w:rsid w:val="005A1BC2"/>
    <w:rsid w:val="005A26BD"/>
    <w:rsid w:val="005A3D66"/>
    <w:rsid w:val="005A569E"/>
    <w:rsid w:val="005A72F1"/>
    <w:rsid w:val="005B2210"/>
    <w:rsid w:val="005B234B"/>
    <w:rsid w:val="005B6133"/>
    <w:rsid w:val="005B6C15"/>
    <w:rsid w:val="005B795C"/>
    <w:rsid w:val="005C50C9"/>
    <w:rsid w:val="005C6174"/>
    <w:rsid w:val="005C6DE2"/>
    <w:rsid w:val="005C7371"/>
    <w:rsid w:val="005D1D26"/>
    <w:rsid w:val="005D53DD"/>
    <w:rsid w:val="005D75AC"/>
    <w:rsid w:val="005E222B"/>
    <w:rsid w:val="005E399B"/>
    <w:rsid w:val="005E426C"/>
    <w:rsid w:val="005F0F64"/>
    <w:rsid w:val="005F612F"/>
    <w:rsid w:val="005F7CB1"/>
    <w:rsid w:val="005F7FAC"/>
    <w:rsid w:val="006028F8"/>
    <w:rsid w:val="006110CB"/>
    <w:rsid w:val="00612F24"/>
    <w:rsid w:val="006132AF"/>
    <w:rsid w:val="00620633"/>
    <w:rsid w:val="0062201E"/>
    <w:rsid w:val="00623663"/>
    <w:rsid w:val="00625D96"/>
    <w:rsid w:val="00627027"/>
    <w:rsid w:val="006310C5"/>
    <w:rsid w:val="00632FE0"/>
    <w:rsid w:val="0063682D"/>
    <w:rsid w:val="00645F87"/>
    <w:rsid w:val="00654ED3"/>
    <w:rsid w:val="00657B36"/>
    <w:rsid w:val="006614EA"/>
    <w:rsid w:val="00666A13"/>
    <w:rsid w:val="00667758"/>
    <w:rsid w:val="00683109"/>
    <w:rsid w:val="00684B38"/>
    <w:rsid w:val="00685CA9"/>
    <w:rsid w:val="00694AF4"/>
    <w:rsid w:val="00694F76"/>
    <w:rsid w:val="00697FC8"/>
    <w:rsid w:val="006A576A"/>
    <w:rsid w:val="006A6667"/>
    <w:rsid w:val="006B1A26"/>
    <w:rsid w:val="006B1D92"/>
    <w:rsid w:val="006B2397"/>
    <w:rsid w:val="006B26AC"/>
    <w:rsid w:val="006C3800"/>
    <w:rsid w:val="006C3A7D"/>
    <w:rsid w:val="006C5A16"/>
    <w:rsid w:val="006D03B5"/>
    <w:rsid w:val="006D162E"/>
    <w:rsid w:val="006D359D"/>
    <w:rsid w:val="006D3D29"/>
    <w:rsid w:val="006D5191"/>
    <w:rsid w:val="006D7335"/>
    <w:rsid w:val="006D7346"/>
    <w:rsid w:val="006E0283"/>
    <w:rsid w:val="006E204E"/>
    <w:rsid w:val="006E789F"/>
    <w:rsid w:val="006F2CD9"/>
    <w:rsid w:val="006F2CDB"/>
    <w:rsid w:val="006F3002"/>
    <w:rsid w:val="006F625B"/>
    <w:rsid w:val="006F6CC2"/>
    <w:rsid w:val="0070603C"/>
    <w:rsid w:val="0070731E"/>
    <w:rsid w:val="00710E09"/>
    <w:rsid w:val="0071279C"/>
    <w:rsid w:val="00712BC9"/>
    <w:rsid w:val="00713FF9"/>
    <w:rsid w:val="00714F5F"/>
    <w:rsid w:val="007161D7"/>
    <w:rsid w:val="007166FA"/>
    <w:rsid w:val="00722DFD"/>
    <w:rsid w:val="00730EB1"/>
    <w:rsid w:val="00732ED6"/>
    <w:rsid w:val="00733968"/>
    <w:rsid w:val="00737820"/>
    <w:rsid w:val="00742AD4"/>
    <w:rsid w:val="00744234"/>
    <w:rsid w:val="00747CCE"/>
    <w:rsid w:val="00750A0C"/>
    <w:rsid w:val="007652AA"/>
    <w:rsid w:val="00770A17"/>
    <w:rsid w:val="007726B1"/>
    <w:rsid w:val="0077484E"/>
    <w:rsid w:val="00775FB7"/>
    <w:rsid w:val="007866D0"/>
    <w:rsid w:val="00787BD4"/>
    <w:rsid w:val="00793489"/>
    <w:rsid w:val="0079568D"/>
    <w:rsid w:val="007A61A3"/>
    <w:rsid w:val="007A7DEB"/>
    <w:rsid w:val="007B24A3"/>
    <w:rsid w:val="007B2D67"/>
    <w:rsid w:val="007B3330"/>
    <w:rsid w:val="007C2C2C"/>
    <w:rsid w:val="007C4075"/>
    <w:rsid w:val="007D2855"/>
    <w:rsid w:val="007D46D4"/>
    <w:rsid w:val="007E12C1"/>
    <w:rsid w:val="007E289C"/>
    <w:rsid w:val="007E4E77"/>
    <w:rsid w:val="007E5D1E"/>
    <w:rsid w:val="007E78FA"/>
    <w:rsid w:val="007F15C3"/>
    <w:rsid w:val="007F396B"/>
    <w:rsid w:val="007F68BC"/>
    <w:rsid w:val="007F74CB"/>
    <w:rsid w:val="00800AF6"/>
    <w:rsid w:val="00804D8A"/>
    <w:rsid w:val="008066C0"/>
    <w:rsid w:val="00810443"/>
    <w:rsid w:val="008174A7"/>
    <w:rsid w:val="008214A3"/>
    <w:rsid w:val="008303EC"/>
    <w:rsid w:val="0083510A"/>
    <w:rsid w:val="00836A84"/>
    <w:rsid w:val="00837A0F"/>
    <w:rsid w:val="00842B65"/>
    <w:rsid w:val="00843D30"/>
    <w:rsid w:val="00852A16"/>
    <w:rsid w:val="00852FEE"/>
    <w:rsid w:val="008540A7"/>
    <w:rsid w:val="00855249"/>
    <w:rsid w:val="0086102B"/>
    <w:rsid w:val="0086504C"/>
    <w:rsid w:val="00865BF8"/>
    <w:rsid w:val="00865D6D"/>
    <w:rsid w:val="008662BA"/>
    <w:rsid w:val="00866461"/>
    <w:rsid w:val="00867135"/>
    <w:rsid w:val="00873B36"/>
    <w:rsid w:val="0087405E"/>
    <w:rsid w:val="00881774"/>
    <w:rsid w:val="008830BC"/>
    <w:rsid w:val="008843E0"/>
    <w:rsid w:val="008851E0"/>
    <w:rsid w:val="00894277"/>
    <w:rsid w:val="00894514"/>
    <w:rsid w:val="008A7C76"/>
    <w:rsid w:val="008A7E45"/>
    <w:rsid w:val="008B0D4C"/>
    <w:rsid w:val="008B1E84"/>
    <w:rsid w:val="008B6D80"/>
    <w:rsid w:val="008C0A91"/>
    <w:rsid w:val="008C19A9"/>
    <w:rsid w:val="008C3213"/>
    <w:rsid w:val="008C3F15"/>
    <w:rsid w:val="008C4824"/>
    <w:rsid w:val="008C4F4D"/>
    <w:rsid w:val="008C5637"/>
    <w:rsid w:val="008D722D"/>
    <w:rsid w:val="008D74FB"/>
    <w:rsid w:val="008E1096"/>
    <w:rsid w:val="008E259E"/>
    <w:rsid w:val="008F0138"/>
    <w:rsid w:val="008F24FE"/>
    <w:rsid w:val="008F4BCF"/>
    <w:rsid w:val="00904C68"/>
    <w:rsid w:val="00905659"/>
    <w:rsid w:val="0090625E"/>
    <w:rsid w:val="009070F4"/>
    <w:rsid w:val="00914426"/>
    <w:rsid w:val="00916888"/>
    <w:rsid w:val="00917D5D"/>
    <w:rsid w:val="0092251F"/>
    <w:rsid w:val="00923DCC"/>
    <w:rsid w:val="00923F79"/>
    <w:rsid w:val="009303E6"/>
    <w:rsid w:val="00932E09"/>
    <w:rsid w:val="00933B1F"/>
    <w:rsid w:val="00935951"/>
    <w:rsid w:val="0094106F"/>
    <w:rsid w:val="0094121C"/>
    <w:rsid w:val="00953106"/>
    <w:rsid w:val="00954FDC"/>
    <w:rsid w:val="00956B4C"/>
    <w:rsid w:val="00956E1F"/>
    <w:rsid w:val="00957EFA"/>
    <w:rsid w:val="00960D79"/>
    <w:rsid w:val="00961AAB"/>
    <w:rsid w:val="00962357"/>
    <w:rsid w:val="00964C8F"/>
    <w:rsid w:val="00966E97"/>
    <w:rsid w:val="00976792"/>
    <w:rsid w:val="00981C48"/>
    <w:rsid w:val="00982FCA"/>
    <w:rsid w:val="009848D4"/>
    <w:rsid w:val="0099019D"/>
    <w:rsid w:val="0099244B"/>
    <w:rsid w:val="009A16E4"/>
    <w:rsid w:val="009A3AD3"/>
    <w:rsid w:val="009B148C"/>
    <w:rsid w:val="009B2944"/>
    <w:rsid w:val="009B4D85"/>
    <w:rsid w:val="009C0448"/>
    <w:rsid w:val="009C08E7"/>
    <w:rsid w:val="009C0915"/>
    <w:rsid w:val="009C2EC5"/>
    <w:rsid w:val="009D1F4B"/>
    <w:rsid w:val="009D2C69"/>
    <w:rsid w:val="009D6ED3"/>
    <w:rsid w:val="009E1653"/>
    <w:rsid w:val="009E1B63"/>
    <w:rsid w:val="009E1FFC"/>
    <w:rsid w:val="009E6933"/>
    <w:rsid w:val="009E71FE"/>
    <w:rsid w:val="009E72D8"/>
    <w:rsid w:val="009E7EC6"/>
    <w:rsid w:val="009F4CCC"/>
    <w:rsid w:val="009F632F"/>
    <w:rsid w:val="00A02F20"/>
    <w:rsid w:val="00A0501B"/>
    <w:rsid w:val="00A124FC"/>
    <w:rsid w:val="00A14DF7"/>
    <w:rsid w:val="00A24104"/>
    <w:rsid w:val="00A24AA1"/>
    <w:rsid w:val="00A253D7"/>
    <w:rsid w:val="00A32309"/>
    <w:rsid w:val="00A37DA3"/>
    <w:rsid w:val="00A52D2C"/>
    <w:rsid w:val="00A534BC"/>
    <w:rsid w:val="00A54E6A"/>
    <w:rsid w:val="00A55AA3"/>
    <w:rsid w:val="00A57C85"/>
    <w:rsid w:val="00A602C4"/>
    <w:rsid w:val="00A63A56"/>
    <w:rsid w:val="00A63F1F"/>
    <w:rsid w:val="00A642CC"/>
    <w:rsid w:val="00A659BB"/>
    <w:rsid w:val="00A744F3"/>
    <w:rsid w:val="00A754FB"/>
    <w:rsid w:val="00A82C8D"/>
    <w:rsid w:val="00A843CC"/>
    <w:rsid w:val="00A84BF4"/>
    <w:rsid w:val="00A84C49"/>
    <w:rsid w:val="00A85126"/>
    <w:rsid w:val="00A85D1B"/>
    <w:rsid w:val="00A85DC6"/>
    <w:rsid w:val="00A951F1"/>
    <w:rsid w:val="00A95D7F"/>
    <w:rsid w:val="00A9766D"/>
    <w:rsid w:val="00AB2D2D"/>
    <w:rsid w:val="00AB34DC"/>
    <w:rsid w:val="00AB4688"/>
    <w:rsid w:val="00AC14FF"/>
    <w:rsid w:val="00AC3586"/>
    <w:rsid w:val="00AD0B4B"/>
    <w:rsid w:val="00AD3A8C"/>
    <w:rsid w:val="00AD5A32"/>
    <w:rsid w:val="00AD6D85"/>
    <w:rsid w:val="00AD7DF9"/>
    <w:rsid w:val="00AE1C81"/>
    <w:rsid w:val="00AE4430"/>
    <w:rsid w:val="00AE5C2D"/>
    <w:rsid w:val="00AE5C2E"/>
    <w:rsid w:val="00AF365D"/>
    <w:rsid w:val="00AF61CF"/>
    <w:rsid w:val="00AF74B0"/>
    <w:rsid w:val="00B03186"/>
    <w:rsid w:val="00B0502A"/>
    <w:rsid w:val="00B05776"/>
    <w:rsid w:val="00B066A8"/>
    <w:rsid w:val="00B12B6E"/>
    <w:rsid w:val="00B13614"/>
    <w:rsid w:val="00B20018"/>
    <w:rsid w:val="00B26000"/>
    <w:rsid w:val="00B2768B"/>
    <w:rsid w:val="00B30405"/>
    <w:rsid w:val="00B30EF8"/>
    <w:rsid w:val="00B36100"/>
    <w:rsid w:val="00B37D40"/>
    <w:rsid w:val="00B415FD"/>
    <w:rsid w:val="00B4181B"/>
    <w:rsid w:val="00B41C78"/>
    <w:rsid w:val="00B44300"/>
    <w:rsid w:val="00B46D4F"/>
    <w:rsid w:val="00B56BB3"/>
    <w:rsid w:val="00B57CF3"/>
    <w:rsid w:val="00B60520"/>
    <w:rsid w:val="00B642AA"/>
    <w:rsid w:val="00B64B90"/>
    <w:rsid w:val="00B65280"/>
    <w:rsid w:val="00B66786"/>
    <w:rsid w:val="00B70FE0"/>
    <w:rsid w:val="00B74AF0"/>
    <w:rsid w:val="00B7562B"/>
    <w:rsid w:val="00B80E1B"/>
    <w:rsid w:val="00B82819"/>
    <w:rsid w:val="00B86B17"/>
    <w:rsid w:val="00B90C85"/>
    <w:rsid w:val="00B90D97"/>
    <w:rsid w:val="00B910A3"/>
    <w:rsid w:val="00B915D0"/>
    <w:rsid w:val="00B9619B"/>
    <w:rsid w:val="00BA2649"/>
    <w:rsid w:val="00BA4713"/>
    <w:rsid w:val="00BA7D08"/>
    <w:rsid w:val="00BB2FF8"/>
    <w:rsid w:val="00BB4DC7"/>
    <w:rsid w:val="00BC26CD"/>
    <w:rsid w:val="00BC4386"/>
    <w:rsid w:val="00BC6C36"/>
    <w:rsid w:val="00BD12F3"/>
    <w:rsid w:val="00BD4F7A"/>
    <w:rsid w:val="00BD5E4D"/>
    <w:rsid w:val="00BE1938"/>
    <w:rsid w:val="00BE54C4"/>
    <w:rsid w:val="00BF0E23"/>
    <w:rsid w:val="00BF4694"/>
    <w:rsid w:val="00C00A72"/>
    <w:rsid w:val="00C00EB1"/>
    <w:rsid w:val="00C02430"/>
    <w:rsid w:val="00C02C79"/>
    <w:rsid w:val="00C04A73"/>
    <w:rsid w:val="00C0537F"/>
    <w:rsid w:val="00C11572"/>
    <w:rsid w:val="00C16522"/>
    <w:rsid w:val="00C16D83"/>
    <w:rsid w:val="00C17FB8"/>
    <w:rsid w:val="00C21A3D"/>
    <w:rsid w:val="00C25664"/>
    <w:rsid w:val="00C25CAB"/>
    <w:rsid w:val="00C312AA"/>
    <w:rsid w:val="00C328BA"/>
    <w:rsid w:val="00C36338"/>
    <w:rsid w:val="00C3722E"/>
    <w:rsid w:val="00C4607B"/>
    <w:rsid w:val="00C4645F"/>
    <w:rsid w:val="00C469CA"/>
    <w:rsid w:val="00C51D76"/>
    <w:rsid w:val="00C541A8"/>
    <w:rsid w:val="00C57869"/>
    <w:rsid w:val="00C6079D"/>
    <w:rsid w:val="00C6121A"/>
    <w:rsid w:val="00C633DD"/>
    <w:rsid w:val="00C65D92"/>
    <w:rsid w:val="00C665DF"/>
    <w:rsid w:val="00C745B3"/>
    <w:rsid w:val="00C802E1"/>
    <w:rsid w:val="00C82827"/>
    <w:rsid w:val="00C82D5E"/>
    <w:rsid w:val="00C83547"/>
    <w:rsid w:val="00C83684"/>
    <w:rsid w:val="00C855D0"/>
    <w:rsid w:val="00C918B3"/>
    <w:rsid w:val="00C93205"/>
    <w:rsid w:val="00C95C3A"/>
    <w:rsid w:val="00CA2135"/>
    <w:rsid w:val="00CB4228"/>
    <w:rsid w:val="00CB60C1"/>
    <w:rsid w:val="00CB7C26"/>
    <w:rsid w:val="00CC1932"/>
    <w:rsid w:val="00CC539E"/>
    <w:rsid w:val="00CC5638"/>
    <w:rsid w:val="00CD2002"/>
    <w:rsid w:val="00CD3E76"/>
    <w:rsid w:val="00CD5220"/>
    <w:rsid w:val="00CD524B"/>
    <w:rsid w:val="00CE0D06"/>
    <w:rsid w:val="00CE0F57"/>
    <w:rsid w:val="00CE166B"/>
    <w:rsid w:val="00CE22D2"/>
    <w:rsid w:val="00CE6C23"/>
    <w:rsid w:val="00CF5507"/>
    <w:rsid w:val="00CF6098"/>
    <w:rsid w:val="00CF7384"/>
    <w:rsid w:val="00D00A02"/>
    <w:rsid w:val="00D06D28"/>
    <w:rsid w:val="00D0716A"/>
    <w:rsid w:val="00D11CA5"/>
    <w:rsid w:val="00D1256D"/>
    <w:rsid w:val="00D13B1F"/>
    <w:rsid w:val="00D16430"/>
    <w:rsid w:val="00D20D6C"/>
    <w:rsid w:val="00D253D6"/>
    <w:rsid w:val="00D26323"/>
    <w:rsid w:val="00D266AF"/>
    <w:rsid w:val="00D30673"/>
    <w:rsid w:val="00D31C5E"/>
    <w:rsid w:val="00D34F2B"/>
    <w:rsid w:val="00D40813"/>
    <w:rsid w:val="00D42607"/>
    <w:rsid w:val="00D44340"/>
    <w:rsid w:val="00D4704E"/>
    <w:rsid w:val="00D478DD"/>
    <w:rsid w:val="00D5144A"/>
    <w:rsid w:val="00D514FA"/>
    <w:rsid w:val="00D52CBB"/>
    <w:rsid w:val="00D55405"/>
    <w:rsid w:val="00D555E6"/>
    <w:rsid w:val="00D56605"/>
    <w:rsid w:val="00D615A9"/>
    <w:rsid w:val="00D61B3B"/>
    <w:rsid w:val="00D72814"/>
    <w:rsid w:val="00D72F8F"/>
    <w:rsid w:val="00D73BE8"/>
    <w:rsid w:val="00D75EFD"/>
    <w:rsid w:val="00D772A5"/>
    <w:rsid w:val="00D8113F"/>
    <w:rsid w:val="00D86BBB"/>
    <w:rsid w:val="00D90E4B"/>
    <w:rsid w:val="00D9219E"/>
    <w:rsid w:val="00D93812"/>
    <w:rsid w:val="00D94014"/>
    <w:rsid w:val="00D95586"/>
    <w:rsid w:val="00D95980"/>
    <w:rsid w:val="00D96517"/>
    <w:rsid w:val="00DA3BA6"/>
    <w:rsid w:val="00DA3ED5"/>
    <w:rsid w:val="00DB0EF0"/>
    <w:rsid w:val="00DB15D3"/>
    <w:rsid w:val="00DB39E9"/>
    <w:rsid w:val="00DB5DC5"/>
    <w:rsid w:val="00DB6FFC"/>
    <w:rsid w:val="00DC320C"/>
    <w:rsid w:val="00DD03A8"/>
    <w:rsid w:val="00DD69AA"/>
    <w:rsid w:val="00DE1C15"/>
    <w:rsid w:val="00DE6F40"/>
    <w:rsid w:val="00DF0350"/>
    <w:rsid w:val="00DF30C8"/>
    <w:rsid w:val="00DF4DBF"/>
    <w:rsid w:val="00DF5E05"/>
    <w:rsid w:val="00E01359"/>
    <w:rsid w:val="00E02003"/>
    <w:rsid w:val="00E02235"/>
    <w:rsid w:val="00E02D77"/>
    <w:rsid w:val="00E02E1F"/>
    <w:rsid w:val="00E058BE"/>
    <w:rsid w:val="00E05910"/>
    <w:rsid w:val="00E23576"/>
    <w:rsid w:val="00E23DF7"/>
    <w:rsid w:val="00E243BD"/>
    <w:rsid w:val="00E25134"/>
    <w:rsid w:val="00E25152"/>
    <w:rsid w:val="00E31218"/>
    <w:rsid w:val="00E32D98"/>
    <w:rsid w:val="00E3390F"/>
    <w:rsid w:val="00E36220"/>
    <w:rsid w:val="00E36D79"/>
    <w:rsid w:val="00E42CD1"/>
    <w:rsid w:val="00E47F9C"/>
    <w:rsid w:val="00E502BE"/>
    <w:rsid w:val="00E5077A"/>
    <w:rsid w:val="00E50998"/>
    <w:rsid w:val="00E52139"/>
    <w:rsid w:val="00E550CA"/>
    <w:rsid w:val="00E571BB"/>
    <w:rsid w:val="00E5763E"/>
    <w:rsid w:val="00E60B40"/>
    <w:rsid w:val="00E636F0"/>
    <w:rsid w:val="00E63A07"/>
    <w:rsid w:val="00E67663"/>
    <w:rsid w:val="00E711EF"/>
    <w:rsid w:val="00E7122A"/>
    <w:rsid w:val="00E74270"/>
    <w:rsid w:val="00E745DB"/>
    <w:rsid w:val="00E74E5A"/>
    <w:rsid w:val="00E776E6"/>
    <w:rsid w:val="00E77A30"/>
    <w:rsid w:val="00E81A83"/>
    <w:rsid w:val="00E846EA"/>
    <w:rsid w:val="00E8796C"/>
    <w:rsid w:val="00E90274"/>
    <w:rsid w:val="00EA485D"/>
    <w:rsid w:val="00EA5B72"/>
    <w:rsid w:val="00EB0F94"/>
    <w:rsid w:val="00EB178D"/>
    <w:rsid w:val="00EB576B"/>
    <w:rsid w:val="00EB6720"/>
    <w:rsid w:val="00EB69A5"/>
    <w:rsid w:val="00EC059B"/>
    <w:rsid w:val="00EC09CE"/>
    <w:rsid w:val="00EC0C95"/>
    <w:rsid w:val="00EC1AF9"/>
    <w:rsid w:val="00EC6642"/>
    <w:rsid w:val="00ED0984"/>
    <w:rsid w:val="00ED1AB4"/>
    <w:rsid w:val="00ED5875"/>
    <w:rsid w:val="00ED74E1"/>
    <w:rsid w:val="00EE005D"/>
    <w:rsid w:val="00EF28BA"/>
    <w:rsid w:val="00EF4744"/>
    <w:rsid w:val="00EF5114"/>
    <w:rsid w:val="00F059B8"/>
    <w:rsid w:val="00F06ACA"/>
    <w:rsid w:val="00F102DB"/>
    <w:rsid w:val="00F21683"/>
    <w:rsid w:val="00F21CED"/>
    <w:rsid w:val="00F226CB"/>
    <w:rsid w:val="00F22752"/>
    <w:rsid w:val="00F2393A"/>
    <w:rsid w:val="00F30F43"/>
    <w:rsid w:val="00F37358"/>
    <w:rsid w:val="00F40E78"/>
    <w:rsid w:val="00F426E0"/>
    <w:rsid w:val="00F44DC5"/>
    <w:rsid w:val="00F511FF"/>
    <w:rsid w:val="00F5179B"/>
    <w:rsid w:val="00F532AA"/>
    <w:rsid w:val="00F60723"/>
    <w:rsid w:val="00F62F22"/>
    <w:rsid w:val="00F64946"/>
    <w:rsid w:val="00F728EE"/>
    <w:rsid w:val="00F734DD"/>
    <w:rsid w:val="00F7552C"/>
    <w:rsid w:val="00F80E40"/>
    <w:rsid w:val="00F81091"/>
    <w:rsid w:val="00F86534"/>
    <w:rsid w:val="00F9337C"/>
    <w:rsid w:val="00F935A1"/>
    <w:rsid w:val="00FA6E85"/>
    <w:rsid w:val="00FA760A"/>
    <w:rsid w:val="00FB0F29"/>
    <w:rsid w:val="00FB76CC"/>
    <w:rsid w:val="00FC00DF"/>
    <w:rsid w:val="00FC6BE9"/>
    <w:rsid w:val="00FD13E3"/>
    <w:rsid w:val="00FD2D6D"/>
    <w:rsid w:val="00FE0857"/>
    <w:rsid w:val="00FE4354"/>
    <w:rsid w:val="00FE64CF"/>
    <w:rsid w:val="00FE6960"/>
    <w:rsid w:val="00FF06C7"/>
    <w:rsid w:val="00FF14C8"/>
    <w:rsid w:val="00FF77BC"/>
    <w:rsid w:val="00FF7C14"/>
    <w:rsid w:val="036A7E75"/>
    <w:rsid w:val="23C71C0F"/>
    <w:rsid w:val="26263D85"/>
    <w:rsid w:val="2F37233F"/>
    <w:rsid w:val="73503834"/>
    <w:rsid w:val="79D00993"/>
    <w:rsid w:val="7B8D44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qFormat="1" w:uiPriority="99" w:name="FollowedHyperlink"/>
    <w:lsdException w:qFormat="1" w:unhideWhenUsed="0" w:uiPriority="22" w:semiHidden="0" w:name="Strong"/>
    <w:lsdException w:qFormat="1" w:unhideWhenUsed="0" w:uiPriority="20" w:semiHidden="0" w:name="Emphasis"/>
    <w:lsdException w:qFormat="1"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52"/>
    <w:qFormat/>
    <w:uiPriority w:val="9"/>
    <w:pPr>
      <w:keepNext/>
      <w:keepLines/>
      <w:numPr>
        <w:ilvl w:val="0"/>
        <w:numId w:val="1"/>
      </w:numPr>
      <w:adjustRightInd w:val="0"/>
      <w:snapToGrid w:val="0"/>
      <w:spacing w:line="360" w:lineRule="auto"/>
      <w:jc w:val="center"/>
      <w:outlineLvl w:val="0"/>
    </w:pPr>
    <w:rPr>
      <w:b/>
      <w:bCs/>
      <w:kern w:val="44"/>
      <w:sz w:val="36"/>
      <w:szCs w:val="44"/>
    </w:rPr>
  </w:style>
  <w:style w:type="paragraph" w:styleId="3">
    <w:name w:val="heading 2"/>
    <w:basedOn w:val="1"/>
    <w:next w:val="1"/>
    <w:link w:val="44"/>
    <w:unhideWhenUsed/>
    <w:qFormat/>
    <w:uiPriority w:val="9"/>
    <w:pPr>
      <w:keepNext/>
      <w:keepLines/>
      <w:numPr>
        <w:ilvl w:val="1"/>
        <w:numId w:val="1"/>
      </w:numPr>
      <w:adjustRightInd w:val="0"/>
      <w:snapToGrid w:val="0"/>
      <w:spacing w:line="360" w:lineRule="auto"/>
      <w:outlineLvl w:val="1"/>
    </w:pPr>
    <w:rPr>
      <w:rFonts w:asciiTheme="majorEastAsia" w:hAnsiTheme="majorHAnsi" w:eastAsiaTheme="majorEastAsia" w:cstheme="majorBidi"/>
      <w:b/>
      <w:bCs/>
      <w:sz w:val="32"/>
      <w:szCs w:val="32"/>
    </w:rPr>
  </w:style>
  <w:style w:type="paragraph" w:styleId="4">
    <w:name w:val="heading 3"/>
    <w:basedOn w:val="1"/>
    <w:next w:val="1"/>
    <w:link w:val="45"/>
    <w:unhideWhenUsed/>
    <w:qFormat/>
    <w:uiPriority w:val="9"/>
    <w:pPr>
      <w:keepNext/>
      <w:keepLines/>
      <w:numPr>
        <w:ilvl w:val="2"/>
        <w:numId w:val="1"/>
      </w:numPr>
      <w:adjustRightInd w:val="0"/>
      <w:snapToGrid w:val="0"/>
      <w:spacing w:before="260" w:after="260" w:line="415" w:lineRule="auto"/>
      <w:outlineLvl w:val="2"/>
    </w:pPr>
    <w:rPr>
      <w:rFonts w:asciiTheme="minorEastAsia"/>
      <w:b/>
      <w:bCs/>
      <w:sz w:val="30"/>
      <w:szCs w:val="32"/>
    </w:rPr>
  </w:style>
  <w:style w:type="paragraph" w:styleId="5">
    <w:name w:val="heading 4"/>
    <w:basedOn w:val="1"/>
    <w:next w:val="1"/>
    <w:link w:val="46"/>
    <w:unhideWhenUsed/>
    <w:qFormat/>
    <w:uiPriority w:val="9"/>
    <w:pPr>
      <w:keepNext/>
      <w:keepLines/>
      <w:numPr>
        <w:ilvl w:val="3"/>
        <w:numId w:val="1"/>
      </w:numPr>
      <w:adjustRightInd w:val="0"/>
      <w:snapToGrid w:val="0"/>
      <w:spacing w:line="360" w:lineRule="auto"/>
      <w:outlineLvl w:val="3"/>
    </w:pPr>
    <w:rPr>
      <w:rFonts w:asciiTheme="majorEastAsia" w:hAnsiTheme="majorHAnsi" w:eastAsiaTheme="majorEastAsia" w:cstheme="majorBidi"/>
      <w:b/>
      <w:bCs/>
      <w:sz w:val="28"/>
      <w:szCs w:val="28"/>
    </w:rPr>
  </w:style>
  <w:style w:type="paragraph" w:styleId="6">
    <w:name w:val="heading 5"/>
    <w:basedOn w:val="1"/>
    <w:next w:val="1"/>
    <w:link w:val="47"/>
    <w:unhideWhenUsed/>
    <w:qFormat/>
    <w:uiPriority w:val="9"/>
    <w:pPr>
      <w:keepNext/>
      <w:keepLines/>
      <w:numPr>
        <w:ilvl w:val="4"/>
        <w:numId w:val="1"/>
      </w:numPr>
      <w:adjustRightInd w:val="0"/>
      <w:snapToGrid w:val="0"/>
      <w:spacing w:line="360" w:lineRule="auto"/>
      <w:outlineLvl w:val="4"/>
    </w:pPr>
    <w:rPr>
      <w:rFonts w:asciiTheme="minorEastAsia"/>
      <w:b/>
      <w:bCs/>
      <w:sz w:val="24"/>
      <w:szCs w:val="28"/>
    </w:rPr>
  </w:style>
  <w:style w:type="paragraph" w:styleId="7">
    <w:name w:val="heading 6"/>
    <w:basedOn w:val="1"/>
    <w:next w:val="1"/>
    <w:link w:val="48"/>
    <w:unhideWhenUsed/>
    <w:qFormat/>
    <w:uiPriority w:val="9"/>
    <w:pPr>
      <w:keepNext/>
      <w:keepLines/>
      <w:numPr>
        <w:ilvl w:val="5"/>
        <w:numId w:val="1"/>
      </w:numPr>
      <w:adjustRightInd w:val="0"/>
      <w:snapToGrid w:val="0"/>
      <w:spacing w:line="360" w:lineRule="auto"/>
      <w:outlineLvl w:val="5"/>
    </w:pPr>
    <w:rPr>
      <w:rFonts w:asciiTheme="majorEastAsia" w:hAnsiTheme="majorHAnsi" w:eastAsiaTheme="majorEastAsia" w:cstheme="majorBidi"/>
      <w:b/>
      <w:bCs/>
      <w:sz w:val="24"/>
      <w:szCs w:val="24"/>
    </w:rPr>
  </w:style>
  <w:style w:type="paragraph" w:styleId="8">
    <w:name w:val="heading 7"/>
    <w:basedOn w:val="1"/>
    <w:next w:val="1"/>
    <w:link w:val="49"/>
    <w:unhideWhenUsed/>
    <w:qFormat/>
    <w:uiPriority w:val="9"/>
    <w:pPr>
      <w:numPr>
        <w:ilvl w:val="6"/>
        <w:numId w:val="1"/>
      </w:numPr>
      <w:tabs>
        <w:tab w:val="left" w:pos="1800"/>
      </w:tabs>
      <w:adjustRightInd w:val="0"/>
      <w:snapToGrid w:val="0"/>
      <w:spacing w:line="360" w:lineRule="auto"/>
      <w:outlineLvl w:val="6"/>
    </w:pPr>
    <w:rPr>
      <w:rFonts w:asciiTheme="minorEastAsia"/>
      <w:sz w:val="24"/>
      <w:szCs w:val="24"/>
    </w:rPr>
  </w:style>
  <w:style w:type="paragraph" w:styleId="9">
    <w:name w:val="heading 8"/>
    <w:basedOn w:val="1"/>
    <w:next w:val="1"/>
    <w:link w:val="50"/>
    <w:unhideWhenUsed/>
    <w:qFormat/>
    <w:uiPriority w:val="9"/>
    <w:pPr>
      <w:keepNext/>
      <w:keepLines/>
      <w:numPr>
        <w:ilvl w:val="7"/>
        <w:numId w:val="1"/>
      </w:numPr>
      <w:adjustRightInd w:val="0"/>
      <w:snapToGrid w:val="0"/>
      <w:spacing w:line="360" w:lineRule="auto"/>
      <w:outlineLvl w:val="7"/>
    </w:pPr>
    <w:rPr>
      <w:rFonts w:asciiTheme="majorEastAsia" w:hAnsiTheme="majorHAnsi" w:eastAsiaTheme="majorEastAsia" w:cstheme="majorBidi"/>
      <w:b/>
      <w:sz w:val="24"/>
      <w:szCs w:val="24"/>
    </w:rPr>
  </w:style>
  <w:style w:type="paragraph" w:styleId="10">
    <w:name w:val="heading 9"/>
    <w:basedOn w:val="1"/>
    <w:next w:val="1"/>
    <w:link w:val="51"/>
    <w:unhideWhenUsed/>
    <w:qFormat/>
    <w:uiPriority w:val="99"/>
    <w:pPr>
      <w:keepNext/>
      <w:keepLines/>
      <w:numPr>
        <w:ilvl w:val="8"/>
        <w:numId w:val="1"/>
      </w:numPr>
      <w:adjustRightInd w:val="0"/>
      <w:snapToGrid w:val="0"/>
      <w:spacing w:line="360" w:lineRule="auto"/>
      <w:outlineLvl w:val="8"/>
    </w:pPr>
    <w:rPr>
      <w:rFonts w:asciiTheme="majorEastAsia" w:hAnsiTheme="majorHAnsi" w:eastAsiaTheme="majorEastAsia" w:cstheme="majorBidi"/>
      <w:b/>
      <w:sz w:val="24"/>
      <w:szCs w:val="21"/>
    </w:rPr>
  </w:style>
  <w:style w:type="character" w:default="1" w:styleId="21">
    <w:name w:val="Default Paragraph Font"/>
    <w:semiHidden/>
    <w:unhideWhenUsed/>
    <w:qFormat/>
    <w:uiPriority w:val="1"/>
  </w:style>
  <w:style w:type="table" w:default="1" w:styleId="25">
    <w:name w:val="Normal Table"/>
    <w:semiHidden/>
    <w:unhideWhenUsed/>
    <w:uiPriority w:val="99"/>
    <w:tblPr>
      <w:tblLayout w:type="fixed"/>
      <w:tblCellMar>
        <w:top w:w="0" w:type="dxa"/>
        <w:left w:w="108" w:type="dxa"/>
        <w:bottom w:w="0" w:type="dxa"/>
        <w:right w:w="108" w:type="dxa"/>
      </w:tblCellMar>
    </w:tblPr>
  </w:style>
  <w:style w:type="paragraph" w:styleId="11">
    <w:name w:val="annotation subject"/>
    <w:basedOn w:val="12"/>
    <w:next w:val="12"/>
    <w:link w:val="53"/>
    <w:semiHidden/>
    <w:unhideWhenUsed/>
    <w:qFormat/>
    <w:uiPriority w:val="99"/>
    <w:rPr>
      <w:rFonts w:asciiTheme="minorHAnsi" w:hAnsiTheme="minorHAnsi" w:eastAsiaTheme="minorEastAsia" w:cstheme="minorBidi"/>
      <w:b/>
      <w:bCs/>
      <w:szCs w:val="22"/>
    </w:rPr>
  </w:style>
  <w:style w:type="paragraph" w:styleId="12">
    <w:name w:val="annotation text"/>
    <w:basedOn w:val="1"/>
    <w:link w:val="28"/>
    <w:unhideWhenUsed/>
    <w:qFormat/>
    <w:uiPriority w:val="99"/>
    <w:pPr>
      <w:jc w:val="left"/>
    </w:pPr>
    <w:rPr>
      <w:rFonts w:ascii="Times New Roman" w:hAnsi="Times New Roman" w:eastAsia="宋体" w:cs="Times New Roman"/>
      <w:szCs w:val="20"/>
    </w:rPr>
  </w:style>
  <w:style w:type="paragraph" w:styleId="13">
    <w:name w:val="Body Text First Indent"/>
    <w:basedOn w:val="14"/>
    <w:link w:val="42"/>
    <w:semiHidden/>
    <w:unhideWhenUsed/>
    <w:qFormat/>
    <w:uiPriority w:val="99"/>
    <w:pPr>
      <w:ind w:firstLine="420" w:firstLineChars="100"/>
    </w:pPr>
  </w:style>
  <w:style w:type="paragraph" w:styleId="14">
    <w:name w:val="Body Text"/>
    <w:basedOn w:val="1"/>
    <w:link w:val="41"/>
    <w:semiHidden/>
    <w:unhideWhenUsed/>
    <w:qFormat/>
    <w:uiPriority w:val="99"/>
    <w:pPr>
      <w:spacing w:after="120"/>
    </w:pPr>
  </w:style>
  <w:style w:type="paragraph" w:styleId="15">
    <w:name w:val="Document Map"/>
    <w:basedOn w:val="1"/>
    <w:link w:val="32"/>
    <w:semiHidden/>
    <w:unhideWhenUsed/>
    <w:qFormat/>
    <w:uiPriority w:val="99"/>
    <w:rPr>
      <w:rFonts w:ascii="宋体" w:eastAsia="宋体"/>
      <w:sz w:val="18"/>
      <w:szCs w:val="18"/>
    </w:rPr>
  </w:style>
  <w:style w:type="paragraph" w:styleId="16">
    <w:name w:val="Balloon Text"/>
    <w:basedOn w:val="1"/>
    <w:link w:val="29"/>
    <w:semiHidden/>
    <w:unhideWhenUsed/>
    <w:uiPriority w:val="99"/>
    <w:rPr>
      <w:sz w:val="18"/>
      <w:szCs w:val="18"/>
    </w:rPr>
  </w:style>
  <w:style w:type="paragraph" w:styleId="17">
    <w:name w:val="footer"/>
    <w:basedOn w:val="1"/>
    <w:link w:val="31"/>
    <w:unhideWhenUsed/>
    <w:qFormat/>
    <w:uiPriority w:val="99"/>
    <w:pPr>
      <w:tabs>
        <w:tab w:val="center" w:pos="4153"/>
        <w:tab w:val="right" w:pos="8306"/>
      </w:tabs>
      <w:snapToGrid w:val="0"/>
      <w:jc w:val="left"/>
    </w:pPr>
    <w:rPr>
      <w:sz w:val="18"/>
      <w:szCs w:val="18"/>
    </w:rPr>
  </w:style>
  <w:style w:type="paragraph" w:styleId="18">
    <w:name w:val="header"/>
    <w:basedOn w:val="1"/>
    <w:link w:val="30"/>
    <w:unhideWhenUsed/>
    <w:qFormat/>
    <w:uiPriority w:val="99"/>
    <w:pPr>
      <w:pBdr>
        <w:bottom w:val="single" w:color="auto" w:sz="6" w:space="1"/>
      </w:pBdr>
      <w:tabs>
        <w:tab w:val="center" w:pos="4153"/>
        <w:tab w:val="right" w:pos="8306"/>
      </w:tabs>
      <w:snapToGrid w:val="0"/>
      <w:jc w:val="center"/>
    </w:pPr>
    <w:rPr>
      <w:sz w:val="18"/>
      <w:szCs w:val="18"/>
    </w:rPr>
  </w:style>
  <w:style w:type="paragraph" w:styleId="19">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20">
    <w:name w:val="Title"/>
    <w:basedOn w:val="1"/>
    <w:next w:val="1"/>
    <w:link w:val="27"/>
    <w:qFormat/>
    <w:uiPriority w:val="10"/>
    <w:pPr>
      <w:spacing w:before="240" w:after="60"/>
      <w:jc w:val="center"/>
      <w:outlineLvl w:val="0"/>
    </w:pPr>
    <w:rPr>
      <w:rFonts w:eastAsia="宋体" w:asciiTheme="majorHAnsi" w:hAnsiTheme="majorHAnsi" w:cstheme="majorBidi"/>
      <w:b/>
      <w:bCs/>
      <w:sz w:val="32"/>
      <w:szCs w:val="32"/>
    </w:rPr>
  </w:style>
  <w:style w:type="character" w:styleId="22">
    <w:name w:val="FollowedHyperlink"/>
    <w:basedOn w:val="21"/>
    <w:semiHidden/>
    <w:unhideWhenUsed/>
    <w:qFormat/>
    <w:uiPriority w:val="99"/>
    <w:rPr>
      <w:color w:val="954F72"/>
      <w:u w:val="single"/>
    </w:rPr>
  </w:style>
  <w:style w:type="character" w:styleId="23">
    <w:name w:val="Hyperlink"/>
    <w:basedOn w:val="21"/>
    <w:semiHidden/>
    <w:unhideWhenUsed/>
    <w:uiPriority w:val="99"/>
    <w:rPr>
      <w:color w:val="0563C1"/>
      <w:u w:val="single"/>
    </w:rPr>
  </w:style>
  <w:style w:type="character" w:styleId="24">
    <w:name w:val="annotation reference"/>
    <w:basedOn w:val="21"/>
    <w:unhideWhenUsed/>
    <w:qFormat/>
    <w:uiPriority w:val="99"/>
    <w:rPr>
      <w:sz w:val="21"/>
      <w:szCs w:val="21"/>
    </w:rPr>
  </w:style>
  <w:style w:type="table" w:styleId="26">
    <w:name w:val="Table Grid"/>
    <w:basedOn w:val="25"/>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27">
    <w:name w:val="标题 字符"/>
    <w:basedOn w:val="21"/>
    <w:link w:val="20"/>
    <w:qFormat/>
    <w:uiPriority w:val="10"/>
    <w:rPr>
      <w:rFonts w:eastAsia="宋体" w:asciiTheme="majorHAnsi" w:hAnsiTheme="majorHAnsi" w:cstheme="majorBidi"/>
      <w:b/>
      <w:bCs/>
      <w:sz w:val="32"/>
      <w:szCs w:val="32"/>
    </w:rPr>
  </w:style>
  <w:style w:type="character" w:customStyle="1" w:styleId="28">
    <w:name w:val="批注文字 字符"/>
    <w:basedOn w:val="21"/>
    <w:link w:val="12"/>
    <w:qFormat/>
    <w:uiPriority w:val="99"/>
    <w:rPr>
      <w:rFonts w:ascii="Times New Roman" w:hAnsi="Times New Roman" w:eastAsia="宋体" w:cs="Times New Roman"/>
      <w:szCs w:val="20"/>
    </w:rPr>
  </w:style>
  <w:style w:type="character" w:customStyle="1" w:styleId="29">
    <w:name w:val="批注框文本 字符"/>
    <w:basedOn w:val="21"/>
    <w:link w:val="16"/>
    <w:semiHidden/>
    <w:qFormat/>
    <w:uiPriority w:val="99"/>
    <w:rPr>
      <w:sz w:val="18"/>
      <w:szCs w:val="18"/>
    </w:rPr>
  </w:style>
  <w:style w:type="character" w:customStyle="1" w:styleId="30">
    <w:name w:val="页眉 字符"/>
    <w:basedOn w:val="21"/>
    <w:link w:val="18"/>
    <w:qFormat/>
    <w:uiPriority w:val="99"/>
    <w:rPr>
      <w:sz w:val="18"/>
      <w:szCs w:val="18"/>
    </w:rPr>
  </w:style>
  <w:style w:type="character" w:customStyle="1" w:styleId="31">
    <w:name w:val="页脚 字符"/>
    <w:basedOn w:val="21"/>
    <w:link w:val="17"/>
    <w:qFormat/>
    <w:uiPriority w:val="99"/>
    <w:rPr>
      <w:sz w:val="18"/>
      <w:szCs w:val="18"/>
    </w:rPr>
  </w:style>
  <w:style w:type="character" w:customStyle="1" w:styleId="32">
    <w:name w:val="文档结构图 字符"/>
    <w:basedOn w:val="21"/>
    <w:link w:val="15"/>
    <w:semiHidden/>
    <w:qFormat/>
    <w:uiPriority w:val="99"/>
    <w:rPr>
      <w:rFonts w:ascii="宋体" w:eastAsia="宋体"/>
      <w:sz w:val="18"/>
      <w:szCs w:val="18"/>
    </w:rPr>
  </w:style>
  <w:style w:type="paragraph" w:customStyle="1" w:styleId="33">
    <w:name w:val="Default"/>
    <w:link w:val="34"/>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34">
    <w:name w:val="Default Char"/>
    <w:link w:val="33"/>
    <w:qFormat/>
    <w:locked/>
    <w:uiPriority w:val="0"/>
    <w:rPr>
      <w:rFonts w:ascii="......." w:hAnsi="Calibri" w:eastAsia="......." w:cs="......."/>
      <w:color w:val="000000"/>
      <w:kern w:val="0"/>
      <w:sz w:val="24"/>
      <w:szCs w:val="24"/>
    </w:rPr>
  </w:style>
  <w:style w:type="paragraph" w:customStyle="1" w:styleId="35">
    <w:name w:val="首行缩进"/>
    <w:basedOn w:val="1"/>
    <w:qFormat/>
    <w:uiPriority w:val="0"/>
    <w:pPr>
      <w:ind w:firstLine="420"/>
    </w:pPr>
    <w:rPr>
      <w:rFonts w:ascii="Calibri" w:hAnsi="Calibri" w:eastAsia="宋体" w:cs="宋体"/>
      <w:szCs w:val="20"/>
    </w:rPr>
  </w:style>
  <w:style w:type="character" w:customStyle="1" w:styleId="36">
    <w:name w:val="正文（深信服科技） 字符"/>
    <w:link w:val="37"/>
    <w:qFormat/>
    <w:uiPriority w:val="0"/>
    <w:rPr>
      <w:rFonts w:ascii="Times New Roman" w:hAnsi="Times New Roman" w:eastAsia="宋体" w:cs="Times New Roman"/>
      <w:sz w:val="24"/>
      <w:szCs w:val="21"/>
    </w:rPr>
  </w:style>
  <w:style w:type="paragraph" w:customStyle="1" w:styleId="37">
    <w:name w:val="正文（深信服科技）"/>
    <w:link w:val="36"/>
    <w:qFormat/>
    <w:uiPriority w:val="0"/>
    <w:pPr>
      <w:adjustRightInd w:val="0"/>
      <w:snapToGrid w:val="0"/>
      <w:spacing w:line="360" w:lineRule="auto"/>
      <w:ind w:firstLine="480" w:firstLineChars="200"/>
      <w:jc w:val="both"/>
    </w:pPr>
    <w:rPr>
      <w:rFonts w:ascii="Times New Roman" w:hAnsi="Times New Roman" w:eastAsia="宋体" w:cs="Times New Roman"/>
      <w:kern w:val="2"/>
      <w:sz w:val="24"/>
      <w:szCs w:val="21"/>
      <w:lang w:val="en-US" w:eastAsia="zh-CN" w:bidi="ar-SA"/>
    </w:rPr>
  </w:style>
  <w:style w:type="paragraph" w:styleId="38">
    <w:name w:val="List Paragraph"/>
    <w:basedOn w:val="1"/>
    <w:unhideWhenUsed/>
    <w:qFormat/>
    <w:uiPriority w:val="34"/>
    <w:pPr>
      <w:ind w:firstLine="420" w:firstLineChars="200"/>
    </w:pPr>
  </w:style>
  <w:style w:type="character" w:customStyle="1" w:styleId="39">
    <w:name w:val="正文样式 Char"/>
    <w:link w:val="40"/>
    <w:qFormat/>
    <w:locked/>
    <w:uiPriority w:val="0"/>
    <w:rPr>
      <w:rFonts w:ascii="宋体" w:hAnsi="宋体"/>
      <w:sz w:val="24"/>
      <w:szCs w:val="24"/>
    </w:rPr>
  </w:style>
  <w:style w:type="paragraph" w:customStyle="1" w:styleId="40">
    <w:name w:val="正文样式"/>
    <w:basedOn w:val="13"/>
    <w:link w:val="39"/>
    <w:qFormat/>
    <w:uiPriority w:val="0"/>
    <w:pPr>
      <w:spacing w:after="0" w:line="360" w:lineRule="auto"/>
      <w:ind w:firstLine="200" w:firstLineChars="200"/>
    </w:pPr>
    <w:rPr>
      <w:rFonts w:ascii="宋体" w:hAnsi="宋体"/>
      <w:kern w:val="0"/>
      <w:sz w:val="24"/>
      <w:szCs w:val="24"/>
    </w:rPr>
  </w:style>
  <w:style w:type="character" w:customStyle="1" w:styleId="41">
    <w:name w:val="正文文本 字符"/>
    <w:basedOn w:val="21"/>
    <w:link w:val="14"/>
    <w:semiHidden/>
    <w:qFormat/>
    <w:uiPriority w:val="99"/>
    <w:rPr>
      <w:kern w:val="2"/>
      <w:sz w:val="21"/>
      <w:szCs w:val="22"/>
    </w:rPr>
  </w:style>
  <w:style w:type="character" w:customStyle="1" w:styleId="42">
    <w:name w:val="正文文本首行缩进 字符"/>
    <w:basedOn w:val="41"/>
    <w:link w:val="13"/>
    <w:semiHidden/>
    <w:qFormat/>
    <w:uiPriority w:val="99"/>
    <w:rPr>
      <w:kern w:val="2"/>
      <w:sz w:val="21"/>
      <w:szCs w:val="22"/>
    </w:rPr>
  </w:style>
  <w:style w:type="character" w:customStyle="1" w:styleId="43">
    <w:name w:val="标题 1 字符"/>
    <w:basedOn w:val="21"/>
    <w:qFormat/>
    <w:uiPriority w:val="9"/>
    <w:rPr>
      <w:b/>
      <w:bCs/>
      <w:kern w:val="44"/>
      <w:sz w:val="44"/>
      <w:szCs w:val="44"/>
    </w:rPr>
  </w:style>
  <w:style w:type="character" w:customStyle="1" w:styleId="44">
    <w:name w:val="标题 2 字符"/>
    <w:basedOn w:val="21"/>
    <w:link w:val="3"/>
    <w:qFormat/>
    <w:uiPriority w:val="9"/>
    <w:rPr>
      <w:rFonts w:asciiTheme="majorEastAsia" w:hAnsiTheme="majorHAnsi" w:eastAsiaTheme="majorEastAsia" w:cstheme="majorBidi"/>
      <w:b/>
      <w:bCs/>
      <w:kern w:val="2"/>
      <w:sz w:val="32"/>
      <w:szCs w:val="32"/>
    </w:rPr>
  </w:style>
  <w:style w:type="character" w:customStyle="1" w:styleId="45">
    <w:name w:val="标题 3 字符"/>
    <w:basedOn w:val="21"/>
    <w:link w:val="4"/>
    <w:qFormat/>
    <w:uiPriority w:val="9"/>
    <w:rPr>
      <w:rFonts w:asciiTheme="minorEastAsia"/>
      <w:b/>
      <w:bCs/>
      <w:kern w:val="2"/>
      <w:sz w:val="30"/>
      <w:szCs w:val="32"/>
    </w:rPr>
  </w:style>
  <w:style w:type="character" w:customStyle="1" w:styleId="46">
    <w:name w:val="标题 4 字符"/>
    <w:basedOn w:val="21"/>
    <w:link w:val="5"/>
    <w:qFormat/>
    <w:uiPriority w:val="9"/>
    <w:rPr>
      <w:rFonts w:asciiTheme="majorEastAsia" w:hAnsiTheme="majorHAnsi" w:eastAsiaTheme="majorEastAsia" w:cstheme="majorBidi"/>
      <w:b/>
      <w:bCs/>
      <w:kern w:val="2"/>
      <w:sz w:val="28"/>
      <w:szCs w:val="28"/>
    </w:rPr>
  </w:style>
  <w:style w:type="character" w:customStyle="1" w:styleId="47">
    <w:name w:val="标题 5 字符"/>
    <w:basedOn w:val="21"/>
    <w:link w:val="6"/>
    <w:qFormat/>
    <w:uiPriority w:val="9"/>
    <w:rPr>
      <w:rFonts w:asciiTheme="minorEastAsia"/>
      <w:b/>
      <w:bCs/>
      <w:kern w:val="2"/>
      <w:sz w:val="24"/>
      <w:szCs w:val="28"/>
    </w:rPr>
  </w:style>
  <w:style w:type="character" w:customStyle="1" w:styleId="48">
    <w:name w:val="标题 6 字符"/>
    <w:basedOn w:val="21"/>
    <w:link w:val="7"/>
    <w:qFormat/>
    <w:uiPriority w:val="9"/>
    <w:rPr>
      <w:rFonts w:asciiTheme="majorEastAsia" w:hAnsiTheme="majorHAnsi" w:eastAsiaTheme="majorEastAsia" w:cstheme="majorBidi"/>
      <w:b/>
      <w:bCs/>
      <w:kern w:val="2"/>
      <w:sz w:val="24"/>
      <w:szCs w:val="24"/>
    </w:rPr>
  </w:style>
  <w:style w:type="character" w:customStyle="1" w:styleId="49">
    <w:name w:val="标题 7 字符"/>
    <w:basedOn w:val="21"/>
    <w:link w:val="8"/>
    <w:qFormat/>
    <w:uiPriority w:val="9"/>
    <w:rPr>
      <w:rFonts w:asciiTheme="minorEastAsia"/>
      <w:kern w:val="2"/>
      <w:sz w:val="24"/>
      <w:szCs w:val="24"/>
    </w:rPr>
  </w:style>
  <w:style w:type="character" w:customStyle="1" w:styleId="50">
    <w:name w:val="标题 8 字符"/>
    <w:basedOn w:val="21"/>
    <w:link w:val="9"/>
    <w:qFormat/>
    <w:uiPriority w:val="9"/>
    <w:rPr>
      <w:rFonts w:asciiTheme="majorEastAsia" w:hAnsiTheme="majorHAnsi" w:eastAsiaTheme="majorEastAsia" w:cstheme="majorBidi"/>
      <w:b/>
      <w:kern w:val="2"/>
      <w:sz w:val="24"/>
      <w:szCs w:val="24"/>
    </w:rPr>
  </w:style>
  <w:style w:type="character" w:customStyle="1" w:styleId="51">
    <w:name w:val="标题 9 字符"/>
    <w:basedOn w:val="21"/>
    <w:link w:val="10"/>
    <w:qFormat/>
    <w:uiPriority w:val="99"/>
    <w:rPr>
      <w:rFonts w:asciiTheme="majorEastAsia" w:hAnsiTheme="majorHAnsi" w:eastAsiaTheme="majorEastAsia" w:cstheme="majorBidi"/>
      <w:b/>
      <w:kern w:val="2"/>
      <w:sz w:val="24"/>
      <w:szCs w:val="21"/>
    </w:rPr>
  </w:style>
  <w:style w:type="character" w:customStyle="1" w:styleId="52">
    <w:name w:val="标题 1 字符1"/>
    <w:link w:val="2"/>
    <w:qFormat/>
    <w:uiPriority w:val="9"/>
    <w:rPr>
      <w:b/>
      <w:bCs/>
      <w:kern w:val="44"/>
      <w:sz w:val="36"/>
      <w:szCs w:val="44"/>
    </w:rPr>
  </w:style>
  <w:style w:type="character" w:customStyle="1" w:styleId="53">
    <w:name w:val="批注主题 字符"/>
    <w:basedOn w:val="28"/>
    <w:link w:val="11"/>
    <w:semiHidden/>
    <w:qFormat/>
    <w:uiPriority w:val="99"/>
    <w:rPr>
      <w:rFonts w:ascii="Times New Roman" w:hAnsi="Times New Roman" w:eastAsia="宋体" w:cs="Times New Roman"/>
      <w:b/>
      <w:bCs/>
      <w:kern w:val="2"/>
      <w:sz w:val="21"/>
      <w:szCs w:val="22"/>
    </w:rPr>
  </w:style>
  <w:style w:type="paragraph" w:customStyle="1" w:styleId="54">
    <w:name w:val="msonormal"/>
    <w:basedOn w:val="1"/>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55">
    <w:name w:val="font5"/>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56">
    <w:name w:val="font6"/>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57">
    <w:name w:val="font7"/>
    <w:basedOn w:val="1"/>
    <w:uiPriority w:val="0"/>
    <w:pPr>
      <w:widowControl/>
      <w:spacing w:before="100" w:beforeAutospacing="1" w:after="100" w:afterAutospacing="1"/>
      <w:jc w:val="left"/>
    </w:pPr>
    <w:rPr>
      <w:rFonts w:ascii="宋体" w:hAnsi="宋体" w:eastAsia="宋体" w:cs="宋体"/>
      <w:color w:val="000000"/>
      <w:kern w:val="0"/>
      <w:sz w:val="24"/>
      <w:szCs w:val="24"/>
    </w:rPr>
  </w:style>
  <w:style w:type="paragraph" w:customStyle="1" w:styleId="58">
    <w:name w:val="font8"/>
    <w:basedOn w:val="1"/>
    <w:qFormat/>
    <w:uiPriority w:val="0"/>
    <w:pPr>
      <w:widowControl/>
      <w:spacing w:before="100" w:beforeAutospacing="1" w:after="100" w:afterAutospacing="1"/>
      <w:jc w:val="left"/>
    </w:pPr>
    <w:rPr>
      <w:rFonts w:ascii="宋体" w:hAnsi="宋体" w:eastAsia="宋体" w:cs="宋体"/>
      <w:color w:val="000000"/>
      <w:kern w:val="0"/>
      <w:sz w:val="24"/>
      <w:szCs w:val="24"/>
    </w:rPr>
  </w:style>
  <w:style w:type="paragraph" w:customStyle="1" w:styleId="59">
    <w:name w:val="font9"/>
    <w:basedOn w:val="1"/>
    <w:uiPriority w:val="0"/>
    <w:pPr>
      <w:widowControl/>
      <w:spacing w:before="100" w:beforeAutospacing="1" w:after="100" w:afterAutospacing="1"/>
      <w:jc w:val="left"/>
    </w:pPr>
    <w:rPr>
      <w:rFonts w:ascii="Times New Roman" w:hAnsi="Times New Roman" w:eastAsia="宋体" w:cs="Times New Roman"/>
      <w:color w:val="000000"/>
      <w:kern w:val="0"/>
      <w:sz w:val="24"/>
      <w:szCs w:val="24"/>
    </w:rPr>
  </w:style>
  <w:style w:type="paragraph" w:customStyle="1" w:styleId="60">
    <w:name w:val="font10"/>
    <w:basedOn w:val="1"/>
    <w:qFormat/>
    <w:uiPriority w:val="0"/>
    <w:pPr>
      <w:widowControl/>
      <w:spacing w:before="100" w:beforeAutospacing="1" w:after="100" w:afterAutospacing="1"/>
      <w:jc w:val="left"/>
    </w:pPr>
    <w:rPr>
      <w:rFonts w:ascii="Times New Roman" w:hAnsi="Times New Roman" w:eastAsia="宋体" w:cs="Times New Roman"/>
      <w:color w:val="000000"/>
      <w:kern w:val="0"/>
      <w:sz w:val="24"/>
      <w:szCs w:val="24"/>
    </w:rPr>
  </w:style>
  <w:style w:type="paragraph" w:customStyle="1" w:styleId="61">
    <w:name w:val="font11"/>
    <w:basedOn w:val="1"/>
    <w:qFormat/>
    <w:uiPriority w:val="0"/>
    <w:pPr>
      <w:widowControl/>
      <w:spacing w:before="100" w:beforeAutospacing="1" w:after="100" w:afterAutospacing="1"/>
      <w:jc w:val="left"/>
    </w:pPr>
    <w:rPr>
      <w:rFonts w:ascii="宋体" w:hAnsi="宋体" w:eastAsia="宋体" w:cs="宋体"/>
      <w:color w:val="FF0000"/>
      <w:kern w:val="0"/>
      <w:sz w:val="24"/>
      <w:szCs w:val="24"/>
    </w:rPr>
  </w:style>
  <w:style w:type="paragraph" w:customStyle="1" w:styleId="62">
    <w:name w:val="font12"/>
    <w:basedOn w:val="1"/>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63">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24"/>
      <w:szCs w:val="24"/>
    </w:rPr>
  </w:style>
  <w:style w:type="paragraph" w:customStyle="1" w:styleId="64">
    <w:name w:val="xl67"/>
    <w:basedOn w:val="1"/>
    <w:uiPriority w:val="0"/>
    <w:pPr>
      <w:widowControl/>
      <w:pBdr>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24"/>
      <w:szCs w:val="24"/>
    </w:rPr>
  </w:style>
  <w:style w:type="paragraph" w:customStyle="1" w:styleId="65">
    <w:name w:val="xl68"/>
    <w:basedOn w:val="1"/>
    <w:qFormat/>
    <w:uiPriority w:val="0"/>
    <w:pPr>
      <w:widowControl/>
      <w:pBdr>
        <w:top w:val="single" w:color="auto" w:sz="4" w:space="0"/>
        <w:left w:val="single" w:color="auto" w:sz="4" w:space="0"/>
        <w:right w:val="single" w:color="auto" w:sz="4" w:space="0"/>
      </w:pBdr>
      <w:spacing w:before="100" w:beforeAutospacing="1" w:after="100" w:afterAutospacing="1"/>
      <w:jc w:val="left"/>
    </w:pPr>
    <w:rPr>
      <w:rFonts w:ascii="宋体" w:hAnsi="宋体" w:eastAsia="宋体" w:cs="宋体"/>
      <w:kern w:val="0"/>
      <w:sz w:val="24"/>
      <w:szCs w:val="24"/>
    </w:rPr>
  </w:style>
  <w:style w:type="paragraph" w:customStyle="1" w:styleId="66">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24"/>
      <w:szCs w:val="24"/>
    </w:rPr>
  </w:style>
  <w:style w:type="paragraph" w:customStyle="1" w:styleId="67">
    <w:name w:val="xl70"/>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eastAsia="宋体" w:cs="宋体"/>
      <w:kern w:val="0"/>
      <w:sz w:val="24"/>
      <w:szCs w:val="24"/>
    </w:rPr>
  </w:style>
  <w:style w:type="paragraph" w:customStyle="1" w:styleId="68">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Times New Roman" w:hAnsi="Times New Roman" w:eastAsia="宋体" w:cs="Times New Roman"/>
      <w:kern w:val="0"/>
      <w:sz w:val="24"/>
      <w:szCs w:val="24"/>
    </w:rPr>
  </w:style>
  <w:style w:type="paragraph" w:customStyle="1" w:styleId="69">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top"/>
    </w:pPr>
    <w:rPr>
      <w:rFonts w:ascii="宋体" w:hAnsi="宋体" w:eastAsia="宋体" w:cs="宋体"/>
      <w:kern w:val="0"/>
      <w:sz w:val="24"/>
      <w:szCs w:val="24"/>
    </w:rPr>
  </w:style>
  <w:style w:type="paragraph" w:customStyle="1" w:styleId="70">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color w:val="000000"/>
      <w:kern w:val="0"/>
      <w:sz w:val="24"/>
      <w:szCs w:val="24"/>
    </w:rPr>
  </w:style>
  <w:style w:type="paragraph" w:customStyle="1" w:styleId="71">
    <w:name w:val="xl74"/>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24"/>
      <w:szCs w:val="24"/>
    </w:rPr>
  </w:style>
  <w:style w:type="paragraph" w:customStyle="1" w:styleId="72">
    <w:name w:val="xl75"/>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eastAsia="宋体" w:cs="宋体"/>
      <w:kern w:val="0"/>
      <w:sz w:val="24"/>
      <w:szCs w:val="24"/>
    </w:rPr>
  </w:style>
  <w:style w:type="paragraph" w:customStyle="1" w:styleId="73">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kern w:val="0"/>
      <w:sz w:val="24"/>
      <w:szCs w:val="24"/>
    </w:rPr>
  </w:style>
  <w:style w:type="paragraph" w:customStyle="1" w:styleId="74">
    <w:name w:val="xl77"/>
    <w:basedOn w:val="1"/>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75">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24"/>
      <w:szCs w:val="24"/>
    </w:rPr>
  </w:style>
  <w:style w:type="paragraph" w:customStyle="1" w:styleId="76">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kern w:val="0"/>
      <w:sz w:val="20"/>
      <w:szCs w:val="20"/>
    </w:rPr>
  </w:style>
  <w:style w:type="paragraph" w:customStyle="1" w:styleId="77">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20"/>
      <w:szCs w:val="20"/>
    </w:rPr>
  </w:style>
  <w:style w:type="paragraph" w:customStyle="1" w:styleId="78">
    <w:name w:val="xl81"/>
    <w:basedOn w:val="1"/>
    <w:uiPriority w:val="0"/>
    <w:pPr>
      <w:widowControl/>
      <w:pBdr>
        <w:left w:val="single" w:color="auto" w:sz="4" w:space="0"/>
        <w:right w:val="single" w:color="auto" w:sz="4" w:space="0"/>
      </w:pBdr>
      <w:spacing w:before="100" w:beforeAutospacing="1" w:after="100" w:afterAutospacing="1"/>
      <w:jc w:val="center"/>
    </w:pPr>
    <w:rPr>
      <w:rFonts w:ascii="宋体" w:hAnsi="宋体" w:eastAsia="宋体" w:cs="宋体"/>
      <w:kern w:val="0"/>
      <w:sz w:val="24"/>
      <w:szCs w:val="24"/>
    </w:rPr>
  </w:style>
  <w:style w:type="paragraph" w:customStyle="1" w:styleId="79">
    <w:name w:val="xl82"/>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kern w:val="0"/>
      <w:sz w:val="24"/>
      <w:szCs w:val="24"/>
    </w:rPr>
  </w:style>
  <w:style w:type="paragraph" w:customStyle="1" w:styleId="80">
    <w:name w:val="xl83"/>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宋体" w:hAnsi="宋体" w:eastAsia="宋体" w:cs="宋体"/>
      <w:kern w:val="0"/>
      <w:sz w:val="24"/>
      <w:szCs w:val="24"/>
    </w:rPr>
  </w:style>
  <w:style w:type="paragraph" w:customStyle="1" w:styleId="81">
    <w:name w:val="xl84"/>
    <w:basedOn w:val="1"/>
    <w:qFormat/>
    <w:uiPriority w:val="0"/>
    <w:pPr>
      <w:widowControl/>
      <w:pBdr>
        <w:top w:val="single" w:color="auto" w:sz="4" w:space="0"/>
        <w:bottom w:val="single" w:color="auto" w:sz="4" w:space="0"/>
      </w:pBdr>
      <w:spacing w:before="100" w:beforeAutospacing="1" w:after="100" w:afterAutospacing="1"/>
      <w:jc w:val="center"/>
    </w:pPr>
    <w:rPr>
      <w:rFonts w:ascii="宋体" w:hAnsi="宋体" w:eastAsia="宋体" w:cs="宋体"/>
      <w:kern w:val="0"/>
      <w:sz w:val="24"/>
      <w:szCs w:val="24"/>
    </w:rPr>
  </w:style>
  <w:style w:type="paragraph" w:customStyle="1" w:styleId="82">
    <w:name w:val="xl85"/>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kern w:val="0"/>
      <w:sz w:val="24"/>
      <w:szCs w:val="24"/>
    </w:rPr>
  </w:style>
  <w:style w:type="paragraph" w:customStyle="1" w:styleId="83">
    <w:name w:val="xl86"/>
    <w:basedOn w:val="1"/>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eastAsia="宋体" w:cs="宋体"/>
      <w:kern w:val="0"/>
      <w:sz w:val="24"/>
      <w:szCs w:val="24"/>
    </w:rPr>
  </w:style>
  <w:style w:type="paragraph" w:customStyle="1" w:styleId="84">
    <w:name w:val="xl87"/>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eastAsia="宋体" w:cs="宋体"/>
      <w:kern w:val="0"/>
      <w:sz w:val="24"/>
      <w:szCs w:val="24"/>
    </w:rPr>
  </w:style>
  <w:style w:type="paragraph" w:customStyle="1" w:styleId="85">
    <w:name w:val="xl88"/>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kern w:val="0"/>
      <w:sz w:val="24"/>
      <w:szCs w:val="24"/>
    </w:rPr>
  </w:style>
  <w:style w:type="paragraph" w:customStyle="1" w:styleId="86">
    <w:name w:val="xl89"/>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eastAsia="宋体" w:cs="宋体"/>
      <w:kern w:val="0"/>
      <w:sz w:val="24"/>
      <w:szCs w:val="24"/>
    </w:rPr>
  </w:style>
  <w:style w:type="paragraph" w:customStyle="1" w:styleId="87">
    <w:name w:val="xl90"/>
    <w:basedOn w:val="1"/>
    <w:qFormat/>
    <w:uiPriority w:val="0"/>
    <w:pPr>
      <w:widowControl/>
      <w:pBdr>
        <w:top w:val="single" w:color="auto" w:sz="4" w:space="0"/>
        <w:bottom w:val="single" w:color="auto" w:sz="4" w:space="0"/>
      </w:pBdr>
      <w:spacing w:before="100" w:beforeAutospacing="1" w:after="100" w:afterAutospacing="1"/>
      <w:jc w:val="left"/>
    </w:pPr>
    <w:rPr>
      <w:rFonts w:ascii="宋体" w:hAnsi="宋体" w:eastAsia="宋体" w:cs="宋体"/>
      <w:kern w:val="0"/>
      <w:sz w:val="24"/>
      <w:szCs w:val="24"/>
    </w:rPr>
  </w:style>
  <w:style w:type="paragraph" w:customStyle="1" w:styleId="88">
    <w:name w:val="xl91"/>
    <w:basedOn w:val="1"/>
    <w:qFormat/>
    <w:uiPriority w:val="0"/>
    <w:pPr>
      <w:widowControl/>
      <w:pBdr>
        <w:top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24"/>
      <w:szCs w:val="24"/>
    </w:rPr>
  </w:style>
  <w:style w:type="paragraph" w:customStyle="1" w:styleId="89">
    <w:name w:val="xl92"/>
    <w:basedOn w:val="1"/>
    <w:uiPriority w:val="0"/>
    <w:pPr>
      <w:widowControl/>
      <w:pBdr>
        <w:top w:val="single" w:color="auto" w:sz="4" w:space="0"/>
        <w:left w:val="single" w:color="auto" w:sz="4" w:space="0"/>
        <w:bottom w:val="single" w:color="auto" w:sz="4" w:space="0"/>
      </w:pBdr>
      <w:shd w:val="clear" w:color="000000" w:fill="FFFFFF"/>
      <w:spacing w:before="100" w:beforeAutospacing="1" w:after="100" w:afterAutospacing="1"/>
      <w:jc w:val="left"/>
    </w:pPr>
    <w:rPr>
      <w:rFonts w:ascii="宋体" w:hAnsi="宋体" w:eastAsia="宋体" w:cs="宋体"/>
      <w:color w:val="000000"/>
      <w:kern w:val="0"/>
      <w:sz w:val="24"/>
      <w:szCs w:val="24"/>
    </w:rPr>
  </w:style>
  <w:style w:type="paragraph" w:customStyle="1" w:styleId="90">
    <w:name w:val="xl93"/>
    <w:basedOn w:val="1"/>
    <w:qFormat/>
    <w:uiPriority w:val="0"/>
    <w:pPr>
      <w:widowControl/>
      <w:pBdr>
        <w:top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eastAsia="宋体" w:cs="宋体"/>
      <w:color w:val="000000"/>
      <w:kern w:val="0"/>
      <w:sz w:val="24"/>
      <w:szCs w:val="24"/>
    </w:rPr>
  </w:style>
  <w:style w:type="paragraph" w:customStyle="1" w:styleId="91">
    <w:name w:val="xl94"/>
    <w:basedOn w:val="1"/>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Calibri" w:hAnsi="Calibri" w:eastAsia="宋体" w:cs="Calibri"/>
      <w:color w:val="000000"/>
      <w:kern w:val="0"/>
      <w:sz w:val="24"/>
      <w:szCs w:val="24"/>
    </w:rPr>
  </w:style>
  <w:style w:type="paragraph" w:customStyle="1" w:styleId="92">
    <w:name w:val="xl95"/>
    <w:basedOn w:val="1"/>
    <w:uiPriority w:val="0"/>
    <w:pPr>
      <w:widowControl/>
      <w:pBdr>
        <w:top w:val="single" w:color="auto" w:sz="4" w:space="0"/>
        <w:bottom w:val="single" w:color="auto" w:sz="4" w:space="0"/>
        <w:right w:val="single" w:color="auto" w:sz="4" w:space="0"/>
      </w:pBdr>
      <w:spacing w:before="100" w:beforeAutospacing="1" w:after="100" w:afterAutospacing="1"/>
      <w:jc w:val="left"/>
    </w:pPr>
    <w:rPr>
      <w:rFonts w:ascii="Calibri" w:hAnsi="Calibri" w:eastAsia="宋体" w:cs="Calibri"/>
      <w:color w:val="000000"/>
      <w:kern w:val="0"/>
      <w:sz w:val="24"/>
      <w:szCs w:val="24"/>
    </w:rPr>
  </w:style>
  <w:style w:type="paragraph" w:customStyle="1" w:styleId="93">
    <w:name w:val="xl96"/>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eastAsia="宋体" w:cs="宋体"/>
      <w:color w:val="000000"/>
      <w:kern w:val="0"/>
      <w:sz w:val="24"/>
      <w:szCs w:val="24"/>
    </w:rPr>
  </w:style>
  <w:style w:type="paragraph" w:customStyle="1" w:styleId="94">
    <w:name w:val="xl97"/>
    <w:basedOn w:val="1"/>
    <w:qFormat/>
    <w:uiPriority w:val="0"/>
    <w:pPr>
      <w:widowControl/>
      <w:pBdr>
        <w:top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color w:val="000000"/>
      <w:kern w:val="0"/>
      <w:sz w:val="24"/>
      <w:szCs w:val="24"/>
    </w:rPr>
  </w:style>
  <w:style w:type="paragraph" w:customStyle="1" w:styleId="95">
    <w:name w:val="xl98"/>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Times New Roman" w:hAnsi="Times New Roman" w:eastAsia="宋体" w:cs="Times New Roman"/>
      <w:color w:val="000000"/>
      <w:kern w:val="0"/>
      <w:sz w:val="24"/>
      <w:szCs w:val="24"/>
    </w:rPr>
  </w:style>
  <w:style w:type="paragraph" w:customStyle="1" w:styleId="96">
    <w:name w:val="xl99"/>
    <w:basedOn w:val="1"/>
    <w:uiPriority w:val="0"/>
    <w:pPr>
      <w:widowControl/>
      <w:pBdr>
        <w:top w:val="single" w:color="auto" w:sz="4" w:space="0"/>
        <w:bottom w:val="single" w:color="auto" w:sz="4" w:space="0"/>
        <w:right w:val="single" w:color="auto" w:sz="4" w:space="0"/>
      </w:pBdr>
      <w:spacing w:before="100" w:beforeAutospacing="1" w:after="100" w:afterAutospacing="1"/>
      <w:jc w:val="left"/>
    </w:pPr>
    <w:rPr>
      <w:rFonts w:ascii="Times New Roman" w:hAnsi="Times New Roman" w:eastAsia="宋体" w:cs="Times New Roman"/>
      <w:color w:val="000000"/>
      <w:kern w:val="0"/>
      <w:sz w:val="24"/>
      <w:szCs w:val="24"/>
    </w:rPr>
  </w:style>
  <w:style w:type="paragraph" w:customStyle="1" w:styleId="97">
    <w:name w:val="xl10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kern w:val="0"/>
      <w:sz w:val="24"/>
      <w:szCs w:val="24"/>
    </w:rPr>
  </w:style>
  <w:style w:type="paragraph" w:customStyle="1" w:styleId="98">
    <w:name w:val="xl101"/>
    <w:basedOn w:val="1"/>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eastAsia="宋体" w:cs="宋体"/>
      <w:kern w:val="0"/>
      <w:sz w:val="24"/>
      <w:szCs w:val="24"/>
    </w:rPr>
  </w:style>
  <w:style w:type="paragraph" w:customStyle="1" w:styleId="99">
    <w:name w:val="xl102"/>
    <w:basedOn w:val="1"/>
    <w:uiPriority w:val="0"/>
    <w:pPr>
      <w:widowControl/>
      <w:pBdr>
        <w:left w:val="single" w:color="auto" w:sz="4" w:space="0"/>
        <w:right w:val="single" w:color="auto" w:sz="4" w:space="0"/>
      </w:pBdr>
      <w:spacing w:before="100" w:beforeAutospacing="1" w:after="100" w:afterAutospacing="1"/>
      <w:jc w:val="center"/>
    </w:pPr>
    <w:rPr>
      <w:rFonts w:ascii="宋体" w:hAnsi="宋体" w:eastAsia="宋体" w:cs="宋体"/>
      <w:kern w:val="0"/>
      <w:sz w:val="24"/>
      <w:szCs w:val="24"/>
    </w:rPr>
  </w:style>
  <w:style w:type="paragraph" w:customStyle="1" w:styleId="100">
    <w:name w:val="xl103"/>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kern w:val="0"/>
      <w:sz w:val="24"/>
      <w:szCs w:val="24"/>
    </w:rPr>
  </w:style>
  <w:style w:type="paragraph" w:customStyle="1" w:styleId="101">
    <w:name w:val="xl104"/>
    <w:basedOn w:val="1"/>
    <w:qFormat/>
    <w:uiPriority w:val="0"/>
    <w:pPr>
      <w:widowControl/>
      <w:pBdr>
        <w:top w:val="single" w:color="auto" w:sz="4" w:space="0"/>
        <w:left w:val="single" w:color="auto" w:sz="4" w:space="0"/>
        <w:right w:val="single" w:color="auto" w:sz="4" w:space="0"/>
      </w:pBdr>
      <w:spacing w:before="100" w:beforeAutospacing="1" w:after="100" w:afterAutospacing="1"/>
      <w:jc w:val="left"/>
    </w:pPr>
    <w:rPr>
      <w:rFonts w:ascii="宋体" w:hAnsi="宋体" w:eastAsia="宋体" w:cs="宋体"/>
      <w:kern w:val="0"/>
      <w:sz w:val="24"/>
      <w:szCs w:val="24"/>
    </w:rPr>
  </w:style>
  <w:style w:type="paragraph" w:customStyle="1" w:styleId="102">
    <w:name w:val="xl105"/>
    <w:basedOn w:val="1"/>
    <w:qFormat/>
    <w:uiPriority w:val="0"/>
    <w:pPr>
      <w:widowControl/>
      <w:pBdr>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24"/>
      <w:szCs w:val="24"/>
    </w:rPr>
  </w:style>
  <w:style w:type="paragraph" w:customStyle="1" w:styleId="103">
    <w:name w:val="xl106"/>
    <w:basedOn w:val="1"/>
    <w:uiPriority w:val="0"/>
    <w:pPr>
      <w:widowControl/>
      <w:pBdr>
        <w:top w:val="single" w:color="auto" w:sz="4" w:space="0"/>
        <w:left w:val="single" w:color="auto" w:sz="4" w:space="0"/>
        <w:right w:val="single" w:color="auto" w:sz="4" w:space="0"/>
      </w:pBdr>
      <w:spacing w:before="100" w:beforeAutospacing="1" w:after="100" w:afterAutospacing="1"/>
      <w:jc w:val="left"/>
    </w:pPr>
    <w:rPr>
      <w:rFonts w:ascii="宋体" w:hAnsi="宋体" w:eastAsia="宋体" w:cs="宋体"/>
      <w:kern w:val="0"/>
      <w:sz w:val="24"/>
      <w:szCs w:val="24"/>
    </w:rPr>
  </w:style>
  <w:style w:type="paragraph" w:customStyle="1" w:styleId="104">
    <w:name w:val="xl107"/>
    <w:basedOn w:val="1"/>
    <w:qFormat/>
    <w:uiPriority w:val="0"/>
    <w:pPr>
      <w:widowControl/>
      <w:pBdr>
        <w:left w:val="single" w:color="auto" w:sz="4" w:space="0"/>
        <w:right w:val="single" w:color="auto" w:sz="4" w:space="0"/>
      </w:pBdr>
      <w:spacing w:before="100" w:beforeAutospacing="1" w:after="100" w:afterAutospacing="1"/>
      <w:jc w:val="left"/>
    </w:pPr>
    <w:rPr>
      <w:rFonts w:ascii="宋体" w:hAnsi="宋体" w:eastAsia="宋体" w:cs="宋体"/>
      <w:kern w:val="0"/>
      <w:sz w:val="24"/>
      <w:szCs w:val="24"/>
    </w:rPr>
  </w:style>
  <w:style w:type="paragraph" w:customStyle="1" w:styleId="105">
    <w:name w:val="xl108"/>
    <w:basedOn w:val="1"/>
    <w:uiPriority w:val="0"/>
    <w:pPr>
      <w:widowControl/>
      <w:pBdr>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24"/>
      <w:szCs w:val="24"/>
    </w:rPr>
  </w:style>
  <w:style w:type="paragraph" w:customStyle="1" w:styleId="106">
    <w:name w:val="xl109"/>
    <w:basedOn w:val="1"/>
    <w:qFormat/>
    <w:uiPriority w:val="0"/>
    <w:pPr>
      <w:widowControl/>
      <w:pBdr>
        <w:top w:val="single" w:color="auto" w:sz="4" w:space="0"/>
        <w:left w:val="single" w:color="auto" w:sz="4" w:space="0"/>
        <w:right w:val="single" w:color="auto" w:sz="4" w:space="0"/>
      </w:pBdr>
      <w:spacing w:before="100" w:beforeAutospacing="1" w:after="100" w:afterAutospacing="1"/>
      <w:jc w:val="left"/>
    </w:pPr>
    <w:rPr>
      <w:rFonts w:ascii="宋体" w:hAnsi="宋体" w:eastAsia="宋体" w:cs="宋体"/>
      <w:kern w:val="0"/>
      <w:sz w:val="24"/>
      <w:szCs w:val="24"/>
    </w:rPr>
  </w:style>
  <w:style w:type="paragraph" w:customStyle="1" w:styleId="107">
    <w:name w:val="xl110"/>
    <w:basedOn w:val="1"/>
    <w:qFormat/>
    <w:uiPriority w:val="0"/>
    <w:pPr>
      <w:widowControl/>
      <w:pBdr>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24"/>
      <w:szCs w:val="24"/>
    </w:rPr>
  </w:style>
  <w:style w:type="paragraph" w:customStyle="1" w:styleId="108">
    <w:name w:val="xl6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24"/>
      <w:szCs w:val="24"/>
    </w:rPr>
  </w:style>
  <w:style w:type="paragraph" w:customStyle="1" w:styleId="109">
    <w:name w:val="xl65"/>
    <w:basedOn w:val="1"/>
    <w:qFormat/>
    <w:uiPriority w:val="0"/>
    <w:pPr>
      <w:widowControl/>
      <w:pBdr>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22D93DB-C396-4333-9237-75694FBFFC68}">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37</Pages>
  <Words>1217</Words>
  <Characters>1303</Characters>
  <Lines>197</Lines>
  <Paragraphs>55</Paragraphs>
  <TotalTime>4</TotalTime>
  <ScaleCrop>false</ScaleCrop>
  <LinksUpToDate>false</LinksUpToDate>
  <CharactersWithSpaces>1316</CharactersWithSpaces>
  <Application>WPS Office_10.8.2.7090_F1E327BC-269C-435d-A152-05C5408002CA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2025-01-08T01:49:00Z</dcterms:created>
  <dc:creator>未定义</dc:creator>
  <cp:lastModifiedBy>Administrator</cp:lastModifiedBy>
  <dcterms:modified xsi:type="dcterms:W3CDTF">2025-01-08T05:37:31Z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eyJoZGlkIjoiODZkOTAzNmFmOTM2MDczOGYzNzk0MjNjODU3MGU4M2UiLCJ1c2VySWQiOiIxNTE5MTMwODI4In0=</vt:lpwstr>
  </property>
  <property fmtid="{D5CDD505-2E9C-101B-9397-08002B2CF9AE}" pid="3" name="KSOProductBuildVer">
    <vt:lpwstr>2052-10.8.2.7090</vt:lpwstr>
  </property>
  <property fmtid="{D5CDD505-2E9C-101B-9397-08002B2CF9AE}" pid="4" name="ICV">
    <vt:lpwstr>915257C0D61B455BB9A1F53E39C578AD_12</vt:lpwstr>
  </property>
</Properties>
</file>