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A9DB91">
      <w:pPr>
        <w:pStyle w:val="4"/>
      </w:pPr>
      <w:r>
        <w:rPr>
          <w:rFonts w:hint="eastAsia"/>
        </w:rPr>
        <w:t>项目需求书（货物</w:t>
      </w:r>
      <w:r>
        <w:t>-</w:t>
      </w:r>
      <w:r>
        <w:rPr>
          <w:rFonts w:hint="eastAsia"/>
        </w:rPr>
        <w:t>通用类）</w:t>
      </w:r>
    </w:p>
    <w:p w14:paraId="7D4065BA">
      <w:pPr>
        <w:spacing w:line="360" w:lineRule="auto"/>
        <w:ind w:firstLine="482" w:firstLineChars="200"/>
        <w:rPr>
          <w:rFonts w:hint="eastAsia" w:ascii="宋体" w:hAnsi="宋体"/>
          <w:b/>
          <w:sz w:val="24"/>
        </w:rPr>
      </w:pPr>
      <w:bookmarkStart w:id="0" w:name="_GoBack"/>
      <w:bookmarkEnd w:id="0"/>
      <w:r>
        <w:rPr>
          <w:rFonts w:hint="eastAsia" w:ascii="宋体" w:hAnsi="宋体"/>
          <w:b/>
          <w:sz w:val="24"/>
        </w:rPr>
        <w:t>四、技术要求</w:t>
      </w:r>
    </w:p>
    <w:p w14:paraId="659EFF7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第一包：</w:t>
      </w:r>
      <w:r>
        <w:rPr>
          <w:rFonts w:hint="eastAsia" w:ascii="宋体" w:hAnsi="宋体" w:cs="宋体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运动处方门诊相关设备</w:t>
      </w:r>
    </w:p>
    <w:tbl>
      <w:tblPr>
        <w:tblStyle w:val="5"/>
        <w:tblW w:w="547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0"/>
        <w:gridCol w:w="1397"/>
        <w:gridCol w:w="8642"/>
        <w:gridCol w:w="863"/>
        <w:gridCol w:w="866"/>
        <w:gridCol w:w="1630"/>
        <w:gridCol w:w="1363"/>
      </w:tblGrid>
      <w:tr w14:paraId="09783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blHeader/>
          <w:jc w:val="center"/>
        </w:trPr>
        <w:tc>
          <w:tcPr>
            <w:tcW w:w="245" w:type="pct"/>
            <w:vAlign w:val="center"/>
          </w:tcPr>
          <w:p w14:paraId="6A6A24B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序号</w:t>
            </w:r>
          </w:p>
        </w:tc>
        <w:tc>
          <w:tcPr>
            <w:tcW w:w="450" w:type="pct"/>
            <w:vAlign w:val="center"/>
          </w:tcPr>
          <w:p w14:paraId="6E0B2B9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标的名称</w:t>
            </w:r>
          </w:p>
        </w:tc>
        <w:tc>
          <w:tcPr>
            <w:tcW w:w="2784" w:type="pct"/>
            <w:vAlign w:val="center"/>
          </w:tcPr>
          <w:p w14:paraId="2D0FED1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技术要求</w:t>
            </w:r>
          </w:p>
        </w:tc>
        <w:tc>
          <w:tcPr>
            <w:tcW w:w="278" w:type="pct"/>
            <w:vAlign w:val="center"/>
          </w:tcPr>
          <w:p w14:paraId="5641680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单位</w:t>
            </w:r>
          </w:p>
        </w:tc>
        <w:tc>
          <w:tcPr>
            <w:tcW w:w="279" w:type="pct"/>
            <w:vAlign w:val="center"/>
          </w:tcPr>
          <w:p w14:paraId="695F80B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数量</w:t>
            </w:r>
          </w:p>
        </w:tc>
        <w:tc>
          <w:tcPr>
            <w:tcW w:w="525" w:type="pct"/>
            <w:vAlign w:val="center"/>
          </w:tcPr>
          <w:p w14:paraId="44196F3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是否属于现行节能产品政府采购清单强制采购范围</w:t>
            </w:r>
          </w:p>
        </w:tc>
        <w:tc>
          <w:tcPr>
            <w:tcW w:w="439" w:type="pct"/>
            <w:vAlign w:val="center"/>
          </w:tcPr>
          <w:p w14:paraId="66E1D4F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是否属于集采目录内产品</w:t>
            </w:r>
          </w:p>
        </w:tc>
      </w:tr>
      <w:tr w14:paraId="7B087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restart"/>
            <w:vAlign w:val="center"/>
          </w:tcPr>
          <w:p w14:paraId="7DA2B02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</w:t>
            </w:r>
          </w:p>
        </w:tc>
        <w:tc>
          <w:tcPr>
            <w:tcW w:w="450" w:type="pct"/>
            <w:vMerge w:val="restart"/>
            <w:vAlign w:val="center"/>
          </w:tcPr>
          <w:p w14:paraId="1083F086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运动心肺功能测评系统</w:t>
            </w:r>
          </w:p>
        </w:tc>
        <w:tc>
          <w:tcPr>
            <w:tcW w:w="2784" w:type="pct"/>
            <w:vAlign w:val="center"/>
          </w:tcPr>
          <w:p w14:paraId="1E7809D8">
            <w:r>
              <w:rPr>
                <w:rFonts w:hint="eastAsia"/>
              </w:rPr>
              <w:t>一、功能要求：</w:t>
            </w:r>
          </w:p>
          <w:p w14:paraId="0C38DD9D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氧代谢测定、营养代谢和能量消耗测定、流量容积环、慢肺活量、最大自主通气量、激发试验、舒张试验、肺内气体分布测定、运动训练管理、功率滴定、心电图监测、血压和血氧监测，以满足临床诊断和科研需求。</w:t>
            </w:r>
          </w:p>
        </w:tc>
        <w:tc>
          <w:tcPr>
            <w:tcW w:w="278" w:type="pct"/>
            <w:vMerge w:val="restart"/>
          </w:tcPr>
          <w:p w14:paraId="2689E44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25AF7D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F021C6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台</w:t>
            </w:r>
          </w:p>
        </w:tc>
        <w:tc>
          <w:tcPr>
            <w:tcW w:w="279" w:type="pct"/>
            <w:vMerge w:val="restart"/>
          </w:tcPr>
          <w:p w14:paraId="74E7C00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23EECB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B56F1F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</w:t>
            </w:r>
          </w:p>
        </w:tc>
        <w:tc>
          <w:tcPr>
            <w:tcW w:w="525" w:type="pct"/>
            <w:vMerge w:val="restart"/>
          </w:tcPr>
          <w:p w14:paraId="477D8C6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64F6C4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13F947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否</w:t>
            </w:r>
          </w:p>
        </w:tc>
        <w:tc>
          <w:tcPr>
            <w:tcW w:w="439" w:type="pct"/>
            <w:vMerge w:val="restart"/>
          </w:tcPr>
          <w:p w14:paraId="35C8C107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C837B6E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F40DFA1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否</w:t>
            </w:r>
          </w:p>
        </w:tc>
      </w:tr>
      <w:tr w14:paraId="690D8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245" w:type="pct"/>
            <w:vMerge w:val="continue"/>
            <w:vAlign w:val="center"/>
          </w:tcPr>
          <w:p w14:paraId="740A3C0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719FADE7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A84C6EF">
            <w:r>
              <w:rPr>
                <w:rFonts w:hint="eastAsia"/>
              </w:rPr>
              <w:t>二、检查功能参数</w:t>
            </w:r>
          </w:p>
          <w:p w14:paraId="636E6BDD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1、通气功能：慢通气、流量容积环和用力时间肺活量、每分最大通气量</w:t>
            </w:r>
          </w:p>
        </w:tc>
        <w:tc>
          <w:tcPr>
            <w:tcW w:w="278" w:type="pct"/>
            <w:vMerge w:val="continue"/>
          </w:tcPr>
          <w:p w14:paraId="57091AA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2EC2DE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68192F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581F14E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1E05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45" w:type="pct"/>
            <w:vMerge w:val="continue"/>
            <w:vAlign w:val="center"/>
          </w:tcPr>
          <w:p w14:paraId="7005B2D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5A9AA70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65491148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2、气道反应性测试模块（支气管舒张试验CHG%，支气管激发试验管理PD20）。</w:t>
            </w:r>
          </w:p>
        </w:tc>
        <w:tc>
          <w:tcPr>
            <w:tcW w:w="278" w:type="pct"/>
            <w:vMerge w:val="continue"/>
          </w:tcPr>
          <w:p w14:paraId="7AC6B98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81B2D5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013789B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1A8FA012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492B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245" w:type="pct"/>
            <w:vMerge w:val="continue"/>
            <w:vAlign w:val="center"/>
          </w:tcPr>
          <w:p w14:paraId="1ADBDD9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2B841293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67B1CC8">
            <w:r>
              <w:rPr>
                <w:rFonts w:hint="eastAsia"/>
              </w:rPr>
              <w:t>3、运动能力：</w:t>
            </w:r>
          </w:p>
          <w:p w14:paraId="5A03D266">
            <w:r>
              <w:rPr>
                <w:rFonts w:hint="eastAsia"/>
              </w:rPr>
              <w:t>运动程度：呼吸交换律RER、疲劳Borg指数、最大功率Load@Peak</w:t>
            </w:r>
          </w:p>
          <w:p w14:paraId="2BC39541">
            <w:r>
              <w:rPr>
                <w:rFonts w:hint="eastAsia"/>
              </w:rPr>
              <w:t>峰值摄氧量：最大摄氧量VO2max、最大公斤摄氧量VO2max/kg、最大摄氧占预计比VO2max%Pred</w:t>
            </w:r>
          </w:p>
          <w:p w14:paraId="765C4C4B">
            <w:r>
              <w:rPr>
                <w:rFonts w:hint="eastAsia"/>
              </w:rPr>
              <w:t>运动储备：心率储备HRR、呼吸储备BR</w:t>
            </w:r>
          </w:p>
          <w:p w14:paraId="4FBE5DF0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无氧阈：无氧阈摄氧量VO2@AT、无氧阈公斤摄氧量VO2max/kg@AT、无氧阈摄氧占预计比VO2@AT%Pred</w:t>
            </w:r>
          </w:p>
        </w:tc>
        <w:tc>
          <w:tcPr>
            <w:tcW w:w="278" w:type="pct"/>
            <w:vMerge w:val="continue"/>
          </w:tcPr>
          <w:p w14:paraId="200B138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86928F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8DEBF1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1F79D5F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133E3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245" w:type="pct"/>
            <w:vMerge w:val="continue"/>
            <w:vAlign w:val="center"/>
          </w:tcPr>
          <w:p w14:paraId="17B3721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043EFFB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1381D6C6">
            <w:r>
              <w:rPr>
                <w:rFonts w:hint="eastAsia"/>
              </w:rPr>
              <w:t>4、循环功能：</w:t>
            </w:r>
          </w:p>
          <w:p w14:paraId="1A0129A8">
            <w:r>
              <w:rPr>
                <w:rFonts w:hint="eastAsia"/>
              </w:rPr>
              <w:t>氧代谢：摄氧量VO2、二氧化碳排出量VCO2、通气量VE、氧脉搏O2Plus</w:t>
            </w:r>
          </w:p>
          <w:p w14:paraId="6FE6CDD7">
            <w:r>
              <w:rPr>
                <w:rFonts w:hint="eastAsia"/>
              </w:rPr>
              <w:t>心率：静息心率HR@Rest、无氧阈心率HR@AT、最大心率HRmax、1分钟心率恢复HRrec(1min)</w:t>
            </w:r>
          </w:p>
          <w:p w14:paraId="5ADBEABA">
            <w:r>
              <w:rPr>
                <w:rFonts w:hint="eastAsia"/>
              </w:rPr>
              <w:t>血压：静息收缩压BPsys@Rest、静息舒张压BPdia@Rest、无氧阈收缩压BPsys@AT、无氧阈舒张压BPdia@AT、最大收缩压BPsys@Peak、最大舒张压BPdia@Peak</w:t>
            </w:r>
          </w:p>
          <w:p w14:paraId="4E693081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摄氧量和功率变化：每瓦摄氧量dVO2/dWR</w:t>
            </w:r>
          </w:p>
        </w:tc>
        <w:tc>
          <w:tcPr>
            <w:tcW w:w="278" w:type="pct"/>
            <w:vMerge w:val="continue"/>
          </w:tcPr>
          <w:p w14:paraId="393BC17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4BD6F8F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0CC7A8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403642E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47A8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245" w:type="pct"/>
            <w:vMerge w:val="continue"/>
            <w:vAlign w:val="center"/>
          </w:tcPr>
          <w:p w14:paraId="214D071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6D4AAA50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A556037">
            <w:r>
              <w:rPr>
                <w:rFonts w:hint="eastAsia"/>
              </w:rPr>
              <w:t>5、通气血流灌注：</w:t>
            </w:r>
          </w:p>
          <w:p w14:paraId="19F4B574">
            <w:r>
              <w:rPr>
                <w:rFonts w:hint="eastAsia"/>
              </w:rPr>
              <w:t>呼吸：呼吸频率BF、潮气量VT、通气量VE</w:t>
            </w:r>
          </w:p>
          <w:p w14:paraId="2911F0A6">
            <w:r>
              <w:rPr>
                <w:rFonts w:hint="eastAsia"/>
              </w:rPr>
              <w:t>通气当量：EQO2、二氧化当量EQCO2</w:t>
            </w:r>
          </w:p>
          <w:p w14:paraId="52CAF2A9">
            <w:r>
              <w:rPr>
                <w:rFonts w:hint="eastAsia"/>
              </w:rPr>
              <w:t>呼气末分压：呼末二氧化碳分压PETCO2、呼末氧分压PETO2</w:t>
            </w:r>
          </w:p>
          <w:p w14:paraId="2699F8F8">
            <w:r>
              <w:rPr>
                <w:rFonts w:hint="eastAsia"/>
              </w:rPr>
              <w:t>肺内气体分布：解剖死腔VD-T、生理死腔VD-T、肺泡死腔VM2550、死腔潮气比VD/VT</w:t>
            </w:r>
          </w:p>
          <w:p w14:paraId="2FDA843D">
            <w:r>
              <w:rPr>
                <w:rFonts w:hint="eastAsia"/>
              </w:rPr>
              <w:t>摄氧效率：摄氧效率斜率OUES、峰值摄氧效率OUEP</w:t>
            </w:r>
          </w:p>
          <w:p w14:paraId="13AEA898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氧饱和度：SPO2@Rest、SPO2@AT、SPO2@Peak</w:t>
            </w:r>
          </w:p>
        </w:tc>
        <w:tc>
          <w:tcPr>
            <w:tcW w:w="278" w:type="pct"/>
            <w:vMerge w:val="continue"/>
          </w:tcPr>
          <w:p w14:paraId="69FE618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96E981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0A9076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704B26B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AF53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5" w:type="pct"/>
            <w:vMerge w:val="continue"/>
            <w:vAlign w:val="center"/>
          </w:tcPr>
          <w:p w14:paraId="0E9D59C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824A014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A00E897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6、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>营养代谢和能量测定</w:t>
            </w:r>
          </w:p>
        </w:tc>
        <w:tc>
          <w:tcPr>
            <w:tcW w:w="278" w:type="pct"/>
            <w:vMerge w:val="continue"/>
          </w:tcPr>
          <w:p w14:paraId="3995532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199CC39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E64695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DFBA1BD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4E64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5" w:type="pct"/>
            <w:vMerge w:val="continue"/>
            <w:vAlign w:val="center"/>
          </w:tcPr>
          <w:p w14:paraId="0CC5503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8A35CDF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E2E9965">
            <w:pPr>
              <w:rPr>
                <w:color w:val="EE0000"/>
              </w:rPr>
            </w:pPr>
            <w:r>
              <w:t>7</w:t>
            </w:r>
            <w:r>
              <w:rPr>
                <w:rFonts w:hint="eastAsia"/>
              </w:rPr>
              <w:t>、摄氧量的动态正常值范围带：必须提供摄氧量的在动态正常值范围带，以便临床上大量不能运动到力竭的病人的运动评估</w:t>
            </w:r>
          </w:p>
        </w:tc>
        <w:tc>
          <w:tcPr>
            <w:tcW w:w="278" w:type="pct"/>
            <w:vMerge w:val="continue"/>
          </w:tcPr>
          <w:p w14:paraId="5CBFB55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419CE25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AA3D04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39797E12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6C929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5" w:type="pct"/>
            <w:vMerge w:val="continue"/>
            <w:vAlign w:val="center"/>
          </w:tcPr>
          <w:p w14:paraId="0256D12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57A1692E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664CE5FF">
            <w:r>
              <w:rPr>
                <w:rFonts w:hint="eastAsia"/>
              </w:rPr>
              <w:t>8、无氧阈评估：提供自动和手动</w:t>
            </w:r>
            <w:r>
              <w:t>AT</w:t>
            </w:r>
            <w:r>
              <w:rPr>
                <w:rFonts w:hint="eastAsia"/>
              </w:rPr>
              <w:t>评估，为方便</w:t>
            </w:r>
            <w:r>
              <w:t>AT</w:t>
            </w:r>
            <w:r>
              <w:rPr>
                <w:rFonts w:hint="eastAsia"/>
              </w:rPr>
              <w:t>准确定位，必须具备在任何一张图上拖动</w:t>
            </w:r>
            <w:r>
              <w:t>AT</w:t>
            </w:r>
            <w:r>
              <w:rPr>
                <w:rFonts w:hint="eastAsia"/>
              </w:rPr>
              <w:t>线，其他图上的</w:t>
            </w:r>
            <w:r>
              <w:t>AT</w:t>
            </w:r>
            <w:r>
              <w:rPr>
                <w:rFonts w:hint="eastAsia"/>
              </w:rPr>
              <w:t>线也应自动变化</w:t>
            </w:r>
          </w:p>
        </w:tc>
        <w:tc>
          <w:tcPr>
            <w:tcW w:w="278" w:type="pct"/>
            <w:vMerge w:val="continue"/>
          </w:tcPr>
          <w:p w14:paraId="2F2048A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490AA9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CECBD2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121E672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272E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5" w:type="pct"/>
            <w:vMerge w:val="continue"/>
            <w:vAlign w:val="center"/>
          </w:tcPr>
          <w:p w14:paraId="2905E5B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6249E6EE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82D2FAC">
            <w:r>
              <w:rPr>
                <w:rFonts w:hint="eastAsia"/>
              </w:rPr>
              <w:t>9、心肺功能测试结果辅助评估功能：能自动出检查意见，内容包括心肺功能障碍、心肺功能的分级、无氧阈数据、康复训练运动高、中、低处方。（需提供软件界面证明）</w:t>
            </w:r>
          </w:p>
        </w:tc>
        <w:tc>
          <w:tcPr>
            <w:tcW w:w="278" w:type="pct"/>
            <w:vMerge w:val="continue"/>
          </w:tcPr>
          <w:p w14:paraId="088AB2F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4BFFE97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3AC8E9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DE70334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1AEEB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3411270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85BF0E9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690DD8C">
            <w:r>
              <w:rPr>
                <w:rFonts w:hint="eastAsia"/>
              </w:rPr>
              <w:t>三、康复训练管理功能</w:t>
            </w:r>
          </w:p>
          <w:p w14:paraId="25C529DB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1、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>病人管理：病人的基本信息（包括身高、体重、年龄、电话等相关信息），主要功能包括新建、修改、查询、删除人员信息以及人员相关的评估量表管理。支持病人信息从心肺功能测试仪上自动推送，免除繁琐的手动输入；</w:t>
            </w:r>
          </w:p>
        </w:tc>
        <w:tc>
          <w:tcPr>
            <w:tcW w:w="278" w:type="pct"/>
            <w:vMerge w:val="continue"/>
          </w:tcPr>
          <w:p w14:paraId="5F67582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A58E59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1F22F2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40D333B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F027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245" w:type="pct"/>
            <w:vMerge w:val="continue"/>
            <w:vAlign w:val="center"/>
          </w:tcPr>
          <w:p w14:paraId="532805B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4B44C211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AEDB786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2、体适能数据，需支持按时间序列存储的动态数据如身高、体重、BMI指数、体脂率（自动计算的），颈围、腰围、臀围、腰臀比（反应是否存在向心性肥胖）、一秒量FEV1、用力肺活量FVC、弥散量DLCO、气道阻力Rocc、最大吸气压MIP、最大呼气压MEP、六分钟距离Distance@6WMT、六分钟速度Speed@6WMT、六分钟平均心率HR@6WMT、无氧阈功率Load@AT、无氧阈心率HR@AT、无氧阈氧脉搏O2Plus@AT，静息收缩压BPsys、静息舒张压BPdia、静息血氧SPO2、空腹血糖FPG等等。</w:t>
            </w:r>
          </w:p>
        </w:tc>
        <w:tc>
          <w:tcPr>
            <w:tcW w:w="278" w:type="pct"/>
            <w:vMerge w:val="continue"/>
          </w:tcPr>
          <w:p w14:paraId="2EEBF75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734A1B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CC1820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7293633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7FA2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  <w:jc w:val="center"/>
        </w:trPr>
        <w:tc>
          <w:tcPr>
            <w:tcW w:w="245" w:type="pct"/>
            <w:vMerge w:val="continue"/>
            <w:vAlign w:val="center"/>
          </w:tcPr>
          <w:p w14:paraId="7E7D384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61976ECE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5A8BC01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3、心肺功能数据自动获取功能：自动从心肺功能测试仪获取病人的心肺功能评估数据，包含无氧阈功率Load@AT、无氧阈心率HR@AT、无氧阈氧脉搏O2Plus@AT、FEV1数据、FVC数据、弥散量DLCO、气道阻力Rocc、最大吸气压MIP、最大呼气压MEP数据等。</w:t>
            </w:r>
          </w:p>
        </w:tc>
        <w:tc>
          <w:tcPr>
            <w:tcW w:w="278" w:type="pct"/>
            <w:vMerge w:val="continue"/>
          </w:tcPr>
          <w:p w14:paraId="711458E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BF1F39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25F9A78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B13333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1BA39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  <w:jc w:val="center"/>
        </w:trPr>
        <w:tc>
          <w:tcPr>
            <w:tcW w:w="245" w:type="pct"/>
            <w:vMerge w:val="continue"/>
            <w:vAlign w:val="center"/>
          </w:tcPr>
          <w:p w14:paraId="1AFEB6B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5272D64C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FB77AFE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4、运动规程：提供多种运动训练规程，包括：恒定功率训练规程、间歇负荷训练规程、心率控制训练规程、血氧控制训练规程、心率血氧控制训练规程、 线性递增负载训练、定义训练规程</w:t>
            </w:r>
          </w:p>
        </w:tc>
        <w:tc>
          <w:tcPr>
            <w:tcW w:w="278" w:type="pct"/>
            <w:vMerge w:val="continue"/>
          </w:tcPr>
          <w:p w14:paraId="693E696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13750D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45751B6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679DFE4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6A649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245" w:type="pct"/>
            <w:vMerge w:val="continue"/>
            <w:vAlign w:val="center"/>
          </w:tcPr>
          <w:p w14:paraId="5C06B60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358033F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050EBE7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 xml:space="preserve"> 5、训练计划：软件自动给患者提供精细化运动处方,协助编排合理的训练日程计划，包括穿插使用不同的运动规程和不同的运动训练器械，从而达到最佳训练效果</w:t>
            </w:r>
          </w:p>
        </w:tc>
        <w:tc>
          <w:tcPr>
            <w:tcW w:w="278" w:type="pct"/>
            <w:vMerge w:val="continue"/>
          </w:tcPr>
          <w:p w14:paraId="2B2F1BD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3B06DA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11DBD4F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EB73A8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4DB8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37C269F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24DC527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1801593A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6、实时显示并记录训练过程中的心率、血氧、血压、功率、转速、速度、坡度数据和趋势图，可实时根据病人情况调整运动功率、速度和坡度，能实时追加血压测试、标记事件。应实时显示训练中的心电图波形、心电图可标记，可回顾，可打印。</w:t>
            </w:r>
          </w:p>
        </w:tc>
        <w:tc>
          <w:tcPr>
            <w:tcW w:w="278" w:type="pct"/>
            <w:vMerge w:val="continue"/>
          </w:tcPr>
          <w:p w14:paraId="0017A2A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C48E22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0B6DE46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6D623C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1439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245" w:type="pct"/>
            <w:vMerge w:val="continue"/>
            <w:vAlign w:val="center"/>
          </w:tcPr>
          <w:p w14:paraId="22BAFCD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4A858DC6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4EDF86F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7、软件具备功率滴定功能：能同步控制心肺功能测试，将病人资料自动上传给心肺功能测试仪，在训练管理软件里同步操控心肺功能测试，训练的数据和运动气体代谢的数据同步实时。给医生来微调确认运动处方软件的最合适剂量，达到最佳的训练效果。</w:t>
            </w:r>
          </w:p>
        </w:tc>
        <w:tc>
          <w:tcPr>
            <w:tcW w:w="278" w:type="pct"/>
            <w:vMerge w:val="continue"/>
          </w:tcPr>
          <w:p w14:paraId="0B10150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5205ED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22A0320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AAA83A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D40D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45" w:type="pct"/>
            <w:vMerge w:val="continue"/>
            <w:vAlign w:val="center"/>
          </w:tcPr>
          <w:p w14:paraId="4BF9BD3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7948278F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66B70D2F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8、趋势和对比功能：可对多次训练数据进行对比和趋势分析，呈现训练效果。</w:t>
            </w:r>
          </w:p>
        </w:tc>
        <w:tc>
          <w:tcPr>
            <w:tcW w:w="278" w:type="pct"/>
            <w:vMerge w:val="continue"/>
          </w:tcPr>
          <w:p w14:paraId="78A753D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CCA9AB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47AB50D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1F7D4831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721F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245" w:type="pct"/>
            <w:vMerge w:val="continue"/>
            <w:vAlign w:val="center"/>
          </w:tcPr>
          <w:p w14:paraId="61853AB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5FFB6058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B71B8DE">
            <w:pPr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/>
              </w:rPr>
              <w:t>9、测试数据传入运动处方医教研系统，与其他设备共享基础数据库，并根据心肺功能能力提供个体化的运动处方，改善和提高心肺功能及体适能水平。（厂家提供免费数据对接承诺函。）</w:t>
            </w:r>
          </w:p>
        </w:tc>
        <w:tc>
          <w:tcPr>
            <w:tcW w:w="278" w:type="pct"/>
            <w:vMerge w:val="continue"/>
          </w:tcPr>
          <w:p w14:paraId="6F73330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8B17B6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29716BD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6D4DBE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3B7D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5479853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DB4F6CF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00BB7DE">
            <w:pPr>
              <w:spacing w:line="288" w:lineRule="auto"/>
            </w:pPr>
            <w:r>
              <w:rPr>
                <w:rFonts w:hint="eastAsia"/>
              </w:rPr>
              <w:t>10、上肢功率车：</w:t>
            </w:r>
          </w:p>
          <w:p w14:paraId="276C3DFA">
            <w:pPr>
              <w:spacing w:line="288" w:lineRule="auto"/>
            </w:pPr>
            <w:r>
              <w:rPr>
                <w:rFonts w:hint="eastAsia"/>
              </w:rPr>
              <w:t>训练与评估一体，</w:t>
            </w:r>
            <w:r>
              <w:t>不仅有多种的运动训练模式，还可以与运动心肺评估系统相连，进行运动心肺试验，测试模式多达19种</w:t>
            </w:r>
          </w:p>
        </w:tc>
        <w:tc>
          <w:tcPr>
            <w:tcW w:w="278" w:type="pct"/>
            <w:vMerge w:val="continue"/>
          </w:tcPr>
          <w:p w14:paraId="505605B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F37740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DD23C6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2DB7D57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7A70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121096B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21737BD2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6661F2BD">
            <w:pPr>
              <w:spacing w:line="288" w:lineRule="auto"/>
            </w:pPr>
            <w:r>
              <w:rPr>
                <w:rFonts w:hint="eastAsia"/>
              </w:rPr>
              <w:t>1</w:t>
            </w:r>
            <w:r>
              <w:t>1</w:t>
            </w:r>
            <w:r>
              <w:rPr>
                <w:rFonts w:hint="eastAsia"/>
              </w:rPr>
              <w:t>、恒功率负载型功率自行车：0-1000W，功率误差控制不超过3%，内置可自由编程的功率规程</w:t>
            </w:r>
          </w:p>
        </w:tc>
        <w:tc>
          <w:tcPr>
            <w:tcW w:w="278" w:type="pct"/>
          </w:tcPr>
          <w:p w14:paraId="56AA397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</w:tcPr>
          <w:p w14:paraId="5B6C61C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</w:tcPr>
          <w:p w14:paraId="67EFE25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</w:tcPr>
          <w:p w14:paraId="78C9FAC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6F3BF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restart"/>
            <w:vAlign w:val="center"/>
          </w:tcPr>
          <w:p w14:paraId="717190C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2</w:t>
            </w:r>
          </w:p>
        </w:tc>
        <w:tc>
          <w:tcPr>
            <w:tcW w:w="450" w:type="pct"/>
            <w:vMerge w:val="restart"/>
            <w:vAlign w:val="center"/>
          </w:tcPr>
          <w:p w14:paraId="554FBD71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多关节等速训练与测试系统</w:t>
            </w:r>
          </w:p>
        </w:tc>
        <w:tc>
          <w:tcPr>
            <w:tcW w:w="2784" w:type="pct"/>
            <w:vAlign w:val="center"/>
          </w:tcPr>
          <w:p w14:paraId="15D33C38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1.具备NMPA认证</w:t>
            </w:r>
          </w:p>
        </w:tc>
        <w:tc>
          <w:tcPr>
            <w:tcW w:w="278" w:type="pct"/>
            <w:vMerge w:val="restart"/>
          </w:tcPr>
          <w:p w14:paraId="3EBFD09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04A8AD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2974F7E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834AAF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9438B5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700CC6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327824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004083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台</w:t>
            </w:r>
          </w:p>
        </w:tc>
        <w:tc>
          <w:tcPr>
            <w:tcW w:w="279" w:type="pct"/>
            <w:vMerge w:val="restart"/>
          </w:tcPr>
          <w:p w14:paraId="5A4796C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19B032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15F51E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412A49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54BDC1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B238A9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FF58F4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869639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</w:t>
            </w:r>
          </w:p>
        </w:tc>
        <w:tc>
          <w:tcPr>
            <w:tcW w:w="525" w:type="pct"/>
            <w:vMerge w:val="restart"/>
          </w:tcPr>
          <w:p w14:paraId="05F4129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5F92794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B3A39B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27594E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FFB269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264C8F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3C0542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B63BC2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否</w:t>
            </w:r>
          </w:p>
        </w:tc>
        <w:tc>
          <w:tcPr>
            <w:tcW w:w="439" w:type="pct"/>
            <w:vMerge w:val="restart"/>
          </w:tcPr>
          <w:p w14:paraId="488847B7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A139945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18EE7E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F5CA5F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E38EE7F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8534402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6A51ED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922985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否</w:t>
            </w:r>
          </w:p>
        </w:tc>
      </w:tr>
      <w:tr w14:paraId="53045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245" w:type="pct"/>
            <w:vMerge w:val="continue"/>
            <w:vAlign w:val="center"/>
          </w:tcPr>
          <w:p w14:paraId="6302B01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6439008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1066C938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2.具备不低于14种运动模式</w:t>
            </w:r>
          </w:p>
        </w:tc>
        <w:tc>
          <w:tcPr>
            <w:tcW w:w="278" w:type="pct"/>
            <w:vMerge w:val="continue"/>
          </w:tcPr>
          <w:p w14:paraId="0C5AA0A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68D9DF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50DB46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2910744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473B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245" w:type="pct"/>
            <w:vMerge w:val="continue"/>
            <w:vAlign w:val="center"/>
          </w:tcPr>
          <w:p w14:paraId="3B424D7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54966BD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7681DCC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3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szCs w:val="21"/>
              </w:rPr>
              <w:t>.</w:t>
            </w:r>
            <w:r>
              <w:rPr>
                <w:rFonts w:hint="eastAsia" w:cs="宋体" w:asciiTheme="minorEastAsia" w:hAnsiTheme="minorEastAsia" w:eastAsiaTheme="minorEastAsia"/>
                <w:szCs w:val="21"/>
              </w:rPr>
              <w:t>配置0重力功能及重力校正功能</w:t>
            </w:r>
          </w:p>
        </w:tc>
        <w:tc>
          <w:tcPr>
            <w:tcW w:w="278" w:type="pct"/>
            <w:vMerge w:val="continue"/>
          </w:tcPr>
          <w:p w14:paraId="77C1CD2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30DA5A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20B8E5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4725687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15D98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245" w:type="pct"/>
            <w:vMerge w:val="continue"/>
            <w:vAlign w:val="center"/>
          </w:tcPr>
          <w:p w14:paraId="477A03F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73E94CA7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8AA86C8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4.动力头向心力矩监测范围：0Nm~630Nm；离心力矩及等张力矩设置范围：0Nm~630Nm</w:t>
            </w:r>
          </w:p>
        </w:tc>
        <w:tc>
          <w:tcPr>
            <w:tcW w:w="278" w:type="pct"/>
            <w:vMerge w:val="continue"/>
          </w:tcPr>
          <w:p w14:paraId="3E2175B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14F2E10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07E72E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06379B6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52136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245" w:type="pct"/>
            <w:vMerge w:val="continue"/>
            <w:vAlign w:val="center"/>
          </w:tcPr>
          <w:p w14:paraId="5A30A13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08B5E3BE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F9EE4F3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5.动力头向心速度≥500°/s；离心速度≥360°/s；持续被动速度≥360°/s；最低速度≤0.05°/s</w:t>
            </w:r>
          </w:p>
        </w:tc>
        <w:tc>
          <w:tcPr>
            <w:tcW w:w="278" w:type="pct"/>
            <w:vMerge w:val="continue"/>
          </w:tcPr>
          <w:p w14:paraId="780E6CD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4972AA8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9E81EA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52E7975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30C7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45" w:type="pct"/>
            <w:vMerge w:val="continue"/>
            <w:vAlign w:val="center"/>
          </w:tcPr>
          <w:p w14:paraId="747CDA1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118300C3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897330D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6.动力头可水平360°任意旋转；可110°进行倾斜调节；高度可电动调节，调节范围为0~30cm.</w:t>
            </w:r>
          </w:p>
        </w:tc>
        <w:tc>
          <w:tcPr>
            <w:tcW w:w="278" w:type="pct"/>
            <w:vMerge w:val="continue"/>
          </w:tcPr>
          <w:p w14:paraId="7978F10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8C04CA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8CC4C0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84100C9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F576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54D3A26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48C9ADA1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68BCB747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7.座椅可360°旋转调节；椅面可进行0~6.8°倾斜调节；座椅靠背可进行90°倾斜角度调节</w:t>
            </w:r>
          </w:p>
        </w:tc>
        <w:tc>
          <w:tcPr>
            <w:tcW w:w="278" w:type="pct"/>
            <w:vMerge w:val="continue"/>
          </w:tcPr>
          <w:p w14:paraId="5797B92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4EC44F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5B086B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05B31F7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7120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245" w:type="pct"/>
            <w:vMerge w:val="continue"/>
            <w:vAlign w:val="center"/>
          </w:tcPr>
          <w:p w14:paraId="0BC2F40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76A40D03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3DBC241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8.具备不少于22种关节运动模式</w:t>
            </w:r>
          </w:p>
        </w:tc>
        <w:tc>
          <w:tcPr>
            <w:tcW w:w="278" w:type="pct"/>
            <w:vMerge w:val="continue"/>
          </w:tcPr>
          <w:p w14:paraId="48F1F28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1B9B673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911858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CA5C87F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1CDDA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245" w:type="pct"/>
            <w:vMerge w:val="continue"/>
            <w:vAlign w:val="center"/>
          </w:tcPr>
          <w:p w14:paraId="10EDEA7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E104E9C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322631A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9.具备不少于5种安全保护装置：≥2个急停按钮、智能痉挛监测功、痉挛保护功能、软件限位、硬件限位</w:t>
            </w:r>
          </w:p>
        </w:tc>
        <w:tc>
          <w:tcPr>
            <w:tcW w:w="278" w:type="pct"/>
            <w:vMerge w:val="continue"/>
          </w:tcPr>
          <w:p w14:paraId="76FE512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050BBD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593C13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54911C49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9313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245" w:type="pct"/>
            <w:vMerge w:val="continue"/>
            <w:vAlign w:val="center"/>
          </w:tcPr>
          <w:p w14:paraId="7A7AEDF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7F0223A7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03244DFE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10.软件内置不少于11种不同的报告模板，不少于6款情景互动3D游戏，具有数据导出功能，有智能报告功能和智能训练方案生成功能。</w:t>
            </w:r>
          </w:p>
        </w:tc>
        <w:tc>
          <w:tcPr>
            <w:tcW w:w="278" w:type="pct"/>
            <w:vMerge w:val="continue"/>
          </w:tcPr>
          <w:p w14:paraId="6B51C8A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469ECB4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1BEC689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4973FD4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7A017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245" w:type="pct"/>
            <w:vMerge w:val="continue"/>
            <w:vAlign w:val="center"/>
          </w:tcPr>
          <w:p w14:paraId="346C207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42677B04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1BB4D0C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11.软件提供专业的曲线图像分析功能及专业的肌力图像分析功能</w:t>
            </w:r>
          </w:p>
        </w:tc>
        <w:tc>
          <w:tcPr>
            <w:tcW w:w="278" w:type="pct"/>
            <w:vMerge w:val="continue"/>
          </w:tcPr>
          <w:p w14:paraId="4974940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4FE3B5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8C95CC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EEE3E2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26C1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continue"/>
            <w:vAlign w:val="center"/>
          </w:tcPr>
          <w:p w14:paraId="51975BF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18964660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0E3F4C6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12.配备腰背屈伸配件及上肢神经评估训练手套。</w:t>
            </w:r>
          </w:p>
        </w:tc>
        <w:tc>
          <w:tcPr>
            <w:tcW w:w="278" w:type="pct"/>
            <w:vMerge w:val="continue"/>
          </w:tcPr>
          <w:p w14:paraId="7421B8D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5AC2A98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1F6B15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A6EDF10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3E079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245" w:type="pct"/>
            <w:vMerge w:val="continue"/>
            <w:vAlign w:val="center"/>
          </w:tcPr>
          <w:p w14:paraId="5A735CE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  <w:vAlign w:val="center"/>
          </w:tcPr>
          <w:p w14:paraId="3DCF579F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B0AFB3C">
            <w:pPr>
              <w:pStyle w:val="11"/>
              <w:ind w:firstLine="0" w:firstLineChars="0"/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13、厂家开放数据接口。</w:t>
            </w:r>
          </w:p>
        </w:tc>
        <w:tc>
          <w:tcPr>
            <w:tcW w:w="278" w:type="pct"/>
            <w:vMerge w:val="continue"/>
          </w:tcPr>
          <w:p w14:paraId="028B456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179911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39596E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7F44E6AD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6FDDD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45" w:type="pct"/>
            <w:vMerge w:val="restart"/>
            <w:vAlign w:val="center"/>
          </w:tcPr>
          <w:p w14:paraId="381DF37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3</w:t>
            </w:r>
          </w:p>
        </w:tc>
        <w:tc>
          <w:tcPr>
            <w:tcW w:w="450" w:type="pct"/>
            <w:vMerge w:val="restart"/>
            <w:vAlign w:val="center"/>
          </w:tcPr>
          <w:p w14:paraId="5E1A2AA3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2D5AE90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C0CEF7E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C46295B">
            <w:pPr>
              <w:spacing w:line="280" w:lineRule="exact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E760D3D">
            <w:pPr>
              <w:jc w:val="center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动静态平衡功能评估及训练系统</w:t>
            </w:r>
          </w:p>
        </w:tc>
        <w:tc>
          <w:tcPr>
            <w:tcW w:w="2784" w:type="pct"/>
            <w:vAlign w:val="center"/>
          </w:tcPr>
          <w:p w14:paraId="49DFF89E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产品</w:t>
            </w:r>
            <w:r>
              <w:rPr>
                <w:rFonts w:cs="宋体" w:asciiTheme="minorEastAsia" w:hAnsiTheme="minorEastAsia" w:eastAsiaTheme="minorEastAsia"/>
                <w:szCs w:val="21"/>
              </w:rPr>
              <w:t>用途</w:t>
            </w:r>
            <w:r>
              <w:rPr>
                <w:rFonts w:hint="eastAsia" w:cs="宋体" w:asciiTheme="minorEastAsia" w:hAnsiTheme="minorEastAsia" w:eastAsiaTheme="minorEastAsia"/>
                <w:szCs w:val="21"/>
              </w:rPr>
              <w:t>：大多数脊柱、盆骨以及和人体姿态控制异常的脊柱相关疾病的精准评估，具有快速评测、无辐射、精度高等优点，对临床实时观测及控制恢复进程有很大帮助 。</w:t>
            </w:r>
          </w:p>
        </w:tc>
        <w:tc>
          <w:tcPr>
            <w:tcW w:w="278" w:type="pct"/>
            <w:vMerge w:val="restart"/>
          </w:tcPr>
          <w:p w14:paraId="36A1CC0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87C0AD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B5DA9E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4811606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56D9637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4838A7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D762D6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2FC3EBD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台</w:t>
            </w:r>
          </w:p>
        </w:tc>
        <w:tc>
          <w:tcPr>
            <w:tcW w:w="279" w:type="pct"/>
            <w:vMerge w:val="restart"/>
          </w:tcPr>
          <w:p w14:paraId="18BCDCA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CC8286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4F8495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5D2C20F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25DED2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FCD93F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535DF95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21F6402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1</w:t>
            </w:r>
          </w:p>
        </w:tc>
        <w:tc>
          <w:tcPr>
            <w:tcW w:w="525" w:type="pct"/>
            <w:vMerge w:val="restart"/>
          </w:tcPr>
          <w:p w14:paraId="6BC5D1B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ADEFCF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208A4AD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B7C888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ABC1DD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6C7400C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16CD2D1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6C4016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台</w:t>
            </w:r>
          </w:p>
        </w:tc>
        <w:tc>
          <w:tcPr>
            <w:tcW w:w="439" w:type="pct"/>
            <w:vMerge w:val="restart"/>
          </w:tcPr>
          <w:p w14:paraId="5F09AF03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3FBB4C62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C3DF8A7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77FCF1C5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D64EFEF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825A09B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5A91D85C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  <w:p w14:paraId="01F0C74C">
            <w:pPr>
              <w:ind w:firstLine="630" w:firstLineChars="300"/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台</w:t>
            </w:r>
          </w:p>
        </w:tc>
      </w:tr>
      <w:tr w14:paraId="756AE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245" w:type="pct"/>
            <w:vMerge w:val="continue"/>
            <w:vAlign w:val="center"/>
          </w:tcPr>
          <w:p w14:paraId="28B62FB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2F4D6A68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445F111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1.支持站立位的静态测试模式，无放射性，纯光学测试，采用无接触性测试，提供站立位三维脊柱形态学数据和足底压力平衡数据</w:t>
            </w:r>
          </w:p>
        </w:tc>
        <w:tc>
          <w:tcPr>
            <w:tcW w:w="278" w:type="pct"/>
            <w:vMerge w:val="continue"/>
          </w:tcPr>
          <w:p w14:paraId="087FA97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7C6883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1BE2251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9639B1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89D0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245" w:type="pct"/>
            <w:vMerge w:val="continue"/>
            <w:vAlign w:val="center"/>
          </w:tcPr>
          <w:p w14:paraId="1A2AF4E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4D272014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DCB1B7F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2.可直接显示骨盆前倾角度和驼背角等临床数据，同时提供胸曲、腰曲曲率数值及计算节点的标识点自动识别，包括：颈椎胸椎拐点位置、脊柱后凸最高点、胸椎腰椎拐点、腰椎前凸最高点腰椎骶骨拐点等，体表识别模式，无需marker标记点</w:t>
            </w:r>
          </w:p>
        </w:tc>
        <w:tc>
          <w:tcPr>
            <w:tcW w:w="278" w:type="pct"/>
            <w:vMerge w:val="continue"/>
          </w:tcPr>
          <w:p w14:paraId="28C65D6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328680BE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0C6EEC7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400B5A6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6B3C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245" w:type="pct"/>
            <w:vMerge w:val="continue"/>
            <w:vAlign w:val="center"/>
          </w:tcPr>
          <w:p w14:paraId="10C0B78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57DC1A87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0A9A014B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3.提供全脊柱形态指标≥30项，测试指标包括：躯干长、髂后上棘间距、髂后上棘间距和躯干长关系、躯干倾角、躯干倾斜高度、躯干扭转角度、躯干扭转距离、前凸角、脊柱旋转角等</w:t>
            </w:r>
          </w:p>
        </w:tc>
        <w:tc>
          <w:tcPr>
            <w:tcW w:w="278" w:type="pct"/>
            <w:vMerge w:val="continue"/>
          </w:tcPr>
          <w:p w14:paraId="68E67B7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E9F799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DCA324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4EF5B3A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7117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atLeast"/>
          <w:jc w:val="center"/>
        </w:trPr>
        <w:tc>
          <w:tcPr>
            <w:tcW w:w="245" w:type="pct"/>
            <w:vMerge w:val="continue"/>
            <w:vAlign w:val="center"/>
          </w:tcPr>
          <w:p w14:paraId="69413D7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72FC6D65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07634223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4.提供可供观察盆骨运动的相应指标，包括：骨盆侧倾角度、骨盆前倾角度、骨盆水平面旋转角度，双侧盆骨相对扭转角度，同时提供三维解剖结构的运动影像</w:t>
            </w:r>
            <w:r>
              <w:rPr>
                <w:rFonts w:hint="eastAsia" w:cs="宋体" w:asciiTheme="minorEastAsia" w:hAnsiTheme="minorEastAsia" w:eastAsiaTheme="minorEastAsia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08749A6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D13DFB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4F9EFF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6AC315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1060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245" w:type="pct"/>
            <w:vMerge w:val="continue"/>
            <w:vAlign w:val="center"/>
          </w:tcPr>
          <w:p w14:paraId="1E2257F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5DAA3C1C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5EB41F26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cs="宋体" w:asciiTheme="minorEastAsia" w:hAnsiTheme="minorEastAsia" w:eastAsiaTheme="minorEastAsia"/>
                <w:szCs w:val="21"/>
              </w:rPr>
              <w:t>5.提供脊柱相关运动学参数的正常参考范围，并可通过不同颜色区间反映不同测试者风险程度；测试迅速快捷， 6秒内出测试结果</w:t>
            </w:r>
          </w:p>
        </w:tc>
        <w:tc>
          <w:tcPr>
            <w:tcW w:w="278" w:type="pct"/>
            <w:vMerge w:val="continue"/>
          </w:tcPr>
          <w:p w14:paraId="638FBF2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5573EC8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3B8F09B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D6590DA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34971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45" w:type="pct"/>
            <w:vMerge w:val="continue"/>
            <w:vAlign w:val="center"/>
          </w:tcPr>
          <w:p w14:paraId="7E029A3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4883C7E5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0CCBF4FE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Cs w:val="21"/>
              </w:rPr>
              <w:t>6</w:t>
            </w:r>
            <w:r>
              <w:rPr>
                <w:rFonts w:cs="宋体" w:asciiTheme="minorEastAsia" w:hAnsiTheme="minorEastAsia" w:eastAsiaTheme="minorEastAsia"/>
                <w:szCs w:val="21"/>
              </w:rPr>
              <w:t>.背部姿态测试提供背部标记点的三维展示，提供报告模块，可支持打印输出</w:t>
            </w:r>
            <w:r>
              <w:rPr>
                <w:rFonts w:hint="eastAsia" w:cs="宋体"/>
                <w:szCs w:val="21"/>
              </w:rPr>
              <w:t>；</w:t>
            </w:r>
            <w:r>
              <w:rPr>
                <w:rFonts w:cs="宋体"/>
                <w:szCs w:val="21"/>
              </w:rPr>
              <w:t>通过背部标记点的定位识别提供站立位左/右肩峰、左/右肩胛下角、左/右髂后上棘、第七颈椎、骶骨点共八个点的背部和足底压力平衡数据。提供标记点的编辑、矢状面、冠状面、水平面的三维数据关系</w:t>
            </w:r>
            <w:r>
              <w:rPr>
                <w:rFonts w:hint="eastAsia" w:cs="宋体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7ECD6D0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3C2CA02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237E999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A488081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05B7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45" w:type="pct"/>
            <w:vMerge w:val="continue"/>
            <w:vAlign w:val="center"/>
          </w:tcPr>
          <w:p w14:paraId="1CA31F3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38F1D135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FF3AFA1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/>
                <w:szCs w:val="21"/>
              </w:rPr>
              <w:t>7.</w:t>
            </w:r>
            <w:r>
              <w:rPr>
                <w:rFonts w:cs="宋体"/>
                <w:szCs w:val="21"/>
              </w:rPr>
              <w:t>支持脊柱标记的测试，通过脊柱线上棘突、左/右髂后上棘标记点的定位识别提供脊柱数据，提供标记点的编辑、矢状面、冠状面、水平面的三维数据关系</w:t>
            </w:r>
            <w:r>
              <w:rPr>
                <w:rFonts w:hint="eastAsia" w:cs="宋体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32A5710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FED121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14DB2D2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37603199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3E9C0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1FA70D0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3FAE697A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C81F5E9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/>
                <w:szCs w:val="21"/>
              </w:rPr>
              <w:t>8.</w:t>
            </w:r>
            <w:r>
              <w:rPr>
                <w:rFonts w:cs="宋体"/>
                <w:szCs w:val="21"/>
              </w:rPr>
              <w:t>脊柱动态测试提供脊柱锥体实时偏移和旋转的数据的逐帧分析，并计算运动中相应的最大值、最小值、平均值等信息</w:t>
            </w:r>
            <w:r>
              <w:rPr>
                <w:rFonts w:hint="eastAsia" w:cs="宋体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164A4D1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6349704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21F93D7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304FA1F6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5ECC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1DCDA5F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75653B96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7ABEC8B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/>
                <w:szCs w:val="21"/>
              </w:rPr>
              <w:t>9</w:t>
            </w:r>
            <w:r>
              <w:rPr>
                <w:rFonts w:cs="宋体"/>
                <w:szCs w:val="21"/>
              </w:rPr>
              <w:t>.可进行单足和双足站立状态下睁眼及闭眼时的平衡能力测试，并可进行不同类型测试之间的数据对比</w:t>
            </w:r>
          </w:p>
        </w:tc>
        <w:tc>
          <w:tcPr>
            <w:tcW w:w="278" w:type="pct"/>
            <w:vMerge w:val="continue"/>
          </w:tcPr>
          <w:p w14:paraId="299E5E80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3B9C0B5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C6C2DA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D20FF3F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5D4CF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589113A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50AC7AE2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03F3224C">
            <w:pPr>
              <w:jc w:val="left"/>
              <w:rPr>
                <w:rFonts w:hint="eastAsia" w:cs="宋体" w:asciiTheme="minorEastAsia" w:hAnsiTheme="minorEastAsia" w:eastAsiaTheme="minorEastAsia"/>
                <w:szCs w:val="21"/>
              </w:rPr>
            </w:pPr>
            <w:r>
              <w:rPr>
                <w:rFonts w:hint="eastAsia" w:cs="宋体"/>
                <w:szCs w:val="21"/>
              </w:rPr>
              <w:t>10</w:t>
            </w:r>
            <w:r>
              <w:rPr>
                <w:rFonts w:cs="宋体"/>
                <w:szCs w:val="21"/>
              </w:rPr>
              <w:t>.可进行不少于8种测试方向的极限平衡能力测试。所有采集数据均支持回放，系统可进行不小于4种类型的平衡能力训练训练结束后会生成训练报告</w:t>
            </w:r>
          </w:p>
        </w:tc>
        <w:tc>
          <w:tcPr>
            <w:tcW w:w="278" w:type="pct"/>
            <w:vMerge w:val="continue"/>
          </w:tcPr>
          <w:p w14:paraId="21776A32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D31B68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735873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5B90CE73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9B13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2506CCE5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10EF2744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41C2066A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11</w:t>
            </w:r>
            <w:r>
              <w:rPr>
                <w:rFonts w:cs="宋体"/>
                <w:szCs w:val="21"/>
              </w:rPr>
              <w:t>.可提供双足站立平衡压力分布的详细指标，主要分析数据参数包括：压力分析、重心偏离、重心偏向、椭球分析、重心距离、X轴距离、Y轴距离、包络面积、角度分析</w:t>
            </w:r>
          </w:p>
        </w:tc>
        <w:tc>
          <w:tcPr>
            <w:tcW w:w="278" w:type="pct"/>
            <w:vMerge w:val="continue"/>
          </w:tcPr>
          <w:p w14:paraId="4B7CD88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0F8B08C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63DCCFC6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291BC715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2E3F8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531D1E7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1F26F73A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4E73BCC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12.</w:t>
            </w:r>
            <w:r>
              <w:rPr>
                <w:rFonts w:cs="宋体"/>
                <w:szCs w:val="21"/>
              </w:rPr>
              <w:t>系统提供临床报告模板，可支持打印输出</w:t>
            </w:r>
            <w:r>
              <w:rPr>
                <w:rFonts w:hint="eastAsia" w:cs="宋体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25EDBEC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CBC9E9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5B1C55C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9138E1B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8031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4B07FD7B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0C943E57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2E283D3D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13.</w:t>
            </w:r>
            <w:r>
              <w:rPr>
                <w:rFonts w:cs="宋体"/>
                <w:szCs w:val="21"/>
              </w:rPr>
              <w:t>系统自带测试服务器</w:t>
            </w:r>
            <w:r>
              <w:rPr>
                <w:rFonts w:hint="eastAsia" w:cs="宋体"/>
                <w:szCs w:val="21"/>
              </w:rPr>
              <w:t>：</w:t>
            </w:r>
            <w:r>
              <w:rPr>
                <w:rFonts w:cs="宋体"/>
                <w:szCs w:val="21"/>
              </w:rPr>
              <w:t>Intel 酷睿i5以上CPU，内存≥8G ，硬盘≥500G，独立显卡</w:t>
            </w:r>
          </w:p>
        </w:tc>
        <w:tc>
          <w:tcPr>
            <w:tcW w:w="278" w:type="pct"/>
            <w:vMerge w:val="continue"/>
          </w:tcPr>
          <w:p w14:paraId="58C21863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92E75E4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66D833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624EE70F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B0F9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6BE624A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77182481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743D57FB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14.</w:t>
            </w:r>
            <w:r>
              <w:rPr>
                <w:rFonts w:cs="宋体"/>
                <w:szCs w:val="21"/>
              </w:rPr>
              <w:t>影像捕捉系统：系统采集频率≥10hz，分辨率≥1080*1920；设备重量≤15kg</w:t>
            </w:r>
            <w:r>
              <w:rPr>
                <w:rFonts w:hint="eastAsia" w:cs="宋体"/>
                <w:szCs w:val="21"/>
              </w:rPr>
              <w:t>；</w:t>
            </w:r>
            <w:r>
              <w:rPr>
                <w:rFonts w:cs="宋体"/>
                <w:szCs w:val="21"/>
              </w:rPr>
              <w:t>采用USB2.0以上通讯接口，数据接口≥2个</w:t>
            </w:r>
            <w:r>
              <w:rPr>
                <w:rFonts w:hint="eastAsia" w:cs="宋体"/>
                <w:szCs w:val="21"/>
              </w:rPr>
              <w:t>；</w:t>
            </w:r>
            <w:r>
              <w:rPr>
                <w:rFonts w:cs="宋体"/>
                <w:szCs w:val="21"/>
              </w:rPr>
              <w:t>垂直视角≥43°，水平视角≥33°，镜头畸变率≤0.5%</w:t>
            </w:r>
            <w:r>
              <w:rPr>
                <w:rFonts w:hint="eastAsia" w:cs="宋体"/>
                <w:szCs w:val="21"/>
              </w:rPr>
              <w:t>；</w:t>
            </w:r>
            <w:r>
              <w:rPr>
                <w:rFonts w:cs="宋体"/>
                <w:szCs w:val="21"/>
              </w:rPr>
              <w:t>单目支持相机校正，双目支持立体校正，每个设备固化，向下兼容</w:t>
            </w:r>
            <w:r>
              <w:rPr>
                <w:rFonts w:hint="eastAsia" w:cs="宋体"/>
                <w:szCs w:val="21"/>
              </w:rPr>
              <w:t>。</w:t>
            </w:r>
          </w:p>
        </w:tc>
        <w:tc>
          <w:tcPr>
            <w:tcW w:w="278" w:type="pct"/>
            <w:vMerge w:val="continue"/>
          </w:tcPr>
          <w:p w14:paraId="7065206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72992918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78CA6C89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08B2B67D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00040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7E27478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43F131E2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17138B89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15.</w:t>
            </w:r>
            <w:r>
              <w:rPr>
                <w:rFonts w:cs="宋体"/>
                <w:szCs w:val="21"/>
              </w:rPr>
              <w:t>升降柱：系统提供软件主动控制模块，通过软件操作控制升降柱高度，0.4m≤升降测试范围≤2.2m</w:t>
            </w:r>
          </w:p>
        </w:tc>
        <w:tc>
          <w:tcPr>
            <w:tcW w:w="278" w:type="pct"/>
            <w:vMerge w:val="continue"/>
          </w:tcPr>
          <w:p w14:paraId="63DCD7D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2A51417A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0A49AE27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47AAD6EC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  <w:tr w14:paraId="40B9C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45" w:type="pct"/>
            <w:vMerge w:val="continue"/>
            <w:vAlign w:val="center"/>
          </w:tcPr>
          <w:p w14:paraId="6C696A7F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50" w:type="pct"/>
            <w:vMerge w:val="continue"/>
          </w:tcPr>
          <w:p w14:paraId="232773A3">
            <w:pPr>
              <w:spacing w:line="280" w:lineRule="exact"/>
              <w:rPr>
                <w:rFonts w:hint="eastAsia" w:cs="宋体" w:asciiTheme="minorEastAsia" w:hAnsiTheme="minorEastAsia" w:eastAsiaTheme="minorEastAsia"/>
                <w:bCs/>
                <w:kern w:val="0"/>
                <w:szCs w:val="21"/>
              </w:rPr>
            </w:pPr>
          </w:p>
        </w:tc>
        <w:tc>
          <w:tcPr>
            <w:tcW w:w="2784" w:type="pct"/>
            <w:vAlign w:val="center"/>
          </w:tcPr>
          <w:p w14:paraId="3B8C0477">
            <w:pPr>
              <w:jc w:val="left"/>
              <w:rPr>
                <w:rFonts w:cs="宋体"/>
                <w:szCs w:val="21"/>
              </w:rPr>
            </w:pPr>
            <w:r>
              <w:rPr>
                <w:rFonts w:hint="eastAsia" w:cs="宋体"/>
                <w:szCs w:val="21"/>
              </w:rPr>
              <w:t>16.厂家开放数据接口</w:t>
            </w:r>
          </w:p>
        </w:tc>
        <w:tc>
          <w:tcPr>
            <w:tcW w:w="278" w:type="pct"/>
            <w:vMerge w:val="continue"/>
          </w:tcPr>
          <w:p w14:paraId="05941151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279" w:type="pct"/>
            <w:vMerge w:val="continue"/>
          </w:tcPr>
          <w:p w14:paraId="1C68F9DD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525" w:type="pct"/>
            <w:vMerge w:val="continue"/>
          </w:tcPr>
          <w:p w14:paraId="024657EC">
            <w:pPr>
              <w:jc w:val="center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  <w:tc>
          <w:tcPr>
            <w:tcW w:w="439" w:type="pct"/>
            <w:vMerge w:val="continue"/>
          </w:tcPr>
          <w:p w14:paraId="5FA7BAE5">
            <w:pPr>
              <w:ind w:firstLine="630" w:firstLineChars="300"/>
              <w:rPr>
                <w:rFonts w:hint="eastAsia" w:cs="宋体" w:asciiTheme="minorEastAsia" w:hAnsiTheme="minorEastAsia" w:eastAsiaTheme="minorEastAsia"/>
                <w:szCs w:val="21"/>
              </w:rPr>
            </w:pPr>
          </w:p>
        </w:tc>
      </w:tr>
    </w:tbl>
    <w:p w14:paraId="3C7E94E4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注：</w:t>
      </w:r>
    </w:p>
    <w:p w14:paraId="77B8BC78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应逐项明确每项标的是否属于集采目录内产品</w:t>
      </w:r>
    </w:p>
    <w:p w14:paraId="030F81CB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量化指标应标示出范围值，例如长度≥30cm，而不是长度30cm</w:t>
      </w:r>
    </w:p>
    <w:p w14:paraId="0DE33E87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加注“★”号条款为实质性条款，不得出现负偏离，发生负偏离即做无效标处理。</w:t>
      </w:r>
    </w:p>
    <w:p w14:paraId="2200F70D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加注“▲”号的产品为核心产品（如项目需求书中未明确核心产品，则视为全部产品均为核心产品）。</w:t>
      </w:r>
    </w:p>
    <w:p w14:paraId="0D57A4EC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五、商务要求</w:t>
      </w:r>
    </w:p>
    <w:p w14:paraId="616945D1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1. 提供所投产品</w:t>
      </w:r>
      <w:r>
        <w:rPr>
          <w:rFonts w:ascii="宋体" w:hAnsi="宋体" w:cs="宋体"/>
          <w:sz w:val="18"/>
          <w:szCs w:val="18"/>
        </w:rPr>
        <w:t>8</w:t>
      </w:r>
      <w:r>
        <w:rPr>
          <w:rFonts w:hint="eastAsia" w:ascii="宋体" w:hAnsi="宋体" w:cs="宋体"/>
          <w:sz w:val="18"/>
          <w:szCs w:val="18"/>
        </w:rPr>
        <w:t>年的免费上门保修。</w:t>
      </w:r>
    </w:p>
    <w:p w14:paraId="19C44B7C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2. 货到：签订合同之日起15日内（特殊情况以合同为准）。</w:t>
      </w:r>
    </w:p>
    <w:p w14:paraId="1B0DEF38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安装（施工）完成：货到之日起15日内（特殊情况以合同为准）。</w:t>
      </w:r>
    </w:p>
    <w:p w14:paraId="46A1733B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3.付款方式：签订合同之日起30日内支付合同总额的30%，货到安装调试完成验收合格之日起15日内支付合同总额的70%。</w:t>
      </w:r>
    </w:p>
    <w:p w14:paraId="1CEAB812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六、验收标准</w:t>
      </w:r>
    </w:p>
    <w:p w14:paraId="530F33AB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符合现行国家标准要求。</w:t>
      </w:r>
    </w:p>
    <w:p w14:paraId="49AAC695">
      <w:pPr>
        <w:jc w:val="left"/>
        <w:rPr>
          <w:rFonts w:hint="eastAsia" w:ascii="宋体" w:hAnsi="宋体" w:cs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七、其他要求</w:t>
      </w:r>
    </w:p>
    <w:p w14:paraId="017D8A43">
      <w:pPr>
        <w:spacing w:line="360" w:lineRule="auto"/>
        <w:rPr>
          <w:rFonts w:hint="eastAsia" w:ascii="宋体" w:hAnsi="宋体"/>
          <w:sz w:val="24"/>
        </w:rPr>
      </w:pPr>
    </w:p>
    <w:p w14:paraId="209F93B3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2F8"/>
    <w:rsid w:val="000273CC"/>
    <w:rsid w:val="000341D0"/>
    <w:rsid w:val="000677F7"/>
    <w:rsid w:val="000A5065"/>
    <w:rsid w:val="000B187E"/>
    <w:rsid w:val="000C1B5B"/>
    <w:rsid w:val="00107227"/>
    <w:rsid w:val="00180740"/>
    <w:rsid w:val="00181437"/>
    <w:rsid w:val="001F1B70"/>
    <w:rsid w:val="0021333D"/>
    <w:rsid w:val="00245F45"/>
    <w:rsid w:val="0025063F"/>
    <w:rsid w:val="00252320"/>
    <w:rsid w:val="00266CD9"/>
    <w:rsid w:val="002B59AD"/>
    <w:rsid w:val="0031004E"/>
    <w:rsid w:val="00372FD2"/>
    <w:rsid w:val="00390878"/>
    <w:rsid w:val="003911EE"/>
    <w:rsid w:val="0039432C"/>
    <w:rsid w:val="00394654"/>
    <w:rsid w:val="003F3CD4"/>
    <w:rsid w:val="00420ED6"/>
    <w:rsid w:val="00453D33"/>
    <w:rsid w:val="00491F85"/>
    <w:rsid w:val="00500138"/>
    <w:rsid w:val="00516A46"/>
    <w:rsid w:val="005263A8"/>
    <w:rsid w:val="00543647"/>
    <w:rsid w:val="005D56A9"/>
    <w:rsid w:val="00652285"/>
    <w:rsid w:val="00666303"/>
    <w:rsid w:val="006A7F0E"/>
    <w:rsid w:val="006B6254"/>
    <w:rsid w:val="006C3B7E"/>
    <w:rsid w:val="006D6359"/>
    <w:rsid w:val="006E5285"/>
    <w:rsid w:val="007443E7"/>
    <w:rsid w:val="007A6B0F"/>
    <w:rsid w:val="007C7637"/>
    <w:rsid w:val="007E25C1"/>
    <w:rsid w:val="008F549E"/>
    <w:rsid w:val="009139F4"/>
    <w:rsid w:val="00950590"/>
    <w:rsid w:val="00975B53"/>
    <w:rsid w:val="0098014E"/>
    <w:rsid w:val="00993208"/>
    <w:rsid w:val="00996539"/>
    <w:rsid w:val="00A002B5"/>
    <w:rsid w:val="00A05C8D"/>
    <w:rsid w:val="00A25672"/>
    <w:rsid w:val="00A90E8F"/>
    <w:rsid w:val="00AF030C"/>
    <w:rsid w:val="00B30119"/>
    <w:rsid w:val="00B44773"/>
    <w:rsid w:val="00B74033"/>
    <w:rsid w:val="00C02D36"/>
    <w:rsid w:val="00C4472A"/>
    <w:rsid w:val="00CC30C8"/>
    <w:rsid w:val="00CC5FC9"/>
    <w:rsid w:val="00CE1FE9"/>
    <w:rsid w:val="00CE4877"/>
    <w:rsid w:val="00CF0558"/>
    <w:rsid w:val="00D02A16"/>
    <w:rsid w:val="00DD45A1"/>
    <w:rsid w:val="00E128C4"/>
    <w:rsid w:val="00E1331A"/>
    <w:rsid w:val="00E84C48"/>
    <w:rsid w:val="00E93E65"/>
    <w:rsid w:val="00EB3D0F"/>
    <w:rsid w:val="00EB6B26"/>
    <w:rsid w:val="00EC43A7"/>
    <w:rsid w:val="00EC48DB"/>
    <w:rsid w:val="00EC6F9C"/>
    <w:rsid w:val="00EE12F8"/>
    <w:rsid w:val="00F12DBE"/>
    <w:rsid w:val="00F26A5A"/>
    <w:rsid w:val="00F50CDF"/>
    <w:rsid w:val="00F74F4E"/>
    <w:rsid w:val="00F90D5C"/>
    <w:rsid w:val="010D6029"/>
    <w:rsid w:val="011E0236"/>
    <w:rsid w:val="01207B0A"/>
    <w:rsid w:val="01255120"/>
    <w:rsid w:val="015943C6"/>
    <w:rsid w:val="01DF79C5"/>
    <w:rsid w:val="020236B3"/>
    <w:rsid w:val="02663C42"/>
    <w:rsid w:val="02D85BF6"/>
    <w:rsid w:val="03195159"/>
    <w:rsid w:val="036B7036"/>
    <w:rsid w:val="03D90444"/>
    <w:rsid w:val="03EF5EB9"/>
    <w:rsid w:val="040354C1"/>
    <w:rsid w:val="04AB0032"/>
    <w:rsid w:val="05130419"/>
    <w:rsid w:val="05257DE5"/>
    <w:rsid w:val="06C47189"/>
    <w:rsid w:val="06FF4665"/>
    <w:rsid w:val="0757624F"/>
    <w:rsid w:val="079E5C2C"/>
    <w:rsid w:val="088E0696"/>
    <w:rsid w:val="08B35707"/>
    <w:rsid w:val="09267C87"/>
    <w:rsid w:val="097D1872"/>
    <w:rsid w:val="0A4F1714"/>
    <w:rsid w:val="0A6749FB"/>
    <w:rsid w:val="0AC736EC"/>
    <w:rsid w:val="0B381EF4"/>
    <w:rsid w:val="0C1069CD"/>
    <w:rsid w:val="0CD6481E"/>
    <w:rsid w:val="0CF34325"/>
    <w:rsid w:val="0CF62067"/>
    <w:rsid w:val="0E4B1F3E"/>
    <w:rsid w:val="0E5B4877"/>
    <w:rsid w:val="0EDB1514"/>
    <w:rsid w:val="0F4075C9"/>
    <w:rsid w:val="0F64775C"/>
    <w:rsid w:val="0FA82570"/>
    <w:rsid w:val="0FF94348"/>
    <w:rsid w:val="10857989"/>
    <w:rsid w:val="1088747A"/>
    <w:rsid w:val="115D0906"/>
    <w:rsid w:val="11E44B84"/>
    <w:rsid w:val="11F34201"/>
    <w:rsid w:val="127777A6"/>
    <w:rsid w:val="12B427A8"/>
    <w:rsid w:val="136A2E67"/>
    <w:rsid w:val="138A3509"/>
    <w:rsid w:val="13AC0FD3"/>
    <w:rsid w:val="13FA243C"/>
    <w:rsid w:val="14164D9C"/>
    <w:rsid w:val="149208C7"/>
    <w:rsid w:val="14FB2910"/>
    <w:rsid w:val="15192D96"/>
    <w:rsid w:val="153656F6"/>
    <w:rsid w:val="1662251B"/>
    <w:rsid w:val="1791130A"/>
    <w:rsid w:val="17BF2702"/>
    <w:rsid w:val="17E92EF4"/>
    <w:rsid w:val="186E164B"/>
    <w:rsid w:val="189D1E4F"/>
    <w:rsid w:val="18BC5F12"/>
    <w:rsid w:val="18D36D47"/>
    <w:rsid w:val="193463F1"/>
    <w:rsid w:val="19467ED2"/>
    <w:rsid w:val="19EF056A"/>
    <w:rsid w:val="1A516B2E"/>
    <w:rsid w:val="1B0E67CD"/>
    <w:rsid w:val="1B4F7512"/>
    <w:rsid w:val="1B732B43"/>
    <w:rsid w:val="1C6A567F"/>
    <w:rsid w:val="1CE44F73"/>
    <w:rsid w:val="1D1C78C7"/>
    <w:rsid w:val="1D750D86"/>
    <w:rsid w:val="1DCF493A"/>
    <w:rsid w:val="1E562965"/>
    <w:rsid w:val="1E981141"/>
    <w:rsid w:val="1F15637C"/>
    <w:rsid w:val="1FB262C1"/>
    <w:rsid w:val="1FBC0EEE"/>
    <w:rsid w:val="1FCF6E73"/>
    <w:rsid w:val="205E01F7"/>
    <w:rsid w:val="20943C19"/>
    <w:rsid w:val="20D52267"/>
    <w:rsid w:val="21E36C06"/>
    <w:rsid w:val="226F0499"/>
    <w:rsid w:val="2274785E"/>
    <w:rsid w:val="238C6E29"/>
    <w:rsid w:val="23F549CE"/>
    <w:rsid w:val="241430A6"/>
    <w:rsid w:val="246F29D3"/>
    <w:rsid w:val="253634F0"/>
    <w:rsid w:val="257638ED"/>
    <w:rsid w:val="25AF5095"/>
    <w:rsid w:val="25E75052"/>
    <w:rsid w:val="26964247"/>
    <w:rsid w:val="26D7485F"/>
    <w:rsid w:val="279938C3"/>
    <w:rsid w:val="27DD7C53"/>
    <w:rsid w:val="287B7B98"/>
    <w:rsid w:val="291B0A33"/>
    <w:rsid w:val="29485689"/>
    <w:rsid w:val="297E7214"/>
    <w:rsid w:val="2A021BF3"/>
    <w:rsid w:val="2A9C3DF6"/>
    <w:rsid w:val="2BAC2E33"/>
    <w:rsid w:val="2BB92785"/>
    <w:rsid w:val="2C674CE8"/>
    <w:rsid w:val="2C9C067B"/>
    <w:rsid w:val="2D3E73E6"/>
    <w:rsid w:val="2D594220"/>
    <w:rsid w:val="2D6A1F89"/>
    <w:rsid w:val="2E434249"/>
    <w:rsid w:val="2E4647A4"/>
    <w:rsid w:val="2E905A1F"/>
    <w:rsid w:val="2EA339A5"/>
    <w:rsid w:val="2F462582"/>
    <w:rsid w:val="2F603644"/>
    <w:rsid w:val="2FAE6CC2"/>
    <w:rsid w:val="2FCD4A51"/>
    <w:rsid w:val="2FFD5337"/>
    <w:rsid w:val="30142680"/>
    <w:rsid w:val="30483CD4"/>
    <w:rsid w:val="306C426A"/>
    <w:rsid w:val="310D15A9"/>
    <w:rsid w:val="31FE0EF2"/>
    <w:rsid w:val="32F96C6C"/>
    <w:rsid w:val="33335D21"/>
    <w:rsid w:val="33753436"/>
    <w:rsid w:val="342B1D46"/>
    <w:rsid w:val="34943D90"/>
    <w:rsid w:val="34FD7B87"/>
    <w:rsid w:val="35EF6173"/>
    <w:rsid w:val="37117919"/>
    <w:rsid w:val="375810A4"/>
    <w:rsid w:val="37E1553E"/>
    <w:rsid w:val="386046B4"/>
    <w:rsid w:val="38767A34"/>
    <w:rsid w:val="38E928FC"/>
    <w:rsid w:val="39873EC3"/>
    <w:rsid w:val="39BF18AF"/>
    <w:rsid w:val="3A7A7584"/>
    <w:rsid w:val="3B063AE5"/>
    <w:rsid w:val="3B5878C5"/>
    <w:rsid w:val="3B5F6EA5"/>
    <w:rsid w:val="3BCF11DA"/>
    <w:rsid w:val="3BF350F4"/>
    <w:rsid w:val="3CA54D8C"/>
    <w:rsid w:val="3D0715A3"/>
    <w:rsid w:val="3D0C6BB9"/>
    <w:rsid w:val="3D4E165D"/>
    <w:rsid w:val="3DD82F3F"/>
    <w:rsid w:val="3DF15DAF"/>
    <w:rsid w:val="3E5527E2"/>
    <w:rsid w:val="3EBF7C5B"/>
    <w:rsid w:val="3F6902F3"/>
    <w:rsid w:val="3F6A406B"/>
    <w:rsid w:val="3F870779"/>
    <w:rsid w:val="3F8E1B07"/>
    <w:rsid w:val="3FF37BBC"/>
    <w:rsid w:val="4090365D"/>
    <w:rsid w:val="40D55514"/>
    <w:rsid w:val="40F94DDB"/>
    <w:rsid w:val="41EE4ADF"/>
    <w:rsid w:val="424B0183"/>
    <w:rsid w:val="42652791"/>
    <w:rsid w:val="42CF65A9"/>
    <w:rsid w:val="435B61A4"/>
    <w:rsid w:val="436808C1"/>
    <w:rsid w:val="440B5E1C"/>
    <w:rsid w:val="44185E43"/>
    <w:rsid w:val="448D14FC"/>
    <w:rsid w:val="45570BED"/>
    <w:rsid w:val="45D43FEC"/>
    <w:rsid w:val="461D1E37"/>
    <w:rsid w:val="46317690"/>
    <w:rsid w:val="465B470D"/>
    <w:rsid w:val="46753A21"/>
    <w:rsid w:val="467F664E"/>
    <w:rsid w:val="46EE10DD"/>
    <w:rsid w:val="47376F28"/>
    <w:rsid w:val="479C6D8B"/>
    <w:rsid w:val="47A81BD4"/>
    <w:rsid w:val="47D74267"/>
    <w:rsid w:val="47D97FDF"/>
    <w:rsid w:val="481C1C7A"/>
    <w:rsid w:val="484A2C8B"/>
    <w:rsid w:val="487B1097"/>
    <w:rsid w:val="49041F17"/>
    <w:rsid w:val="49557B3A"/>
    <w:rsid w:val="49635DB3"/>
    <w:rsid w:val="4A1C2405"/>
    <w:rsid w:val="4ADF3B5F"/>
    <w:rsid w:val="4BCB7C3F"/>
    <w:rsid w:val="4CC0176E"/>
    <w:rsid w:val="4CCF19B1"/>
    <w:rsid w:val="4D654251"/>
    <w:rsid w:val="4D754306"/>
    <w:rsid w:val="4D8D78A2"/>
    <w:rsid w:val="4E604FB7"/>
    <w:rsid w:val="4E630603"/>
    <w:rsid w:val="4EEE25C2"/>
    <w:rsid w:val="4F0022F6"/>
    <w:rsid w:val="4F1B2C8C"/>
    <w:rsid w:val="4F626B0C"/>
    <w:rsid w:val="4F986EB3"/>
    <w:rsid w:val="501047BA"/>
    <w:rsid w:val="507C775A"/>
    <w:rsid w:val="507E0D6F"/>
    <w:rsid w:val="509B6FFA"/>
    <w:rsid w:val="51C413B8"/>
    <w:rsid w:val="52036385"/>
    <w:rsid w:val="53310CD0"/>
    <w:rsid w:val="5339717F"/>
    <w:rsid w:val="539D3210"/>
    <w:rsid w:val="54D04518"/>
    <w:rsid w:val="554D5B69"/>
    <w:rsid w:val="55C94ECA"/>
    <w:rsid w:val="57250B4B"/>
    <w:rsid w:val="572B3C88"/>
    <w:rsid w:val="583A6878"/>
    <w:rsid w:val="58694A68"/>
    <w:rsid w:val="58711B6E"/>
    <w:rsid w:val="58CE6FC1"/>
    <w:rsid w:val="592D3CE7"/>
    <w:rsid w:val="5A421A14"/>
    <w:rsid w:val="5A7140A7"/>
    <w:rsid w:val="5A7D2A4C"/>
    <w:rsid w:val="5B8C73EB"/>
    <w:rsid w:val="5C0F1DCA"/>
    <w:rsid w:val="5C2A0D3A"/>
    <w:rsid w:val="5C757E7F"/>
    <w:rsid w:val="5C797243"/>
    <w:rsid w:val="5C8A1451"/>
    <w:rsid w:val="5CB84210"/>
    <w:rsid w:val="5CC7238C"/>
    <w:rsid w:val="5DED1C97"/>
    <w:rsid w:val="5DEF3C61"/>
    <w:rsid w:val="5E0A5B42"/>
    <w:rsid w:val="5E0A7399"/>
    <w:rsid w:val="5E3B2A02"/>
    <w:rsid w:val="5E9465B6"/>
    <w:rsid w:val="5ED846F5"/>
    <w:rsid w:val="5EF07C91"/>
    <w:rsid w:val="5F131BD1"/>
    <w:rsid w:val="5F166FCB"/>
    <w:rsid w:val="5F322057"/>
    <w:rsid w:val="5F5E109E"/>
    <w:rsid w:val="5F906D7E"/>
    <w:rsid w:val="5F93061C"/>
    <w:rsid w:val="5FE1582B"/>
    <w:rsid w:val="60502A1D"/>
    <w:rsid w:val="60EF5D26"/>
    <w:rsid w:val="61016185"/>
    <w:rsid w:val="612C6F7A"/>
    <w:rsid w:val="619743F4"/>
    <w:rsid w:val="61BC02FE"/>
    <w:rsid w:val="63514A76"/>
    <w:rsid w:val="6364795D"/>
    <w:rsid w:val="63732C3E"/>
    <w:rsid w:val="637349EC"/>
    <w:rsid w:val="63AB23D8"/>
    <w:rsid w:val="63B05C41"/>
    <w:rsid w:val="645F23FA"/>
    <w:rsid w:val="647B7FFD"/>
    <w:rsid w:val="648F3AA8"/>
    <w:rsid w:val="64DD4813"/>
    <w:rsid w:val="654C7BEB"/>
    <w:rsid w:val="65705687"/>
    <w:rsid w:val="65982A27"/>
    <w:rsid w:val="65BF03BD"/>
    <w:rsid w:val="66A7157D"/>
    <w:rsid w:val="66B912B0"/>
    <w:rsid w:val="67654F94"/>
    <w:rsid w:val="67755B92"/>
    <w:rsid w:val="678278F4"/>
    <w:rsid w:val="67DF6AF4"/>
    <w:rsid w:val="67EE4F89"/>
    <w:rsid w:val="68B47F81"/>
    <w:rsid w:val="68BD2B07"/>
    <w:rsid w:val="68E00D76"/>
    <w:rsid w:val="68E63EB3"/>
    <w:rsid w:val="69407A67"/>
    <w:rsid w:val="69BF6BDD"/>
    <w:rsid w:val="69C53AC8"/>
    <w:rsid w:val="6A266C5C"/>
    <w:rsid w:val="6AF32CC6"/>
    <w:rsid w:val="6B657311"/>
    <w:rsid w:val="6C292B66"/>
    <w:rsid w:val="6C7D4B2E"/>
    <w:rsid w:val="6CB542C8"/>
    <w:rsid w:val="6D0A4613"/>
    <w:rsid w:val="6D323B6A"/>
    <w:rsid w:val="6DD10C8D"/>
    <w:rsid w:val="6E0C6169"/>
    <w:rsid w:val="6EBA3E17"/>
    <w:rsid w:val="6EBB79A1"/>
    <w:rsid w:val="6EF54E4F"/>
    <w:rsid w:val="6F614293"/>
    <w:rsid w:val="6FA80114"/>
    <w:rsid w:val="6FD1766A"/>
    <w:rsid w:val="709D579F"/>
    <w:rsid w:val="71397275"/>
    <w:rsid w:val="71A617A0"/>
    <w:rsid w:val="71E01DE7"/>
    <w:rsid w:val="72B172DF"/>
    <w:rsid w:val="73922C6D"/>
    <w:rsid w:val="7422465F"/>
    <w:rsid w:val="74A94712"/>
    <w:rsid w:val="758B206A"/>
    <w:rsid w:val="759E1D9D"/>
    <w:rsid w:val="75D27C98"/>
    <w:rsid w:val="75F23E97"/>
    <w:rsid w:val="762304F4"/>
    <w:rsid w:val="76AF3B36"/>
    <w:rsid w:val="76C53359"/>
    <w:rsid w:val="76CD220E"/>
    <w:rsid w:val="77701517"/>
    <w:rsid w:val="78D50209"/>
    <w:rsid w:val="79133760"/>
    <w:rsid w:val="79876FEC"/>
    <w:rsid w:val="79AC25AE"/>
    <w:rsid w:val="7A5C2227"/>
    <w:rsid w:val="7A8C6D1C"/>
    <w:rsid w:val="7B0501C8"/>
    <w:rsid w:val="7B0A1B69"/>
    <w:rsid w:val="7B2E5C1C"/>
    <w:rsid w:val="7BA75723"/>
    <w:rsid w:val="7BB120FE"/>
    <w:rsid w:val="7BF81ADB"/>
    <w:rsid w:val="7C961A20"/>
    <w:rsid w:val="7CB63E70"/>
    <w:rsid w:val="7D480840"/>
    <w:rsid w:val="7D553689"/>
    <w:rsid w:val="7DBA173E"/>
    <w:rsid w:val="7DD24CD9"/>
    <w:rsid w:val="7DD722F0"/>
    <w:rsid w:val="7E4B683A"/>
    <w:rsid w:val="7EC34622"/>
    <w:rsid w:val="7ECD54A1"/>
    <w:rsid w:val="7FAD3455"/>
    <w:rsid w:val="7FE56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2"/>
    <w:semiHidden/>
    <w:qFormat/>
    <w:uiPriority w:val="99"/>
    <w:rPr>
      <w:sz w:val="18"/>
      <w:szCs w:val="18"/>
    </w:rPr>
  </w:style>
  <w:style w:type="character" w:customStyle="1" w:styleId="10">
    <w:name w:val="标题 字符"/>
    <w:basedOn w:val="7"/>
    <w:link w:val="4"/>
    <w:qFormat/>
    <w:uiPriority w:val="10"/>
    <w:rPr>
      <w:rFonts w:ascii="Cambria" w:hAnsi="Cambria" w:eastAsia="宋体" w:cs="Times New Roman"/>
      <w:b/>
      <w:bCs/>
      <w:sz w:val="32"/>
      <w:szCs w:val="32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2F88D9D6-E7C6-4B04-A61F-E1D3790BF0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760</Words>
  <Characters>769</Characters>
  <Lines>36</Lines>
  <Paragraphs>10</Paragraphs>
  <TotalTime>13</TotalTime>
  <ScaleCrop>false</ScaleCrop>
  <LinksUpToDate>false</LinksUpToDate>
  <CharactersWithSpaces>771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2025-07-30T08:02:00Z</dcterms:created>
  <dc:creator>未定义</dc:creator>
  <cp:lastModifiedBy>古灵娇妍</cp:lastModifiedBy>
  <dcterms:modified xsi:type="dcterms:W3CDTF">2025-08-18T08:24:09Z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eyJoZGlkIjoiMjMxMzdjYjQ0ZDE4YjMzZjQxMTFlNjkzOTE0ZGNlOTQiLCJ1c2VySWQiOiI4NTI0Njg3NjQifQ==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5E35887A699547B8AE9E7CAE8FF4684E_13</vt:lpwstr>
  </property>
</Properties>
</file>