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sz w:val="84"/>
        </w:rPr>
      </w:pPr>
    </w:p>
    <w:p>
      <w:pPr>
        <w:ind w:right="105"/>
        <w:jc w:val="right"/>
        <w:rPr>
          <w:rFonts w:ascii="黑体" w:hAnsi="黑体" w:eastAsia="黑体"/>
          <w:b/>
          <w:color w:val="333399"/>
          <w:spacing w:val="40"/>
          <w:w w:val="66"/>
          <w:sz w:val="60"/>
          <w:szCs w:val="60"/>
        </w:rPr>
      </w:pPr>
      <w:r>
        <w:rPr>
          <w:rFonts w:ascii="黑体" w:hAnsi="黑体" w:eastAsia="黑体"/>
          <w:b/>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-65405</wp:posOffset>
                </wp:positionH>
                <wp:positionV relativeFrom="paragraph">
                  <wp:posOffset>262255</wp:posOffset>
                </wp:positionV>
                <wp:extent cx="445135" cy="5715"/>
                <wp:effectExtent l="1270" t="95250" r="10795" b="108585"/>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445135" cy="5715"/>
                        </a:xfrm>
                        <a:prstGeom prst="line">
                          <a:avLst/>
                        </a:prstGeom>
                        <a:noFill/>
                        <a:ln w="190500">
                          <a:solidFill>
                            <a:srgbClr val="4B69B5"/>
                          </a:solidFill>
                          <a:round/>
                        </a:ln>
                        <a:effectLst/>
                      </wps:spPr>
                      <wps:bodyPr/>
                    </wps:wsp>
                  </a:graphicData>
                </a:graphic>
              </wp:anchor>
            </w:drawing>
          </mc:Choice>
          <mc:Fallback>
            <w:pict>
              <v:line id="_x0000_s1026" o:spid="_x0000_s1026" o:spt="20" style="position:absolute;left:0pt;margin-left:-5.15pt;margin-top:20.65pt;height:0.45pt;width:35.05pt;z-index:251659264;mso-width-relative:page;mso-height-relative:page;" filled="f" stroked="t" coordsize="21600,21600" o:gfxdata="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vf3+c1QAAAAgBAAAPAAAAAAAAAAEAIAAAACIAAABkcnMvZG93bnJldi54bWxQSwECFAAUAAAA&#10;CACHTuJAriusmfEBAAC8AwAADgAAAAAAAAABACAAAAAkAQAAZHJzL2Uyb0RvYy54bWxQSwUGAAAA&#10;AAYABgBZAQAAhwUAAAAA&#10;">
                <v:fill on="f" focussize="0,0"/>
                <v:stroke weight="15pt" color="#4B69B5" joinstyle="round"/>
                <v:imagedata o:title=""/>
                <o:lock v:ext="edit" aspectratio="f"/>
              </v:line>
            </w:pict>
          </mc:Fallback>
        </mc:AlternateContent>
      </w:r>
      <w:r>
        <w:rPr>
          <w:rFonts w:hint="eastAsia" w:ascii="黑体" w:hAnsi="黑体" w:eastAsia="黑体"/>
          <w:b/>
          <w:color w:val="333399"/>
          <w:spacing w:val="40"/>
          <w:w w:val="66"/>
          <w:sz w:val="60"/>
          <w:szCs w:val="60"/>
        </w:rPr>
        <w:t>天津市南开中学滨海生态城学校采购</w:t>
      </w:r>
    </w:p>
    <w:p>
      <w:pPr>
        <w:ind w:right="105"/>
        <w:jc w:val="right"/>
        <w:rPr>
          <w:rFonts w:ascii="黑体" w:hAnsi="黑体" w:eastAsia="黑体"/>
          <w:b/>
          <w:color w:val="333399"/>
          <w:spacing w:val="40"/>
          <w:w w:val="66"/>
          <w:sz w:val="60"/>
          <w:szCs w:val="60"/>
        </w:rPr>
      </w:pPr>
      <w:r>
        <w:rPr>
          <w:rFonts w:ascii="黑体" w:hAnsi="黑体" w:eastAsia="黑体"/>
          <w:b/>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-55880</wp:posOffset>
                </wp:positionH>
                <wp:positionV relativeFrom="paragraph">
                  <wp:posOffset>304800</wp:posOffset>
                </wp:positionV>
                <wp:extent cx="2291715" cy="1270"/>
                <wp:effectExtent l="0" t="95250" r="13335" b="11303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2291715" cy="1270"/>
                        </a:xfrm>
                        <a:prstGeom prst="line">
                          <a:avLst/>
                        </a:prstGeom>
                        <a:noFill/>
                        <a:ln w="190500">
                          <a:solidFill>
                            <a:srgbClr val="4B69B5"/>
                          </a:solidFill>
                          <a:round/>
                        </a:ln>
                        <a:effectLst/>
                      </wps:spPr>
                      <wps:bodyPr/>
                    </wps:wsp>
                  </a:graphicData>
                </a:graphic>
              </wp:anchor>
            </w:drawing>
          </mc:Choice>
          <mc:Fallback>
            <w:pict>
              <v:line id="_x0000_s1026" o:spid="_x0000_s1026" o:spt="20" style="position:absolute;left:0pt;margin-left:-4.4pt;margin-top:24pt;height:0.1pt;width:180.45pt;z-index:251660288;mso-width-relative:page;mso-height-relative:page;" filled="f" stroked="t" coordsize="21600,21600" o:gfxdata="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eQtgvWAAAACAEAAA8AAAAAAAAAAQAgAAAAIgAAAGRycy9kb3ducmV2LnhtbFBLAQIUABQA&#10;AAAIAIdO4kA0CB/48gEAAL0DAAAOAAAAAAAAAAEAIAAAACUBAABkcnMvZTJvRG9jLnhtbFBLBQYA&#10;AAAABgAGAFkBAACJBQAAAAA=&#10;">
                <v:fill on="f" focussize="0,0"/>
                <v:stroke weight="15pt" color="#4B69B5" joinstyle="round"/>
                <v:imagedata o:title=""/>
                <o:lock v:ext="edit" aspectratio="f"/>
              </v:line>
            </w:pict>
          </mc:Fallback>
        </mc:AlternateContent>
      </w:r>
      <w:r>
        <w:rPr>
          <w:rFonts w:hint="eastAsia" w:ascii="黑体" w:hAnsi="黑体" w:eastAsia="黑体"/>
          <w:b/>
          <w:color w:val="333399"/>
          <w:spacing w:val="40"/>
          <w:w w:val="66"/>
          <w:sz w:val="60"/>
          <w:szCs w:val="60"/>
        </w:rPr>
        <w:t>智慧黑板项目</w:t>
      </w:r>
      <w:r>
        <w:rPr>
          <w:rFonts w:ascii="黑体" w:hAnsi="黑体" w:eastAsia="黑体"/>
          <w:b/>
          <w:color w:val="333399"/>
          <w:spacing w:val="40"/>
          <w:w w:val="66"/>
          <w:sz w:val="60"/>
          <w:szCs w:val="60"/>
        </w:rPr>
        <w:t>招标文件</w:t>
      </w:r>
    </w:p>
    <w:p>
      <w:pPr>
        <w:ind w:right="1025"/>
        <w:jc w:val="center"/>
        <w:rPr>
          <w:rFonts w:ascii="黑体" w:hAnsi="黑体" w:eastAsia="黑体"/>
          <w:b/>
          <w:color w:val="333399"/>
          <w:spacing w:val="40"/>
          <w:w w:val="66"/>
          <w:sz w:val="60"/>
          <w:szCs w:val="60"/>
        </w:rPr>
      </w:pPr>
    </w:p>
    <w:p>
      <w:pPr>
        <w:jc w:val="center"/>
        <w:rPr>
          <w:rFonts w:ascii="黑体" w:hAnsi="黑体" w:eastAsia="黑体"/>
          <w:b/>
          <w:color w:val="333399"/>
          <w:spacing w:val="40"/>
          <w:w w:val="66"/>
          <w:sz w:val="15"/>
          <w:szCs w:val="15"/>
        </w:rPr>
      </w:pPr>
    </w:p>
    <w:p>
      <w:pPr>
        <w:jc w:val="center"/>
        <w:rPr>
          <w:rFonts w:ascii="黑体" w:hAnsi="黑体" w:eastAsia="黑体"/>
          <w:b/>
          <w:color w:val="333399"/>
          <w:spacing w:val="40"/>
          <w:w w:val="66"/>
          <w:sz w:val="32"/>
          <w:szCs w:val="32"/>
        </w:rPr>
      </w:pPr>
      <w:r>
        <w:rPr>
          <w:rFonts w:ascii="黑体" w:hAnsi="黑体" w:eastAsia="黑体"/>
          <w:b/>
          <w:color w:val="333399"/>
          <w:spacing w:val="40"/>
          <w:w w:val="66"/>
          <w:sz w:val="32"/>
          <w:szCs w:val="32"/>
        </w:rPr>
        <w:t>（项目编号：</w:t>
      </w:r>
      <w:r>
        <w:rPr>
          <w:rFonts w:hint="eastAsia" w:ascii="黑体" w:hAnsi="黑体" w:eastAsia="黑体"/>
          <w:b/>
          <w:color w:val="333399"/>
          <w:spacing w:val="40"/>
          <w:w w:val="66"/>
          <w:sz w:val="32"/>
          <w:szCs w:val="32"/>
        </w:rPr>
        <w:t>TJBH-2024-A-0028</w:t>
      </w:r>
      <w:r>
        <w:rPr>
          <w:rFonts w:ascii="黑体" w:hAnsi="黑体" w:eastAsia="黑体"/>
          <w:b/>
          <w:color w:val="333399"/>
          <w:spacing w:val="40"/>
          <w:w w:val="66"/>
          <w:sz w:val="32"/>
          <w:szCs w:val="32"/>
        </w:rPr>
        <w:t>）</w:t>
      </w:r>
    </w:p>
    <w:p>
      <w:pPr>
        <w:rPr>
          <w:rFonts w:ascii="黑体" w:hAnsi="黑体" w:eastAsia="黑体"/>
          <w:b/>
          <w:color w:val="333399"/>
          <w:sz w:val="40"/>
        </w:rPr>
      </w:pPr>
    </w:p>
    <w:p>
      <w:pPr>
        <w:rPr>
          <w:rFonts w:ascii="黑体" w:hAnsi="黑体" w:eastAsia="黑体"/>
          <w:b/>
          <w:color w:val="333399"/>
          <w:sz w:val="36"/>
        </w:rPr>
      </w:pPr>
    </w:p>
    <w:p>
      <w:pPr>
        <w:rPr>
          <w:rFonts w:ascii="黑体" w:hAnsi="黑体" w:eastAsia="黑体"/>
          <w:b/>
          <w:color w:val="333399"/>
          <w:sz w:val="36"/>
        </w:rPr>
      </w:pPr>
    </w:p>
    <w:p>
      <w:pPr>
        <w:rPr>
          <w:rFonts w:ascii="黑体" w:hAnsi="黑体" w:eastAsia="黑体"/>
          <w:b/>
          <w:color w:val="333399"/>
          <w:sz w:val="36"/>
        </w:rPr>
      </w:pPr>
    </w:p>
    <w:p>
      <w:pPr>
        <w:rPr>
          <w:rFonts w:ascii="黑体" w:hAnsi="黑体" w:eastAsia="黑体"/>
          <w:b/>
          <w:color w:val="333399"/>
          <w:sz w:val="36"/>
        </w:rPr>
      </w:pPr>
    </w:p>
    <w:p>
      <w:pPr>
        <w:rPr>
          <w:rFonts w:ascii="黑体" w:hAnsi="黑体" w:eastAsia="黑体"/>
          <w:b/>
          <w:color w:val="333399"/>
          <w:sz w:val="36"/>
        </w:rPr>
      </w:pPr>
    </w:p>
    <w:p>
      <w:pPr>
        <w:rPr>
          <w:rFonts w:ascii="黑体" w:hAnsi="黑体" w:eastAsia="黑体"/>
          <w:b/>
          <w:color w:val="333399"/>
          <w:sz w:val="36"/>
        </w:rPr>
      </w:pPr>
    </w:p>
    <w:p>
      <w:pPr>
        <w:rPr>
          <w:rFonts w:ascii="黑体" w:hAnsi="黑体" w:eastAsia="黑体"/>
          <w:b/>
          <w:color w:val="333399"/>
          <w:sz w:val="36"/>
        </w:rPr>
      </w:pPr>
    </w:p>
    <w:p>
      <w:pPr>
        <w:rPr>
          <w:rFonts w:ascii="黑体" w:hAnsi="黑体" w:eastAsia="黑体"/>
          <w:b/>
          <w:color w:val="333399"/>
          <w:sz w:val="36"/>
        </w:rPr>
      </w:pPr>
    </w:p>
    <w:p>
      <w:pPr>
        <w:jc w:val="center"/>
        <w:rPr>
          <w:rFonts w:ascii="黑体" w:hAnsi="黑体" w:eastAsia="黑体"/>
          <w:b/>
          <w:color w:val="333399"/>
          <w:spacing w:val="20"/>
          <w:w w:val="66"/>
          <w:sz w:val="44"/>
          <w:szCs w:val="44"/>
        </w:rPr>
      </w:pPr>
      <w:r>
        <w:rPr>
          <w:rFonts w:ascii="黑体" w:hAnsi="黑体" w:eastAsia="黑体"/>
          <w:b/>
          <w:color w:val="333399"/>
          <w:spacing w:val="20"/>
          <w:w w:val="66"/>
          <w:sz w:val="44"/>
          <w:szCs w:val="44"/>
        </w:rPr>
        <w:t>天津市</w:t>
      </w:r>
      <w:r>
        <w:rPr>
          <w:rFonts w:hint="eastAsia" w:ascii="黑体" w:hAnsi="黑体" w:eastAsia="黑体"/>
          <w:b/>
          <w:color w:val="333399"/>
          <w:spacing w:val="20"/>
          <w:w w:val="66"/>
          <w:sz w:val="44"/>
          <w:szCs w:val="44"/>
        </w:rPr>
        <w:t>滨海新区</w:t>
      </w:r>
      <w:r>
        <w:rPr>
          <w:rFonts w:ascii="黑体" w:hAnsi="黑体" w:eastAsia="黑体"/>
          <w:b/>
          <w:color w:val="333399"/>
          <w:spacing w:val="20"/>
          <w:w w:val="66"/>
          <w:sz w:val="44"/>
          <w:szCs w:val="44"/>
        </w:rPr>
        <w:t>政府采购中心</w:t>
      </w:r>
    </w:p>
    <w:p>
      <w:pPr>
        <w:tabs>
          <w:tab w:val="left" w:pos="3281"/>
          <w:tab w:val="center" w:pos="4711"/>
        </w:tabs>
        <w:jc w:val="center"/>
        <w:rPr>
          <w:rFonts w:hint="eastAsia" w:ascii="黑体" w:hAnsi="黑体" w:eastAsia="黑体"/>
          <w:b/>
          <w:bCs/>
          <w:color w:val="333399"/>
          <w:kern w:val="0"/>
          <w:sz w:val="44"/>
          <w:szCs w:val="44"/>
          <w:lang w:val="en-US" w:eastAsia="zh-CN"/>
        </w:rPr>
      </w:pPr>
      <w:r>
        <w:rPr>
          <w:rFonts w:ascii="黑体" w:hAnsi="黑体" w:eastAsia="黑体"/>
          <w:b/>
          <w:bCs/>
          <w:color w:val="333399"/>
          <w:kern w:val="0"/>
          <w:sz w:val="44"/>
          <w:szCs w:val="44"/>
        </w:rPr>
        <w:t>2024.</w:t>
      </w:r>
      <w:r>
        <w:rPr>
          <w:rFonts w:hint="eastAsia" w:ascii="黑体" w:hAnsi="黑体" w:eastAsia="黑体"/>
          <w:b/>
          <w:bCs/>
          <w:color w:val="333399"/>
          <w:kern w:val="0"/>
          <w:sz w:val="44"/>
          <w:szCs w:val="44"/>
          <w:lang w:val="en-US" w:eastAsia="zh-CN"/>
        </w:rPr>
        <w:t>7</w:t>
      </w:r>
    </w:p>
    <w:p>
      <w:pPr>
        <w:widowControl/>
        <w:jc w:val="left"/>
        <w:rPr>
          <w:rFonts w:ascii="黑体" w:hAnsi="黑体" w:eastAsia="黑体"/>
          <w:b/>
          <w:bCs/>
          <w:color w:val="333399"/>
          <w:kern w:val="0"/>
          <w:sz w:val="44"/>
          <w:szCs w:val="44"/>
        </w:rPr>
      </w:pPr>
    </w:p>
    <w:p>
      <w:pPr>
        <w:ind w:firstLine="408" w:firstLineChars="100"/>
        <w:jc w:val="center"/>
        <w:rPr>
          <w:b/>
          <w:spacing w:val="20"/>
          <w:w w:val="80"/>
          <w:sz w:val="48"/>
          <w:szCs w:val="48"/>
        </w:rPr>
        <w:sectPr>
          <w:pgSz w:w="11906" w:h="16838"/>
          <w:pgMar w:top="1440" w:right="1797" w:bottom="1440" w:left="1797" w:header="851" w:footer="992" w:gutter="0"/>
          <w:pgNumType w:start="1"/>
          <w:cols w:space="425" w:num="1"/>
          <w:docGrid w:type="linesAndChars" w:linePitch="285" w:charSpace="-3449"/>
        </w:sectPr>
      </w:pPr>
    </w:p>
    <w:p>
      <w:pPr>
        <w:ind w:firstLine="408" w:firstLineChars="100"/>
        <w:jc w:val="center"/>
        <w:rPr>
          <w:b/>
          <w:spacing w:val="20"/>
          <w:w w:val="80"/>
          <w:sz w:val="48"/>
          <w:szCs w:val="48"/>
        </w:rPr>
      </w:pPr>
      <w:r>
        <w:rPr>
          <w:rFonts w:hAnsiTheme="minorEastAsia"/>
          <w:b/>
          <w:spacing w:val="20"/>
          <w:w w:val="80"/>
          <w:sz w:val="48"/>
          <w:szCs w:val="48"/>
        </w:rPr>
        <w:t>目录</w:t>
      </w:r>
    </w:p>
    <w:p>
      <w:pPr>
        <w:spacing w:line="560" w:lineRule="exact"/>
        <w:ind w:right="-141" w:rightChars="-73"/>
        <w:rPr>
          <w:b/>
          <w:sz w:val="24"/>
        </w:rPr>
      </w:pPr>
      <w:r>
        <w:rPr>
          <w:rFonts w:hAnsiTheme="minorEastAsia"/>
          <w:b/>
          <w:sz w:val="24"/>
        </w:rPr>
        <w:t>第一部分投标邀请函</w:t>
      </w:r>
    </w:p>
    <w:p>
      <w:pPr>
        <w:spacing w:line="560" w:lineRule="exact"/>
        <w:ind w:right="-141" w:rightChars="-73"/>
        <w:rPr>
          <w:b/>
          <w:sz w:val="24"/>
        </w:rPr>
      </w:pPr>
    </w:p>
    <w:p>
      <w:pPr>
        <w:spacing w:line="560" w:lineRule="exact"/>
        <w:ind w:right="-141" w:rightChars="-73"/>
        <w:rPr>
          <w:b/>
          <w:sz w:val="24"/>
        </w:rPr>
      </w:pPr>
      <w:r>
        <w:rPr>
          <w:rFonts w:hAnsiTheme="minorEastAsia"/>
          <w:b/>
          <w:sz w:val="24"/>
        </w:rPr>
        <w:t>第二部分</w:t>
      </w:r>
      <w:r>
        <w:rPr>
          <w:rFonts w:hint="eastAsia" w:hAnsiTheme="minorEastAsia"/>
          <w:b/>
          <w:sz w:val="24"/>
        </w:rPr>
        <w:t>招标项目要求</w:t>
      </w:r>
    </w:p>
    <w:p>
      <w:pPr>
        <w:spacing w:line="560" w:lineRule="exact"/>
        <w:ind w:right="-141" w:rightChars="-73"/>
        <w:rPr>
          <w:b/>
          <w:sz w:val="24"/>
        </w:rPr>
      </w:pPr>
    </w:p>
    <w:p>
      <w:pPr>
        <w:spacing w:line="560" w:lineRule="exact"/>
        <w:ind w:right="-141" w:rightChars="-73"/>
        <w:rPr>
          <w:b/>
          <w:sz w:val="24"/>
        </w:rPr>
      </w:pPr>
      <w:r>
        <w:rPr>
          <w:rFonts w:hAnsiTheme="minorEastAsia"/>
          <w:b/>
          <w:sz w:val="24"/>
        </w:rPr>
        <w:t>第三部分</w:t>
      </w:r>
      <w:r>
        <w:rPr>
          <w:rFonts w:hint="eastAsia" w:hAnsiTheme="minorEastAsia"/>
          <w:b/>
          <w:sz w:val="24"/>
        </w:rPr>
        <w:t>投标须知</w:t>
      </w:r>
    </w:p>
    <w:p>
      <w:pPr>
        <w:spacing w:line="560" w:lineRule="exact"/>
        <w:ind w:right="-141" w:rightChars="-73"/>
        <w:rPr>
          <w:sz w:val="24"/>
        </w:rPr>
      </w:pPr>
    </w:p>
    <w:p>
      <w:pPr>
        <w:spacing w:line="560" w:lineRule="exact"/>
        <w:rPr>
          <w:b/>
          <w:sz w:val="24"/>
        </w:rPr>
      </w:pPr>
      <w:r>
        <w:rPr>
          <w:rFonts w:hAnsiTheme="minorEastAsia"/>
          <w:b/>
          <w:sz w:val="24"/>
        </w:rPr>
        <w:t>第四部分合同条款</w:t>
      </w:r>
    </w:p>
    <w:p>
      <w:pPr>
        <w:spacing w:line="560" w:lineRule="exact"/>
        <w:rPr>
          <w:sz w:val="24"/>
        </w:rPr>
      </w:pPr>
    </w:p>
    <w:p>
      <w:pPr>
        <w:spacing w:line="560" w:lineRule="exact"/>
        <w:rPr>
          <w:sz w:val="24"/>
        </w:rPr>
      </w:pPr>
      <w:r>
        <w:rPr>
          <w:rFonts w:hAnsiTheme="minorEastAsia"/>
          <w:b/>
          <w:sz w:val="24"/>
        </w:rPr>
        <w:t>第五部分投标文件格式</w:t>
      </w:r>
    </w:p>
    <w:p>
      <w:pPr>
        <w:rPr>
          <w:sz w:val="24"/>
        </w:rPr>
      </w:pPr>
    </w:p>
    <w:p>
      <w:pPr>
        <w:rPr>
          <w:sz w:val="24"/>
        </w:rPr>
      </w:pPr>
    </w:p>
    <w:p>
      <w:pPr>
        <w:rPr>
          <w:sz w:val="24"/>
        </w:rPr>
      </w:pPr>
    </w:p>
    <w:p>
      <w:pPr>
        <w:rPr>
          <w:sz w:val="24"/>
        </w:rPr>
      </w:pPr>
    </w:p>
    <w:p>
      <w:pPr>
        <w:rPr>
          <w:sz w:val="24"/>
        </w:rPr>
      </w:pPr>
    </w:p>
    <w:p>
      <w:pPr>
        <w:rPr>
          <w:sz w:val="24"/>
        </w:rPr>
      </w:pPr>
    </w:p>
    <w:p>
      <w:pPr>
        <w:rPr>
          <w:b/>
        </w:rPr>
      </w:pPr>
    </w:p>
    <w:p>
      <w:pPr>
        <w:pStyle w:val="16"/>
        <w:rPr>
          <w:rFonts w:ascii="Times New Roman" w:hAnsi="Times New Roman"/>
        </w:rPr>
        <w:sectPr>
          <w:footerReference r:id="rId3" w:type="default"/>
          <w:pgSz w:w="11906" w:h="16838"/>
          <w:pgMar w:top="1440" w:right="1797" w:bottom="1440" w:left="1797" w:header="851" w:footer="992" w:gutter="0"/>
          <w:pgNumType w:start="1"/>
          <w:cols w:space="425" w:num="1"/>
          <w:docGrid w:type="linesAndChars" w:linePitch="285" w:charSpace="-3449"/>
        </w:sectPr>
      </w:pPr>
      <w:bookmarkStart w:id="0" w:name="_Toc412903614"/>
    </w:p>
    <w:p>
      <w:pPr>
        <w:pStyle w:val="16"/>
        <w:rPr>
          <w:rFonts w:ascii="Times New Roman" w:hAnsi="Times New Roman"/>
        </w:rPr>
      </w:pPr>
      <w:r>
        <w:rPr>
          <w:rFonts w:ascii="Times New Roman" w:hAnsiTheme="minorEastAsia"/>
        </w:rPr>
        <w:t>第一部分投标邀请函</w:t>
      </w:r>
      <w:bookmarkEnd w:id="0"/>
    </w:p>
    <w:p>
      <w:pPr>
        <w:pStyle w:val="33"/>
        <w:spacing w:line="360" w:lineRule="auto"/>
        <w:ind w:firstLine="448" w:firstLineChars="200"/>
        <w:jc w:val="both"/>
        <w:rPr>
          <w:rFonts w:ascii="Times New Roman" w:hAnsi="Times New Roman" w:eastAsia="宋体" w:cs="Times New Roman"/>
          <w:color w:val="auto"/>
          <w:szCs w:val="32"/>
        </w:rPr>
      </w:pPr>
      <w:r>
        <w:rPr>
          <w:rFonts w:hint="eastAsia" w:ascii="Times New Roman" w:eastAsia="宋体" w:cs="Times New Roman" w:hAnsiTheme="minorEastAsia"/>
          <w:szCs w:val="32"/>
        </w:rPr>
        <w:t>受天津市南开中学滨海生态城学校委托</w:t>
      </w:r>
      <w:r>
        <w:rPr>
          <w:rFonts w:ascii="Times New Roman" w:eastAsia="宋体" w:cs="Times New Roman" w:hAnsiTheme="minorEastAsia"/>
          <w:szCs w:val="32"/>
        </w:rPr>
        <w:t>，天津市</w:t>
      </w:r>
      <w:r>
        <w:rPr>
          <w:rFonts w:hint="eastAsia" w:ascii="Times New Roman" w:eastAsia="宋体" w:cs="Times New Roman" w:hAnsiTheme="minorEastAsia"/>
          <w:szCs w:val="32"/>
        </w:rPr>
        <w:t>滨海新区</w:t>
      </w:r>
      <w:r>
        <w:rPr>
          <w:rFonts w:ascii="Times New Roman" w:eastAsia="宋体" w:cs="Times New Roman" w:hAnsiTheme="minorEastAsia"/>
          <w:szCs w:val="32"/>
        </w:rPr>
        <w:t>政府采购中心将以公开招标方式</w:t>
      </w:r>
      <w:r>
        <w:rPr>
          <w:rFonts w:hint="eastAsia" w:ascii="Times New Roman" w:eastAsia="宋体" w:cs="Times New Roman" w:hAnsiTheme="minorEastAsia"/>
          <w:szCs w:val="32"/>
        </w:rPr>
        <w:t>，对天津市南开中学滨海生态城学校采购智慧黑板项目实施政府采购。</w:t>
      </w:r>
      <w:r>
        <w:rPr>
          <w:rFonts w:ascii="Times New Roman" w:eastAsia="宋体" w:cs="Times New Roman" w:hAnsiTheme="minorEastAsia"/>
          <w:szCs w:val="32"/>
        </w:rPr>
        <w:t>现欢迎</w:t>
      </w:r>
      <w:r>
        <w:rPr>
          <w:rFonts w:ascii="Times New Roman" w:eastAsia="宋体" w:cs="Times New Roman" w:hAnsiTheme="minorEastAsia"/>
          <w:color w:val="auto"/>
          <w:szCs w:val="32"/>
        </w:rPr>
        <w:t>合格的供应商参加投标。</w:t>
      </w:r>
    </w:p>
    <w:p>
      <w:pPr>
        <w:pStyle w:val="33"/>
        <w:spacing w:line="360" w:lineRule="auto"/>
        <w:ind w:firstLine="448" w:firstLineChars="200"/>
        <w:jc w:val="both"/>
        <w:rPr>
          <w:rFonts w:ascii="Times New Roman" w:hAnsi="Times New Roman" w:eastAsia="宋体" w:cs="Times New Roman"/>
          <w:color w:val="auto"/>
          <w:szCs w:val="32"/>
        </w:rPr>
      </w:pPr>
      <w:r>
        <w:rPr>
          <w:rFonts w:hint="eastAsia" w:ascii="Times New Roman" w:eastAsia="宋体" w:cs="Times New Roman" w:hAnsiTheme="minorEastAsia"/>
          <w:color w:val="auto"/>
          <w:szCs w:val="32"/>
        </w:rPr>
        <w:t>本项目为远程招投标，一律不接受纸质投标文件，只接受加盖投标人电子签章的</w:t>
      </w:r>
      <w:r>
        <w:rPr>
          <w:rFonts w:hint="eastAsia" w:ascii="Times New Roman" w:hAnsi="Times New Roman" w:eastAsia="宋体" w:cs="Times New Roman"/>
          <w:color w:val="auto"/>
          <w:szCs w:val="32"/>
        </w:rPr>
        <w:t>PDF</w:t>
      </w:r>
      <w:r>
        <w:rPr>
          <w:rFonts w:hint="eastAsia" w:ascii="Times New Roman" w:eastAsia="宋体" w:cs="Times New Roman" w:hAnsiTheme="minorEastAsia"/>
          <w:color w:val="auto"/>
          <w:szCs w:val="32"/>
        </w:rPr>
        <w:t>格式电子投标文件（以通过天津公共资源电子签章客户端正确读取签章信息为准）。供应商参加投标前须办理</w:t>
      </w:r>
      <w:r>
        <w:rPr>
          <w:rFonts w:hint="eastAsia" w:ascii="Times New Roman" w:hAnsi="Times New Roman" w:eastAsia="宋体" w:cs="Times New Roman"/>
          <w:color w:val="auto"/>
          <w:szCs w:val="32"/>
        </w:rPr>
        <w:t>CA</w:t>
      </w:r>
      <w:r>
        <w:rPr>
          <w:rFonts w:hint="eastAsia" w:ascii="Times New Roman" w:eastAsia="宋体" w:cs="Times New Roman" w:hAnsiTheme="minorEastAsia"/>
          <w:color w:val="auto"/>
          <w:szCs w:val="32"/>
        </w:rPr>
        <w:t>数字证书（</w:t>
      </w:r>
      <w:r>
        <w:rPr>
          <w:rFonts w:hint="eastAsia" w:ascii="Times New Roman" w:hAnsi="Times New Roman" w:eastAsia="宋体" w:cs="Times New Roman"/>
          <w:color w:val="auto"/>
          <w:szCs w:val="32"/>
        </w:rPr>
        <w:t>USBKey</w:t>
      </w:r>
      <w:r>
        <w:rPr>
          <w:rFonts w:hint="eastAsia" w:ascii="Times New Roman" w:eastAsia="宋体" w:cs="Times New Roman" w:hAnsiTheme="minorEastAsia"/>
          <w:color w:val="auto"/>
          <w:szCs w:val="32"/>
        </w:rPr>
        <w:t>）和电子签章。投标人须按招标文件的规定在天津市政府采购中心招投标系统中提交网上应答并上传加盖投标人电子签章的</w:t>
      </w:r>
      <w:r>
        <w:rPr>
          <w:rFonts w:hint="eastAsia" w:ascii="Times New Roman" w:hAnsi="Times New Roman" w:eastAsia="宋体" w:cs="Times New Roman"/>
          <w:color w:val="auto"/>
          <w:szCs w:val="32"/>
        </w:rPr>
        <w:t>PDF</w:t>
      </w:r>
      <w:r>
        <w:rPr>
          <w:rFonts w:hint="eastAsia" w:ascii="Times New Roman" w:eastAsia="宋体" w:cs="Times New Roman" w:hAnsiTheme="minorEastAsia"/>
          <w:color w:val="auto"/>
          <w:szCs w:val="32"/>
        </w:rPr>
        <w:t>格式电子投标文件（以通过天津公共资源电子签章客户端正确读取签章信息为准）。</w:t>
      </w:r>
    </w:p>
    <w:p>
      <w:pPr>
        <w:pStyle w:val="33"/>
        <w:spacing w:line="360" w:lineRule="auto"/>
        <w:ind w:firstLine="448" w:firstLineChars="200"/>
        <w:jc w:val="both"/>
        <w:rPr>
          <w:rFonts w:ascii="Times New Roman" w:hAnsi="Times New Roman" w:eastAsia="宋体" w:cs="Times New Roman"/>
          <w:color w:val="auto"/>
          <w:szCs w:val="32"/>
        </w:rPr>
      </w:pPr>
      <w:r>
        <w:rPr>
          <w:rFonts w:ascii="Times New Roman" w:eastAsia="宋体" w:cs="Times New Roman" w:hAnsiTheme="minorEastAsia"/>
          <w:color w:val="auto"/>
          <w:szCs w:val="32"/>
        </w:rPr>
        <w:t>一、项目名称和编号</w:t>
      </w:r>
    </w:p>
    <w:p>
      <w:pPr>
        <w:pStyle w:val="33"/>
        <w:spacing w:line="360" w:lineRule="auto"/>
        <w:ind w:firstLine="448" w:firstLineChars="200"/>
        <w:jc w:val="both"/>
        <w:rPr>
          <w:rFonts w:ascii="Times New Roman" w:hAnsi="Times New Roman" w:eastAsia="宋体" w:cs="Times New Roman"/>
          <w:color w:val="FF0000"/>
        </w:rPr>
      </w:pPr>
      <w:r>
        <w:rPr>
          <w:rFonts w:ascii="Times New Roman" w:eastAsia="宋体" w:cs="Times New Roman" w:hAnsiTheme="minorEastAsia"/>
          <w:color w:val="auto"/>
        </w:rPr>
        <w:t>（一）项目名称：</w:t>
      </w:r>
      <w:r>
        <w:rPr>
          <w:rFonts w:hint="eastAsia" w:ascii="Times New Roman" w:eastAsia="宋体" w:cs="Times New Roman" w:hAnsiTheme="minorEastAsia"/>
          <w:color w:val="auto"/>
        </w:rPr>
        <w:t>天津市南开中学滨海生态城学校采购智慧黑板项目</w:t>
      </w:r>
    </w:p>
    <w:p>
      <w:pPr>
        <w:pStyle w:val="33"/>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（二）项目编号：</w:t>
      </w:r>
      <w:r>
        <w:rPr>
          <w:rFonts w:hint="eastAsia" w:ascii="Times New Roman" w:eastAsia="宋体" w:cs="Times New Roman" w:hAnsiTheme="minorEastAsia"/>
          <w:color w:val="auto"/>
        </w:rPr>
        <w:t>TJBH-2024-A-0028</w:t>
      </w:r>
    </w:p>
    <w:p>
      <w:pPr>
        <w:pStyle w:val="33"/>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二、项目内容</w:t>
      </w:r>
    </w:p>
    <w:p>
      <w:pPr>
        <w:tabs>
          <w:tab w:val="left" w:pos="210"/>
        </w:tabs>
        <w:autoSpaceDE w:val="0"/>
        <w:autoSpaceDN w:val="0"/>
        <w:adjustRightInd w:val="0"/>
        <w:spacing w:line="360" w:lineRule="auto"/>
        <w:ind w:firstLine="448" w:firstLineChars="200"/>
        <w:outlineLvl w:val="0"/>
        <w:rPr>
          <w:rFonts w:hAnsiTheme="minorEastAsia"/>
          <w:sz w:val="24"/>
          <w:szCs w:val="24"/>
        </w:rPr>
      </w:pPr>
      <w:r>
        <w:rPr>
          <w:rFonts w:hint="eastAsia" w:hAnsiTheme="minorEastAsia"/>
          <w:sz w:val="24"/>
          <w:szCs w:val="24"/>
          <w:lang w:val="zh-CN"/>
        </w:rPr>
        <w:t>第一包：智慧黑板采购（采购需求详见附件）。</w:t>
      </w:r>
      <w:r>
        <w:rPr>
          <w:rFonts w:hint="eastAsia" w:hAnsiTheme="minorEastAsia"/>
          <w:sz w:val="24"/>
          <w:szCs w:val="24"/>
        </w:rPr>
        <w:t>合同履行期限：签订合同之日起15日内交付（特殊情况以合同为准）。</w:t>
      </w:r>
    </w:p>
    <w:p>
      <w:pPr>
        <w:tabs>
          <w:tab w:val="left" w:pos="210"/>
        </w:tabs>
        <w:autoSpaceDE w:val="0"/>
        <w:autoSpaceDN w:val="0"/>
        <w:adjustRightInd w:val="0"/>
        <w:spacing w:line="360" w:lineRule="auto"/>
        <w:ind w:firstLine="448" w:firstLineChars="200"/>
        <w:outlineLvl w:val="0"/>
        <w:rPr>
          <w:strike/>
          <w:sz w:val="24"/>
          <w:szCs w:val="24"/>
        </w:rPr>
      </w:pPr>
      <w:r>
        <w:rPr>
          <w:rFonts w:hint="eastAsia" w:hAnsiTheme="minorEastAsia"/>
          <w:sz w:val="24"/>
          <w:szCs w:val="24"/>
          <w:lang w:val="zh-CN"/>
        </w:rPr>
        <w:t>本项目不接受进口产品投标。</w:t>
      </w:r>
    </w:p>
    <w:p>
      <w:pPr>
        <w:pStyle w:val="33"/>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三、项目预算</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第一包：1794000元。</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hAnsiTheme="minorEastAsia"/>
          <w:color w:val="auto"/>
          <w:lang w:val="zh-CN"/>
        </w:rPr>
        <w:t>注：每项产品的投标报价不得超出该项产品的预算，否则投标无效。</w:t>
      </w:r>
    </w:p>
    <w:p>
      <w:pPr>
        <w:pStyle w:val="33"/>
        <w:tabs>
          <w:tab w:val="left" w:pos="4825"/>
        </w:tabs>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四</w:t>
      </w:r>
      <w:r>
        <w:rPr>
          <w:rFonts w:ascii="Times New Roman" w:eastAsia="宋体" w:cs="Times New Roman" w:hAnsiTheme="minorEastAsia"/>
          <w:color w:val="auto"/>
        </w:rPr>
        <w:t>、供应商资格要求（实质性要求）</w:t>
      </w:r>
      <w:r>
        <w:rPr>
          <w:rFonts w:ascii="Times New Roman" w:hAnsi="Times New Roman" w:eastAsia="宋体" w:cs="Times New Roman"/>
          <w:color w:val="auto"/>
        </w:rPr>
        <w:tab/>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（一）投标人须具备《中华人民共和国政府采购法》第二十二条第一款规定的条件，提供以下材料：</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1. </w:t>
      </w:r>
      <w:r>
        <w:rPr>
          <w:rFonts w:hint="eastAsia" w:ascii="Times New Roman" w:eastAsia="宋体" w:cs="Times New Roman" w:hAnsiTheme="minorEastAsia"/>
          <w:color w:val="auto"/>
        </w:rPr>
        <w:t>营业执照副本或事业单位法人证书或民办非企业单位登记证书或社会团体法人登记证书或基金会法人登记证书扫描件。</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 经第三方会计师事务所审计的2023年度财务报告扫描件。</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4. </w:t>
      </w:r>
      <w:r>
        <w:rPr>
          <w:rFonts w:hint="eastAsia" w:ascii="Times New Roman" w:eastAsia="宋体" w:cs="Times New Roman" w:hAnsiTheme="minorEastAsia"/>
          <w:color w:val="auto"/>
        </w:rPr>
        <w:t>投标截止日前</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年在经营活动中没有重大违法记录的书面声明（截至开标日成立不足</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年的供应商可提供自成立以来无重大违法记录的书面声明）。</w:t>
      </w:r>
    </w:p>
    <w:p>
      <w:pPr>
        <w:pStyle w:val="33"/>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（二）本项目不接受联合体投标。</w:t>
      </w:r>
    </w:p>
    <w:p>
      <w:pPr>
        <w:pStyle w:val="33"/>
        <w:spacing w:line="360" w:lineRule="auto"/>
        <w:ind w:firstLine="448" w:firstLineChars="200"/>
        <w:jc w:val="both"/>
        <w:rPr>
          <w:rFonts w:ascii="Times New Roman" w:hAnsi="Times New Roman" w:eastAsia="宋体" w:cs="Times New Roman"/>
          <w:color w:val="auto"/>
        </w:rPr>
      </w:pPr>
      <w:bookmarkStart w:id="1" w:name="_Toc412903615"/>
      <w:r>
        <w:rPr>
          <w:rFonts w:hint="eastAsia" w:ascii="Times New Roman" w:eastAsia="宋体" w:cs="Times New Roman" w:hAnsiTheme="minorEastAsia"/>
          <w:color w:val="auto"/>
        </w:rPr>
        <w:t>五</w:t>
      </w:r>
      <w:r>
        <w:rPr>
          <w:rFonts w:ascii="Times New Roman" w:eastAsia="宋体" w:cs="Times New Roman" w:hAnsiTheme="minorEastAsia"/>
          <w:color w:val="auto"/>
        </w:rPr>
        <w:t>、项目需要落实的政府采购政策</w:t>
      </w:r>
    </w:p>
    <w:p>
      <w:pPr>
        <w:pStyle w:val="33"/>
        <w:spacing w:line="360" w:lineRule="auto"/>
        <w:ind w:firstLine="448" w:firstLineChars="200"/>
        <w:rPr>
          <w:rFonts w:ascii="Times New Roman" w:hAnsi="Times New Roman" w:eastAsia="宋体"/>
          <w:color w:val="auto"/>
        </w:rPr>
      </w:pPr>
      <w:r>
        <w:rPr>
          <w:rFonts w:hint="eastAsia" w:ascii="Times New Roman" w:eastAsia="宋体" w:hAnsiTheme="minorEastAsia"/>
          <w:color w:val="auto"/>
        </w:rPr>
        <w:t>（一）</w:t>
      </w:r>
      <w:bookmarkStart w:id="2" w:name="OLE_LINK1"/>
      <w:bookmarkStart w:id="3" w:name="OLE_LINK2"/>
      <w:bookmarkStart w:id="4" w:name="OLE_LINK3"/>
      <w:r>
        <w:rPr>
          <w:rFonts w:hint="eastAsia" w:ascii="Times New Roman" w:eastAsia="宋体" w:hAnsiTheme="minorEastAsia"/>
          <w:color w:val="auto"/>
        </w:rPr>
        <w:t>按照《关于调整优化节能产品、环境标志产品政府采购执行机制的通知》（财库〔</w:t>
      </w:r>
      <w:r>
        <w:rPr>
          <w:rFonts w:hint="eastAsia" w:ascii="Times New Roman" w:hAnsi="Times New Roman" w:eastAsia="宋体"/>
          <w:color w:val="auto"/>
        </w:rPr>
        <w:t>2019</w:t>
      </w:r>
      <w:r>
        <w:rPr>
          <w:rFonts w:hint="eastAsia" w:ascii="Times New Roman" w:eastAsia="宋体" w:hAnsiTheme="minorEastAsia"/>
          <w:color w:val="auto"/>
        </w:rPr>
        <w:t>〕</w:t>
      </w:r>
      <w:r>
        <w:rPr>
          <w:rFonts w:hint="eastAsia" w:ascii="Times New Roman" w:hAnsi="Times New Roman" w:eastAsia="宋体"/>
          <w:color w:val="auto"/>
        </w:rPr>
        <w:t>9</w:t>
      </w:r>
      <w:r>
        <w:rPr>
          <w:rFonts w:hint="eastAsia" w:ascii="Times New Roman" w:eastAsia="宋体" w:hAnsiTheme="minorEastAsia"/>
          <w:color w:val="auto"/>
        </w:rPr>
        <w:t>号）、《关于印发环境标志产品政府采购品目清单的通知》</w:t>
      </w:r>
      <w:bookmarkStart w:id="5" w:name="OLE_LINK4"/>
      <w:bookmarkStart w:id="6" w:name="OLE_LINK5"/>
      <w:r>
        <w:rPr>
          <w:rFonts w:hint="eastAsia" w:ascii="Times New Roman" w:eastAsia="宋体" w:hAnsiTheme="minorEastAsia"/>
          <w:color w:val="auto"/>
        </w:rPr>
        <w:t>（财库〔</w:t>
      </w:r>
      <w:r>
        <w:rPr>
          <w:rFonts w:hint="eastAsia" w:ascii="Times New Roman" w:hAnsi="Times New Roman" w:eastAsia="宋体"/>
          <w:color w:val="auto"/>
        </w:rPr>
        <w:t>2019</w:t>
      </w:r>
      <w:r>
        <w:rPr>
          <w:rFonts w:hint="eastAsia" w:ascii="Times New Roman" w:eastAsia="宋体" w:hAnsiTheme="minorEastAsia"/>
          <w:color w:val="auto"/>
        </w:rPr>
        <w:t>〕</w:t>
      </w:r>
      <w:r>
        <w:rPr>
          <w:rFonts w:hint="eastAsia" w:ascii="Times New Roman" w:hAnsi="Times New Roman" w:eastAsia="宋体"/>
          <w:color w:val="auto"/>
        </w:rPr>
        <w:t>18</w:t>
      </w:r>
      <w:r>
        <w:rPr>
          <w:rFonts w:hint="eastAsia" w:ascii="Times New Roman" w:eastAsia="宋体" w:hAnsiTheme="minorEastAsia"/>
          <w:color w:val="auto"/>
        </w:rPr>
        <w:t>号）</w:t>
      </w:r>
      <w:bookmarkEnd w:id="5"/>
      <w:bookmarkEnd w:id="6"/>
      <w:r>
        <w:rPr>
          <w:rFonts w:hint="eastAsia" w:ascii="Times New Roman" w:eastAsia="宋体" w:hAnsiTheme="minorEastAsia"/>
          <w:color w:val="auto"/>
        </w:rPr>
        <w:t>、《关于印发节能产品政府采购品目清单的通知》（财库〔</w:t>
      </w:r>
      <w:r>
        <w:rPr>
          <w:rFonts w:hint="eastAsia" w:ascii="Times New Roman" w:hAnsi="Times New Roman" w:eastAsia="宋体"/>
          <w:color w:val="auto"/>
        </w:rPr>
        <w:t>2019</w:t>
      </w:r>
      <w:r>
        <w:rPr>
          <w:rFonts w:hint="eastAsia" w:ascii="Times New Roman" w:eastAsia="宋体" w:hAnsiTheme="minorEastAsia"/>
          <w:color w:val="auto"/>
        </w:rPr>
        <w:t>〕</w:t>
      </w:r>
      <w:r>
        <w:rPr>
          <w:rFonts w:hint="eastAsia" w:ascii="Times New Roman" w:hAnsi="Times New Roman" w:eastAsia="宋体"/>
          <w:color w:val="auto"/>
        </w:rPr>
        <w:t>19</w:t>
      </w:r>
      <w:r>
        <w:rPr>
          <w:rFonts w:hint="eastAsia" w:ascii="Times New Roman" w:eastAsia="宋体" w:hAnsiTheme="minorEastAsia"/>
          <w:color w:val="auto"/>
        </w:rPr>
        <w:t>号）、《市场监管总局关于发布参与实施政府采购节能产品、环境标志产品认证机构名录的公告》（</w:t>
      </w:r>
      <w:r>
        <w:rPr>
          <w:rFonts w:hint="eastAsia" w:ascii="Times New Roman" w:hAnsi="Times New Roman" w:eastAsia="宋体"/>
          <w:color w:val="auto"/>
        </w:rPr>
        <w:t>2019</w:t>
      </w:r>
      <w:r>
        <w:rPr>
          <w:rFonts w:hint="eastAsia" w:ascii="Times New Roman" w:eastAsia="宋体" w:hAnsiTheme="minorEastAsia"/>
          <w:color w:val="auto"/>
        </w:rPr>
        <w:t>年第</w:t>
      </w:r>
      <w:r>
        <w:rPr>
          <w:rFonts w:hint="eastAsia" w:ascii="Times New Roman" w:hAnsi="Times New Roman" w:eastAsia="宋体"/>
          <w:color w:val="auto"/>
        </w:rPr>
        <w:t>16</w:t>
      </w:r>
      <w:r>
        <w:rPr>
          <w:rFonts w:hint="eastAsia" w:ascii="Times New Roman" w:eastAsia="宋体" w:hAnsiTheme="minorEastAsia"/>
          <w:color w:val="auto"/>
        </w:rPr>
        <w:t>号）等文件要求，对</w:t>
      </w:r>
      <w:r>
        <w:rPr>
          <w:rFonts w:ascii="Times New Roman" w:eastAsia="宋体" w:hAnsiTheme="minorEastAsia"/>
          <w:color w:val="auto"/>
        </w:rPr>
        <w:t>政府采购节能、环境标志品目清单</w:t>
      </w:r>
      <w:r>
        <w:rPr>
          <w:rFonts w:hint="eastAsia" w:ascii="Times New Roman" w:eastAsia="宋体" w:hAnsiTheme="minorEastAsia"/>
          <w:color w:val="auto"/>
        </w:rPr>
        <w:t>内的产品实施优先采购和强制采购的评标方法。</w:t>
      </w:r>
      <w:bookmarkEnd w:id="2"/>
      <w:bookmarkEnd w:id="3"/>
      <w:bookmarkEnd w:id="4"/>
    </w:p>
    <w:p>
      <w:pPr>
        <w:pStyle w:val="33"/>
        <w:spacing w:line="360" w:lineRule="auto"/>
        <w:ind w:firstLine="448" w:firstLineChars="200"/>
        <w:jc w:val="both"/>
        <w:rPr>
          <w:rFonts w:ascii="Times New Roman" w:hAnsi="Times New Roman" w:eastAsia="宋体"/>
          <w:color w:val="auto"/>
        </w:rPr>
      </w:pPr>
      <w:r>
        <w:rPr>
          <w:rFonts w:hint="eastAsia" w:ascii="Times New Roman" w:eastAsia="宋体" w:hAnsiTheme="minorEastAsia"/>
          <w:color w:val="auto"/>
        </w:rPr>
        <w:t>（二）按照《财政部关于在政府采购活动中查询及使用信用记录有关问题的通知》（财库〔</w:t>
      </w:r>
      <w:r>
        <w:rPr>
          <w:rFonts w:hint="eastAsia" w:ascii="Times New Roman" w:hAnsi="Times New Roman" w:eastAsia="宋体"/>
          <w:color w:val="auto"/>
        </w:rPr>
        <w:t>2016</w:t>
      </w:r>
      <w:r>
        <w:rPr>
          <w:rFonts w:hint="eastAsia" w:ascii="Times New Roman" w:eastAsia="宋体" w:hAnsiTheme="minorEastAsia"/>
          <w:color w:val="auto"/>
        </w:rPr>
        <w:t>〕</w:t>
      </w:r>
      <w:r>
        <w:rPr>
          <w:rFonts w:hint="eastAsia" w:ascii="Times New Roman" w:hAnsi="Times New Roman" w:eastAsia="宋体"/>
          <w:color w:val="auto"/>
        </w:rPr>
        <w:t>125</w:t>
      </w:r>
      <w:r>
        <w:rPr>
          <w:rFonts w:hint="eastAsia" w:ascii="Times New Roman" w:eastAsia="宋体" w:hAnsiTheme="minorEastAsia"/>
          <w:color w:val="auto"/>
        </w:rPr>
        <w:t>号）的要求，根据开标当日解密截止时间</w:t>
      </w:r>
      <w:r>
        <w:rPr>
          <w:rFonts w:hint="eastAsia" w:ascii="Times New Roman" w:hAnsi="Times New Roman" w:eastAsia="宋体"/>
          <w:color w:val="auto"/>
        </w:rPr>
        <w:t>“</w:t>
      </w:r>
      <w:r>
        <w:rPr>
          <w:rFonts w:hint="eastAsia" w:ascii="Times New Roman" w:eastAsia="宋体" w:hAnsiTheme="minorEastAsia"/>
          <w:color w:val="auto"/>
        </w:rPr>
        <w:t>信用中国</w:t>
      </w:r>
      <w:r>
        <w:rPr>
          <w:rFonts w:hint="eastAsia" w:ascii="Times New Roman" w:hAnsi="Times New Roman" w:eastAsia="宋体"/>
          <w:color w:val="auto"/>
        </w:rPr>
        <w:t>”</w:t>
      </w:r>
      <w:r>
        <w:rPr>
          <w:rFonts w:hint="eastAsia" w:ascii="Times New Roman" w:eastAsia="宋体" w:hAnsiTheme="minorEastAsia"/>
          <w:color w:val="auto"/>
        </w:rPr>
        <w:t>网站（</w:t>
      </w:r>
      <w:r>
        <w:fldChar w:fldCharType="begin"/>
      </w:r>
      <w:r>
        <w:instrText xml:space="preserve"> HYPERLINK "http://www.creditchina.gov.cn/" </w:instrText>
      </w:r>
      <w:r>
        <w:fldChar w:fldCharType="separate"/>
      </w:r>
      <w:r>
        <w:rPr>
          <w:rStyle w:val="27"/>
          <w:rFonts w:hint="eastAsia" w:ascii="Times New Roman" w:hAnsi="Times New Roman" w:eastAsia="宋体"/>
        </w:rPr>
        <w:t>www.creditchina.gov.cn</w:t>
      </w:r>
      <w:r>
        <w:rPr>
          <w:rStyle w:val="27"/>
          <w:rFonts w:hint="eastAsia" w:ascii="Times New Roman" w:hAnsi="Times New Roman" w:eastAsia="宋体"/>
        </w:rPr>
        <w:fldChar w:fldCharType="end"/>
      </w:r>
      <w:r>
        <w:rPr>
          <w:rFonts w:hint="eastAsia" w:ascii="Times New Roman" w:eastAsia="宋体" w:hAnsiTheme="minorEastAsia"/>
          <w:color w:val="auto"/>
        </w:rPr>
        <w:t>）、中国政府采购网（</w:t>
      </w:r>
      <w:r>
        <w:fldChar w:fldCharType="begin"/>
      </w:r>
      <w:r>
        <w:instrText xml:space="preserve"> HYPERLINK "http://www.ccgp.gov.cn/" </w:instrText>
      </w:r>
      <w:r>
        <w:fldChar w:fldCharType="separate"/>
      </w:r>
      <w:r>
        <w:rPr>
          <w:rStyle w:val="27"/>
          <w:rFonts w:ascii="Times New Roman" w:hAnsi="Times New Roman" w:eastAsia="宋体" w:cs="Times New Roman"/>
        </w:rPr>
        <w:t>http://www.ccgp.gov.cn/</w:t>
      </w:r>
      <w:r>
        <w:rPr>
          <w:rStyle w:val="27"/>
          <w:rFonts w:ascii="Times New Roman" w:hAnsi="Times New Roman" w:eastAsia="宋体" w:cs="Times New Roman"/>
        </w:rPr>
        <w:fldChar w:fldCharType="end"/>
      </w:r>
      <w:r>
        <w:rPr>
          <w:rFonts w:hint="eastAsia" w:ascii="Times New Roman" w:eastAsia="宋体" w:hAnsiTheme="minor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pPr>
        <w:pStyle w:val="33"/>
        <w:spacing w:line="360" w:lineRule="auto"/>
        <w:ind w:firstLine="448" w:firstLineChars="200"/>
        <w:jc w:val="both"/>
        <w:rPr>
          <w:rFonts w:ascii="Times New Roman" w:hAnsi="Times New Roman" w:eastAsia="宋体"/>
          <w:color w:val="auto"/>
        </w:rPr>
      </w:pPr>
      <w:r>
        <w:rPr>
          <w:rFonts w:hint="eastAsia" w:ascii="Times New Roman" w:eastAsia="宋体" w:hAnsiTheme="minorEastAsia"/>
          <w:color w:val="auto"/>
        </w:rPr>
        <w:t>（三）</w:t>
      </w:r>
      <w:r>
        <w:rPr>
          <w:rFonts w:hint="eastAsia" w:ascii="Times New Roman" w:eastAsia="宋体" w:cs="Times New Roman" w:hAnsiTheme="minorEastAsia"/>
          <w:color w:val="auto"/>
        </w:rPr>
        <w:t>根据《政府采购促进中小企业发展管理办法》（财库</w:t>
      </w:r>
      <w:r>
        <w:rPr>
          <w:rFonts w:hint="eastAsia" w:ascii="Times New Roman" w:hAnsi="Times New Roman" w:eastAsia="宋体" w:cs="Times New Roman"/>
          <w:color w:val="auto"/>
        </w:rPr>
        <w:t>[2020]46</w:t>
      </w:r>
      <w:r>
        <w:rPr>
          <w:rFonts w:hint="eastAsia" w:ascii="Times New Roman" w:eastAsia="宋体" w:cs="Times New Roman" w:hAnsiTheme="minorEastAsia"/>
          <w:color w:val="auto"/>
        </w:rPr>
        <w:t>号）规定，全部货物均由中小企业制造的，对符合规定的小微企业制造的产品报价给予</w:t>
      </w:r>
      <w:r>
        <w:rPr>
          <w:rFonts w:ascii="Times New Roman" w:hAnsi="Times New Roman" w:eastAsia="宋体" w:cs="Times New Roman"/>
          <w:color w:val="auto"/>
        </w:rPr>
        <w:t>20</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的扣除。货物既有中小企业制造的货物，也有大型企业制造的货物，不享受此扶持政策。</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hAnsiTheme="minorEastAsia"/>
          <w:color w:val="auto"/>
        </w:rPr>
        <w:t>（四）</w:t>
      </w:r>
      <w:r>
        <w:rPr>
          <w:rFonts w:ascii="Times New Roman" w:eastAsia="宋体" w:cs="Times New Roman" w:hAnsiTheme="minorEastAsia"/>
          <w:color w:val="auto"/>
        </w:rPr>
        <w:t>根据财政部发布的《关于政府采购支持监狱企业发展有关问题的通知》规定，监狱企业视同小微企业。</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hAnsiTheme="minorEastAsia"/>
          <w:color w:val="auto"/>
        </w:rPr>
        <w:t>（五）</w:t>
      </w:r>
      <w:r>
        <w:rPr>
          <w:rFonts w:ascii="Times New Roman" w:eastAsia="宋体" w:cs="Times New Roman" w:hAnsiTheme="minorEastAsia"/>
          <w:color w:val="auto"/>
        </w:rPr>
        <w:t>根据财政部、民政部、中国残疾人联合会发布的《关于促进残疾人就业政府采购政策的通知》规定，残疾人福利性单位视同小微企业。</w:t>
      </w:r>
    </w:p>
    <w:p>
      <w:pPr>
        <w:pStyle w:val="33"/>
        <w:spacing w:line="360" w:lineRule="auto"/>
        <w:ind w:firstLine="448" w:firstLineChars="200"/>
        <w:jc w:val="both"/>
        <w:rPr>
          <w:rFonts w:ascii="Times New Roman" w:hAnsi="Times New Roman" w:eastAsia="宋体"/>
          <w:color w:val="auto"/>
        </w:rPr>
      </w:pPr>
      <w:r>
        <w:rPr>
          <w:rFonts w:hint="eastAsia" w:ascii="Times New Roman" w:eastAsia="宋体" w:hAnsiTheme="minorEastAsia"/>
          <w:color w:val="auto"/>
        </w:rPr>
        <w:t>注：中小微企业以投标人填写的《中小企业声明函》为判定标准，残疾人福利性单位以投标人填写的《残疾人福利性单位声明函》为判定标准，监狱企业须投标人提供由省级以上监</w:t>
      </w:r>
      <w:r>
        <w:rPr>
          <w:rFonts w:hint="eastAsia" w:ascii="Times New Roman" w:eastAsia="宋体" w:cs="Times New Roman" w:hAnsiTheme="minorEastAsia"/>
          <w:color w:val="auto"/>
        </w:rPr>
        <w:t>狱管理局、戒毒管理局（含新疆生产建设兵团）出具的属于监狱企业的证明文件，否则不予认定。以上政策不重复享受。</w:t>
      </w:r>
    </w:p>
    <w:p>
      <w:pPr>
        <w:pStyle w:val="33"/>
        <w:spacing w:line="360" w:lineRule="auto"/>
        <w:ind w:firstLine="448" w:firstLineChars="200"/>
        <w:jc w:val="both"/>
        <w:rPr>
          <w:rFonts w:ascii="Times New Roman" w:hAnsi="Times New Roman" w:eastAsia="宋体"/>
          <w:color w:val="auto"/>
        </w:rPr>
      </w:pPr>
      <w:r>
        <w:rPr>
          <w:rFonts w:hint="eastAsia" w:ascii="Times New Roman" w:eastAsia="宋体" w:hAnsiTheme="minorEastAsia"/>
          <w:color w:val="auto"/>
        </w:rPr>
        <w:t>（六）涉及商品包装或快递包装的，按照《财政部办公厅、生态环境部办公厅、国家邮政局办公室关于印发</w:t>
      </w:r>
      <w:r>
        <w:rPr>
          <w:rFonts w:hint="eastAsia" w:ascii="Times New Roman" w:hAnsi="Times New Roman" w:eastAsia="宋体"/>
          <w:color w:val="auto"/>
        </w:rPr>
        <w:t>&lt;</w:t>
      </w:r>
      <w:r>
        <w:rPr>
          <w:rFonts w:hint="eastAsia" w:ascii="Times New Roman" w:eastAsia="宋体" w:hAnsiTheme="minorEastAsia"/>
          <w:color w:val="auto"/>
        </w:rPr>
        <w:t>商品包装政府采购需求标准（试行）</w:t>
      </w:r>
      <w:r>
        <w:rPr>
          <w:rFonts w:hint="eastAsia" w:ascii="Times New Roman" w:hAnsi="Times New Roman" w:eastAsia="宋体"/>
          <w:color w:val="auto"/>
        </w:rPr>
        <w:t>&gt;</w:t>
      </w:r>
      <w:r>
        <w:rPr>
          <w:rFonts w:hint="eastAsia" w:ascii="Times New Roman" w:eastAsia="宋体" w:hAnsiTheme="minorEastAsia"/>
          <w:color w:val="auto"/>
        </w:rPr>
        <w:t>、</w:t>
      </w:r>
      <w:r>
        <w:rPr>
          <w:rFonts w:hint="eastAsia" w:ascii="Times New Roman" w:hAnsi="Times New Roman" w:eastAsia="宋体"/>
          <w:color w:val="auto"/>
        </w:rPr>
        <w:t>&lt;</w:t>
      </w:r>
      <w:r>
        <w:rPr>
          <w:rFonts w:hint="eastAsia" w:ascii="Times New Roman" w:eastAsia="宋体" w:hAnsiTheme="minorEastAsia"/>
          <w:color w:val="auto"/>
        </w:rPr>
        <w:t>快递包装政府采购需求标准（试行）</w:t>
      </w:r>
      <w:r>
        <w:rPr>
          <w:rFonts w:hint="eastAsia" w:ascii="Times New Roman" w:hAnsi="Times New Roman" w:eastAsia="宋体"/>
          <w:color w:val="auto"/>
        </w:rPr>
        <w:t>&gt;</w:t>
      </w:r>
      <w:r>
        <w:rPr>
          <w:rFonts w:hint="eastAsia" w:ascii="Times New Roman" w:eastAsia="宋体" w:hAnsiTheme="minorEastAsia"/>
          <w:color w:val="auto"/>
        </w:rPr>
        <w:t>的通知》（财办库〔</w:t>
      </w:r>
      <w:r>
        <w:rPr>
          <w:rFonts w:hint="eastAsia" w:ascii="Times New Roman" w:hAnsi="Times New Roman" w:eastAsia="宋体"/>
          <w:color w:val="auto"/>
        </w:rPr>
        <w:t>2020</w:t>
      </w:r>
      <w:r>
        <w:rPr>
          <w:rFonts w:hint="eastAsia" w:ascii="Times New Roman" w:eastAsia="宋体" w:hAnsiTheme="minorEastAsia"/>
          <w:color w:val="auto"/>
        </w:rPr>
        <w:t>〕</w:t>
      </w:r>
      <w:r>
        <w:rPr>
          <w:rFonts w:hint="eastAsia" w:ascii="Times New Roman" w:hAnsi="Times New Roman" w:eastAsia="宋体"/>
          <w:color w:val="auto"/>
        </w:rPr>
        <w:t>123</w:t>
      </w:r>
      <w:r>
        <w:rPr>
          <w:rFonts w:hint="eastAsia" w:ascii="Times New Roman" w:eastAsia="宋体" w:hAnsiTheme="minorEastAsia"/>
          <w:color w:val="auto"/>
        </w:rPr>
        <w:t>号）要求执行。</w:t>
      </w:r>
    </w:p>
    <w:p>
      <w:pPr>
        <w:pStyle w:val="33"/>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注：金融机构相关信息请登录天津市政府采购网政采贷板块（网址：http://tjgp.cz.tj.gov.cn/zcd/zcdList.jsp）了解。</w:t>
      </w:r>
    </w:p>
    <w:p>
      <w:pPr>
        <w:pStyle w:val="33"/>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pPr>
        <w:pStyle w:val="33"/>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（一）获取招标文件时间：2024</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日至</w:t>
      </w:r>
      <w:r>
        <w:rPr>
          <w:rFonts w:ascii="Times New Roman" w:hAnsi="Times New Roman" w:eastAsia="宋体" w:cs="Times New Roman"/>
          <w:color w:val="auto"/>
        </w:rPr>
        <w:t>2024</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日</w:t>
      </w:r>
      <w:r>
        <w:rPr>
          <w:rFonts w:hint="eastAsia" w:ascii="Times New Roman" w:hAnsi="Times New Roman" w:eastAsia="宋体" w:cs="Times New Roman"/>
          <w:color w:val="auto"/>
        </w:rPr>
        <w:t>，每日</w:t>
      </w:r>
      <w:r>
        <w:rPr>
          <w:rFonts w:ascii="Times New Roman" w:hAnsi="Times New Roman" w:eastAsia="宋体" w:cs="Times New Roman"/>
          <w:color w:val="auto"/>
        </w:rPr>
        <w:t>9:00</w:t>
      </w:r>
      <w:r>
        <w:rPr>
          <w:rFonts w:hint="eastAsia" w:ascii="Times New Roman" w:hAnsi="Times New Roman" w:eastAsia="宋体" w:cs="Times New Roman"/>
          <w:color w:val="auto"/>
        </w:rPr>
        <w:t>至</w:t>
      </w:r>
      <w:r>
        <w:rPr>
          <w:rFonts w:ascii="Times New Roman" w:hAnsi="Times New Roman" w:eastAsia="宋体"/>
        </w:rPr>
        <w:t>17:00</w:t>
      </w:r>
      <w:r>
        <w:rPr>
          <w:rFonts w:hint="eastAsia" w:ascii="Times New Roman" w:hAnsi="Times New Roman" w:eastAsia="宋体"/>
        </w:rPr>
        <w:t>（北京时间，法定节假日除外）。</w:t>
      </w:r>
    </w:p>
    <w:p>
      <w:pPr>
        <w:pStyle w:val="33"/>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pPr>
        <w:pStyle w:val="33"/>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1.获取招标文件网址：使用天津市中环认证服务有限公司发出的CA数字证书（原天津市电子认证中心发出尚在有效期内的CA数字证书仍可使用）登录天津市政府采购中心网（网址：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下载招标文件。</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供应商注册、CA数字证书（USBKey）领取、电子签章办理办法：</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）首页点击“供应商注册”，填写相关内容。天津市政府采购中心注册窗口联系电话：022-24538316。</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（2）CA数字证书（USBKey）领取及电子签章办理：参见天津市政府采购中心网（</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）--服务指南--供应商注册、领取CA数字证书（USBKey）及电子签章制章的流程。</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电子签章办理联系电话：022-24538316。</w:t>
      </w:r>
    </w:p>
    <w:p>
      <w:pPr>
        <w:pStyle w:val="33"/>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pPr>
        <w:pStyle w:val="33"/>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2024年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日9:00至2024年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日8:30</w:t>
      </w:r>
      <w:r>
        <w:rPr>
          <w:rFonts w:ascii="Times New Roman" w:hAnsi="Times New Roman" w:eastAsia="宋体" w:cs="Times New Roman"/>
          <w:color w:val="auto"/>
        </w:rPr>
        <w:t>，使用天津市中环认证服务有限公司发出的CA数字证书（原天津市电子认证中心发出尚在有效期内的CA数字证书仍可使用）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pPr>
        <w:pStyle w:val="33"/>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pPr>
        <w:pStyle w:val="33"/>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pPr>
        <w:pStyle w:val="33"/>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时间：2024年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hint="eastAsia" w:ascii="Times New Roman" w:hAnsi="Times New Roman" w:eastAsia="宋体" w:cs="Times New Roman"/>
          <w:color w:val="auto"/>
          <w:szCs w:val="21"/>
        </w:rPr>
        <w:t>投标截止时间前提交网上应答并上传加盖投标人电子签章的电子投标文件（以通过天津公共资源电子签章客户端正确读取签章信息为准）方为有效投标。</w:t>
      </w:r>
    </w:p>
    <w:p>
      <w:pPr>
        <w:pStyle w:val="33"/>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：本项目投标采用网上电子投标方式，投标人须于投标截止时间前使用天津市中环认证服务有限公司发出的CA数字证书（原天津市电子认证中心发出尚在有效期内的CA数字证书仍可使用）登陆</w:t>
      </w:r>
      <w:r>
        <w:rPr>
          <w:rFonts w:hint="eastAsia" w:ascii="Times New Roman" w:hAnsi="Times New Roman" w:eastAsia="宋体" w:cs="Times New Roman"/>
          <w:color w:val="auto"/>
        </w:rPr>
        <w:t>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n）-“网上招投标”-“供应商登录”-“区级集采机构入口”提交网上应答并上传加盖投标人电子签章的PDF格式电子投标文件（以通过天津公共资源电子签章客户端正确读取签章信息为准）。</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pPr>
        <w:pStyle w:val="33"/>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（一）开标解密时间：2024年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pPr>
        <w:pStyle w:val="33"/>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内使用天津市中环认证服务有限公司发出的CA数字证书（原天津市电子认证中心发出尚在有效期内的CA数字证书仍可使用）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完成开标解密。</w:t>
      </w:r>
    </w:p>
    <w:p>
      <w:pPr>
        <w:pStyle w:val="33"/>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（三）网上开标公示时间：2024年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ascii="Times New Roman" w:hAnsi="Times New Roman" w:eastAsia="宋体" w:cs="Times New Roman"/>
          <w:color w:val="auto"/>
        </w:rPr>
        <w:t>。</w:t>
      </w:r>
      <w:r>
        <w:rPr>
          <w:rFonts w:hint="eastAsia" w:ascii="Times New Roman" w:hAnsi="Times New Roman" w:eastAsia="宋体" w:cs="Times New Roman"/>
          <w:color w:val="auto"/>
        </w:rPr>
        <w:t>投标人可在规定时间内使用天津市中环认证服务有限公司发出的CA数字证书（原天津市电子认证中心发出尚在有效期内的CA数字证书仍可使用）登陆天津市政府采购中心网（网址：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）-“网上招投标”-“供应商登录”-“区级集采机构入口”自行查看开标信息。</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w:t>
      </w:r>
      <w:r>
        <w:rPr>
          <w:rFonts w:hint="eastAsia" w:ascii="Times New Roman" w:hAnsi="Times New Roman" w:eastAsia="宋体" w:cs="Times New Roman"/>
          <w:color w:val="auto"/>
        </w:rPr>
        <w:t>采购代理机构名称、地址、联系人及联系方式</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（一）采购代理机构名称：天津市滨海新区政府采购中心</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（二）采购代理机构地址：天津市滨海新区塘沽营口道468号</w:t>
      </w:r>
    </w:p>
    <w:p>
      <w:pPr>
        <w:pStyle w:val="33"/>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rPr>
        <w:t>夏冰</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供应商注册、电子签章办理咨询：022-24538316</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采购文件咨询：</w:t>
      </w:r>
      <w:r>
        <w:rPr>
          <w:rFonts w:ascii="Times New Roman" w:hAnsi="Times New Roman" w:eastAsia="宋体" w:cs="Times New Roman"/>
          <w:color w:val="auto"/>
        </w:rPr>
        <w:t>022-</w:t>
      </w:r>
      <w:r>
        <w:rPr>
          <w:rFonts w:hint="eastAsia" w:ascii="Times New Roman" w:hAnsi="Times New Roman" w:eastAsia="宋体" w:cs="Times New Roman"/>
          <w:color w:val="auto"/>
        </w:rPr>
        <w:t>25866107</w:t>
      </w:r>
    </w:p>
    <w:p>
      <w:pPr>
        <w:pStyle w:val="33"/>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 </w:t>
      </w:r>
      <w:r>
        <w:rPr>
          <w:rFonts w:hint="eastAsia" w:ascii="Times New Roman" w:hAnsi="Times New Roman" w:eastAsia="宋体" w:cs="Times New Roman"/>
          <w:color w:val="auto"/>
        </w:rPr>
        <w:t>网上应答操作咨询：</w:t>
      </w:r>
      <w:r>
        <w:rPr>
          <w:rFonts w:ascii="Times New Roman" w:hAnsi="Times New Roman" w:eastAsia="宋体" w:cs="Times New Roman"/>
          <w:color w:val="auto"/>
        </w:rPr>
        <w:t>022-2453</w:t>
      </w:r>
      <w:r>
        <w:rPr>
          <w:rFonts w:hint="eastAsia" w:ascii="Times New Roman" w:hAnsi="Times New Roman" w:eastAsia="宋体" w:cs="Times New Roman"/>
          <w:color w:val="auto"/>
        </w:rPr>
        <w:t>8309</w:t>
      </w:r>
    </w:p>
    <w:p>
      <w:pPr>
        <w:pStyle w:val="33"/>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4. </w:t>
      </w:r>
      <w:r>
        <w:rPr>
          <w:rFonts w:hint="eastAsia" w:ascii="Times New Roman" w:hAnsi="Times New Roman" w:eastAsia="宋体" w:cs="Times New Roman"/>
          <w:color w:val="auto"/>
        </w:rPr>
        <w:t>解密操作咨询：</w:t>
      </w:r>
      <w:r>
        <w:rPr>
          <w:rFonts w:ascii="Times New Roman" w:hAnsi="Times New Roman" w:eastAsia="宋体" w:cs="Times New Roman"/>
          <w:color w:val="auto"/>
        </w:rPr>
        <w:t>022-24538309</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（七）邮箱：bhzfzcb@tj.gov.cn</w:t>
      </w:r>
    </w:p>
    <w:p>
      <w:pPr>
        <w:pStyle w:val="33"/>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pPr>
        <w:pStyle w:val="33"/>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天津市南开中学滨海生态城学校 </w:t>
      </w:r>
    </w:p>
    <w:p>
      <w:pPr>
        <w:pStyle w:val="33"/>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中新天津生态城中天大道4666号 </w:t>
      </w:r>
    </w:p>
    <w:p>
      <w:pPr>
        <w:pStyle w:val="33"/>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高展雄 </w:t>
      </w:r>
    </w:p>
    <w:p>
      <w:pPr>
        <w:pStyle w:val="33"/>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022-25265711 </w:t>
      </w:r>
    </w:p>
    <w:p>
      <w:pPr>
        <w:pStyle w:val="33"/>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采购人针对采购文件质疑受理：</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1.联系部门：总务处 </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2.联系人：高展雄 </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3.联系方式：15900215588 </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4.联系地址：中新天津生态城中天大道4666号 </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（二）供应商对质疑答复不满意的，或者采购人、天津市滨海新区政府采购中心未在规定期限内作出答复的，供应商可以在质疑答复期满后15个工作日内，向</w:t>
      </w:r>
      <w:r>
        <w:rPr>
          <w:rFonts w:ascii="Times New Roman" w:hAnsi="Times New Roman" w:eastAsia="宋体" w:cs="Times New Roman"/>
          <w:color w:val="auto"/>
        </w:rPr>
        <w:t>天津市</w:t>
      </w:r>
      <w:r>
        <w:rPr>
          <w:rFonts w:hint="eastAsia" w:ascii="Times New Roman" w:hAnsi="Times New Roman" w:eastAsia="宋体" w:cs="Times New Roman"/>
          <w:color w:val="auto"/>
        </w:rPr>
        <w:t>滨海新区</w:t>
      </w:r>
      <w:r>
        <w:rPr>
          <w:rFonts w:ascii="Times New Roman" w:hAnsi="Times New Roman" w:eastAsia="宋体" w:cs="Times New Roman"/>
          <w:color w:val="auto"/>
        </w:rPr>
        <w:t>财政局</w:t>
      </w:r>
      <w:r>
        <w:rPr>
          <w:rFonts w:hint="eastAsia" w:ascii="Times New Roman" w:hAnsi="Times New Roman" w:eastAsia="宋体" w:cs="Times New Roman"/>
          <w:color w:val="auto"/>
        </w:rPr>
        <w:t>政府采购办公室提出投诉，逾期不予受理。</w:t>
      </w:r>
    </w:p>
    <w:p>
      <w:pPr>
        <w:pStyle w:val="33"/>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pPr>
        <w:pStyle w:val="33"/>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pPr>
        <w:pStyle w:val="33"/>
        <w:spacing w:line="360" w:lineRule="auto"/>
        <w:ind w:firstLine="6720" w:firstLineChars="3000"/>
        <w:jc w:val="both"/>
        <w:rPr>
          <w:rFonts w:ascii="Times New Roman" w:hAnsi="Times New Roman" w:eastAsia="宋体"/>
          <w:bCs/>
          <w:color w:val="auto"/>
          <w:szCs w:val="44"/>
        </w:rPr>
      </w:pPr>
      <w:r>
        <w:rPr>
          <w:rFonts w:ascii="Times New Roman" w:hAnsi="Times New Roman" w:eastAsia="宋体" w:cs="Times New Roman"/>
          <w:color w:val="auto"/>
        </w:rPr>
        <w:t>2024年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w:t>
      </w:r>
    </w:p>
    <w:p>
      <w:pPr>
        <w:pStyle w:val="33"/>
        <w:spacing w:line="360" w:lineRule="auto"/>
        <w:ind w:firstLine="6720" w:firstLineChars="3000"/>
        <w:jc w:val="both"/>
        <w:rPr>
          <w:rFonts w:ascii="Times New Roman" w:hAnsi="Times New Roman" w:eastAsia="宋体"/>
          <w:b/>
          <w:bCs/>
          <w:kern w:val="28"/>
          <w:sz w:val="32"/>
          <w:szCs w:val="32"/>
        </w:rPr>
      </w:pPr>
      <w:r>
        <w:rPr>
          <w:rFonts w:ascii="Times New Roman" w:hAnsi="Times New Roman" w:eastAsia="宋体"/>
        </w:rPr>
        <w:br w:type="page"/>
      </w:r>
    </w:p>
    <w:p>
      <w:pPr>
        <w:pStyle w:val="16"/>
        <w:rPr>
          <w:rFonts w:ascii="Times New Roman" w:hAnsi="Times New Roman"/>
        </w:rPr>
      </w:pPr>
      <w:r>
        <w:rPr>
          <w:rFonts w:ascii="Times New Roman" w:hAnsiTheme="minorEastAsia"/>
        </w:rPr>
        <w:t>第</w:t>
      </w:r>
      <w:r>
        <w:rPr>
          <w:rFonts w:hint="eastAsia" w:ascii="Times New Roman" w:hAnsiTheme="minorEastAsia"/>
        </w:rPr>
        <w:t>二</w:t>
      </w:r>
      <w:r>
        <w:rPr>
          <w:rFonts w:ascii="Times New Roman" w:hAnsiTheme="minorEastAsia"/>
        </w:rPr>
        <w:t>部分招标项目要求</w:t>
      </w:r>
      <w:bookmarkEnd w:id="1"/>
    </w:p>
    <w:p>
      <w:pPr>
        <w:tabs>
          <w:tab w:val="left" w:pos="210"/>
        </w:tabs>
        <w:autoSpaceDE w:val="0"/>
        <w:autoSpaceDN w:val="0"/>
        <w:adjustRightInd w:val="0"/>
        <w:spacing w:line="360" w:lineRule="auto"/>
        <w:ind w:firstLine="448" w:firstLineChars="200"/>
        <w:outlineLvl w:val="0"/>
        <w:rPr>
          <w:color w:val="000000"/>
          <w:sz w:val="24"/>
          <w:szCs w:val="24"/>
        </w:rPr>
      </w:pPr>
      <w:r>
        <w:rPr>
          <w:rFonts w:hAnsiTheme="minorEastAsia"/>
          <w:color w:val="000000"/>
          <w:sz w:val="24"/>
          <w:szCs w:val="24"/>
        </w:rPr>
        <w:t>一、</w:t>
      </w:r>
      <w:r>
        <w:rPr>
          <w:rFonts w:hint="eastAsia" w:hAnsiTheme="minorEastAsia"/>
          <w:sz w:val="24"/>
          <w:szCs w:val="24"/>
        </w:rPr>
        <w:t>商务要求</w:t>
      </w:r>
    </w:p>
    <w:p>
      <w:pPr>
        <w:autoSpaceDE w:val="0"/>
        <w:autoSpaceDN w:val="0"/>
        <w:adjustRightInd w:val="0"/>
        <w:spacing w:line="360" w:lineRule="auto"/>
        <w:ind w:firstLine="448" w:firstLineChars="200"/>
        <w:rPr>
          <w:color w:val="000000"/>
          <w:sz w:val="24"/>
        </w:rPr>
      </w:pPr>
      <w:r>
        <w:rPr>
          <w:rFonts w:hint="eastAsia" w:hAnsiTheme="minorEastAsia"/>
          <w:kern w:val="0"/>
          <w:sz w:val="24"/>
          <w:szCs w:val="24"/>
        </w:rPr>
        <w:t>（一）</w:t>
      </w:r>
      <w:r>
        <w:rPr>
          <w:rFonts w:hint="eastAsia" w:hAnsiTheme="minorEastAsia"/>
          <w:color w:val="000000"/>
          <w:sz w:val="24"/>
        </w:rPr>
        <w:t>报价要求</w:t>
      </w:r>
    </w:p>
    <w:p>
      <w:pPr>
        <w:autoSpaceDE w:val="0"/>
        <w:autoSpaceDN w:val="0"/>
        <w:adjustRightInd w:val="0"/>
        <w:spacing w:line="360" w:lineRule="auto"/>
        <w:ind w:firstLine="448" w:firstLineChars="200"/>
        <w:rPr>
          <w:color w:val="000000"/>
          <w:sz w:val="24"/>
        </w:rPr>
      </w:pPr>
      <w:r>
        <w:rPr>
          <w:rFonts w:hint="eastAsia"/>
          <w:color w:val="000000"/>
          <w:sz w:val="24"/>
        </w:rPr>
        <w:t xml:space="preserve">1. </w:t>
      </w:r>
      <w:r>
        <w:rPr>
          <w:rFonts w:hint="eastAsia" w:hAnsiTheme="minorEastAsia"/>
          <w:color w:val="000000"/>
          <w:sz w:val="24"/>
        </w:rPr>
        <w:t>投标报价以人民币填列。</w:t>
      </w:r>
    </w:p>
    <w:p>
      <w:pPr>
        <w:autoSpaceDE w:val="0"/>
        <w:autoSpaceDN w:val="0"/>
        <w:adjustRightInd w:val="0"/>
        <w:spacing w:line="360" w:lineRule="auto"/>
        <w:ind w:firstLine="448" w:firstLineChars="200"/>
        <w:rPr>
          <w:sz w:val="24"/>
        </w:rPr>
      </w:pPr>
      <w:r>
        <w:rPr>
          <w:rFonts w:hint="eastAsia"/>
          <w:sz w:val="24"/>
        </w:rPr>
        <w:t xml:space="preserve">2. </w:t>
      </w:r>
      <w:r>
        <w:rPr>
          <w:rFonts w:hint="eastAsia" w:hAnsiTheme="minorEastAsia"/>
          <w:sz w:val="24"/>
        </w:rPr>
        <w:t>投标人的报价应包括：设备主机及附件货款、运输费、运输保险费、装卸费、安装调试费及其他应有的费用。投标人所报价格为货到现场安装调试完成的最终优惠价格。</w:t>
      </w:r>
    </w:p>
    <w:p>
      <w:pPr>
        <w:autoSpaceDE w:val="0"/>
        <w:autoSpaceDN w:val="0"/>
        <w:adjustRightInd w:val="0"/>
        <w:spacing w:line="360" w:lineRule="auto"/>
        <w:ind w:firstLine="448" w:firstLineChars="200"/>
        <w:rPr>
          <w:color w:val="000000"/>
          <w:sz w:val="24"/>
        </w:rPr>
      </w:pPr>
      <w:r>
        <w:rPr>
          <w:rFonts w:hint="eastAsia"/>
          <w:color w:val="000000"/>
          <w:sz w:val="24"/>
        </w:rPr>
        <w:t xml:space="preserve">3. </w:t>
      </w:r>
      <w:r>
        <w:rPr>
          <w:rFonts w:hint="eastAsia" w:hAnsiTheme="minorEastAsia"/>
          <w:color w:val="000000"/>
          <w:sz w:val="24"/>
        </w:rPr>
        <w:t>验收及相关费用由投标人负责。</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（二）服务要求</w:t>
      </w:r>
    </w:p>
    <w:p>
      <w:pPr>
        <w:autoSpaceDE w:val="0"/>
        <w:autoSpaceDN w:val="0"/>
        <w:adjustRightInd w:val="0"/>
        <w:spacing w:line="360" w:lineRule="auto"/>
        <w:ind w:firstLine="448" w:firstLineChars="200"/>
        <w:rPr>
          <w:sz w:val="24"/>
        </w:rPr>
      </w:pPr>
      <w:r>
        <w:rPr>
          <w:rFonts w:hint="eastAsia"/>
          <w:sz w:val="24"/>
        </w:rPr>
        <w:t xml:space="preserve">1. </w:t>
      </w:r>
      <w:r>
        <w:rPr>
          <w:rFonts w:hint="eastAsia" w:hAnsiTheme="minorEastAsia"/>
          <w:sz w:val="24"/>
        </w:rPr>
        <w:t>提供所投产品3年的免费上门保修，终身维修。保修期内免费更换零配件，</w:t>
      </w:r>
      <w:r>
        <w:rPr>
          <w:rFonts w:hint="eastAsia"/>
          <w:sz w:val="24"/>
        </w:rPr>
        <w:t>7×24</w:t>
      </w:r>
      <w:r>
        <w:rPr>
          <w:rFonts w:hint="eastAsia" w:hAnsiTheme="minorEastAsia"/>
          <w:sz w:val="24"/>
        </w:rPr>
        <w:t>小时技术响应，</w:t>
      </w:r>
      <w:r>
        <w:rPr>
          <w:rFonts w:hint="eastAsia"/>
          <w:sz w:val="24"/>
        </w:rPr>
        <w:t>48</w:t>
      </w:r>
      <w:r>
        <w:rPr>
          <w:rFonts w:hint="eastAsia" w:hAnsiTheme="minorEastAsia"/>
          <w:sz w:val="24"/>
        </w:rPr>
        <w:t>小时内维修工程师到达维修现场。保修期自验收合格之日起计算。</w:t>
      </w:r>
    </w:p>
    <w:p>
      <w:pPr>
        <w:autoSpaceDE w:val="0"/>
        <w:autoSpaceDN w:val="0"/>
        <w:adjustRightInd w:val="0"/>
        <w:spacing w:line="360" w:lineRule="auto"/>
        <w:ind w:firstLine="448" w:firstLineChars="200"/>
        <w:rPr>
          <w:sz w:val="24"/>
        </w:rPr>
      </w:pPr>
      <w:r>
        <w:rPr>
          <w:rFonts w:hint="eastAsia"/>
          <w:sz w:val="24"/>
        </w:rPr>
        <w:t xml:space="preserve">2. </w:t>
      </w:r>
      <w:r>
        <w:rPr>
          <w:rFonts w:hint="eastAsia" w:hAnsiTheme="minorEastAsia"/>
          <w:sz w:val="24"/>
        </w:rPr>
        <w:t>提供所投产品制造商服务机构情况，包括地址、联系方式及技术人员数量等。</w:t>
      </w:r>
    </w:p>
    <w:p>
      <w:pPr>
        <w:autoSpaceDE w:val="0"/>
        <w:autoSpaceDN w:val="0"/>
        <w:adjustRightInd w:val="0"/>
        <w:spacing w:line="360" w:lineRule="auto"/>
        <w:ind w:firstLine="448" w:firstLineChars="200"/>
        <w:rPr>
          <w:sz w:val="24"/>
        </w:rPr>
      </w:pPr>
      <w:r>
        <w:rPr>
          <w:rFonts w:hint="eastAsia"/>
          <w:sz w:val="24"/>
        </w:rPr>
        <w:t xml:space="preserve">3. </w:t>
      </w:r>
      <w:r>
        <w:rPr>
          <w:rFonts w:hint="eastAsia" w:hAnsiTheme="minorEastAsia"/>
          <w:sz w:val="24"/>
        </w:rPr>
        <w:t>提供原厂标准的易耗品、消耗材料价格清单及折扣率，保修期后设备维修的价格清单及折扣率。</w:t>
      </w:r>
    </w:p>
    <w:p>
      <w:pPr>
        <w:autoSpaceDE w:val="0"/>
        <w:autoSpaceDN w:val="0"/>
        <w:adjustRightInd w:val="0"/>
        <w:spacing w:line="360" w:lineRule="auto"/>
        <w:ind w:firstLine="448" w:firstLineChars="200"/>
        <w:rPr>
          <w:sz w:val="24"/>
        </w:rPr>
      </w:pPr>
      <w:r>
        <w:rPr>
          <w:rFonts w:hint="eastAsia"/>
          <w:sz w:val="24"/>
        </w:rPr>
        <w:t xml:space="preserve">4. </w:t>
      </w:r>
      <w:r>
        <w:rPr>
          <w:rFonts w:hint="eastAsia" w:hAnsiTheme="minorEastAsia"/>
          <w:sz w:val="24"/>
        </w:rPr>
        <w:t>提供现场技术培训。</w:t>
      </w:r>
    </w:p>
    <w:p>
      <w:pPr>
        <w:autoSpaceDE w:val="0"/>
        <w:autoSpaceDN w:val="0"/>
        <w:adjustRightInd w:val="0"/>
        <w:spacing w:line="360" w:lineRule="auto"/>
        <w:ind w:firstLine="448" w:firstLineChars="200"/>
        <w:rPr>
          <w:sz w:val="24"/>
        </w:rPr>
      </w:pPr>
      <w:r>
        <w:rPr>
          <w:rFonts w:hint="eastAsia" w:hAnsiTheme="minorEastAsia"/>
          <w:sz w:val="24"/>
        </w:rPr>
        <w:t>（三）交货要求</w:t>
      </w:r>
    </w:p>
    <w:p>
      <w:pPr>
        <w:autoSpaceDE w:val="0"/>
        <w:autoSpaceDN w:val="0"/>
        <w:adjustRightInd w:val="0"/>
        <w:spacing w:line="360" w:lineRule="auto"/>
        <w:ind w:firstLine="448" w:firstLineChars="200"/>
        <w:rPr>
          <w:color w:val="000000"/>
          <w:sz w:val="24"/>
        </w:rPr>
      </w:pPr>
      <w:r>
        <w:rPr>
          <w:rFonts w:hint="eastAsia"/>
          <w:color w:val="000000"/>
          <w:sz w:val="24"/>
        </w:rPr>
        <w:t xml:space="preserve">1. </w:t>
      </w:r>
      <w:r>
        <w:rPr>
          <w:rFonts w:hint="eastAsia" w:hAnsiTheme="minorEastAsia"/>
          <w:color w:val="000000"/>
          <w:sz w:val="24"/>
        </w:rPr>
        <w:t>交货期：</w:t>
      </w:r>
    </w:p>
    <w:p>
      <w:pPr>
        <w:autoSpaceDE w:val="0"/>
        <w:autoSpaceDN w:val="0"/>
        <w:adjustRightInd w:val="0"/>
        <w:spacing w:line="360" w:lineRule="auto"/>
        <w:ind w:firstLine="448" w:firstLineChars="200"/>
        <w:rPr>
          <w:color w:val="000000"/>
          <w:sz w:val="24"/>
        </w:rPr>
      </w:pPr>
      <w:r>
        <w:rPr>
          <w:rFonts w:hint="eastAsia"/>
          <w:color w:val="000000"/>
          <w:sz w:val="24"/>
        </w:rPr>
        <w:t>货到时间：签订合同之日起15日内（特殊情况以合同为准）。</w:t>
      </w:r>
    </w:p>
    <w:p>
      <w:pPr>
        <w:autoSpaceDE w:val="0"/>
        <w:autoSpaceDN w:val="0"/>
        <w:adjustRightInd w:val="0"/>
        <w:spacing w:line="360" w:lineRule="auto"/>
        <w:ind w:firstLine="448" w:firstLineChars="200"/>
        <w:rPr>
          <w:color w:val="000000"/>
          <w:sz w:val="24"/>
        </w:rPr>
      </w:pPr>
      <w:r>
        <w:rPr>
          <w:rFonts w:hint="eastAsia"/>
          <w:color w:val="000000"/>
          <w:sz w:val="24"/>
        </w:rPr>
        <w:t>安装（施工）完成：货到之日起15日内（特殊情况以合同为准）。</w:t>
      </w:r>
    </w:p>
    <w:p>
      <w:pPr>
        <w:numPr>
          <w:ilvl w:val="0"/>
          <w:numId w:val="2"/>
        </w:numPr>
        <w:autoSpaceDE w:val="0"/>
        <w:autoSpaceDN w:val="0"/>
        <w:adjustRightInd w:val="0"/>
        <w:spacing w:line="360" w:lineRule="auto"/>
        <w:ind w:firstLine="448" w:firstLineChars="200"/>
        <w:rPr>
          <w:rFonts w:hAnsiTheme="minorEastAsia"/>
          <w:color w:val="000000"/>
          <w:sz w:val="24"/>
        </w:rPr>
      </w:pPr>
      <w:r>
        <w:rPr>
          <w:rFonts w:hint="eastAsia" w:hAnsiTheme="minorEastAsia"/>
          <w:color w:val="000000"/>
          <w:sz w:val="24"/>
        </w:rPr>
        <w:t>交货地点：采购人指定地点（特殊情况以合同为准）。</w:t>
      </w:r>
    </w:p>
    <w:p>
      <w:pPr>
        <w:autoSpaceDE w:val="0"/>
        <w:autoSpaceDN w:val="0"/>
        <w:adjustRightInd w:val="0"/>
        <w:spacing w:line="360" w:lineRule="auto"/>
        <w:ind w:firstLine="448" w:firstLineChars="200"/>
        <w:rPr>
          <w:color w:val="000000"/>
          <w:sz w:val="24"/>
        </w:rPr>
      </w:pPr>
      <w:r>
        <w:rPr>
          <w:rFonts w:hint="eastAsia"/>
          <w:color w:val="000000"/>
          <w:sz w:val="24"/>
        </w:rPr>
        <w:t xml:space="preserve">3. </w:t>
      </w:r>
      <w:r>
        <w:rPr>
          <w:rFonts w:hint="eastAsia" w:hAnsiTheme="minorEastAsia"/>
          <w:color w:val="000000"/>
          <w:sz w:val="24"/>
        </w:rPr>
        <w:t>提供制造商完整的随机资料，包括完整的使用和维修手册等。</w:t>
      </w:r>
    </w:p>
    <w:p>
      <w:pPr>
        <w:autoSpaceDE w:val="0"/>
        <w:autoSpaceDN w:val="0"/>
        <w:adjustRightInd w:val="0"/>
        <w:spacing w:line="360" w:lineRule="auto"/>
        <w:ind w:firstLine="448" w:firstLineChars="200"/>
        <w:rPr>
          <w:color w:val="000000"/>
          <w:sz w:val="24"/>
        </w:rPr>
      </w:pPr>
      <w:r>
        <w:rPr>
          <w:rFonts w:hint="eastAsia"/>
          <w:color w:val="000000"/>
          <w:sz w:val="24"/>
        </w:rPr>
        <w:t xml:space="preserve">4. </w:t>
      </w:r>
      <w:r>
        <w:rPr>
          <w:rFonts w:hint="eastAsia" w:hAnsiTheme="minor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（四）付款方式</w:t>
      </w:r>
    </w:p>
    <w:p>
      <w:pPr>
        <w:autoSpaceDE w:val="0"/>
        <w:autoSpaceDN w:val="0"/>
        <w:adjustRightInd w:val="0"/>
        <w:spacing w:line="360" w:lineRule="auto"/>
        <w:ind w:firstLine="448" w:firstLineChars="200"/>
        <w:rPr>
          <w:sz w:val="24"/>
        </w:rPr>
      </w:pPr>
      <w:r>
        <w:rPr>
          <w:rFonts w:hint="eastAsia"/>
          <w:sz w:val="24"/>
        </w:rPr>
        <w:t>全部设备安装到位并验收合格后15日内，支付合同金额90%的货款。验收合格1年后15日内，支付10%货款(特殊情况以合同为准）。</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（五）投标保证金和履约保证金</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本项目不收取投标保证金和履约保证金。</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（六）验收方法及标准</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pPr>
        <w:autoSpaceDE w:val="0"/>
        <w:autoSpaceDN w:val="0"/>
        <w:adjustRightInd w:val="0"/>
        <w:spacing w:line="360" w:lineRule="auto"/>
        <w:ind w:firstLine="448" w:firstLineChars="200"/>
        <w:rPr>
          <w:bCs/>
          <w:sz w:val="24"/>
        </w:rPr>
      </w:pPr>
      <w:r>
        <w:rPr>
          <w:rFonts w:hint="eastAsia" w:hAnsiTheme="minorEastAsia"/>
          <w:color w:val="000000"/>
          <w:sz w:val="24"/>
        </w:rPr>
        <w:t>二</w:t>
      </w:r>
      <w:r>
        <w:rPr>
          <w:rFonts w:hAnsiTheme="minorEastAsia"/>
          <w:bCs/>
          <w:color w:val="000000"/>
          <w:sz w:val="24"/>
        </w:rPr>
        <w:t>、</w:t>
      </w:r>
      <w:r>
        <w:rPr>
          <w:rFonts w:hAnsiTheme="minorEastAsia"/>
          <w:bCs/>
          <w:sz w:val="24"/>
        </w:rPr>
        <w:t>技术要求</w:t>
      </w:r>
    </w:p>
    <w:p>
      <w:pPr>
        <w:spacing w:line="360" w:lineRule="auto"/>
        <w:ind w:firstLine="448" w:firstLineChars="200"/>
        <w:outlineLvl w:val="0"/>
        <w:rPr>
          <w:sz w:val="24"/>
        </w:rPr>
      </w:pPr>
      <w:r>
        <w:rPr>
          <w:rFonts w:hint="eastAsia" w:hAnsiTheme="minorEastAsia"/>
          <w:sz w:val="24"/>
        </w:rPr>
        <w:t>（一）投标人须承诺所投产品和服务符合相关强制性规定。交货时采购人有权要求投标人出具所投产品、服务符合上述规定的证明文件。</w:t>
      </w:r>
    </w:p>
    <w:p>
      <w:pPr>
        <w:spacing w:line="360" w:lineRule="auto"/>
        <w:ind w:firstLine="448" w:firstLineChars="200"/>
        <w:outlineLvl w:val="0"/>
        <w:rPr>
          <w:sz w:val="24"/>
        </w:rPr>
      </w:pPr>
      <w:r>
        <w:rPr>
          <w:rFonts w:hint="eastAsia" w:hAnsiTheme="minorEastAsia"/>
          <w:sz w:val="24"/>
        </w:rPr>
        <w:t>（二）</w:t>
      </w:r>
      <w:r>
        <w:rPr>
          <w:rFonts w:hAnsiTheme="minorEastAsia"/>
          <w:sz w:val="24"/>
        </w:rPr>
        <w:t>投标文件中对所投产品的名称、品牌、</w:t>
      </w:r>
      <w:r>
        <w:rPr>
          <w:rFonts w:hint="eastAsia" w:hAnsiTheme="minorEastAsia"/>
          <w:sz w:val="24"/>
        </w:rPr>
        <w:t>制造商</w:t>
      </w:r>
      <w:r>
        <w:rPr>
          <w:rFonts w:hAnsiTheme="minorEastAsia"/>
          <w:sz w:val="24"/>
        </w:rPr>
        <w:t>、产地、主要技术性能指标及其在技术、安全、性能、管理、厂家标准、使用年限及售后服务等方面情况提供详细的具有法律效力的技术资料。</w:t>
      </w:r>
    </w:p>
    <w:p>
      <w:pPr>
        <w:spacing w:line="360" w:lineRule="auto"/>
        <w:ind w:firstLine="448" w:firstLineChars="200"/>
        <w:outlineLvl w:val="0"/>
        <w:rPr>
          <w:sz w:val="24"/>
          <w:highlight w:val="none"/>
        </w:rPr>
      </w:pPr>
      <w:r>
        <w:rPr>
          <w:rFonts w:hint="eastAsia" w:hAnsiTheme="minorEastAsia"/>
          <w:sz w:val="24"/>
        </w:rPr>
        <w:t>（三）投标文件中提供能够证</w:t>
      </w:r>
      <w:r>
        <w:rPr>
          <w:rFonts w:hint="eastAsia" w:hAnsiTheme="minorEastAsia"/>
          <w:sz w:val="24"/>
          <w:highlight w:val="none"/>
        </w:rPr>
        <w:t>明所投产品性能质量的证明材料，如检测</w:t>
      </w:r>
      <w:r>
        <w:rPr>
          <w:rFonts w:hint="eastAsia"/>
          <w:sz w:val="24"/>
          <w:highlight w:val="none"/>
        </w:rPr>
        <w:t>/</w:t>
      </w:r>
      <w:r>
        <w:rPr>
          <w:rFonts w:hint="eastAsia" w:hAnsiTheme="minorEastAsia"/>
          <w:sz w:val="24"/>
          <w:highlight w:val="none"/>
        </w:rPr>
        <w:t>检验</w:t>
      </w:r>
      <w:r>
        <w:rPr>
          <w:rFonts w:hint="eastAsia"/>
          <w:sz w:val="24"/>
          <w:highlight w:val="none"/>
        </w:rPr>
        <w:t>/</w:t>
      </w:r>
      <w:r>
        <w:rPr>
          <w:rFonts w:hint="eastAsia" w:hAnsiTheme="minorEastAsia"/>
          <w:sz w:val="24"/>
          <w:highlight w:val="none"/>
        </w:rPr>
        <w:t>试验</w:t>
      </w:r>
      <w:r>
        <w:rPr>
          <w:rFonts w:hint="eastAsia"/>
          <w:sz w:val="24"/>
          <w:highlight w:val="none"/>
        </w:rPr>
        <w:t>/</w:t>
      </w:r>
      <w:r>
        <w:rPr>
          <w:rFonts w:hint="eastAsia" w:hAnsiTheme="minorEastAsia"/>
          <w:sz w:val="24"/>
          <w:highlight w:val="none"/>
        </w:rPr>
        <w:t>测试报告、与所投产品相关的知识产权证书、</w:t>
      </w:r>
      <w:r>
        <w:rPr>
          <w:rFonts w:hint="eastAsia" w:ascii="宋体" w:hAnsi="宋体"/>
          <w:bCs/>
          <w:sz w:val="24"/>
          <w:highlight w:val="none"/>
        </w:rPr>
        <w:t>具备CMA或CNAS标识的</w:t>
      </w:r>
      <w:r>
        <w:rPr>
          <w:rFonts w:hint="eastAsia" w:hAnsiTheme="minorEastAsia"/>
          <w:sz w:val="24"/>
          <w:highlight w:val="none"/>
        </w:rPr>
        <w:t>第三方认证机构出具的认证证书等。</w:t>
      </w:r>
    </w:p>
    <w:p>
      <w:pPr>
        <w:spacing w:line="360" w:lineRule="auto"/>
        <w:ind w:firstLine="448" w:firstLineChars="200"/>
        <w:outlineLvl w:val="0"/>
        <w:rPr>
          <w:sz w:val="24"/>
        </w:rPr>
      </w:pPr>
      <w:r>
        <w:rPr>
          <w:rFonts w:hint="eastAsia" w:hAnsiTheme="minorEastAsia"/>
          <w:sz w:val="24"/>
        </w:rPr>
        <w:t>（四）投标文件中提供能够证明所投产品制造商能力的证明材料，如质量管理体系认证、职业健康安全管理体系认证、环境管理体系认证等。</w:t>
      </w:r>
    </w:p>
    <w:p>
      <w:pPr>
        <w:spacing w:line="360" w:lineRule="auto"/>
        <w:ind w:firstLine="448" w:firstLineChars="200"/>
        <w:outlineLvl w:val="0"/>
        <w:rPr>
          <w:sz w:val="24"/>
          <w:highlight w:val="none"/>
        </w:rPr>
      </w:pPr>
      <w:r>
        <w:rPr>
          <w:rFonts w:hint="eastAsia" w:hAnsiTheme="minorEastAsia"/>
          <w:sz w:val="24"/>
          <w:highlight w:val="none"/>
        </w:rPr>
        <w:t>（五）</w:t>
      </w:r>
      <w:r>
        <w:rPr>
          <w:rFonts w:hint="eastAsia"/>
          <w:sz w:val="24"/>
          <w:highlight w:val="none"/>
        </w:rPr>
        <w:t>视频演示：投标人须于评审当日开标解密前向天津市滨海新区政府采购中心递交视频演示讲解光盘，视频文件格式应为avi或rmvb或mkv或mp4，视频时长不超过20分钟，未提供视频光盘或视频格式不正确导致不能正常播放的，演示讲解不得分。讲解演示内容如下：</w:t>
      </w:r>
    </w:p>
    <w:p>
      <w:pPr>
        <w:spacing w:line="360" w:lineRule="auto"/>
        <w:ind w:firstLine="448" w:firstLineChars="200"/>
        <w:outlineLvl w:val="0"/>
        <w:rPr>
          <w:sz w:val="24"/>
          <w:highlight w:val="none"/>
        </w:rPr>
      </w:pPr>
      <w:r>
        <w:rPr>
          <w:rFonts w:hint="eastAsia"/>
          <w:b/>
          <w:bCs/>
          <w:sz w:val="24"/>
          <w:highlight w:val="none"/>
        </w:rPr>
        <w:t>智慧黑板：</w:t>
      </w:r>
    </w:p>
    <w:p>
      <w:pPr>
        <w:spacing w:line="360" w:lineRule="auto"/>
        <w:ind w:firstLine="448" w:firstLineChars="200"/>
        <w:outlineLvl w:val="0"/>
        <w:rPr>
          <w:sz w:val="24"/>
          <w:highlight w:val="none"/>
        </w:rPr>
      </w:pPr>
      <w:r>
        <w:rPr>
          <w:rFonts w:hint="eastAsia"/>
          <w:sz w:val="24"/>
          <w:highlight w:val="none"/>
        </w:rPr>
        <w:t>①整机需支持蓝牙Bluetooth 5.4或以上标准。</w:t>
      </w:r>
    </w:p>
    <w:p>
      <w:pPr>
        <w:spacing w:line="360" w:lineRule="auto"/>
        <w:ind w:firstLine="448" w:firstLineChars="200"/>
        <w:outlineLvl w:val="0"/>
        <w:rPr>
          <w:sz w:val="24"/>
          <w:highlight w:val="none"/>
        </w:rPr>
      </w:pPr>
      <w:r>
        <w:rPr>
          <w:rFonts w:hint="eastAsia"/>
          <w:sz w:val="24"/>
          <w:highlight w:val="none"/>
        </w:rPr>
        <w:t>②整机支持透明度、色温调节，可通过切换纸质模型或其他方式实现显示内容的纹理实时调整，包括但不限于水纹纸、牛皮纸、宣纸、素描纸等多种类型。</w:t>
      </w:r>
    </w:p>
    <w:p>
      <w:pPr>
        <w:spacing w:line="360" w:lineRule="auto"/>
        <w:ind w:firstLine="448" w:firstLineChars="200"/>
        <w:outlineLvl w:val="0"/>
        <w:rPr>
          <w:sz w:val="24"/>
          <w:highlight w:val="none"/>
        </w:rPr>
      </w:pPr>
      <w:r>
        <w:rPr>
          <w:rFonts w:hint="eastAsia"/>
          <w:sz w:val="24"/>
          <w:highlight w:val="none"/>
        </w:rPr>
        <w:t>③支持板书记录功能，支持副屏黑板与主屏同步显示，支持加页，清除单页板书内容。左右两侧副屏分别进行≥10点触控。</w:t>
      </w:r>
    </w:p>
    <w:p>
      <w:pPr>
        <w:spacing w:line="360" w:lineRule="auto"/>
        <w:ind w:firstLine="448" w:firstLineChars="200"/>
        <w:outlineLvl w:val="0"/>
        <w:rPr>
          <w:sz w:val="24"/>
          <w:highlight w:val="none"/>
        </w:rPr>
      </w:pPr>
      <w:r>
        <w:rPr>
          <w:rFonts w:hint="eastAsia"/>
          <w:sz w:val="24"/>
          <w:highlight w:val="none"/>
        </w:rPr>
        <w:t>④整机内置嵌入式系统，版本≥Android 13，内存≥2GB，存储空间≥8GB。</w:t>
      </w:r>
    </w:p>
    <w:p>
      <w:pPr>
        <w:spacing w:line="360" w:lineRule="auto"/>
        <w:ind w:firstLine="448" w:firstLineChars="200"/>
        <w:outlineLvl w:val="0"/>
        <w:rPr>
          <w:sz w:val="24"/>
          <w:highlight w:val="none"/>
        </w:rPr>
      </w:pPr>
      <w:r>
        <w:rPr>
          <w:rFonts w:hint="eastAsia"/>
          <w:sz w:val="24"/>
          <w:highlight w:val="none"/>
        </w:rPr>
        <w:t>⑤整机Windows通道支持文件传输应用，支持通过wifi、超声等方式进行连接，实现文件传输功能。</w:t>
      </w:r>
    </w:p>
    <w:p>
      <w:pPr>
        <w:spacing w:line="360" w:lineRule="auto"/>
        <w:ind w:firstLine="448" w:firstLineChars="200"/>
        <w:outlineLvl w:val="0"/>
        <w:rPr>
          <w:sz w:val="24"/>
          <w:highlight w:val="none"/>
        </w:rPr>
      </w:pPr>
      <w:r>
        <w:rPr>
          <w:rFonts w:hint="eastAsia"/>
          <w:sz w:val="24"/>
          <w:highlight w:val="none"/>
        </w:rPr>
        <w:t>⑥支持提供校本平台，支持本校资源库建设，支持集体备课、听课评课等教研类应用，支持学校通知、考勤管理等行政类应用。</w:t>
      </w:r>
    </w:p>
    <w:p>
      <w:pPr>
        <w:autoSpaceDE w:val="0"/>
        <w:autoSpaceDN w:val="0"/>
        <w:adjustRightInd w:val="0"/>
        <w:spacing w:line="360" w:lineRule="auto"/>
        <w:ind w:firstLine="448" w:firstLineChars="200"/>
        <w:rPr>
          <w:bCs/>
          <w:sz w:val="24"/>
        </w:rPr>
      </w:pPr>
      <w:r>
        <w:rPr>
          <w:rFonts w:hint="eastAsia" w:hAnsiTheme="minorEastAsia"/>
          <w:sz w:val="24"/>
        </w:rPr>
        <w:t>（六）具体需求详见本部分项目需求书，</w:t>
      </w:r>
      <w:r>
        <w:rPr>
          <w:rFonts w:hint="eastAsia"/>
          <w:bCs/>
          <w:sz w:val="24"/>
        </w:rPr>
        <w:t>图片仅供参考，若文字表述与图片不一致时，以文字表述为准。</w:t>
      </w:r>
    </w:p>
    <w:p>
      <w:pPr>
        <w:autoSpaceDE w:val="0"/>
        <w:autoSpaceDN w:val="0"/>
        <w:adjustRightInd w:val="0"/>
        <w:spacing w:line="360" w:lineRule="auto"/>
        <w:ind w:firstLine="448" w:firstLineChars="200"/>
        <w:rPr>
          <w:bCs/>
          <w:sz w:val="24"/>
        </w:rPr>
      </w:pPr>
    </w:p>
    <w:p>
      <w:pPr>
        <w:spacing w:line="360" w:lineRule="auto"/>
        <w:ind w:firstLine="448" w:firstLineChars="200"/>
        <w:outlineLvl w:val="0"/>
        <w:rPr>
          <w:sz w:val="24"/>
        </w:rPr>
      </w:pPr>
      <w:r>
        <w:rPr>
          <w:rFonts w:hint="eastAsia" w:hAnsiTheme="minorEastAsia"/>
          <w:sz w:val="24"/>
        </w:rPr>
        <w:t>三、评审因素及评标标准</w:t>
      </w:r>
    </w:p>
    <w:tbl>
      <w:tblPr>
        <w:tblStyle w:val="21"/>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pPr>
              <w:widowControl/>
              <w:snapToGrid w:val="0"/>
              <w:jc w:val="center"/>
              <w:rPr>
                <w:kern w:val="0"/>
                <w:sz w:val="24"/>
                <w:szCs w:val="24"/>
              </w:rPr>
            </w:pPr>
            <w:r>
              <w:rPr>
                <w:rFonts w:hAnsiTheme="minorEastAsia"/>
                <w:kern w:val="0"/>
                <w:sz w:val="24"/>
                <w:szCs w:val="24"/>
              </w:rPr>
              <w:t>第一部分</w:t>
            </w:r>
            <w:r>
              <w:rPr>
                <w:rFonts w:hint="eastAsia" w:hAnsiTheme="minorEastAsia"/>
                <w:kern w:val="0"/>
                <w:sz w:val="24"/>
                <w:szCs w:val="24"/>
              </w:rPr>
              <w:t>价格（</w:t>
            </w:r>
            <w:r>
              <w:rPr>
                <w:rFonts w:hint="eastAsia"/>
                <w:kern w:val="0"/>
                <w:sz w:val="24"/>
                <w:szCs w:val="24"/>
              </w:rPr>
              <w:t>30</w:t>
            </w:r>
            <w:r>
              <w:rPr>
                <w:rFonts w:hint="eastAsia" w:hAnsiTheme="minorEastAsia"/>
                <w:kern w:val="0"/>
                <w:sz w:val="24"/>
                <w:szCs w:val="24"/>
              </w:rPr>
              <w:t>分）</w:t>
            </w:r>
          </w:p>
        </w:tc>
        <w:tc>
          <w:tcPr>
            <w:tcW w:w="1010" w:type="dxa"/>
            <w:shd w:val="clear" w:color="auto" w:fill="auto"/>
            <w:vAlign w:val="center"/>
          </w:tcPr>
          <w:p>
            <w:pPr>
              <w:widowControl/>
              <w:snapToGrid w:val="0"/>
              <w:jc w:val="center"/>
              <w:rPr>
                <w:kern w:val="0"/>
                <w:sz w:val="24"/>
                <w:szCs w:val="24"/>
              </w:rPr>
            </w:pPr>
            <w:r>
              <w:rPr>
                <w:rFonts w:hAnsiTheme="minorEastAsia"/>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pPr>
              <w:widowControl/>
              <w:snapToGrid w:val="0"/>
              <w:jc w:val="center"/>
              <w:rPr>
                <w:kern w:val="0"/>
                <w:sz w:val="24"/>
                <w:szCs w:val="24"/>
              </w:rPr>
            </w:pPr>
            <w:r>
              <w:rPr>
                <w:rFonts w:hint="eastAsia" w:hAnsiTheme="minorEastAsia"/>
                <w:kern w:val="0"/>
                <w:sz w:val="24"/>
                <w:szCs w:val="24"/>
              </w:rPr>
              <w:t>价格</w:t>
            </w:r>
          </w:p>
        </w:tc>
        <w:tc>
          <w:tcPr>
            <w:tcW w:w="7087" w:type="dxa"/>
            <w:shd w:val="clear" w:color="auto" w:fill="auto"/>
            <w:vAlign w:val="center"/>
          </w:tcPr>
          <w:p>
            <w:pPr>
              <w:widowControl/>
              <w:snapToGrid w:val="0"/>
              <w:rPr>
                <w:kern w:val="0"/>
                <w:sz w:val="24"/>
                <w:szCs w:val="24"/>
              </w:rPr>
            </w:pPr>
            <w:r>
              <w:rPr>
                <w:rFonts w:hint="eastAsia" w:hAnsiTheme="minorEastAsia"/>
                <w:kern w:val="0"/>
                <w:sz w:val="24"/>
                <w:szCs w:val="24"/>
              </w:rPr>
              <w:t>（</w:t>
            </w:r>
            <w:r>
              <w:rPr>
                <w:rFonts w:hint="eastAsia"/>
                <w:kern w:val="0"/>
                <w:sz w:val="24"/>
                <w:szCs w:val="24"/>
              </w:rPr>
              <w:t>1</w:t>
            </w:r>
            <w:r>
              <w:rPr>
                <w:rFonts w:hint="eastAsia" w:hAnsiTheme="minorEastAsia"/>
                <w:kern w:val="0"/>
                <w:sz w:val="24"/>
                <w:szCs w:val="24"/>
              </w:rPr>
              <w:t>）投标报价超过采购预算的，投标无效，未超过采购预算的投标报价按以下公式进行计算</w:t>
            </w:r>
          </w:p>
          <w:p>
            <w:pPr>
              <w:widowControl/>
              <w:snapToGrid w:val="0"/>
              <w:rPr>
                <w:kern w:val="0"/>
                <w:sz w:val="24"/>
                <w:szCs w:val="24"/>
              </w:rPr>
            </w:pPr>
            <w:r>
              <w:rPr>
                <w:rFonts w:hint="eastAsia" w:hAnsiTheme="minorEastAsia"/>
                <w:kern w:val="0"/>
                <w:sz w:val="24"/>
                <w:szCs w:val="24"/>
              </w:rPr>
              <w:t>（</w:t>
            </w:r>
            <w:r>
              <w:rPr>
                <w:rFonts w:hint="eastAsia"/>
                <w:kern w:val="0"/>
                <w:sz w:val="24"/>
                <w:szCs w:val="24"/>
              </w:rPr>
              <w:t>2</w:t>
            </w:r>
            <w:r>
              <w:rPr>
                <w:rFonts w:hint="eastAsia" w:hAnsiTheme="minorEastAsia"/>
                <w:kern w:val="0"/>
                <w:sz w:val="24"/>
                <w:szCs w:val="24"/>
              </w:rPr>
              <w:t>）投标报价得分</w:t>
            </w:r>
            <w:r>
              <w:rPr>
                <w:rFonts w:hint="eastAsia"/>
                <w:kern w:val="0"/>
                <w:sz w:val="24"/>
                <w:szCs w:val="24"/>
              </w:rPr>
              <w:t>=</w:t>
            </w:r>
            <w:r>
              <w:rPr>
                <w:rFonts w:hint="eastAsia" w:hAnsiTheme="minorEastAsia"/>
                <w:kern w:val="0"/>
                <w:sz w:val="24"/>
                <w:szCs w:val="24"/>
              </w:rPr>
              <w:t>（评标基准价</w:t>
            </w:r>
            <w:r>
              <w:rPr>
                <w:rFonts w:hint="eastAsia"/>
                <w:kern w:val="0"/>
                <w:sz w:val="24"/>
                <w:szCs w:val="24"/>
              </w:rPr>
              <w:t>/</w:t>
            </w:r>
            <w:r>
              <w:rPr>
                <w:rFonts w:hint="eastAsia" w:hAnsiTheme="minorEastAsia"/>
                <w:kern w:val="0"/>
                <w:sz w:val="24"/>
                <w:szCs w:val="24"/>
              </w:rPr>
              <w:t>投标报价）</w:t>
            </w:r>
            <w:r>
              <w:rPr>
                <w:rFonts w:hint="eastAsia"/>
                <w:kern w:val="0"/>
                <w:sz w:val="24"/>
                <w:szCs w:val="24"/>
              </w:rPr>
              <w:t>×30</w:t>
            </w:r>
          </w:p>
          <w:p>
            <w:pPr>
              <w:widowControl/>
              <w:snapToGrid w:val="0"/>
              <w:rPr>
                <w:kern w:val="0"/>
                <w:sz w:val="24"/>
                <w:szCs w:val="24"/>
              </w:rPr>
            </w:pPr>
            <w:r>
              <w:rPr>
                <w:rFonts w:hint="eastAsia" w:hAnsiTheme="minorEastAsia"/>
                <w:kern w:val="0"/>
                <w:sz w:val="24"/>
                <w:szCs w:val="24"/>
              </w:rPr>
              <w:t>注：满足招标文件要求且投标报价最低的投标报价为评标基准价</w:t>
            </w:r>
          </w:p>
        </w:tc>
        <w:tc>
          <w:tcPr>
            <w:tcW w:w="1010" w:type="dxa"/>
            <w:shd w:val="clear" w:color="auto" w:fill="auto"/>
            <w:vAlign w:val="center"/>
          </w:tcPr>
          <w:p>
            <w:pPr>
              <w:widowControl/>
              <w:snapToGrid w:val="0"/>
              <w:jc w:val="center"/>
              <w:rPr>
                <w:kern w:val="0"/>
                <w:sz w:val="24"/>
                <w:szCs w:val="24"/>
              </w:rPr>
            </w:pPr>
            <w:r>
              <w:rPr>
                <w:rFonts w:hint="eastAsia"/>
                <w:kern w:val="0"/>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pPr>
              <w:widowControl/>
              <w:snapToGrid w:val="0"/>
              <w:jc w:val="center"/>
              <w:rPr>
                <w:kern w:val="0"/>
                <w:sz w:val="24"/>
                <w:szCs w:val="24"/>
              </w:rPr>
            </w:pPr>
            <w:r>
              <w:rPr>
                <w:rFonts w:hAnsiTheme="minorEastAsia"/>
                <w:kern w:val="0"/>
                <w:sz w:val="24"/>
                <w:szCs w:val="24"/>
              </w:rPr>
              <w:t>第</w:t>
            </w:r>
            <w:r>
              <w:rPr>
                <w:rFonts w:hint="eastAsia" w:hAnsiTheme="minorEastAsia"/>
                <w:kern w:val="0"/>
                <w:sz w:val="24"/>
                <w:szCs w:val="24"/>
              </w:rPr>
              <w:t>二</w:t>
            </w:r>
            <w:r>
              <w:rPr>
                <w:rFonts w:hAnsiTheme="minorEastAsia"/>
                <w:kern w:val="0"/>
                <w:sz w:val="24"/>
                <w:szCs w:val="24"/>
              </w:rPr>
              <w:t>部分</w:t>
            </w:r>
            <w:r>
              <w:rPr>
                <w:rFonts w:hint="eastAsia" w:hAnsiTheme="minorEastAsia"/>
                <w:kern w:val="0"/>
                <w:sz w:val="24"/>
                <w:szCs w:val="24"/>
              </w:rPr>
              <w:t>客观分</w:t>
            </w:r>
            <w:r>
              <w:rPr>
                <w:rFonts w:hAnsiTheme="minorEastAsia"/>
                <w:kern w:val="0"/>
                <w:sz w:val="24"/>
                <w:szCs w:val="24"/>
              </w:rPr>
              <w:t>（</w:t>
            </w:r>
            <w:r>
              <w:rPr>
                <w:rFonts w:hint="eastAsia"/>
                <w:kern w:val="0"/>
                <w:sz w:val="24"/>
                <w:szCs w:val="24"/>
              </w:rPr>
              <w:t>3</w:t>
            </w:r>
            <w:r>
              <w:rPr>
                <w:rFonts w:hint="eastAsia"/>
                <w:kern w:val="0"/>
                <w:sz w:val="24"/>
                <w:szCs w:val="24"/>
                <w:lang w:val="en-US" w:eastAsia="zh-CN"/>
              </w:rPr>
              <w:t>3</w:t>
            </w:r>
            <w:r>
              <w:rPr>
                <w:rFonts w:hAnsiTheme="minorEastAsia"/>
                <w:kern w:val="0"/>
                <w:sz w:val="24"/>
                <w:szCs w:val="24"/>
              </w:rPr>
              <w:t>分）</w:t>
            </w:r>
          </w:p>
        </w:tc>
        <w:tc>
          <w:tcPr>
            <w:tcW w:w="1010" w:type="dxa"/>
            <w:shd w:val="clear" w:color="auto" w:fill="auto"/>
            <w:vAlign w:val="center"/>
          </w:tcPr>
          <w:p>
            <w:pPr>
              <w:widowControl/>
              <w:snapToGrid w:val="0"/>
              <w:jc w:val="center"/>
              <w:rPr>
                <w:kern w:val="0"/>
                <w:sz w:val="24"/>
                <w:szCs w:val="24"/>
              </w:rPr>
            </w:pPr>
            <w:r>
              <w:rPr>
                <w:rFonts w:hint="eastAsia" w:hAnsiTheme="minorEastAsia"/>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pPr>
              <w:widowControl/>
              <w:snapToGrid w:val="0"/>
              <w:jc w:val="center"/>
              <w:rPr>
                <w:kern w:val="0"/>
                <w:sz w:val="24"/>
                <w:szCs w:val="24"/>
                <w:highlight w:val="none"/>
              </w:rPr>
            </w:pPr>
            <w:r>
              <w:rPr>
                <w:rFonts w:hint="eastAsia"/>
                <w:kern w:val="0"/>
                <w:sz w:val="24"/>
                <w:szCs w:val="24"/>
                <w:highlight w:val="none"/>
              </w:rPr>
              <w:t>1</w:t>
            </w:r>
          </w:p>
        </w:tc>
        <w:tc>
          <w:tcPr>
            <w:tcW w:w="1655" w:type="dxa"/>
            <w:shd w:val="clear" w:color="auto" w:fill="auto"/>
            <w:vAlign w:val="center"/>
          </w:tcPr>
          <w:p>
            <w:pPr>
              <w:widowControl/>
              <w:snapToGrid w:val="0"/>
              <w:jc w:val="center"/>
              <w:rPr>
                <w:kern w:val="0"/>
                <w:sz w:val="24"/>
                <w:szCs w:val="24"/>
                <w:highlight w:val="none"/>
              </w:rPr>
            </w:pPr>
            <w:r>
              <w:rPr>
                <w:rFonts w:hint="eastAsia" w:hAnsiTheme="minorEastAsia"/>
                <w:bCs/>
                <w:sz w:val="24"/>
                <w:highlight w:val="none"/>
              </w:rPr>
              <w:t>环境标志产品</w:t>
            </w:r>
          </w:p>
        </w:tc>
        <w:tc>
          <w:tcPr>
            <w:tcW w:w="7087" w:type="dxa"/>
            <w:shd w:val="clear" w:color="auto" w:fill="auto"/>
            <w:vAlign w:val="center"/>
          </w:tcPr>
          <w:p>
            <w:pPr>
              <w:snapToGrid w:val="0"/>
              <w:rPr>
                <w:bCs/>
                <w:sz w:val="24"/>
                <w:highlight w:val="none"/>
              </w:rPr>
            </w:pPr>
            <w:r>
              <w:rPr>
                <w:rFonts w:hint="eastAsia" w:hAnsiTheme="minorEastAsia"/>
                <w:bCs/>
                <w:sz w:val="24"/>
                <w:highlight w:val="none"/>
              </w:rPr>
              <w:t>按照《关于调整优化节能产品、环境标志产品政府采购执行机制的通知》（财库〔</w:t>
            </w:r>
            <w:r>
              <w:rPr>
                <w:rFonts w:hint="eastAsia"/>
                <w:bCs/>
                <w:sz w:val="24"/>
                <w:highlight w:val="none"/>
              </w:rPr>
              <w:t>2019</w:t>
            </w:r>
            <w:r>
              <w:rPr>
                <w:rFonts w:hint="eastAsia" w:hAnsiTheme="minorEastAsia"/>
                <w:bCs/>
                <w:sz w:val="24"/>
                <w:highlight w:val="none"/>
              </w:rPr>
              <w:t>〕</w:t>
            </w:r>
            <w:r>
              <w:rPr>
                <w:rFonts w:hint="eastAsia"/>
                <w:bCs/>
                <w:sz w:val="24"/>
                <w:highlight w:val="none"/>
              </w:rPr>
              <w:t>9</w:t>
            </w:r>
            <w:r>
              <w:rPr>
                <w:rFonts w:hint="eastAsia" w:hAnsiTheme="minorEastAsia"/>
                <w:bCs/>
                <w:sz w:val="24"/>
                <w:highlight w:val="none"/>
              </w:rPr>
              <w:t>号）判定，投标产品是否属于环境标志产品。</w:t>
            </w:r>
          </w:p>
          <w:p>
            <w:pPr>
              <w:snapToGrid w:val="0"/>
              <w:rPr>
                <w:bCs/>
                <w:sz w:val="24"/>
                <w:highlight w:val="none"/>
              </w:rPr>
            </w:pPr>
            <w:r>
              <w:rPr>
                <w:rFonts w:hint="eastAsia" w:hAnsiTheme="minorEastAsia"/>
                <w:bCs/>
                <w:sz w:val="24"/>
                <w:highlight w:val="none"/>
              </w:rPr>
              <w:t>投标产品为</w:t>
            </w:r>
            <w:r>
              <w:rPr>
                <w:rFonts w:hint="eastAsia"/>
                <w:bCs/>
                <w:sz w:val="24"/>
                <w:highlight w:val="none"/>
              </w:rPr>
              <w:t>1</w:t>
            </w:r>
            <w:r>
              <w:rPr>
                <w:rFonts w:hint="eastAsia" w:hAnsiTheme="minorEastAsia"/>
                <w:bCs/>
                <w:sz w:val="24"/>
                <w:highlight w:val="none"/>
              </w:rPr>
              <w:t>项的，且投标产品是环境标志产品的：</w:t>
            </w:r>
            <w:r>
              <w:rPr>
                <w:rFonts w:hint="eastAsia"/>
                <w:bCs/>
                <w:sz w:val="24"/>
                <w:highlight w:val="none"/>
                <w:lang w:val="en-US" w:eastAsia="zh-CN"/>
              </w:rPr>
              <w:t>2</w:t>
            </w:r>
            <w:r>
              <w:rPr>
                <w:rFonts w:hint="eastAsia" w:hAnsiTheme="minorEastAsia"/>
                <w:bCs/>
                <w:sz w:val="24"/>
                <w:highlight w:val="none"/>
              </w:rPr>
              <w:t>分</w:t>
            </w:r>
          </w:p>
          <w:p>
            <w:pPr>
              <w:snapToGrid w:val="0"/>
              <w:rPr>
                <w:bCs/>
                <w:sz w:val="24"/>
                <w:highlight w:val="none"/>
              </w:rPr>
            </w:pPr>
            <w:r>
              <w:rPr>
                <w:rFonts w:hint="eastAsia" w:hAnsiTheme="minorEastAsia"/>
                <w:bCs/>
                <w:sz w:val="24"/>
                <w:highlight w:val="none"/>
              </w:rPr>
              <w:t>投标产品为多项的，得分为环境标志产品价值权重</w:t>
            </w:r>
            <w:r>
              <w:rPr>
                <w:rFonts w:hint="eastAsia"/>
                <w:bCs/>
                <w:sz w:val="24"/>
                <w:highlight w:val="none"/>
              </w:rPr>
              <w:t>×</w:t>
            </w:r>
            <w:r>
              <w:rPr>
                <w:rFonts w:hint="eastAsia"/>
                <w:bCs/>
                <w:sz w:val="24"/>
                <w:highlight w:val="none"/>
                <w:lang w:val="en-US" w:eastAsia="zh-CN"/>
              </w:rPr>
              <w:t>2</w:t>
            </w:r>
            <w:r>
              <w:rPr>
                <w:rFonts w:hint="eastAsia" w:hAnsiTheme="minorEastAsia"/>
                <w:bCs/>
                <w:sz w:val="24"/>
                <w:highlight w:val="none"/>
              </w:rPr>
              <w:t>分</w:t>
            </w:r>
          </w:p>
          <w:p>
            <w:pPr>
              <w:snapToGrid w:val="0"/>
              <w:rPr>
                <w:kern w:val="0"/>
                <w:sz w:val="24"/>
                <w:szCs w:val="24"/>
                <w:highlight w:val="none"/>
              </w:rPr>
            </w:pPr>
            <w:r>
              <w:rPr>
                <w:rFonts w:hint="eastAsia" w:hAnsiTheme="minorEastAsia"/>
                <w:bCs/>
                <w:sz w:val="24"/>
                <w:highlight w:val="none"/>
              </w:rPr>
              <w:t>其他：</w:t>
            </w:r>
            <w:r>
              <w:rPr>
                <w:rFonts w:hint="eastAsia"/>
                <w:bCs/>
                <w:sz w:val="24"/>
                <w:highlight w:val="none"/>
              </w:rPr>
              <w:t>0</w:t>
            </w:r>
            <w:r>
              <w:rPr>
                <w:rFonts w:hint="eastAsia" w:hAnsiTheme="minorEastAsia"/>
                <w:bCs/>
                <w:sz w:val="24"/>
                <w:highlight w:val="none"/>
              </w:rPr>
              <w:t>分</w:t>
            </w:r>
          </w:p>
        </w:tc>
        <w:tc>
          <w:tcPr>
            <w:tcW w:w="1010" w:type="dxa"/>
            <w:shd w:val="clear" w:color="auto" w:fill="auto"/>
            <w:vAlign w:val="center"/>
          </w:tcPr>
          <w:p>
            <w:pPr>
              <w:widowControl/>
              <w:snapToGrid w:val="0"/>
              <w:jc w:val="center"/>
              <w:rPr>
                <w:rFonts w:hint="eastAsia" w:eastAsia="宋体"/>
                <w:kern w:val="0"/>
                <w:sz w:val="24"/>
                <w:szCs w:val="24"/>
                <w:highlight w:val="none"/>
                <w:lang w:eastAsia="zh-CN"/>
              </w:rPr>
            </w:pPr>
            <w:r>
              <w:rPr>
                <w:rFonts w:hint="eastAsia"/>
                <w:kern w:val="0"/>
                <w:sz w:val="24"/>
                <w:szCs w:val="24"/>
                <w:highlight w:val="no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pPr>
              <w:widowControl/>
              <w:snapToGrid w:val="0"/>
              <w:jc w:val="center"/>
              <w:rPr>
                <w:kern w:val="0"/>
                <w:sz w:val="24"/>
                <w:szCs w:val="24"/>
                <w:highlight w:val="none"/>
              </w:rPr>
            </w:pPr>
            <w:r>
              <w:rPr>
                <w:rFonts w:hint="eastAsia"/>
                <w:kern w:val="0"/>
                <w:sz w:val="24"/>
                <w:szCs w:val="24"/>
                <w:highlight w:val="none"/>
              </w:rPr>
              <w:t>2</w:t>
            </w:r>
          </w:p>
        </w:tc>
        <w:tc>
          <w:tcPr>
            <w:tcW w:w="1655" w:type="dxa"/>
            <w:shd w:val="clear" w:color="auto" w:fill="auto"/>
            <w:vAlign w:val="center"/>
          </w:tcPr>
          <w:p>
            <w:pPr>
              <w:widowControl/>
              <w:snapToGrid w:val="0"/>
              <w:jc w:val="center"/>
              <w:rPr>
                <w:kern w:val="0"/>
                <w:sz w:val="24"/>
                <w:szCs w:val="24"/>
                <w:highlight w:val="none"/>
              </w:rPr>
            </w:pPr>
            <w:r>
              <w:rPr>
                <w:rFonts w:hint="eastAsia" w:hAnsiTheme="minorEastAsia"/>
                <w:bCs/>
                <w:sz w:val="24"/>
                <w:highlight w:val="none"/>
              </w:rPr>
              <w:t>节能产品</w:t>
            </w:r>
          </w:p>
        </w:tc>
        <w:tc>
          <w:tcPr>
            <w:tcW w:w="7087" w:type="dxa"/>
            <w:shd w:val="clear" w:color="auto" w:fill="auto"/>
            <w:vAlign w:val="center"/>
          </w:tcPr>
          <w:p>
            <w:pPr>
              <w:snapToGrid w:val="0"/>
              <w:rPr>
                <w:bCs/>
                <w:sz w:val="24"/>
                <w:highlight w:val="none"/>
              </w:rPr>
            </w:pPr>
            <w:r>
              <w:rPr>
                <w:rFonts w:hint="eastAsia" w:hAnsiTheme="minorEastAsia"/>
                <w:bCs/>
                <w:sz w:val="24"/>
                <w:highlight w:val="none"/>
              </w:rPr>
              <w:t>按照《关于调整优化节能产品、环境标志产品政府采购执行机制的通知》（财库〔</w:t>
            </w:r>
            <w:r>
              <w:rPr>
                <w:rFonts w:hint="eastAsia"/>
                <w:bCs/>
                <w:sz w:val="24"/>
                <w:highlight w:val="none"/>
              </w:rPr>
              <w:t>2019</w:t>
            </w:r>
            <w:r>
              <w:rPr>
                <w:rFonts w:hint="eastAsia" w:hAnsiTheme="minorEastAsia"/>
                <w:bCs/>
                <w:sz w:val="24"/>
                <w:highlight w:val="none"/>
              </w:rPr>
              <w:t>〕</w:t>
            </w:r>
            <w:r>
              <w:rPr>
                <w:rFonts w:hint="eastAsia"/>
                <w:bCs/>
                <w:sz w:val="24"/>
                <w:highlight w:val="none"/>
              </w:rPr>
              <w:t>9</w:t>
            </w:r>
            <w:r>
              <w:rPr>
                <w:rFonts w:hint="eastAsia" w:hAnsiTheme="minorEastAsia"/>
                <w:bCs/>
                <w:sz w:val="24"/>
                <w:highlight w:val="none"/>
              </w:rPr>
              <w:t>号）判定，投标产品是否属于节能产品。</w:t>
            </w:r>
          </w:p>
          <w:p>
            <w:pPr>
              <w:snapToGrid w:val="0"/>
              <w:rPr>
                <w:bCs/>
                <w:sz w:val="24"/>
                <w:highlight w:val="none"/>
              </w:rPr>
            </w:pPr>
            <w:r>
              <w:rPr>
                <w:rFonts w:hint="eastAsia" w:hAnsiTheme="minorEastAsia"/>
                <w:bCs/>
                <w:sz w:val="24"/>
                <w:highlight w:val="none"/>
              </w:rPr>
              <w:t>投标产品为</w:t>
            </w:r>
            <w:r>
              <w:rPr>
                <w:rFonts w:hint="eastAsia"/>
                <w:bCs/>
                <w:sz w:val="24"/>
                <w:highlight w:val="none"/>
              </w:rPr>
              <w:t>1</w:t>
            </w:r>
            <w:r>
              <w:rPr>
                <w:rFonts w:hint="eastAsia" w:hAnsiTheme="minorEastAsia"/>
                <w:bCs/>
                <w:sz w:val="24"/>
                <w:highlight w:val="none"/>
              </w:rPr>
              <w:t>项的，且投标产品是非强制采购节能产品的：</w:t>
            </w:r>
            <w:r>
              <w:rPr>
                <w:rFonts w:hint="eastAsia"/>
                <w:bCs/>
                <w:sz w:val="24"/>
                <w:highlight w:val="none"/>
                <w:lang w:val="en-US" w:eastAsia="zh-CN"/>
              </w:rPr>
              <w:t>2</w:t>
            </w:r>
            <w:r>
              <w:rPr>
                <w:rFonts w:hint="eastAsia" w:hAnsiTheme="minorEastAsia"/>
                <w:bCs/>
                <w:sz w:val="24"/>
                <w:highlight w:val="none"/>
              </w:rPr>
              <w:t>分</w:t>
            </w:r>
          </w:p>
          <w:p>
            <w:pPr>
              <w:snapToGrid w:val="0"/>
              <w:rPr>
                <w:bCs/>
                <w:sz w:val="24"/>
                <w:highlight w:val="none"/>
              </w:rPr>
            </w:pPr>
            <w:r>
              <w:rPr>
                <w:rFonts w:hint="eastAsia" w:hAnsiTheme="minorEastAsia"/>
                <w:bCs/>
                <w:sz w:val="24"/>
                <w:highlight w:val="none"/>
              </w:rPr>
              <w:t>投标产品为多项的，得分为非强制采购节能产品价值权重</w:t>
            </w:r>
            <w:r>
              <w:rPr>
                <w:rFonts w:hint="eastAsia"/>
                <w:bCs/>
                <w:sz w:val="24"/>
                <w:highlight w:val="none"/>
              </w:rPr>
              <w:t>×</w:t>
            </w:r>
            <w:r>
              <w:rPr>
                <w:rFonts w:hint="eastAsia"/>
                <w:bCs/>
                <w:sz w:val="24"/>
                <w:highlight w:val="none"/>
                <w:lang w:val="en-US" w:eastAsia="zh-CN"/>
              </w:rPr>
              <w:t>2</w:t>
            </w:r>
            <w:r>
              <w:rPr>
                <w:rFonts w:hint="eastAsia" w:hAnsiTheme="minorEastAsia"/>
                <w:bCs/>
                <w:sz w:val="24"/>
                <w:highlight w:val="none"/>
              </w:rPr>
              <w:t>分</w:t>
            </w:r>
          </w:p>
          <w:p>
            <w:pPr>
              <w:snapToGrid w:val="0"/>
              <w:rPr>
                <w:bCs/>
                <w:sz w:val="24"/>
                <w:highlight w:val="none"/>
              </w:rPr>
            </w:pPr>
            <w:r>
              <w:rPr>
                <w:rFonts w:hint="eastAsia" w:hAnsiTheme="minorEastAsia"/>
                <w:bCs/>
                <w:sz w:val="24"/>
                <w:highlight w:val="none"/>
              </w:rPr>
              <w:t>其他：</w:t>
            </w:r>
            <w:r>
              <w:rPr>
                <w:rFonts w:hint="eastAsia"/>
                <w:bCs/>
                <w:sz w:val="24"/>
                <w:highlight w:val="none"/>
              </w:rPr>
              <w:t>0</w:t>
            </w:r>
            <w:r>
              <w:rPr>
                <w:rFonts w:hint="eastAsia" w:hAnsiTheme="minorEastAsia"/>
                <w:bCs/>
                <w:sz w:val="24"/>
                <w:highlight w:val="none"/>
              </w:rPr>
              <w:t>分</w:t>
            </w:r>
          </w:p>
        </w:tc>
        <w:tc>
          <w:tcPr>
            <w:tcW w:w="1010" w:type="dxa"/>
            <w:shd w:val="clear" w:color="auto" w:fill="auto"/>
            <w:vAlign w:val="center"/>
          </w:tcPr>
          <w:p>
            <w:pPr>
              <w:widowControl/>
              <w:snapToGrid w:val="0"/>
              <w:jc w:val="center"/>
              <w:rPr>
                <w:kern w:val="0"/>
                <w:sz w:val="24"/>
                <w:szCs w:val="24"/>
                <w:highlight w:val="none"/>
              </w:rPr>
            </w:pPr>
            <w:r>
              <w:rPr>
                <w:rFonts w:hint="eastAsia"/>
                <w:kern w:val="0"/>
                <w:sz w:val="24"/>
                <w:szCs w:val="24"/>
                <w:highlight w:val="no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pPr>
              <w:widowControl/>
              <w:snapToGrid w:val="0"/>
              <w:jc w:val="center"/>
              <w:rPr>
                <w:rFonts w:ascii="宋体" w:hAnsi="宋体"/>
                <w:kern w:val="0"/>
                <w:sz w:val="24"/>
                <w:highlight w:val="none"/>
              </w:rPr>
            </w:pPr>
            <w:r>
              <w:rPr>
                <w:rFonts w:hint="eastAsia" w:ascii="宋体" w:hAnsi="宋体"/>
                <w:kern w:val="0"/>
                <w:sz w:val="24"/>
                <w:highlight w:val="none"/>
              </w:rPr>
              <w:t>3</w:t>
            </w:r>
          </w:p>
        </w:tc>
        <w:tc>
          <w:tcPr>
            <w:tcW w:w="1655" w:type="dxa"/>
            <w:shd w:val="clear" w:color="auto" w:fill="auto"/>
            <w:vAlign w:val="center"/>
          </w:tcPr>
          <w:p>
            <w:pPr>
              <w:widowControl/>
              <w:snapToGrid w:val="0"/>
              <w:jc w:val="center"/>
              <w:rPr>
                <w:rFonts w:ascii="宋体" w:hAnsi="宋体"/>
                <w:bCs/>
                <w:sz w:val="24"/>
                <w:highlight w:val="none"/>
              </w:rPr>
            </w:pPr>
            <w:r>
              <w:rPr>
                <w:rFonts w:hint="eastAsia" w:ascii="宋体" w:hAnsi="宋体"/>
                <w:bCs/>
                <w:sz w:val="24"/>
                <w:highlight w:val="none"/>
              </w:rPr>
              <w:t>制造商认证评价</w:t>
            </w:r>
          </w:p>
        </w:tc>
        <w:tc>
          <w:tcPr>
            <w:tcW w:w="7087" w:type="dxa"/>
            <w:shd w:val="clear" w:color="auto" w:fill="auto"/>
            <w:vAlign w:val="center"/>
          </w:tcPr>
          <w:p>
            <w:pPr>
              <w:snapToGrid w:val="0"/>
              <w:rPr>
                <w:rFonts w:ascii="宋体" w:hAnsi="宋体" w:cs="宋体"/>
                <w:bCs/>
                <w:color w:val="auto"/>
                <w:sz w:val="24"/>
                <w:szCs w:val="24"/>
                <w:highlight w:val="none"/>
              </w:rPr>
            </w:pPr>
            <w:r>
              <w:rPr>
                <w:rFonts w:hint="eastAsia" w:ascii="宋体" w:hAnsi="宋体" w:cs="宋体"/>
                <w:bCs/>
                <w:color w:val="auto"/>
                <w:sz w:val="24"/>
                <w:szCs w:val="24"/>
                <w:highlight w:val="none"/>
              </w:rPr>
              <w:t>（1）所投智慧黑板制造商具备有效的：①质量管理体系认证；②职业健康安全管理体系认证；③环境管理体系认证；注：投标文件中须提供有效期内且年检合格的证书</w:t>
            </w:r>
            <w:r>
              <w:rPr>
                <w:rFonts w:hint="eastAsia" w:ascii="宋体" w:hAnsi="宋体" w:cs="宋体"/>
                <w:bCs/>
                <w:color w:val="auto"/>
                <w:sz w:val="24"/>
                <w:szCs w:val="24"/>
                <w:highlight w:val="none"/>
                <w:lang w:eastAsia="zh-CN"/>
              </w:rPr>
              <w:t>扫描件</w:t>
            </w:r>
            <w:r>
              <w:rPr>
                <w:rFonts w:hint="eastAsia" w:ascii="宋体" w:hAnsi="宋体" w:cs="宋体"/>
                <w:bCs/>
                <w:color w:val="auto"/>
                <w:sz w:val="24"/>
                <w:szCs w:val="24"/>
                <w:highlight w:val="none"/>
              </w:rPr>
              <w:t>，每提供一项得0.5分，最多</w:t>
            </w:r>
            <w:r>
              <w:rPr>
                <w:rFonts w:hint="eastAsia" w:ascii="宋体" w:hAnsi="宋体" w:cs="宋体"/>
                <w:bCs/>
                <w:color w:val="auto"/>
                <w:sz w:val="24"/>
                <w:szCs w:val="24"/>
                <w:highlight w:val="none"/>
                <w:lang w:val="en-US" w:eastAsia="zh-CN"/>
              </w:rPr>
              <w:t>1.5</w:t>
            </w:r>
            <w:r>
              <w:rPr>
                <w:rFonts w:hint="eastAsia" w:ascii="宋体" w:hAnsi="宋体" w:cs="宋体"/>
                <w:bCs/>
                <w:color w:val="auto"/>
                <w:sz w:val="24"/>
                <w:szCs w:val="24"/>
                <w:highlight w:val="none"/>
              </w:rPr>
              <w:t>分。未按要求提供或未提供的不得分。</w:t>
            </w:r>
          </w:p>
          <w:p>
            <w:pPr>
              <w:snapToGrid w:val="0"/>
              <w:rPr>
                <w:rFonts w:ascii="宋体" w:hAnsi="宋体" w:cs="宋体"/>
                <w:bCs/>
                <w:color w:val="auto"/>
                <w:sz w:val="24"/>
                <w:szCs w:val="24"/>
                <w:highlight w:val="none"/>
              </w:rPr>
            </w:pPr>
            <w:r>
              <w:rPr>
                <w:rFonts w:hint="eastAsia" w:ascii="宋体" w:hAnsi="宋体" w:cs="宋体"/>
                <w:bCs/>
                <w:color w:val="auto"/>
                <w:sz w:val="24"/>
                <w:szCs w:val="24"/>
                <w:highlight w:val="none"/>
              </w:rPr>
              <w:t>（2）所投智慧黑板制造商具备有效的：①隐私信息管理体系认证；②CCRC信息安全服务资质信息系统安全集成三级认证；③CCRC信息安全服务资质安全运维三级认证。</w:t>
            </w:r>
          </w:p>
          <w:p>
            <w:pPr>
              <w:snapToGrid w:val="0"/>
              <w:rPr>
                <w:rFonts w:ascii="宋体" w:hAnsi="宋体"/>
                <w:bCs/>
                <w:color w:val="auto"/>
                <w:sz w:val="24"/>
                <w:highlight w:val="none"/>
              </w:rPr>
            </w:pPr>
            <w:r>
              <w:rPr>
                <w:rFonts w:hint="eastAsia" w:ascii="宋体" w:hAnsi="宋体" w:cs="宋体"/>
                <w:bCs/>
                <w:color w:val="auto"/>
                <w:sz w:val="24"/>
                <w:szCs w:val="24"/>
                <w:highlight w:val="none"/>
              </w:rPr>
              <w:t>注：投标文件中须提供有效期内且年检合格的证书扫描件，每提供一项得</w:t>
            </w:r>
            <w:r>
              <w:rPr>
                <w:rFonts w:hint="eastAsia" w:ascii="宋体" w:hAnsi="宋体" w:cs="宋体"/>
                <w:bCs/>
                <w:color w:val="auto"/>
                <w:sz w:val="24"/>
                <w:szCs w:val="24"/>
                <w:highlight w:val="none"/>
                <w:lang w:val="en-US" w:eastAsia="zh-CN"/>
              </w:rPr>
              <w:t>0.5</w:t>
            </w:r>
            <w:r>
              <w:rPr>
                <w:rFonts w:hint="eastAsia" w:ascii="宋体" w:hAnsi="宋体" w:cs="宋体"/>
                <w:bCs/>
                <w:color w:val="auto"/>
                <w:sz w:val="24"/>
                <w:szCs w:val="24"/>
                <w:highlight w:val="none"/>
              </w:rPr>
              <w:t>分，最多</w:t>
            </w:r>
            <w:r>
              <w:rPr>
                <w:rFonts w:hint="eastAsia" w:ascii="宋体" w:hAnsi="宋体" w:cs="宋体"/>
                <w:bCs/>
                <w:color w:val="auto"/>
                <w:sz w:val="24"/>
                <w:szCs w:val="24"/>
                <w:highlight w:val="none"/>
                <w:lang w:val="en-US" w:eastAsia="zh-CN"/>
              </w:rPr>
              <w:t>1.5</w:t>
            </w:r>
            <w:r>
              <w:rPr>
                <w:rFonts w:hint="eastAsia" w:ascii="宋体" w:hAnsi="宋体" w:cs="宋体"/>
                <w:bCs/>
                <w:color w:val="auto"/>
                <w:sz w:val="24"/>
                <w:szCs w:val="24"/>
                <w:highlight w:val="none"/>
              </w:rPr>
              <w:t>分。未按要求提供或未提供的不得分。</w:t>
            </w:r>
          </w:p>
        </w:tc>
        <w:tc>
          <w:tcPr>
            <w:tcW w:w="1010" w:type="dxa"/>
            <w:shd w:val="clear" w:color="auto" w:fill="auto"/>
            <w:vAlign w:val="center"/>
          </w:tcPr>
          <w:p>
            <w:pPr>
              <w:widowControl/>
              <w:snapToGrid w:val="0"/>
              <w:jc w:val="center"/>
              <w:rPr>
                <w:rFonts w:hint="eastAsia" w:ascii="宋体" w:hAnsi="宋体" w:eastAsia="宋体"/>
                <w:kern w:val="0"/>
                <w:sz w:val="24"/>
                <w:highlight w:val="none"/>
                <w:lang w:eastAsia="zh-CN"/>
              </w:rPr>
            </w:pPr>
            <w:r>
              <w:rPr>
                <w:rFonts w:hint="eastAsia" w:ascii="宋体" w:hAnsi="宋体"/>
                <w:kern w:val="0"/>
                <w:sz w:val="24"/>
                <w:highlight w:val="no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pPr>
              <w:widowControl/>
              <w:snapToGrid w:val="0"/>
              <w:jc w:val="center"/>
              <w:rPr>
                <w:rFonts w:ascii="宋体" w:hAnsi="宋体"/>
                <w:kern w:val="0"/>
                <w:sz w:val="24"/>
              </w:rPr>
            </w:pPr>
            <w:r>
              <w:rPr>
                <w:rFonts w:hint="eastAsia" w:ascii="宋体" w:hAnsi="宋体"/>
                <w:kern w:val="0"/>
                <w:sz w:val="24"/>
              </w:rPr>
              <w:t>4</w:t>
            </w:r>
          </w:p>
        </w:tc>
        <w:tc>
          <w:tcPr>
            <w:tcW w:w="1655" w:type="dxa"/>
            <w:shd w:val="clear" w:color="auto" w:fill="auto"/>
            <w:vAlign w:val="center"/>
          </w:tcPr>
          <w:p>
            <w:pPr>
              <w:widowControl/>
              <w:snapToGrid w:val="0"/>
              <w:jc w:val="center"/>
              <w:rPr>
                <w:rFonts w:ascii="宋体" w:hAnsi="宋体"/>
                <w:bCs/>
                <w:sz w:val="24"/>
              </w:rPr>
            </w:pPr>
            <w:r>
              <w:rPr>
                <w:rFonts w:hint="eastAsia" w:ascii="宋体" w:hAnsi="宋体"/>
                <w:bCs/>
                <w:sz w:val="24"/>
              </w:rPr>
              <w:t>产品参数证明评价</w:t>
            </w:r>
          </w:p>
        </w:tc>
        <w:tc>
          <w:tcPr>
            <w:tcW w:w="7087" w:type="dxa"/>
            <w:shd w:val="clear" w:color="auto" w:fill="auto"/>
            <w:vAlign w:val="center"/>
          </w:tcPr>
          <w:p>
            <w:pPr>
              <w:snapToGrid w:val="0"/>
              <w:rPr>
                <w:rFonts w:ascii="宋体" w:hAnsi="宋体" w:cs="宋体"/>
                <w:color w:val="auto"/>
                <w:sz w:val="24"/>
                <w:szCs w:val="24"/>
                <w:highlight w:val="none"/>
              </w:rPr>
            </w:pPr>
            <w:r>
              <w:rPr>
                <w:rFonts w:hint="eastAsia" w:ascii="宋体" w:hAnsi="宋体"/>
                <w:bCs/>
                <w:color w:val="auto"/>
                <w:sz w:val="24"/>
                <w:highlight w:val="none"/>
              </w:rPr>
              <w:t>提供所投核心产品（智慧黑板）具备CMA或CNAS标识的第三方机构出具的检测报告扫描件</w:t>
            </w:r>
            <w:r>
              <w:rPr>
                <w:rFonts w:hint="eastAsia" w:ascii="宋体" w:hAnsi="宋体" w:cs="宋体"/>
                <w:color w:val="auto"/>
                <w:sz w:val="24"/>
                <w:szCs w:val="24"/>
                <w:highlight w:val="none"/>
              </w:rPr>
              <w:t>，上述技术支撑材料能证明所投产品满足以下要求，每证明1条得1分，最多9分。</w:t>
            </w:r>
          </w:p>
          <w:p>
            <w:pPr>
              <w:snapToGrid w:val="0"/>
              <w:rPr>
                <w:rFonts w:ascii="宋体" w:hAnsi="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rPr>
              <w:t>整机需支持色彩调节，具备标准模式、sRGB模式，具备高色准设计，色准值≤1.5。</w:t>
            </w:r>
          </w:p>
          <w:p>
            <w:pPr>
              <w:snapToGrid w:val="0"/>
              <w:rPr>
                <w:rFonts w:ascii="宋体" w:hAnsi="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2</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rPr>
              <w:t>整机内置扬声器和麦克风，扬声器≥2.2声道，额定总功率≥60W，麦克风≥4阵列设计，拾音距离≥12m，支持空间感知音效调节，根据现场环境自动生成音量、音效。</w:t>
            </w:r>
          </w:p>
          <w:p>
            <w:pPr>
              <w:snapToGrid w:val="0"/>
              <w:rPr>
                <w:rFonts w:ascii="宋体" w:hAnsi="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3</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rPr>
              <w:t>整机需支持蓝牙Bluetooth 5.4或以上标准。</w:t>
            </w:r>
          </w:p>
          <w:p>
            <w:pPr>
              <w:snapToGrid w:val="0"/>
              <w:rPr>
                <w:rFonts w:ascii="宋体" w:hAnsi="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4</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rPr>
              <w:t>整机支持透明度、色温调节，可通过切换纸质模型或其他方式实现显示内容的纹理实时调整，包括但不限于水纹纸、牛皮纸、宣纸、素描纸等多种类型。</w:t>
            </w:r>
          </w:p>
          <w:p>
            <w:pPr>
              <w:snapToGrid w:val="0"/>
              <w:rPr>
                <w:rFonts w:ascii="宋体" w:hAnsi="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rPr>
              <w:t>整机内置摄像头，像素＞1500万，视场角＞135度，可用于远程巡课，支持AI识别，可通过摄像头进行人数统计、随机抽选、环境色温判断等功能，具备工作指示灯。</w:t>
            </w:r>
          </w:p>
          <w:p>
            <w:pPr>
              <w:snapToGrid w:val="0"/>
              <w:rPr>
                <w:rFonts w:ascii="宋体" w:hAnsi="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6</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rPr>
              <w:t>支持板书记录功能，支持副屏黑板与主屏同步显示，支持加页，清除单页板书内容，左右两侧副屏分别进行≥10点触控。</w:t>
            </w:r>
          </w:p>
          <w:p>
            <w:pPr>
              <w:snapToGrid w:val="0"/>
              <w:rPr>
                <w:rFonts w:ascii="宋体" w:hAnsi="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7</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rPr>
              <w:t>整机内置嵌入式系统，版本≥Android 13，内存≥2GB，存储空间≥8GB。</w:t>
            </w:r>
          </w:p>
          <w:p>
            <w:pPr>
              <w:snapToGrid w:val="0"/>
              <w:rPr>
                <w:rFonts w:ascii="宋体" w:hAnsi="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8</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rPr>
              <w:t>副屏需支持同时吸附板擦、三角尺等教具，吸附后可正常进行板书书写，书写内容在主屏同步记录，不会出现书写断线。</w:t>
            </w:r>
          </w:p>
          <w:p>
            <w:pPr>
              <w:snapToGrid w:val="0"/>
              <w:rPr>
                <w:rFonts w:ascii="宋体" w:hAnsi="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9</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rPr>
              <w:t>整机摄像头需支持 3D 降噪算法和数字宽动态范围成像技术，支持输出MJPG、H.264视频格式。</w:t>
            </w:r>
          </w:p>
        </w:tc>
        <w:tc>
          <w:tcPr>
            <w:tcW w:w="1010" w:type="dxa"/>
            <w:shd w:val="clear" w:color="auto" w:fill="auto"/>
            <w:vAlign w:val="center"/>
          </w:tcPr>
          <w:p>
            <w:pPr>
              <w:widowControl/>
              <w:snapToGrid w:val="0"/>
              <w:jc w:val="center"/>
              <w:rPr>
                <w:rFonts w:ascii="宋体" w:hAnsi="宋体"/>
                <w:kern w:val="0"/>
                <w:sz w:val="24"/>
              </w:rPr>
            </w:pPr>
            <w:r>
              <w:rPr>
                <w:rFonts w:hint="eastAsia" w:ascii="宋体" w:hAnsi="宋体"/>
                <w:kern w:val="0"/>
                <w:sz w:val="24"/>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pPr>
              <w:widowControl/>
              <w:snapToGrid w:val="0"/>
              <w:jc w:val="center"/>
              <w:rPr>
                <w:rFonts w:ascii="宋体" w:hAnsi="宋体"/>
                <w:kern w:val="0"/>
                <w:sz w:val="24"/>
                <w:highlight w:val="none"/>
              </w:rPr>
            </w:pPr>
            <w:r>
              <w:rPr>
                <w:rFonts w:hint="eastAsia" w:ascii="宋体" w:hAnsi="宋体"/>
                <w:kern w:val="0"/>
                <w:sz w:val="24"/>
                <w:highlight w:val="none"/>
              </w:rPr>
              <w:t>5</w:t>
            </w:r>
          </w:p>
        </w:tc>
        <w:tc>
          <w:tcPr>
            <w:tcW w:w="1655" w:type="dxa"/>
            <w:shd w:val="clear" w:color="auto" w:fill="auto"/>
            <w:vAlign w:val="center"/>
          </w:tcPr>
          <w:p>
            <w:pPr>
              <w:widowControl/>
              <w:spacing w:line="400" w:lineRule="exact"/>
              <w:jc w:val="center"/>
              <w:rPr>
                <w:rFonts w:ascii="宋体" w:hAnsi="宋体"/>
                <w:bCs/>
                <w:sz w:val="24"/>
                <w:highlight w:val="none"/>
              </w:rPr>
            </w:pPr>
            <w:r>
              <w:rPr>
                <w:rFonts w:hint="eastAsia" w:ascii="宋体" w:hAnsi="宋体"/>
                <w:kern w:val="0"/>
                <w:sz w:val="24"/>
                <w:highlight w:val="none"/>
              </w:rPr>
              <w:t>投标人业绩评价</w:t>
            </w:r>
          </w:p>
        </w:tc>
        <w:tc>
          <w:tcPr>
            <w:tcW w:w="7087" w:type="dxa"/>
            <w:shd w:val="clear" w:color="auto" w:fill="auto"/>
            <w:vAlign w:val="center"/>
          </w:tcPr>
          <w:p>
            <w:pPr>
              <w:snapToGrid w:val="0"/>
              <w:rPr>
                <w:rFonts w:ascii="宋体" w:hAnsi="宋体"/>
                <w:bCs/>
                <w:sz w:val="24"/>
                <w:highlight w:val="none"/>
              </w:rPr>
            </w:pPr>
            <w:r>
              <w:rPr>
                <w:rFonts w:hint="eastAsia" w:ascii="宋体" w:hAnsi="宋体"/>
                <w:bCs/>
                <w:sz w:val="24"/>
                <w:highlight w:val="none"/>
              </w:rPr>
              <w:t>完全按照以下要求提供与本项目内容相当且已完成的业绩，提供的证明材料均不得遮挡涂黑，否则不予认定加分。</w:t>
            </w:r>
          </w:p>
          <w:p>
            <w:pPr>
              <w:snapToGrid w:val="0"/>
              <w:rPr>
                <w:rFonts w:ascii="宋体" w:hAnsi="宋体"/>
                <w:bCs/>
                <w:sz w:val="24"/>
                <w:highlight w:val="none"/>
              </w:rPr>
            </w:pPr>
            <w:r>
              <w:rPr>
                <w:rFonts w:hint="eastAsia" w:ascii="宋体" w:hAnsi="宋体"/>
                <w:bCs/>
                <w:sz w:val="24"/>
                <w:highlight w:val="none"/>
              </w:rPr>
              <w:t>A. 合同原件扫描件（合同签订时间为</w:t>
            </w:r>
            <w:r>
              <w:rPr>
                <w:rFonts w:ascii="宋体" w:hAnsi="宋体"/>
                <w:bCs/>
                <w:sz w:val="24"/>
                <w:highlight w:val="none"/>
              </w:rPr>
              <w:t>202</w:t>
            </w:r>
            <w:r>
              <w:rPr>
                <w:rFonts w:hint="eastAsia" w:ascii="宋体" w:hAnsi="宋体"/>
                <w:bCs/>
                <w:sz w:val="24"/>
                <w:highlight w:val="none"/>
              </w:rPr>
              <w:t>1年1月1日至今）。包括合同金额、买卖双方名称及盖章、合同清单、合同签订日期。</w:t>
            </w:r>
          </w:p>
          <w:p>
            <w:pPr>
              <w:snapToGrid w:val="0"/>
              <w:rPr>
                <w:rFonts w:ascii="宋体" w:hAnsi="宋体"/>
                <w:bCs/>
                <w:sz w:val="24"/>
                <w:highlight w:val="none"/>
              </w:rPr>
            </w:pPr>
            <w:r>
              <w:rPr>
                <w:rFonts w:hint="eastAsia" w:ascii="宋体" w:hAnsi="宋体"/>
                <w:bCs/>
                <w:sz w:val="24"/>
                <w:highlight w:val="none"/>
              </w:rPr>
              <w:t>B.上述合同履行良好的相关证明材料原件扫描件（加盖上述合同甲方单</w:t>
            </w:r>
            <w:r>
              <w:rPr>
                <w:rFonts w:hint="eastAsia" w:ascii="宋体" w:hAnsi="宋体"/>
                <w:bCs/>
                <w:sz w:val="24"/>
                <w:highlight w:val="none"/>
              </w:rPr>
              <w:t>位公章或上述合同甲方印章）。</w:t>
            </w:r>
          </w:p>
          <w:p>
            <w:pPr>
              <w:snapToGrid w:val="0"/>
              <w:rPr>
                <w:rFonts w:ascii="宋体" w:hAnsi="宋体"/>
                <w:bCs/>
                <w:sz w:val="24"/>
                <w:highlight w:val="none"/>
              </w:rPr>
            </w:pPr>
            <w:r>
              <w:rPr>
                <w:rFonts w:hint="eastAsia" w:ascii="宋体" w:hAnsi="宋体"/>
                <w:bCs/>
                <w:sz w:val="24"/>
                <w:highlight w:val="none"/>
              </w:rPr>
              <w:t>1个业绩1分，最多3分</w:t>
            </w:r>
          </w:p>
        </w:tc>
        <w:tc>
          <w:tcPr>
            <w:tcW w:w="1010" w:type="dxa"/>
            <w:shd w:val="clear" w:color="auto" w:fill="auto"/>
            <w:vAlign w:val="center"/>
          </w:tcPr>
          <w:p>
            <w:pPr>
              <w:widowControl/>
              <w:snapToGrid w:val="0"/>
              <w:jc w:val="center"/>
              <w:rPr>
                <w:rFonts w:ascii="宋体" w:hAnsi="宋体"/>
                <w:kern w:val="0"/>
                <w:sz w:val="24"/>
                <w:highlight w:val="none"/>
              </w:rPr>
            </w:pPr>
            <w:r>
              <w:rPr>
                <w:rFonts w:hint="eastAsia" w:ascii="宋体" w:hAnsi="宋体"/>
                <w:kern w:val="0"/>
                <w:sz w:val="24"/>
                <w:highlight w:val="none"/>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pPr>
              <w:widowControl/>
              <w:snapToGrid w:val="0"/>
              <w:jc w:val="center"/>
              <w:rPr>
                <w:rFonts w:ascii="宋体" w:hAnsi="宋体"/>
                <w:kern w:val="0"/>
                <w:sz w:val="24"/>
              </w:rPr>
            </w:pPr>
            <w:r>
              <w:rPr>
                <w:rFonts w:hint="eastAsia" w:ascii="宋体" w:hAnsi="宋体"/>
                <w:kern w:val="0"/>
                <w:sz w:val="24"/>
              </w:rPr>
              <w:t>6</w:t>
            </w:r>
          </w:p>
        </w:tc>
        <w:tc>
          <w:tcPr>
            <w:tcW w:w="1655" w:type="dxa"/>
            <w:shd w:val="clear" w:color="auto" w:fill="auto"/>
            <w:vAlign w:val="center"/>
          </w:tcPr>
          <w:p>
            <w:pPr>
              <w:widowControl/>
              <w:spacing w:line="400" w:lineRule="exact"/>
              <w:jc w:val="center"/>
              <w:rPr>
                <w:rFonts w:ascii="宋体" w:hAnsi="宋体"/>
                <w:kern w:val="0"/>
                <w:sz w:val="24"/>
              </w:rPr>
            </w:pPr>
            <w:r>
              <w:rPr>
                <w:rFonts w:hint="eastAsia" w:ascii="宋体" w:hAnsi="宋体"/>
                <w:kern w:val="0"/>
                <w:sz w:val="24"/>
              </w:rPr>
              <w:t>非“★”技术要求响应性评价</w:t>
            </w:r>
          </w:p>
        </w:tc>
        <w:tc>
          <w:tcPr>
            <w:tcW w:w="7087" w:type="dxa"/>
            <w:shd w:val="clear" w:color="auto" w:fill="auto"/>
            <w:vAlign w:val="center"/>
          </w:tcPr>
          <w:p>
            <w:pPr>
              <w:snapToGrid w:val="0"/>
              <w:rPr>
                <w:rFonts w:ascii="宋体" w:hAnsi="宋体"/>
                <w:bCs/>
                <w:sz w:val="24"/>
              </w:rPr>
            </w:pPr>
            <w:r>
              <w:rPr>
                <w:rFonts w:hint="eastAsia" w:ascii="宋体" w:hAnsi="宋体"/>
                <w:kern w:val="0"/>
                <w:sz w:val="24"/>
              </w:rPr>
              <w:t>完全满足无偏离的得</w:t>
            </w:r>
            <w:r>
              <w:rPr>
                <w:rFonts w:ascii="宋体" w:hAnsi="宋体"/>
                <w:kern w:val="0"/>
                <w:sz w:val="24"/>
              </w:rPr>
              <w:t>1</w:t>
            </w:r>
            <w:r>
              <w:rPr>
                <w:rFonts w:hint="eastAsia" w:ascii="宋体" w:hAnsi="宋体"/>
                <w:kern w:val="0"/>
                <w:sz w:val="24"/>
              </w:rPr>
              <w:t>4分。非“★”</w:t>
            </w:r>
            <w:r>
              <w:rPr>
                <w:rFonts w:ascii="宋体" w:hAnsi="宋体"/>
                <w:bCs/>
                <w:sz w:val="24"/>
              </w:rPr>
              <w:t>技术要求</w:t>
            </w:r>
            <w:r>
              <w:rPr>
                <w:rFonts w:hint="eastAsia" w:ascii="宋体" w:hAnsi="宋体"/>
                <w:kern w:val="0"/>
                <w:sz w:val="24"/>
              </w:rPr>
              <w:t>劣于招标文件要求或未做应答的，每条扣2分，最低0分</w:t>
            </w:r>
          </w:p>
        </w:tc>
        <w:tc>
          <w:tcPr>
            <w:tcW w:w="1010" w:type="dxa"/>
            <w:shd w:val="clear" w:color="auto" w:fill="auto"/>
            <w:vAlign w:val="center"/>
          </w:tcPr>
          <w:p>
            <w:pPr>
              <w:widowControl/>
              <w:snapToGrid w:val="0"/>
              <w:jc w:val="center"/>
              <w:rPr>
                <w:rFonts w:ascii="宋体" w:hAnsi="宋体"/>
                <w:kern w:val="0"/>
                <w:sz w:val="24"/>
              </w:rPr>
            </w:pPr>
            <w:r>
              <w:rPr>
                <w:rFonts w:ascii="宋体" w:hAnsi="宋体"/>
                <w:kern w:val="0"/>
                <w:sz w:val="24"/>
              </w:rPr>
              <w:t>1</w:t>
            </w:r>
            <w:r>
              <w:rPr>
                <w:rFonts w:hint="eastAsia" w:ascii="宋体" w:hAnsi="宋体"/>
                <w:kern w:val="0"/>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pPr>
              <w:snapToGrid w:val="0"/>
              <w:jc w:val="center"/>
              <w:rPr>
                <w:bCs/>
                <w:sz w:val="24"/>
              </w:rPr>
            </w:pPr>
            <w:r>
              <w:rPr>
                <w:rFonts w:hAnsiTheme="minorEastAsia"/>
                <w:kern w:val="0"/>
                <w:sz w:val="24"/>
                <w:szCs w:val="24"/>
              </w:rPr>
              <w:t>第</w:t>
            </w:r>
            <w:r>
              <w:rPr>
                <w:rFonts w:hint="eastAsia" w:hAnsiTheme="minorEastAsia"/>
                <w:kern w:val="0"/>
                <w:sz w:val="24"/>
                <w:szCs w:val="24"/>
              </w:rPr>
              <w:t>三</w:t>
            </w:r>
            <w:r>
              <w:rPr>
                <w:rFonts w:hAnsiTheme="minorEastAsia"/>
                <w:kern w:val="0"/>
                <w:sz w:val="24"/>
                <w:szCs w:val="24"/>
              </w:rPr>
              <w:t>部分</w:t>
            </w:r>
            <w:r>
              <w:rPr>
                <w:rFonts w:hint="eastAsia" w:hAnsiTheme="minorEastAsia"/>
                <w:kern w:val="0"/>
                <w:sz w:val="24"/>
                <w:szCs w:val="24"/>
              </w:rPr>
              <w:t>主观分</w:t>
            </w:r>
            <w:r>
              <w:rPr>
                <w:rFonts w:hAnsiTheme="minorEastAsia"/>
                <w:kern w:val="0"/>
                <w:sz w:val="24"/>
                <w:szCs w:val="24"/>
              </w:rPr>
              <w:t>（</w:t>
            </w:r>
            <w:r>
              <w:rPr>
                <w:rFonts w:hint="eastAsia"/>
                <w:kern w:val="0"/>
                <w:sz w:val="24"/>
                <w:szCs w:val="24"/>
              </w:rPr>
              <w:t>3</w:t>
            </w:r>
            <w:r>
              <w:rPr>
                <w:rFonts w:hint="eastAsia"/>
                <w:kern w:val="0"/>
                <w:sz w:val="24"/>
                <w:szCs w:val="24"/>
                <w:lang w:val="en-US" w:eastAsia="zh-CN"/>
              </w:rPr>
              <w:t>7</w:t>
            </w:r>
            <w:r>
              <w:rPr>
                <w:rFonts w:hAnsiTheme="minorEastAsia"/>
                <w:kern w:val="0"/>
                <w:sz w:val="24"/>
                <w:szCs w:val="24"/>
              </w:rPr>
              <w:t>分）</w:t>
            </w:r>
          </w:p>
        </w:tc>
        <w:tc>
          <w:tcPr>
            <w:tcW w:w="1010" w:type="dxa"/>
            <w:shd w:val="clear" w:color="auto" w:fill="auto"/>
            <w:vAlign w:val="center"/>
          </w:tcPr>
          <w:p>
            <w:pPr>
              <w:widowControl/>
              <w:snapToGrid w:val="0"/>
              <w:jc w:val="center"/>
              <w:rPr>
                <w:kern w:val="0"/>
                <w:sz w:val="24"/>
                <w:szCs w:val="24"/>
              </w:rPr>
            </w:pPr>
            <w:r>
              <w:rPr>
                <w:rFonts w:hint="eastAsia" w:hAnsiTheme="minorEastAsia"/>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pPr>
              <w:widowControl/>
              <w:snapToGrid w:val="0"/>
              <w:jc w:val="center"/>
              <w:rPr>
                <w:kern w:val="0"/>
                <w:sz w:val="24"/>
                <w:szCs w:val="24"/>
              </w:rPr>
            </w:pPr>
            <w:r>
              <w:rPr>
                <w:rFonts w:hint="eastAsia" w:ascii="宋体" w:hAnsi="宋体" w:cs="宋体"/>
                <w:kern w:val="0"/>
                <w:sz w:val="24"/>
                <w:szCs w:val="24"/>
              </w:rPr>
              <w:t>产品整体性能评价</w:t>
            </w:r>
          </w:p>
        </w:tc>
        <w:tc>
          <w:tcPr>
            <w:tcW w:w="7087" w:type="dxa"/>
            <w:shd w:val="clear" w:color="auto" w:fill="auto"/>
            <w:vAlign w:val="center"/>
          </w:tcPr>
          <w:p>
            <w:pPr>
              <w:widowControl/>
              <w:snapToGrid w:val="0"/>
              <w:rPr>
                <w:rFonts w:ascii="宋体" w:hAnsi="宋体" w:cs="宋体"/>
                <w:kern w:val="0"/>
                <w:sz w:val="24"/>
                <w:szCs w:val="24"/>
              </w:rPr>
            </w:pPr>
            <w:r>
              <w:rPr>
                <w:rFonts w:hint="eastAsia" w:ascii="宋体" w:hAnsi="宋体" w:cs="宋体"/>
                <w:kern w:val="0"/>
                <w:sz w:val="24"/>
                <w:szCs w:val="24"/>
              </w:rPr>
              <w:t>应包含核心产品整体设计理念、性能稳定性描述、安全耐用性描述以及获得的第三方认证机构的认证复印件。</w:t>
            </w:r>
          </w:p>
          <w:p>
            <w:pPr>
              <w:widowControl/>
              <w:snapToGrid w:val="0"/>
              <w:rPr>
                <w:rFonts w:ascii="宋体" w:hAnsi="宋体" w:cs="宋体"/>
                <w:kern w:val="0"/>
                <w:sz w:val="24"/>
                <w:szCs w:val="24"/>
              </w:rPr>
            </w:pPr>
            <w:r>
              <w:rPr>
                <w:rFonts w:hint="eastAsia" w:ascii="宋体" w:hAnsi="宋体" w:cs="宋体"/>
                <w:kern w:val="0"/>
                <w:sz w:val="24"/>
                <w:szCs w:val="24"/>
              </w:rPr>
              <w:t>整体性能、设计理念满足招标文件要求，具有第三方机构相关认证，内容无瑕疵：6分；</w:t>
            </w:r>
          </w:p>
          <w:p>
            <w:pPr>
              <w:widowControl/>
              <w:snapToGrid w:val="0"/>
              <w:rPr>
                <w:rFonts w:ascii="宋体" w:hAnsi="宋体" w:cs="宋体"/>
                <w:kern w:val="0"/>
                <w:sz w:val="24"/>
                <w:szCs w:val="24"/>
              </w:rPr>
            </w:pPr>
            <w:r>
              <w:rPr>
                <w:rFonts w:hint="eastAsia" w:ascii="宋体" w:hAnsi="宋体" w:cs="宋体"/>
                <w:kern w:val="0"/>
                <w:sz w:val="24"/>
                <w:szCs w:val="24"/>
              </w:rPr>
              <w:t>满足招标文件要求，但内容存在1处瑕疵：4分；</w:t>
            </w:r>
          </w:p>
          <w:p>
            <w:pPr>
              <w:widowControl/>
              <w:snapToGrid w:val="0"/>
              <w:rPr>
                <w:rFonts w:ascii="宋体" w:hAnsi="宋体" w:cs="宋体"/>
                <w:kern w:val="0"/>
                <w:sz w:val="24"/>
                <w:szCs w:val="24"/>
              </w:rPr>
            </w:pPr>
            <w:r>
              <w:rPr>
                <w:rFonts w:hint="eastAsia" w:ascii="宋体" w:hAnsi="宋体" w:cs="宋体"/>
                <w:kern w:val="0"/>
                <w:sz w:val="24"/>
                <w:szCs w:val="24"/>
              </w:rPr>
              <w:t>满足招标文件要求，但内容存在2处瑕疵：2分；</w:t>
            </w:r>
          </w:p>
          <w:p>
            <w:pPr>
              <w:widowControl/>
              <w:snapToGrid w:val="0"/>
              <w:rPr>
                <w:kern w:val="0"/>
                <w:sz w:val="24"/>
                <w:szCs w:val="24"/>
              </w:rPr>
            </w:pPr>
            <w:r>
              <w:rPr>
                <w:rFonts w:hint="eastAsia" w:ascii="宋体" w:hAnsi="宋体" w:cs="宋体"/>
                <w:kern w:val="0"/>
                <w:sz w:val="24"/>
                <w:szCs w:val="24"/>
              </w:rPr>
              <w:t>其他：0分。</w:t>
            </w:r>
          </w:p>
        </w:tc>
        <w:tc>
          <w:tcPr>
            <w:tcW w:w="1010" w:type="dxa"/>
            <w:shd w:val="clear" w:color="auto" w:fill="auto"/>
            <w:vAlign w:val="center"/>
          </w:tcPr>
          <w:p>
            <w:pPr>
              <w:widowControl/>
              <w:snapToGrid w:val="0"/>
              <w:jc w:val="center"/>
              <w:rPr>
                <w:kern w:val="0"/>
                <w:sz w:val="24"/>
                <w:szCs w:val="24"/>
              </w:rPr>
            </w:pPr>
            <w:r>
              <w:rPr>
                <w:rFonts w:hint="eastAsia" w:ascii="宋体" w:hAnsi="宋体" w:cs="宋体"/>
                <w:kern w:val="0"/>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pPr>
              <w:widowControl/>
              <w:snapToGrid w:val="0"/>
              <w:jc w:val="center"/>
              <w:rPr>
                <w:kern w:val="0"/>
                <w:sz w:val="24"/>
                <w:szCs w:val="24"/>
              </w:rPr>
            </w:pPr>
            <w:r>
              <w:rPr>
                <w:rFonts w:hint="eastAsia" w:ascii="宋体" w:hAnsi="宋体" w:cs="宋体"/>
                <w:sz w:val="24"/>
                <w:szCs w:val="24"/>
              </w:rPr>
              <w:t>关键部件质量评价</w:t>
            </w:r>
          </w:p>
        </w:tc>
        <w:tc>
          <w:tcPr>
            <w:tcW w:w="7087" w:type="dxa"/>
            <w:shd w:val="clear" w:color="auto" w:fill="auto"/>
            <w:vAlign w:val="center"/>
          </w:tcPr>
          <w:p>
            <w:pPr>
              <w:widowControl/>
              <w:snapToGrid w:val="0"/>
              <w:rPr>
                <w:rFonts w:ascii="宋体" w:hAnsi="宋体" w:cs="宋体"/>
                <w:kern w:val="0"/>
                <w:sz w:val="24"/>
                <w:szCs w:val="24"/>
              </w:rPr>
            </w:pPr>
            <w:r>
              <w:rPr>
                <w:rFonts w:hint="eastAsia" w:ascii="宋体" w:hAnsi="宋体" w:cs="宋体"/>
                <w:kern w:val="0"/>
                <w:sz w:val="24"/>
                <w:szCs w:val="24"/>
              </w:rPr>
              <w:t>应包含</w:t>
            </w:r>
            <w:r>
              <w:rPr>
                <w:rFonts w:hint="eastAsia" w:ascii="宋体" w:hAnsi="宋体" w:cs="宋体"/>
                <w:bCs/>
                <w:sz w:val="24"/>
                <w:szCs w:val="24"/>
              </w:rPr>
              <w:t>核心产品</w:t>
            </w:r>
            <w:r>
              <w:rPr>
                <w:rFonts w:hint="eastAsia" w:ascii="宋体" w:hAnsi="宋体" w:cs="宋体"/>
                <w:kern w:val="0"/>
                <w:sz w:val="24"/>
                <w:szCs w:val="24"/>
              </w:rPr>
              <w:t>关键部件的品质先进、稳定、安全、耐用性描述。</w:t>
            </w:r>
          </w:p>
          <w:p>
            <w:pPr>
              <w:widowControl/>
              <w:snapToGrid w:val="0"/>
              <w:rPr>
                <w:rFonts w:ascii="宋体" w:hAnsi="宋体" w:cs="宋体"/>
                <w:kern w:val="0"/>
                <w:sz w:val="24"/>
                <w:szCs w:val="24"/>
              </w:rPr>
            </w:pPr>
            <w:r>
              <w:rPr>
                <w:rFonts w:hint="eastAsia" w:ascii="宋体" w:hAnsi="宋体" w:cs="宋体"/>
                <w:kern w:val="0"/>
                <w:sz w:val="24"/>
                <w:szCs w:val="24"/>
              </w:rPr>
              <w:t>关键部件的品质稳定、安全耐用，满足招标文件要求，内容无瑕疵：6分；</w:t>
            </w:r>
          </w:p>
          <w:p>
            <w:pPr>
              <w:widowControl/>
              <w:snapToGrid w:val="0"/>
              <w:rPr>
                <w:rFonts w:ascii="宋体" w:hAnsi="宋体" w:cs="宋体"/>
                <w:kern w:val="0"/>
                <w:sz w:val="24"/>
                <w:szCs w:val="24"/>
              </w:rPr>
            </w:pPr>
            <w:r>
              <w:rPr>
                <w:rFonts w:hint="eastAsia" w:ascii="宋体" w:hAnsi="宋体" w:cs="宋体"/>
                <w:kern w:val="0"/>
                <w:sz w:val="24"/>
                <w:szCs w:val="24"/>
              </w:rPr>
              <w:t>满足招标文件要求，但内容存在1处瑕疵：4分；</w:t>
            </w:r>
          </w:p>
          <w:p>
            <w:pPr>
              <w:widowControl/>
              <w:snapToGrid w:val="0"/>
              <w:rPr>
                <w:rFonts w:ascii="宋体" w:hAnsi="宋体" w:cs="宋体"/>
                <w:kern w:val="0"/>
                <w:sz w:val="24"/>
                <w:szCs w:val="24"/>
              </w:rPr>
            </w:pPr>
            <w:r>
              <w:rPr>
                <w:rFonts w:hint="eastAsia" w:ascii="宋体" w:hAnsi="宋体" w:cs="宋体"/>
                <w:kern w:val="0"/>
                <w:sz w:val="24"/>
                <w:szCs w:val="24"/>
              </w:rPr>
              <w:t>满足招标文件要求，但内容存在2处瑕疵：2分；</w:t>
            </w:r>
          </w:p>
          <w:p>
            <w:pPr>
              <w:widowControl/>
              <w:snapToGrid w:val="0"/>
              <w:rPr>
                <w:sz w:val="24"/>
              </w:rPr>
            </w:pPr>
            <w:r>
              <w:rPr>
                <w:rFonts w:hint="eastAsia" w:ascii="宋体" w:hAnsi="宋体" w:cs="宋体"/>
                <w:kern w:val="0"/>
                <w:sz w:val="24"/>
                <w:szCs w:val="24"/>
              </w:rPr>
              <w:t>其他：0分。</w:t>
            </w:r>
          </w:p>
        </w:tc>
        <w:tc>
          <w:tcPr>
            <w:tcW w:w="1010" w:type="dxa"/>
            <w:shd w:val="clear" w:color="auto" w:fill="auto"/>
            <w:vAlign w:val="center"/>
          </w:tcPr>
          <w:p>
            <w:pPr>
              <w:widowControl/>
              <w:snapToGrid w:val="0"/>
              <w:jc w:val="center"/>
              <w:rPr>
                <w:kern w:val="0"/>
                <w:sz w:val="24"/>
                <w:szCs w:val="24"/>
              </w:rPr>
            </w:pPr>
            <w:r>
              <w:rPr>
                <w:rFonts w:hint="eastAsia" w:ascii="宋体" w:hAnsi="宋体" w:cs="宋体"/>
                <w:kern w:val="0"/>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pPr>
              <w:widowControl/>
              <w:snapToGrid w:val="0"/>
              <w:jc w:val="center"/>
              <w:rPr>
                <w:kern w:val="0"/>
                <w:sz w:val="24"/>
                <w:szCs w:val="24"/>
                <w:highlight w:val="none"/>
              </w:rPr>
            </w:pPr>
            <w:r>
              <w:rPr>
                <w:rFonts w:hint="eastAsia"/>
                <w:kern w:val="0"/>
                <w:sz w:val="24"/>
                <w:szCs w:val="24"/>
                <w:highlight w:val="none"/>
              </w:rPr>
              <w:t>3</w:t>
            </w:r>
          </w:p>
        </w:tc>
        <w:tc>
          <w:tcPr>
            <w:tcW w:w="1655" w:type="dxa"/>
            <w:shd w:val="clear" w:color="auto" w:fill="auto"/>
            <w:vAlign w:val="center"/>
          </w:tcPr>
          <w:p>
            <w:pPr>
              <w:widowControl/>
              <w:snapToGrid w:val="0"/>
              <w:jc w:val="center"/>
              <w:rPr>
                <w:sz w:val="24"/>
                <w:highlight w:val="none"/>
              </w:rPr>
            </w:pPr>
            <w:r>
              <w:rPr>
                <w:rFonts w:hint="eastAsia" w:ascii="宋体" w:hAnsi="宋体" w:cs="宋体"/>
                <w:sz w:val="24"/>
                <w:szCs w:val="24"/>
                <w:highlight w:val="none"/>
              </w:rPr>
              <w:t>产品安全性和耐用性能评价</w:t>
            </w:r>
          </w:p>
        </w:tc>
        <w:tc>
          <w:tcPr>
            <w:tcW w:w="7087" w:type="dxa"/>
            <w:shd w:val="clear" w:color="auto" w:fill="auto"/>
            <w:vAlign w:val="center"/>
          </w:tcPr>
          <w:p>
            <w:pPr>
              <w:widowControl/>
              <w:snapToGrid w:val="0"/>
              <w:rPr>
                <w:rFonts w:ascii="宋体" w:hAnsi="宋体" w:cs="宋体"/>
                <w:kern w:val="0"/>
                <w:sz w:val="24"/>
                <w:szCs w:val="24"/>
                <w:highlight w:val="none"/>
              </w:rPr>
            </w:pPr>
            <w:r>
              <w:rPr>
                <w:rFonts w:hint="eastAsia" w:ascii="宋体" w:hAnsi="宋体" w:cs="宋体"/>
                <w:kern w:val="0"/>
                <w:sz w:val="24"/>
                <w:szCs w:val="24"/>
                <w:highlight w:val="none"/>
              </w:rPr>
              <w:t>提供所投产品的安全性和耐用性描述，及技术标准、设计结构、安全测试的介绍。</w:t>
            </w:r>
          </w:p>
          <w:p>
            <w:pPr>
              <w:widowControl/>
              <w:snapToGrid w:val="0"/>
              <w:rPr>
                <w:rFonts w:ascii="宋体" w:hAnsi="宋体" w:cs="宋体"/>
                <w:kern w:val="0"/>
                <w:sz w:val="24"/>
                <w:szCs w:val="24"/>
                <w:highlight w:val="none"/>
              </w:rPr>
            </w:pPr>
            <w:r>
              <w:rPr>
                <w:rFonts w:hint="eastAsia" w:ascii="宋体" w:hAnsi="宋体" w:cs="宋体"/>
                <w:kern w:val="0"/>
                <w:sz w:val="24"/>
                <w:szCs w:val="24"/>
                <w:highlight w:val="none"/>
              </w:rPr>
              <w:t>满足招标文件要求，内容无瑕疵：6分；</w:t>
            </w:r>
          </w:p>
          <w:p>
            <w:pPr>
              <w:widowControl/>
              <w:snapToGrid w:val="0"/>
              <w:rPr>
                <w:rFonts w:ascii="宋体" w:hAnsi="宋体" w:cs="宋体"/>
                <w:kern w:val="0"/>
                <w:sz w:val="24"/>
                <w:szCs w:val="24"/>
                <w:highlight w:val="none"/>
              </w:rPr>
            </w:pPr>
            <w:r>
              <w:rPr>
                <w:rFonts w:hint="eastAsia" w:ascii="宋体" w:hAnsi="宋体" w:cs="宋体"/>
                <w:kern w:val="0"/>
                <w:sz w:val="24"/>
                <w:szCs w:val="24"/>
                <w:highlight w:val="none"/>
              </w:rPr>
              <w:t>满足招标文件要求，但内容存在1处瑕疵：4分；</w:t>
            </w:r>
          </w:p>
          <w:p>
            <w:pPr>
              <w:widowControl/>
              <w:snapToGrid w:val="0"/>
              <w:rPr>
                <w:rFonts w:ascii="宋体" w:hAnsi="宋体" w:cs="宋体"/>
                <w:kern w:val="0"/>
                <w:sz w:val="24"/>
                <w:szCs w:val="24"/>
                <w:highlight w:val="none"/>
              </w:rPr>
            </w:pPr>
            <w:r>
              <w:rPr>
                <w:rFonts w:hint="eastAsia" w:ascii="宋体" w:hAnsi="宋体" w:cs="宋体"/>
                <w:kern w:val="0"/>
                <w:sz w:val="24"/>
                <w:szCs w:val="24"/>
                <w:highlight w:val="none"/>
              </w:rPr>
              <w:t>满足招标文件要求，但内容存在2处瑕疵：2分；</w:t>
            </w:r>
          </w:p>
          <w:p>
            <w:pPr>
              <w:widowControl/>
              <w:snapToGrid w:val="0"/>
              <w:rPr>
                <w:kern w:val="0"/>
                <w:sz w:val="24"/>
                <w:szCs w:val="24"/>
                <w:highlight w:val="none"/>
              </w:rPr>
            </w:pPr>
            <w:r>
              <w:rPr>
                <w:rFonts w:hint="eastAsia" w:ascii="宋体" w:hAnsi="宋体" w:cs="宋体"/>
                <w:kern w:val="0"/>
                <w:sz w:val="24"/>
                <w:szCs w:val="24"/>
                <w:highlight w:val="none"/>
              </w:rPr>
              <w:t>其他：0分。</w:t>
            </w:r>
          </w:p>
        </w:tc>
        <w:tc>
          <w:tcPr>
            <w:tcW w:w="1010" w:type="dxa"/>
            <w:shd w:val="clear" w:color="auto" w:fill="auto"/>
            <w:vAlign w:val="center"/>
          </w:tcPr>
          <w:p>
            <w:pPr>
              <w:widowControl/>
              <w:snapToGrid w:val="0"/>
              <w:jc w:val="center"/>
              <w:rPr>
                <w:kern w:val="0"/>
                <w:sz w:val="24"/>
                <w:szCs w:val="24"/>
                <w:highlight w:val="none"/>
              </w:rPr>
            </w:pPr>
            <w:r>
              <w:rPr>
                <w:rFonts w:hint="eastAsia" w:ascii="宋体" w:hAnsi="宋体" w:cs="宋体"/>
                <w:kern w:val="0"/>
                <w:sz w:val="24"/>
                <w:szCs w:val="24"/>
                <w:highlight w:val="none"/>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pPr>
              <w:widowControl/>
              <w:snapToGrid w:val="0"/>
              <w:jc w:val="center"/>
              <w:rPr>
                <w:kern w:val="0"/>
                <w:sz w:val="24"/>
                <w:szCs w:val="24"/>
                <w:highlight w:val="none"/>
              </w:rPr>
            </w:pPr>
            <w:r>
              <w:rPr>
                <w:rFonts w:hint="eastAsia"/>
                <w:kern w:val="0"/>
                <w:sz w:val="24"/>
                <w:szCs w:val="24"/>
                <w:highlight w:val="none"/>
              </w:rPr>
              <w:t>4</w:t>
            </w:r>
          </w:p>
        </w:tc>
        <w:tc>
          <w:tcPr>
            <w:tcW w:w="1655" w:type="dxa"/>
            <w:shd w:val="clear" w:color="auto" w:fill="auto"/>
            <w:vAlign w:val="center"/>
          </w:tcPr>
          <w:p>
            <w:pPr>
              <w:widowControl/>
              <w:snapToGrid w:val="0"/>
              <w:jc w:val="center"/>
              <w:rPr>
                <w:sz w:val="24"/>
                <w:highlight w:val="none"/>
              </w:rPr>
            </w:pPr>
            <w:r>
              <w:rPr>
                <w:rFonts w:hint="eastAsia" w:ascii="宋体" w:hAnsi="宋体" w:cs="宋体"/>
                <w:kern w:val="0"/>
                <w:sz w:val="24"/>
                <w:szCs w:val="24"/>
                <w:highlight w:val="none"/>
              </w:rPr>
              <w:t>项目进度保障措施评价</w:t>
            </w:r>
          </w:p>
        </w:tc>
        <w:tc>
          <w:tcPr>
            <w:tcW w:w="7087" w:type="dxa"/>
            <w:shd w:val="clear" w:color="auto" w:fill="auto"/>
            <w:vAlign w:val="center"/>
          </w:tcPr>
          <w:p>
            <w:pPr>
              <w:widowControl/>
              <w:snapToGrid w:val="0"/>
              <w:rPr>
                <w:rFonts w:ascii="宋体" w:hAnsi="宋体" w:cs="宋体"/>
                <w:kern w:val="0"/>
                <w:sz w:val="24"/>
                <w:szCs w:val="24"/>
                <w:highlight w:val="none"/>
              </w:rPr>
            </w:pPr>
            <w:r>
              <w:rPr>
                <w:rFonts w:hint="eastAsia" w:ascii="宋体" w:hAnsi="宋体" w:cs="宋体"/>
                <w:kern w:val="0"/>
                <w:sz w:val="24"/>
                <w:szCs w:val="24"/>
                <w:highlight w:val="none"/>
              </w:rPr>
              <w:t>提供针对本项目的、切实可行的整体服务方案，应包含项目进度安排、人员投入、交货、安装、调试、验收的方案。</w:t>
            </w:r>
          </w:p>
          <w:p>
            <w:pPr>
              <w:widowControl/>
              <w:snapToGrid w:val="0"/>
              <w:rPr>
                <w:rFonts w:ascii="宋体" w:hAnsi="宋体" w:cs="宋体"/>
                <w:kern w:val="0"/>
                <w:sz w:val="24"/>
                <w:szCs w:val="24"/>
                <w:highlight w:val="none"/>
              </w:rPr>
            </w:pPr>
            <w:r>
              <w:rPr>
                <w:rFonts w:hint="eastAsia" w:ascii="宋体" w:hAnsi="宋体" w:cs="宋体"/>
                <w:kern w:val="0"/>
                <w:sz w:val="24"/>
                <w:szCs w:val="24"/>
                <w:highlight w:val="none"/>
              </w:rPr>
              <w:t>满足招标文件要求，内容无瑕疵：6分；</w:t>
            </w:r>
          </w:p>
          <w:p>
            <w:pPr>
              <w:widowControl/>
              <w:snapToGrid w:val="0"/>
              <w:rPr>
                <w:rFonts w:ascii="宋体" w:hAnsi="宋体" w:cs="宋体"/>
                <w:kern w:val="0"/>
                <w:sz w:val="24"/>
                <w:szCs w:val="24"/>
                <w:highlight w:val="none"/>
              </w:rPr>
            </w:pPr>
            <w:r>
              <w:rPr>
                <w:rFonts w:hint="eastAsia" w:ascii="宋体" w:hAnsi="宋体" w:cs="宋体"/>
                <w:kern w:val="0"/>
                <w:sz w:val="24"/>
                <w:szCs w:val="24"/>
                <w:highlight w:val="none"/>
              </w:rPr>
              <w:t>满足招标文件要求，但内容存在1处瑕疵：4分；</w:t>
            </w:r>
          </w:p>
          <w:p>
            <w:pPr>
              <w:widowControl/>
              <w:snapToGrid w:val="0"/>
              <w:rPr>
                <w:rFonts w:ascii="宋体" w:hAnsi="宋体" w:cs="宋体"/>
                <w:kern w:val="0"/>
                <w:sz w:val="24"/>
                <w:szCs w:val="24"/>
                <w:highlight w:val="none"/>
              </w:rPr>
            </w:pPr>
            <w:r>
              <w:rPr>
                <w:rFonts w:hint="eastAsia" w:ascii="宋体" w:hAnsi="宋体" w:cs="宋体"/>
                <w:kern w:val="0"/>
                <w:sz w:val="24"/>
                <w:szCs w:val="24"/>
                <w:highlight w:val="none"/>
              </w:rPr>
              <w:t>满足招标文件要求，但内容存在2处瑕疵：2分；</w:t>
            </w:r>
          </w:p>
          <w:p>
            <w:pPr>
              <w:widowControl/>
              <w:snapToGrid w:val="0"/>
              <w:rPr>
                <w:sz w:val="24"/>
                <w:highlight w:val="none"/>
              </w:rPr>
            </w:pPr>
            <w:r>
              <w:rPr>
                <w:rFonts w:hint="eastAsia" w:ascii="宋体" w:hAnsi="宋体" w:cs="宋体"/>
                <w:kern w:val="0"/>
                <w:sz w:val="24"/>
                <w:szCs w:val="24"/>
                <w:highlight w:val="none"/>
              </w:rPr>
              <w:t>其他：0分。</w:t>
            </w:r>
          </w:p>
        </w:tc>
        <w:tc>
          <w:tcPr>
            <w:tcW w:w="1010" w:type="dxa"/>
            <w:shd w:val="clear" w:color="auto" w:fill="auto"/>
            <w:vAlign w:val="center"/>
          </w:tcPr>
          <w:p>
            <w:pPr>
              <w:widowControl/>
              <w:snapToGrid w:val="0"/>
              <w:jc w:val="center"/>
              <w:rPr>
                <w:kern w:val="0"/>
                <w:sz w:val="24"/>
                <w:szCs w:val="24"/>
                <w:highlight w:val="none"/>
              </w:rPr>
            </w:pPr>
            <w:r>
              <w:rPr>
                <w:rFonts w:hint="eastAsia" w:ascii="宋体" w:hAnsi="宋体" w:cs="宋体"/>
                <w:kern w:val="0"/>
                <w:sz w:val="24"/>
                <w:szCs w:val="24"/>
                <w:highlight w:val="none"/>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pPr>
              <w:widowControl/>
              <w:snapToGrid w:val="0"/>
              <w:jc w:val="center"/>
              <w:rPr>
                <w:rFonts w:hAnsiTheme="minorEastAsia"/>
                <w:sz w:val="24"/>
              </w:rPr>
            </w:pPr>
            <w:r>
              <w:rPr>
                <w:rFonts w:hint="eastAsia"/>
                <w:kern w:val="0"/>
                <w:sz w:val="24"/>
                <w:szCs w:val="24"/>
              </w:rPr>
              <w:t>5</w:t>
            </w:r>
          </w:p>
        </w:tc>
        <w:tc>
          <w:tcPr>
            <w:tcW w:w="1655" w:type="dxa"/>
            <w:shd w:val="clear" w:color="auto" w:fill="auto"/>
            <w:noWrap/>
            <w:vAlign w:val="center"/>
          </w:tcPr>
          <w:p>
            <w:pPr>
              <w:widowControl/>
              <w:snapToGrid w:val="0"/>
              <w:jc w:val="center"/>
            </w:pPr>
            <w:r>
              <w:rPr>
                <w:rFonts w:hint="eastAsia" w:ascii="宋体" w:hAnsi="宋体" w:cs="宋体"/>
                <w:sz w:val="24"/>
                <w:szCs w:val="24"/>
              </w:rPr>
              <w:t>售后服务方案评价</w:t>
            </w:r>
          </w:p>
        </w:tc>
        <w:tc>
          <w:tcPr>
            <w:tcW w:w="7087" w:type="dxa"/>
            <w:shd w:val="clear" w:color="auto" w:fill="auto"/>
            <w:noWrap/>
            <w:vAlign w:val="center"/>
          </w:tcPr>
          <w:p>
            <w:pPr>
              <w:widowControl/>
              <w:snapToGrid w:val="0"/>
              <w:rPr>
                <w:rFonts w:ascii="宋体" w:hAnsi="宋体" w:cs="宋体"/>
                <w:kern w:val="0"/>
                <w:sz w:val="24"/>
                <w:szCs w:val="24"/>
              </w:rPr>
            </w:pPr>
            <w:r>
              <w:rPr>
                <w:rFonts w:hint="eastAsia" w:ascii="宋体" w:hAnsi="宋体" w:cs="宋体"/>
                <w:kern w:val="0"/>
                <w:sz w:val="24"/>
                <w:szCs w:val="24"/>
              </w:rPr>
              <w:t>应包含制造商服务承诺、投标人服务承诺、免费保修期时间、服务响应时间、培训方案等。</w:t>
            </w:r>
          </w:p>
          <w:p>
            <w:pPr>
              <w:widowControl/>
              <w:snapToGrid w:val="0"/>
              <w:rPr>
                <w:rFonts w:ascii="宋体" w:hAnsi="宋体" w:cs="宋体"/>
                <w:kern w:val="0"/>
                <w:sz w:val="24"/>
                <w:szCs w:val="24"/>
              </w:rPr>
            </w:pPr>
            <w:r>
              <w:rPr>
                <w:rFonts w:hint="eastAsia" w:ascii="宋体" w:hAnsi="宋体" w:cs="宋体"/>
                <w:kern w:val="0"/>
                <w:sz w:val="24"/>
                <w:szCs w:val="24"/>
              </w:rPr>
              <w:t>满足招标文件要求，内容无瑕疵：6分；</w:t>
            </w:r>
          </w:p>
          <w:p>
            <w:pPr>
              <w:widowControl/>
              <w:snapToGrid w:val="0"/>
              <w:rPr>
                <w:rFonts w:ascii="宋体" w:hAnsi="宋体" w:cs="宋体"/>
                <w:kern w:val="0"/>
                <w:sz w:val="24"/>
                <w:szCs w:val="24"/>
              </w:rPr>
            </w:pPr>
            <w:r>
              <w:rPr>
                <w:rFonts w:hint="eastAsia" w:ascii="宋体" w:hAnsi="宋体" w:cs="宋体"/>
                <w:kern w:val="0"/>
                <w:sz w:val="24"/>
                <w:szCs w:val="24"/>
              </w:rPr>
              <w:t>满足招标文件要求，但内容存在1处瑕疵：4分；</w:t>
            </w:r>
          </w:p>
          <w:p>
            <w:pPr>
              <w:widowControl/>
              <w:snapToGrid w:val="0"/>
              <w:rPr>
                <w:rFonts w:ascii="宋体" w:hAnsi="宋体" w:cs="宋体"/>
                <w:kern w:val="0"/>
                <w:sz w:val="24"/>
                <w:szCs w:val="24"/>
              </w:rPr>
            </w:pPr>
            <w:r>
              <w:rPr>
                <w:rFonts w:hint="eastAsia" w:ascii="宋体" w:hAnsi="宋体" w:cs="宋体"/>
                <w:kern w:val="0"/>
                <w:sz w:val="24"/>
                <w:szCs w:val="24"/>
              </w:rPr>
              <w:t>满足招标文件要求，但内容存在2处瑕疵：2分；</w:t>
            </w:r>
          </w:p>
          <w:p>
            <w:pPr>
              <w:widowControl/>
              <w:snapToGrid w:val="0"/>
            </w:pPr>
            <w:r>
              <w:rPr>
                <w:rFonts w:hint="eastAsia" w:ascii="宋体" w:hAnsi="宋体" w:cs="宋体"/>
                <w:kern w:val="0"/>
                <w:sz w:val="24"/>
                <w:szCs w:val="24"/>
              </w:rPr>
              <w:t>其他：0分。</w:t>
            </w:r>
          </w:p>
        </w:tc>
        <w:tc>
          <w:tcPr>
            <w:tcW w:w="1010" w:type="dxa"/>
            <w:shd w:val="clear" w:color="auto" w:fill="auto"/>
            <w:vAlign w:val="center"/>
          </w:tcPr>
          <w:p>
            <w:pPr>
              <w:widowControl/>
              <w:snapToGrid w:val="0"/>
              <w:jc w:val="center"/>
              <w:rPr>
                <w:kern w:val="0"/>
                <w:sz w:val="24"/>
                <w:szCs w:val="24"/>
              </w:rPr>
            </w:pPr>
            <w:r>
              <w:rPr>
                <w:rFonts w:hint="eastAsia" w:ascii="宋体" w:hAnsi="宋体" w:cs="宋体"/>
                <w:kern w:val="0"/>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pPr>
              <w:widowControl/>
              <w:snapToGrid w:val="0"/>
              <w:jc w:val="center"/>
              <w:rPr>
                <w:kern w:val="0"/>
                <w:sz w:val="24"/>
                <w:szCs w:val="24"/>
                <w:highlight w:val="none"/>
              </w:rPr>
            </w:pPr>
            <w:r>
              <w:rPr>
                <w:rFonts w:hint="eastAsia"/>
                <w:kern w:val="0"/>
                <w:sz w:val="24"/>
                <w:szCs w:val="24"/>
                <w:highlight w:val="none"/>
              </w:rPr>
              <w:t>6</w:t>
            </w:r>
          </w:p>
        </w:tc>
        <w:tc>
          <w:tcPr>
            <w:tcW w:w="1655" w:type="dxa"/>
            <w:shd w:val="clear" w:color="auto" w:fill="auto"/>
            <w:noWrap/>
            <w:vAlign w:val="center"/>
          </w:tcPr>
          <w:p>
            <w:pPr>
              <w:widowControl/>
              <w:snapToGrid w:val="0"/>
              <w:jc w:val="center"/>
              <w:rPr>
                <w:rFonts w:hAnsiTheme="minorEastAsia"/>
                <w:sz w:val="24"/>
                <w:highlight w:val="none"/>
              </w:rPr>
            </w:pPr>
            <w:r>
              <w:rPr>
                <w:rFonts w:hint="eastAsia"/>
                <w:sz w:val="24"/>
                <w:highlight w:val="none"/>
              </w:rPr>
              <w:t>视频演示评价</w:t>
            </w:r>
          </w:p>
        </w:tc>
        <w:tc>
          <w:tcPr>
            <w:tcW w:w="7087" w:type="dxa"/>
            <w:shd w:val="clear" w:color="auto" w:fill="auto"/>
            <w:noWrap/>
            <w:vAlign w:val="center"/>
          </w:tcPr>
          <w:p>
            <w:pPr>
              <w:widowControl/>
              <w:adjustRightInd w:val="0"/>
              <w:snapToGrid w:val="0"/>
              <w:rPr>
                <w:rFonts w:hAnsiTheme="minorEastAsia"/>
                <w:sz w:val="24"/>
                <w:highlight w:val="none"/>
              </w:rPr>
            </w:pPr>
            <w:r>
              <w:rPr>
                <w:rFonts w:hint="eastAsia"/>
                <w:sz w:val="24"/>
                <w:highlight w:val="none"/>
              </w:rPr>
              <w:t>评标委员会</w:t>
            </w:r>
            <w:r>
              <w:rPr>
                <w:sz w:val="24"/>
                <w:highlight w:val="none"/>
              </w:rPr>
              <w:t>观看各投标人递交的演示讲解光盘，经</w:t>
            </w:r>
            <w:r>
              <w:rPr>
                <w:rFonts w:hint="eastAsia"/>
                <w:sz w:val="24"/>
                <w:highlight w:val="none"/>
              </w:rPr>
              <w:t>评标委员会</w:t>
            </w:r>
            <w:r>
              <w:rPr>
                <w:sz w:val="24"/>
                <w:highlight w:val="none"/>
              </w:rPr>
              <w:t>认定，演示讲解完全满足演示讲解要求中任意一项内容的得</w:t>
            </w:r>
            <w:r>
              <w:rPr>
                <w:rFonts w:hint="eastAsia"/>
                <w:sz w:val="24"/>
                <w:highlight w:val="none"/>
              </w:rPr>
              <w:t>1</w:t>
            </w:r>
            <w:r>
              <w:rPr>
                <w:sz w:val="24"/>
                <w:highlight w:val="none"/>
              </w:rPr>
              <w:t>分，最多</w:t>
            </w:r>
            <w:r>
              <w:rPr>
                <w:rFonts w:hint="eastAsia"/>
                <w:sz w:val="24"/>
                <w:highlight w:val="none"/>
              </w:rPr>
              <w:t>6</w:t>
            </w:r>
            <w:r>
              <w:rPr>
                <w:sz w:val="24"/>
                <w:highlight w:val="none"/>
              </w:rPr>
              <w:t>分。</w:t>
            </w:r>
            <w:r>
              <w:rPr>
                <w:rFonts w:hint="eastAsia"/>
                <w:sz w:val="24"/>
                <w:highlight w:val="none"/>
              </w:rPr>
              <w:t>（详见技术要求</w:t>
            </w:r>
            <w:r>
              <w:rPr>
                <w:rFonts w:hint="eastAsia"/>
                <w:sz w:val="24"/>
                <w:highlight w:val="none"/>
                <w:lang w:eastAsia="zh-CN"/>
              </w:rPr>
              <w:t>（五）</w:t>
            </w:r>
            <w:r>
              <w:rPr>
                <w:rFonts w:hint="eastAsia"/>
                <w:sz w:val="24"/>
                <w:highlight w:val="none"/>
              </w:rPr>
              <w:t>）</w:t>
            </w:r>
          </w:p>
        </w:tc>
        <w:tc>
          <w:tcPr>
            <w:tcW w:w="1010" w:type="dxa"/>
            <w:shd w:val="clear" w:color="auto" w:fill="auto"/>
            <w:vAlign w:val="center"/>
          </w:tcPr>
          <w:p>
            <w:pPr>
              <w:widowControl/>
              <w:snapToGrid w:val="0"/>
              <w:jc w:val="center"/>
              <w:rPr>
                <w:kern w:val="0"/>
                <w:sz w:val="24"/>
                <w:szCs w:val="24"/>
                <w:highlight w:val="none"/>
              </w:rPr>
            </w:pPr>
            <w:r>
              <w:rPr>
                <w:rFonts w:hint="eastAsia" w:ascii="宋体" w:hAnsi="宋体" w:cs="宋体"/>
                <w:kern w:val="0"/>
                <w:sz w:val="24"/>
                <w:szCs w:val="24"/>
                <w:highlight w:val="none"/>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pPr>
              <w:widowControl/>
              <w:snapToGrid w:val="0"/>
              <w:jc w:val="center"/>
              <w:rPr>
                <w:rFonts w:hint="eastAsia" w:eastAsia="宋体"/>
                <w:kern w:val="0"/>
                <w:sz w:val="24"/>
                <w:szCs w:val="24"/>
                <w:highlight w:val="none"/>
                <w:lang w:eastAsia="zh-CN"/>
              </w:rPr>
            </w:pPr>
            <w:r>
              <w:rPr>
                <w:rFonts w:hint="eastAsia"/>
                <w:kern w:val="0"/>
                <w:sz w:val="24"/>
                <w:szCs w:val="24"/>
                <w:highlight w:val="none"/>
                <w:lang w:val="en-US" w:eastAsia="zh-CN"/>
              </w:rPr>
              <w:t>7</w:t>
            </w:r>
          </w:p>
        </w:tc>
        <w:tc>
          <w:tcPr>
            <w:tcW w:w="1655" w:type="dxa"/>
            <w:shd w:val="clear" w:color="auto" w:fill="auto"/>
            <w:noWrap/>
            <w:vAlign w:val="center"/>
          </w:tcPr>
          <w:p>
            <w:pPr>
              <w:widowControl/>
              <w:snapToGrid w:val="0"/>
              <w:jc w:val="center"/>
              <w:rPr>
                <w:sz w:val="24"/>
                <w:highlight w:val="none"/>
              </w:rPr>
            </w:pPr>
            <w:r>
              <w:rPr>
                <w:rFonts w:hint="eastAsia" w:hAnsiTheme="minorEastAsia"/>
                <w:sz w:val="24"/>
                <w:highlight w:val="none"/>
              </w:rPr>
              <w:t>绿色供应链管理评价</w:t>
            </w:r>
          </w:p>
        </w:tc>
        <w:tc>
          <w:tcPr>
            <w:tcW w:w="7087" w:type="dxa"/>
            <w:shd w:val="clear" w:color="auto" w:fill="auto"/>
            <w:noWrap/>
            <w:vAlign w:val="center"/>
          </w:tcPr>
          <w:p>
            <w:pPr>
              <w:widowControl/>
              <w:snapToGrid w:val="0"/>
              <w:rPr>
                <w:sz w:val="24"/>
                <w:highlight w:val="none"/>
              </w:rPr>
            </w:pPr>
            <w:r>
              <w:rPr>
                <w:rFonts w:hint="eastAsia" w:hAnsiTheme="minorEastAsia"/>
                <w:sz w:val="24"/>
                <w:highlight w:val="none"/>
              </w:rPr>
              <w:t>绿色供应链管理先进、效果显著且提供证明材料得</w:t>
            </w:r>
            <w:r>
              <w:rPr>
                <w:rFonts w:hint="eastAsia"/>
                <w:sz w:val="24"/>
                <w:highlight w:val="none"/>
              </w:rPr>
              <w:t>1</w:t>
            </w:r>
            <w:r>
              <w:rPr>
                <w:rFonts w:hint="eastAsia" w:hAnsiTheme="minorEastAsia"/>
                <w:sz w:val="24"/>
                <w:highlight w:val="none"/>
              </w:rPr>
              <w:t>分；实施绿色供应链管理得</w:t>
            </w:r>
            <w:r>
              <w:rPr>
                <w:rFonts w:hint="eastAsia"/>
                <w:sz w:val="24"/>
                <w:highlight w:val="none"/>
              </w:rPr>
              <w:t>0.5</w:t>
            </w:r>
            <w:r>
              <w:rPr>
                <w:rFonts w:hint="eastAsia" w:hAnsiTheme="minorEastAsia"/>
                <w:sz w:val="24"/>
                <w:highlight w:val="none"/>
              </w:rPr>
              <w:t>分；其他不得分</w:t>
            </w:r>
          </w:p>
        </w:tc>
        <w:tc>
          <w:tcPr>
            <w:tcW w:w="1010" w:type="dxa"/>
            <w:shd w:val="clear" w:color="auto" w:fill="auto"/>
            <w:vAlign w:val="center"/>
          </w:tcPr>
          <w:p>
            <w:pPr>
              <w:widowControl/>
              <w:snapToGrid w:val="0"/>
              <w:jc w:val="center"/>
              <w:rPr>
                <w:kern w:val="0"/>
                <w:sz w:val="24"/>
                <w:szCs w:val="24"/>
                <w:highlight w:val="none"/>
              </w:rPr>
            </w:pPr>
            <w:r>
              <w:rPr>
                <w:rFonts w:hint="eastAsia"/>
                <w:kern w:val="0"/>
                <w:sz w:val="24"/>
                <w:szCs w:val="24"/>
                <w:highlight w:val="none"/>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60" w:type="dxa"/>
            <w:gridSpan w:val="4"/>
            <w:shd w:val="clear" w:color="auto" w:fill="auto"/>
            <w:noWrap/>
            <w:vAlign w:val="center"/>
          </w:tcPr>
          <w:p>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pPr>
        <w:spacing w:line="360" w:lineRule="auto"/>
        <w:ind w:firstLine="448" w:firstLineChars="200"/>
        <w:outlineLvl w:val="0"/>
        <w:rPr>
          <w:sz w:val="24"/>
        </w:rPr>
      </w:pPr>
      <w:r>
        <w:rPr>
          <w:rFonts w:hint="eastAsia" w:hAnsiTheme="minorEastAsia"/>
          <w:sz w:val="24"/>
        </w:rPr>
        <w:t>四、投标文件内容要求</w:t>
      </w:r>
    </w:p>
    <w:p>
      <w:pPr>
        <w:spacing w:line="360" w:lineRule="auto"/>
        <w:ind w:firstLine="448" w:firstLineChars="200"/>
        <w:outlineLvl w:val="0"/>
        <w:rPr>
          <w:sz w:val="24"/>
        </w:rPr>
      </w:pPr>
      <w:r>
        <w:rPr>
          <w:rFonts w:hint="eastAsia" w:hAnsiTheme="minor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int="eastAsia" w:hAnsiTheme="minorEastAsia"/>
          <w:sz w:val="24"/>
        </w:rPr>
        <w:t>。</w:t>
      </w:r>
    </w:p>
    <w:p>
      <w:pPr>
        <w:spacing w:line="360" w:lineRule="auto"/>
        <w:ind w:firstLine="448" w:firstLineChars="200"/>
        <w:outlineLvl w:val="0"/>
        <w:rPr>
          <w:sz w:val="24"/>
        </w:rPr>
      </w:pPr>
      <w:r>
        <w:rPr>
          <w:rFonts w:hint="eastAsia" w:hAnsiTheme="minorEastAsia"/>
          <w:sz w:val="24"/>
        </w:rPr>
        <w:t>（二）</w:t>
      </w:r>
      <w:r>
        <w:rPr>
          <w:rFonts w:hAnsiTheme="minorEastAsia"/>
          <w:sz w:val="24"/>
        </w:rPr>
        <w:t>投标文件</w:t>
      </w:r>
      <w:r>
        <w:rPr>
          <w:rFonts w:hint="eastAsia" w:hAnsiTheme="minorEastAsia"/>
          <w:sz w:val="24"/>
        </w:rPr>
        <w:t>格式参照第五部分</w:t>
      </w:r>
      <w:r>
        <w:rPr>
          <w:rFonts w:hint="eastAsia"/>
          <w:sz w:val="24"/>
        </w:rPr>
        <w:t>“</w:t>
      </w:r>
      <w:r>
        <w:rPr>
          <w:rFonts w:hint="eastAsia" w:hAnsiTheme="minorEastAsia"/>
          <w:sz w:val="24"/>
        </w:rPr>
        <w:t>投标文件格式</w:t>
      </w:r>
      <w:r>
        <w:rPr>
          <w:rFonts w:hint="eastAsia"/>
          <w:sz w:val="24"/>
        </w:rPr>
        <w:t>”</w:t>
      </w:r>
      <w:r>
        <w:rPr>
          <w:rFonts w:hint="eastAsia" w:hAnsiTheme="minorEastAsia"/>
          <w:sz w:val="24"/>
        </w:rPr>
        <w:t>。</w:t>
      </w:r>
    </w:p>
    <w:p>
      <w:pPr>
        <w:spacing w:line="360" w:lineRule="auto"/>
        <w:ind w:firstLine="448" w:firstLineChars="200"/>
        <w:outlineLvl w:val="0"/>
        <w:rPr>
          <w:color w:val="FF0000"/>
          <w:sz w:val="24"/>
        </w:rPr>
      </w:pPr>
    </w:p>
    <w:p>
      <w:pPr>
        <w:pStyle w:val="20"/>
      </w:pPr>
    </w:p>
    <w:p>
      <w:pPr>
        <w:pStyle w:val="20"/>
      </w:pPr>
    </w:p>
    <w:p>
      <w:pPr>
        <w:pStyle w:val="20"/>
      </w:pPr>
    </w:p>
    <w:p>
      <w:pPr>
        <w:pStyle w:val="20"/>
      </w:pPr>
    </w:p>
    <w:p>
      <w:pPr>
        <w:pStyle w:val="20"/>
      </w:pPr>
    </w:p>
    <w:p>
      <w:pPr>
        <w:pStyle w:val="20"/>
      </w:pPr>
    </w:p>
    <w:p>
      <w:pPr>
        <w:pStyle w:val="20"/>
      </w:pPr>
    </w:p>
    <w:p>
      <w:pPr>
        <w:pStyle w:val="20"/>
      </w:pPr>
    </w:p>
    <w:p>
      <w:pPr>
        <w:pStyle w:val="20"/>
      </w:pPr>
    </w:p>
    <w:p/>
    <w:p>
      <w:pPr>
        <w:pStyle w:val="20"/>
      </w:pPr>
    </w:p>
    <w:p>
      <w:pPr>
        <w:pStyle w:val="20"/>
      </w:pPr>
    </w:p>
    <w:p>
      <w:pPr>
        <w:pStyle w:val="20"/>
      </w:pPr>
    </w:p>
    <w:p>
      <w:pPr>
        <w:rPr>
          <w:rFonts w:hint="eastAsia"/>
        </w:rPr>
      </w:pPr>
      <w:r>
        <w:rPr>
          <w:rFonts w:hint="eastAsia"/>
        </w:rPr>
        <w:br w:type="page"/>
      </w:r>
    </w:p>
    <w:p>
      <w:pPr>
        <w:pStyle w:val="20"/>
        <w:rPr>
          <w:rFonts w:hint="eastAsia" w:eastAsia="宋体"/>
          <w:sz w:val="24"/>
          <w:highlight w:val="yellow"/>
          <w:lang w:eastAsia="zh-CN"/>
        </w:rPr>
      </w:pPr>
      <w:r>
        <w:rPr>
          <w:rFonts w:hint="eastAsia"/>
        </w:rPr>
        <w:t>项目需求书</w:t>
      </w:r>
    </w:p>
    <w:p>
      <w:pPr>
        <w:spacing w:line="360" w:lineRule="auto"/>
        <w:ind w:firstLine="448" w:firstLineChars="200"/>
        <w:rPr>
          <w:rFonts w:ascii="宋体" w:hAnsi="宋体"/>
          <w:b/>
          <w:sz w:val="24"/>
        </w:rPr>
      </w:pPr>
      <w:r>
        <w:rPr>
          <w:rFonts w:hint="eastAsia" w:ascii="宋体" w:hAnsi="宋体"/>
          <w:b/>
          <w:sz w:val="24"/>
        </w:rPr>
        <w:t>一、项目背景</w:t>
      </w:r>
    </w:p>
    <w:p>
      <w:pPr>
        <w:spacing w:line="360" w:lineRule="auto"/>
        <w:ind w:left="-180" w:leftChars="-93" w:firstLine="448" w:firstLineChars="200"/>
        <w:rPr>
          <w:rFonts w:ascii="宋体" w:hAnsi="宋体"/>
          <w:sz w:val="24"/>
        </w:rPr>
      </w:pPr>
      <w:r>
        <w:rPr>
          <w:rFonts w:hint="eastAsia" w:ascii="宋体" w:hAnsi="宋体" w:cs="宋体"/>
          <w:sz w:val="24"/>
          <w:szCs w:val="22"/>
        </w:rPr>
        <w:t>天津市南开中学滨海生态城学校自2016年正式开学以来，多媒体设备由于长时间使用，设备现已出现老化，导致投影不清楚、颜色失真、图像偏移等情况，虽经多次更换灯泡，更换配件，仍不能满足正常使用，且维修成本过高，严重制约师生教育教学工作，因此将2016年建设的78套多媒体设备进行改造升级。本项目属于工业行业。</w:t>
      </w:r>
    </w:p>
    <w:p>
      <w:pPr>
        <w:spacing w:line="360" w:lineRule="auto"/>
        <w:ind w:firstLine="448" w:firstLineChars="200"/>
        <w:rPr>
          <w:rFonts w:ascii="宋体" w:hAnsi="宋体"/>
          <w:b/>
          <w:sz w:val="24"/>
        </w:rPr>
      </w:pPr>
      <w:r>
        <w:rPr>
          <w:rFonts w:hint="eastAsia" w:ascii="宋体" w:hAnsi="宋体"/>
          <w:b/>
          <w:sz w:val="24"/>
        </w:rPr>
        <w:t>二、技术要求</w:t>
      </w:r>
    </w:p>
    <w:tbl>
      <w:tblPr>
        <w:tblStyle w:val="21"/>
        <w:tblW w:w="97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5"/>
        <w:gridCol w:w="1004"/>
        <w:gridCol w:w="6238"/>
        <w:gridCol w:w="407"/>
        <w:gridCol w:w="427"/>
        <w:gridCol w:w="11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noWrap/>
            <w:vAlign w:val="center"/>
          </w:tcPr>
          <w:p>
            <w:pPr>
              <w:jc w:val="center"/>
              <w:rPr>
                <w:szCs w:val="21"/>
              </w:rPr>
            </w:pPr>
            <w:r>
              <w:rPr>
                <w:szCs w:val="21"/>
              </w:rPr>
              <w:t>序号</w:t>
            </w:r>
          </w:p>
        </w:tc>
        <w:tc>
          <w:tcPr>
            <w:tcW w:w="1004" w:type="dxa"/>
            <w:noWrap/>
            <w:vAlign w:val="center"/>
          </w:tcPr>
          <w:p>
            <w:pPr>
              <w:jc w:val="center"/>
              <w:rPr>
                <w:szCs w:val="21"/>
              </w:rPr>
            </w:pPr>
            <w:r>
              <w:rPr>
                <w:rFonts w:hint="eastAsia"/>
                <w:szCs w:val="21"/>
              </w:rPr>
              <w:t>标的</w:t>
            </w:r>
            <w:r>
              <w:rPr>
                <w:szCs w:val="21"/>
              </w:rPr>
              <w:t>名称</w:t>
            </w:r>
          </w:p>
        </w:tc>
        <w:tc>
          <w:tcPr>
            <w:tcW w:w="6238" w:type="dxa"/>
            <w:noWrap/>
            <w:vAlign w:val="center"/>
          </w:tcPr>
          <w:p>
            <w:pPr>
              <w:jc w:val="center"/>
              <w:rPr>
                <w:szCs w:val="21"/>
              </w:rPr>
            </w:pPr>
            <w:r>
              <w:rPr>
                <w:szCs w:val="21"/>
              </w:rPr>
              <w:t>技术要求</w:t>
            </w:r>
          </w:p>
        </w:tc>
        <w:tc>
          <w:tcPr>
            <w:tcW w:w="407" w:type="dxa"/>
            <w:noWrap/>
            <w:vAlign w:val="center"/>
          </w:tcPr>
          <w:p>
            <w:pPr>
              <w:jc w:val="center"/>
              <w:rPr>
                <w:szCs w:val="21"/>
              </w:rPr>
            </w:pPr>
            <w:r>
              <w:rPr>
                <w:szCs w:val="21"/>
              </w:rPr>
              <w:t>单位</w:t>
            </w:r>
          </w:p>
        </w:tc>
        <w:tc>
          <w:tcPr>
            <w:tcW w:w="427" w:type="dxa"/>
            <w:noWrap/>
            <w:vAlign w:val="center"/>
          </w:tcPr>
          <w:p>
            <w:pPr>
              <w:jc w:val="center"/>
              <w:rPr>
                <w:szCs w:val="21"/>
              </w:rPr>
            </w:pPr>
            <w:r>
              <w:rPr>
                <w:szCs w:val="21"/>
              </w:rPr>
              <w:t>数量</w:t>
            </w:r>
          </w:p>
        </w:tc>
        <w:tc>
          <w:tcPr>
            <w:tcW w:w="1155" w:type="dxa"/>
            <w:noWrap/>
            <w:vAlign w:val="center"/>
          </w:tcPr>
          <w:p>
            <w:pPr>
              <w:jc w:val="center"/>
              <w:rPr>
                <w:szCs w:val="21"/>
              </w:rPr>
            </w:pPr>
            <w:r>
              <w:rPr>
                <w:szCs w:val="21"/>
              </w:rPr>
              <w:t>是否属于现行节能产品政府采购清单强制采购范围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noWrap/>
            <w:vAlign w:val="center"/>
          </w:tcPr>
          <w:p>
            <w:pPr>
              <w:jc w:val="center"/>
              <w:rPr>
                <w:rFonts w:ascii="宋体" w:hAnsi="宋体" w:cs="宋体"/>
                <w:szCs w:val="21"/>
              </w:rPr>
            </w:pPr>
            <w:r>
              <w:rPr>
                <w:rFonts w:hint="eastAsia" w:ascii="宋体" w:hAnsi="宋体" w:cs="宋体"/>
                <w:szCs w:val="21"/>
              </w:rPr>
              <w:t>1</w:t>
            </w:r>
          </w:p>
        </w:tc>
        <w:tc>
          <w:tcPr>
            <w:tcW w:w="1004" w:type="dxa"/>
            <w:noWrap/>
            <w:vAlign w:val="center"/>
          </w:tcPr>
          <w:p>
            <w:pPr>
              <w:widowControl/>
              <w:spacing w:line="360" w:lineRule="auto"/>
              <w:jc w:val="center"/>
              <w:textAlignment w:val="center"/>
              <w:rPr>
                <w:rFonts w:ascii="宋体" w:hAnsi="宋体" w:cs="宋体"/>
                <w:szCs w:val="21"/>
              </w:rPr>
            </w:pPr>
            <w:r>
              <w:rPr>
                <w:rFonts w:hint="eastAsia" w:ascii="宋体" w:hAnsi="宋体" w:cs="宋体"/>
                <w:szCs w:val="21"/>
              </w:rPr>
              <w:t>▲</w:t>
            </w:r>
            <w:r>
              <w:rPr>
                <w:rFonts w:hint="eastAsia" w:ascii="宋体" w:hAnsi="宋体" w:cs="宋体"/>
                <w:kern w:val="0"/>
                <w:szCs w:val="21"/>
              </w:rPr>
              <w:t>智慧黑板</w:t>
            </w:r>
          </w:p>
        </w:tc>
        <w:tc>
          <w:tcPr>
            <w:tcW w:w="6238" w:type="dxa"/>
            <w:noWrap/>
            <w:vAlign w:val="center"/>
          </w:tcPr>
          <w:p>
            <w:pPr>
              <w:spacing w:line="360" w:lineRule="auto"/>
              <w:rPr>
                <w:rFonts w:ascii="宋体" w:hAnsi="宋体" w:cs="宋体"/>
                <w:szCs w:val="21"/>
              </w:rPr>
            </w:pPr>
            <w:r>
              <w:rPr>
                <w:rFonts w:hint="eastAsia" w:ascii="宋体" w:hAnsi="宋体" w:cs="宋体"/>
                <w:szCs w:val="21"/>
              </w:rPr>
              <w:t>1.整机采用三拼接平面一体化设计,无推拉式结构,整体外观尺寸：宽≥4200mm,高≥1100mm,主屏及两侧副屏均支持普通粉笔直接书写。</w:t>
            </w:r>
          </w:p>
          <w:p>
            <w:pPr>
              <w:spacing w:line="360" w:lineRule="auto"/>
              <w:rPr>
                <w:rFonts w:ascii="宋体" w:hAnsi="宋体" w:cs="宋体"/>
                <w:b/>
                <w:bCs/>
                <w:szCs w:val="21"/>
              </w:rPr>
            </w:pPr>
            <w:r>
              <w:rPr>
                <w:rFonts w:hint="eastAsia" w:ascii="宋体" w:hAnsi="宋体" w:cs="宋体"/>
                <w:b/>
                <w:bCs/>
                <w:szCs w:val="21"/>
              </w:rPr>
              <w:t>★2.整机屏幕采用≥86英寸超高清LED液晶屏，分辨率≥3840*2160，显示比例16:9。</w:t>
            </w:r>
          </w:p>
          <w:p>
            <w:pPr>
              <w:spacing w:line="360" w:lineRule="auto"/>
              <w:rPr>
                <w:rFonts w:ascii="宋体" w:hAnsi="宋体" w:cs="宋体"/>
                <w:szCs w:val="21"/>
              </w:rPr>
            </w:pPr>
            <w:r>
              <w:rPr>
                <w:rFonts w:hint="eastAsia" w:ascii="宋体" w:hAnsi="宋体" w:cs="宋体"/>
                <w:szCs w:val="21"/>
              </w:rPr>
              <w:t>3.整机需支持色彩调节，具备标准模式、sRGB模式，具备高色准设计，色准值≤1.5。</w:t>
            </w:r>
          </w:p>
          <w:p>
            <w:pPr>
              <w:spacing w:line="360" w:lineRule="auto"/>
              <w:rPr>
                <w:rFonts w:ascii="宋体" w:hAnsi="宋体" w:cs="宋体"/>
                <w:szCs w:val="21"/>
              </w:rPr>
            </w:pPr>
            <w:r>
              <w:rPr>
                <w:rFonts w:hint="eastAsia" w:ascii="宋体" w:hAnsi="宋体" w:cs="宋体"/>
                <w:szCs w:val="21"/>
              </w:rPr>
              <w:t>4.整机支持在Windows系统和安卓的双系统中进行≥20点触控。</w:t>
            </w:r>
          </w:p>
          <w:p>
            <w:pPr>
              <w:spacing w:line="360" w:lineRule="auto"/>
              <w:rPr>
                <w:rFonts w:ascii="宋体" w:hAnsi="宋体" w:cs="宋体"/>
                <w:szCs w:val="21"/>
              </w:rPr>
            </w:pPr>
            <w:r>
              <w:rPr>
                <w:rFonts w:hint="eastAsia" w:ascii="宋体" w:hAnsi="宋体" w:cs="宋体"/>
                <w:szCs w:val="21"/>
              </w:rPr>
              <w:t>5.接口具备≥2路HDMI、≥1路RS232、≥1路音频、≥1路触控USB，前置输入接口≥2路USB、≥1路Type-C，通过Type-C接口可实现音视频传输，外接电脑可实现投屏，调用整机内置的摄像头、麦克风、扬声器等，无需再连接其他USB触控线。</w:t>
            </w:r>
          </w:p>
          <w:p>
            <w:pPr>
              <w:spacing w:line="360" w:lineRule="auto"/>
              <w:rPr>
                <w:rFonts w:ascii="宋体" w:hAnsi="宋体" w:cs="宋体"/>
                <w:szCs w:val="21"/>
              </w:rPr>
            </w:pPr>
            <w:r>
              <w:rPr>
                <w:rFonts w:hint="eastAsia" w:ascii="宋体" w:hAnsi="宋体" w:cs="宋体"/>
                <w:szCs w:val="21"/>
              </w:rPr>
              <w:t>6.整机内置扬声器和麦克风，扬声器≥2.2声道，额定总功率≥60W，麦克风≥4阵列设计，拾音距离≥12m，支持空间感知音效调节，根据现场环境自动生成音量、音效</w:t>
            </w:r>
            <w:bookmarkStart w:id="9" w:name="_GoBack"/>
            <w:bookmarkEnd w:id="9"/>
          </w:p>
          <w:p>
            <w:pPr>
              <w:spacing w:line="360" w:lineRule="auto"/>
              <w:rPr>
                <w:rFonts w:ascii="宋体" w:hAnsi="宋体" w:cs="宋体"/>
                <w:szCs w:val="21"/>
              </w:rPr>
            </w:pPr>
            <w:r>
              <w:rPr>
                <w:rFonts w:hint="eastAsia" w:ascii="宋体" w:hAnsi="宋体" w:cs="宋体"/>
                <w:szCs w:val="21"/>
              </w:rPr>
              <w:t>7.整机无需外接无线网卡，在Windows系统下可实现Wi-Fi无线上网连接、AP无线热点发射，需支持双Wi-Fi6版本，Wi-Fi及AP热点支持2.4GHz/5GHz双频段，工作距离≥12m。</w:t>
            </w:r>
          </w:p>
          <w:p>
            <w:pPr>
              <w:spacing w:line="360" w:lineRule="auto"/>
              <w:rPr>
                <w:rFonts w:ascii="宋体" w:hAnsi="宋体" w:cs="宋体"/>
                <w:szCs w:val="21"/>
              </w:rPr>
            </w:pPr>
            <w:r>
              <w:rPr>
                <w:rFonts w:hint="eastAsia" w:ascii="宋体" w:hAnsi="宋体" w:cs="宋体"/>
                <w:szCs w:val="21"/>
              </w:rPr>
              <w:t>8.整机需支持蓝牙Bluetooth 5.4或以上标准。</w:t>
            </w:r>
          </w:p>
          <w:p>
            <w:pPr>
              <w:spacing w:line="360" w:lineRule="auto"/>
              <w:rPr>
                <w:rFonts w:ascii="宋体" w:hAnsi="宋体" w:cs="宋体"/>
                <w:szCs w:val="21"/>
              </w:rPr>
            </w:pPr>
            <w:r>
              <w:rPr>
                <w:rFonts w:hint="eastAsia" w:ascii="宋体" w:hAnsi="宋体" w:cs="宋体"/>
                <w:szCs w:val="21"/>
              </w:rPr>
              <w:t>9.前置具备≥5个物理按键，支持开关机、中控菜单、音量调节、护眼、录屏的操作。</w:t>
            </w:r>
          </w:p>
          <w:p>
            <w:pPr>
              <w:spacing w:line="360" w:lineRule="auto"/>
              <w:rPr>
                <w:rFonts w:ascii="宋体" w:hAnsi="宋体" w:cs="宋体"/>
                <w:szCs w:val="21"/>
              </w:rPr>
            </w:pPr>
            <w:r>
              <w:rPr>
                <w:rFonts w:hint="eastAsia" w:ascii="宋体" w:hAnsi="宋体" w:cs="宋体"/>
                <w:szCs w:val="21"/>
              </w:rPr>
              <w:t>10.整机支持透明度、色温调节，可通过切换纸质模型或其他方式实现显示内容的纹理实时调整，包括但不限于水纹纸、牛皮纸、宣纸、素描纸等多种类型。</w:t>
            </w:r>
          </w:p>
          <w:p>
            <w:pPr>
              <w:spacing w:line="360" w:lineRule="auto"/>
              <w:rPr>
                <w:rFonts w:ascii="宋体" w:hAnsi="宋体" w:cs="宋体"/>
                <w:szCs w:val="21"/>
              </w:rPr>
            </w:pPr>
            <w:r>
              <w:rPr>
                <w:rFonts w:hint="eastAsia" w:ascii="宋体" w:hAnsi="宋体" w:cs="宋体"/>
                <w:szCs w:val="21"/>
              </w:rPr>
              <w:t>11.整机内置摄像头，像素＞1500万，视场角＞135度，可用于远程巡课，支持AI识别，可通过摄像头进行人数统计、随机抽选、环境色温判断等功能，具备工作指示灯。</w:t>
            </w:r>
          </w:p>
          <w:p>
            <w:pPr>
              <w:spacing w:line="360" w:lineRule="auto"/>
              <w:rPr>
                <w:rFonts w:ascii="宋体" w:hAnsi="宋体" w:cs="宋体"/>
                <w:szCs w:val="21"/>
              </w:rPr>
            </w:pPr>
            <w:r>
              <w:rPr>
                <w:rFonts w:hint="eastAsia" w:ascii="宋体" w:hAnsi="宋体" w:cs="宋体"/>
                <w:szCs w:val="21"/>
              </w:rPr>
              <w:t>12.支持板书记录功能，支持副屏黑板与主屏同步显示，支持加页，清除单页板书内容。左右两侧副屏分别进行≥10点触控。</w:t>
            </w:r>
          </w:p>
          <w:p>
            <w:pPr>
              <w:spacing w:line="360" w:lineRule="auto"/>
              <w:rPr>
                <w:rFonts w:ascii="宋体" w:hAnsi="宋体" w:cs="宋体"/>
                <w:szCs w:val="21"/>
              </w:rPr>
            </w:pPr>
            <w:r>
              <w:rPr>
                <w:rFonts w:hint="eastAsia" w:ascii="宋体" w:hAnsi="宋体" w:cs="宋体"/>
                <w:szCs w:val="21"/>
              </w:rPr>
              <w:t>13.整机内置嵌入式系统，版本≥Android 13，内存≥2GB，存储空间≥8GB。</w:t>
            </w:r>
          </w:p>
          <w:p>
            <w:pPr>
              <w:spacing w:line="360" w:lineRule="auto"/>
              <w:rPr>
                <w:rFonts w:ascii="宋体" w:hAnsi="宋体" w:cs="宋体"/>
                <w:szCs w:val="21"/>
              </w:rPr>
            </w:pPr>
            <w:r>
              <w:rPr>
                <w:rFonts w:hint="eastAsia" w:ascii="宋体" w:hAnsi="宋体" w:cs="宋体"/>
                <w:szCs w:val="21"/>
              </w:rPr>
              <w:t>14.采用模块化插拔式电脑方案，按压式卡扣，处理器主频不低于2.0GHz、不低于8核心12线程，，内存≥8G，硬盘≥256G固态硬盘。</w:t>
            </w:r>
          </w:p>
          <w:p>
            <w:pPr>
              <w:spacing w:line="360" w:lineRule="auto"/>
              <w:rPr>
                <w:rFonts w:ascii="宋体" w:hAnsi="宋体" w:cs="宋体"/>
                <w:szCs w:val="21"/>
              </w:rPr>
            </w:pPr>
            <w:r>
              <w:rPr>
                <w:rFonts w:hint="eastAsia" w:ascii="宋体" w:hAnsi="宋体" w:cs="宋体"/>
                <w:szCs w:val="21"/>
              </w:rPr>
              <w:t>15.副屏需支持同时吸附板擦、三角尺等教具，吸附后可正常进行板书书写，书写内容在主屏同步记录，不会出现书写断线。</w:t>
            </w:r>
          </w:p>
          <w:p>
            <w:pPr>
              <w:spacing w:line="360" w:lineRule="auto"/>
              <w:rPr>
                <w:rFonts w:ascii="宋体" w:hAnsi="宋体" w:cs="宋体"/>
                <w:szCs w:val="21"/>
              </w:rPr>
            </w:pPr>
            <w:r>
              <w:rPr>
                <w:rFonts w:hint="eastAsia" w:ascii="宋体" w:hAnsi="宋体" w:cs="宋体"/>
                <w:szCs w:val="21"/>
              </w:rPr>
              <w:t>16.两侧副屏需支持同时进行书写，且支持同时进行一侧擦除、另一侧书写。支持将副屏书写内容进行部分选中，选中的内容可以插入到授课课件中。</w:t>
            </w:r>
          </w:p>
          <w:p>
            <w:pPr>
              <w:spacing w:line="360" w:lineRule="auto"/>
              <w:rPr>
                <w:rFonts w:ascii="宋体" w:hAnsi="宋体" w:cs="宋体"/>
                <w:szCs w:val="21"/>
              </w:rPr>
            </w:pPr>
            <w:r>
              <w:rPr>
                <w:rFonts w:hint="eastAsia" w:ascii="宋体" w:hAnsi="宋体" w:cs="宋体"/>
                <w:szCs w:val="21"/>
              </w:rPr>
              <w:t>17.整机摄像头需支持 3D 降噪算法和数字宽动态范围成像技术，支持输出MJPG、H.264视频格式。</w:t>
            </w:r>
          </w:p>
          <w:p>
            <w:pPr>
              <w:spacing w:line="360" w:lineRule="auto"/>
              <w:rPr>
                <w:rFonts w:ascii="宋体" w:hAnsi="宋体" w:cs="宋体"/>
                <w:szCs w:val="21"/>
              </w:rPr>
            </w:pPr>
            <w:r>
              <w:rPr>
                <w:rFonts w:hint="eastAsia" w:ascii="宋体" w:hAnsi="宋体" w:cs="宋体"/>
                <w:szCs w:val="21"/>
              </w:rPr>
              <w:t>18.整机Windows通道支持文件传输应用，支持通过wifi、超声等方式进行连接，实现文件传输功能。</w:t>
            </w:r>
          </w:p>
          <w:p>
            <w:pPr>
              <w:spacing w:line="360" w:lineRule="auto"/>
              <w:rPr>
                <w:rFonts w:ascii="宋体" w:hAnsi="宋体" w:cs="宋体"/>
                <w:szCs w:val="21"/>
              </w:rPr>
            </w:pPr>
            <w:r>
              <w:rPr>
                <w:rFonts w:hint="eastAsia" w:ascii="宋体" w:hAnsi="宋体" w:cs="宋体"/>
                <w:szCs w:val="21"/>
              </w:rPr>
              <w:t>19.支持提供校本平台，支持本校资源库建设，支持集体备课、听课评课等教研类应用，支持学校通知、考勤管理等行政类应用。</w:t>
            </w:r>
          </w:p>
          <w:p>
            <w:pPr>
              <w:spacing w:line="360" w:lineRule="auto"/>
              <w:rPr>
                <w:rFonts w:ascii="宋体" w:hAnsi="宋体" w:cs="宋体"/>
                <w:szCs w:val="21"/>
              </w:rPr>
            </w:pPr>
            <w:r>
              <w:rPr>
                <w:rFonts w:hint="eastAsia" w:ascii="宋体" w:hAnsi="宋体" w:cs="宋体"/>
                <w:szCs w:val="21"/>
              </w:rPr>
              <w:t>20.提供学科配套资源，如语文、数学、英语等，支持诗词朗读、英语语法纠错，支持作业布置功能，支持快速组卷、习题库、记录查看等功能。</w:t>
            </w:r>
          </w:p>
        </w:tc>
        <w:tc>
          <w:tcPr>
            <w:tcW w:w="407" w:type="dxa"/>
            <w:noWrap/>
            <w:vAlign w:val="center"/>
          </w:tcPr>
          <w:p>
            <w:pPr>
              <w:jc w:val="center"/>
              <w:rPr>
                <w:rFonts w:ascii="宋体" w:hAnsi="宋体" w:cs="宋体"/>
                <w:szCs w:val="21"/>
              </w:rPr>
            </w:pPr>
            <w:r>
              <w:rPr>
                <w:rFonts w:hint="eastAsia" w:ascii="宋体" w:hAnsi="宋体" w:cs="宋体"/>
                <w:szCs w:val="21"/>
              </w:rPr>
              <w:t>套</w:t>
            </w:r>
          </w:p>
        </w:tc>
        <w:tc>
          <w:tcPr>
            <w:tcW w:w="427" w:type="dxa"/>
            <w:noWrap/>
            <w:vAlign w:val="center"/>
          </w:tcPr>
          <w:p>
            <w:pPr>
              <w:jc w:val="center"/>
              <w:rPr>
                <w:rFonts w:ascii="宋体" w:hAnsi="宋体" w:cs="宋体"/>
                <w:szCs w:val="21"/>
              </w:rPr>
            </w:pPr>
            <w:r>
              <w:rPr>
                <w:rFonts w:hint="eastAsia" w:ascii="宋体" w:hAnsi="宋体" w:cs="宋体"/>
                <w:szCs w:val="21"/>
              </w:rPr>
              <w:t>78</w:t>
            </w:r>
          </w:p>
        </w:tc>
        <w:tc>
          <w:tcPr>
            <w:tcW w:w="1155" w:type="dxa"/>
            <w:noWrap/>
            <w:vAlign w:val="center"/>
          </w:tcPr>
          <w:p>
            <w:pPr>
              <w:jc w:val="center"/>
              <w:rPr>
                <w:szCs w:val="21"/>
              </w:rPr>
            </w:pPr>
            <w:r>
              <w:rPr>
                <w:rFonts w:hint="eastAsia"/>
                <w:szCs w:val="21"/>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565" w:type="dxa"/>
            <w:noWrap/>
            <w:vAlign w:val="center"/>
          </w:tcPr>
          <w:p>
            <w:pPr>
              <w:jc w:val="center"/>
              <w:rPr>
                <w:rFonts w:ascii="宋体" w:hAnsi="宋体" w:cs="宋体"/>
                <w:szCs w:val="21"/>
              </w:rPr>
            </w:pPr>
            <w:r>
              <w:rPr>
                <w:rFonts w:hint="eastAsia" w:ascii="宋体" w:hAnsi="宋体" w:cs="宋体"/>
                <w:szCs w:val="21"/>
              </w:rPr>
              <w:t>2</w:t>
            </w:r>
          </w:p>
        </w:tc>
        <w:tc>
          <w:tcPr>
            <w:tcW w:w="1004" w:type="dxa"/>
            <w:noWrap/>
            <w:vAlign w:val="center"/>
          </w:tcPr>
          <w:p>
            <w:pPr>
              <w:widowControl/>
              <w:spacing w:line="360" w:lineRule="auto"/>
              <w:jc w:val="center"/>
              <w:textAlignment w:val="center"/>
              <w:rPr>
                <w:rFonts w:ascii="宋体" w:hAnsi="宋体" w:cs="宋体"/>
                <w:kern w:val="0"/>
                <w:szCs w:val="21"/>
              </w:rPr>
            </w:pPr>
            <w:r>
              <w:rPr>
                <w:rFonts w:hint="eastAsia" w:ascii="宋体" w:hAnsi="宋体" w:cs="宋体"/>
                <w:kern w:val="0"/>
                <w:szCs w:val="21"/>
              </w:rPr>
              <w:t>视频展示台</w:t>
            </w:r>
          </w:p>
        </w:tc>
        <w:tc>
          <w:tcPr>
            <w:tcW w:w="6238" w:type="dxa"/>
            <w:noWrap/>
            <w:vAlign w:val="center"/>
          </w:tcPr>
          <w:p>
            <w:pPr>
              <w:widowControl/>
              <w:spacing w:line="360" w:lineRule="auto"/>
              <w:jc w:val="left"/>
              <w:textAlignment w:val="center"/>
              <w:rPr>
                <w:rFonts w:ascii="宋体" w:hAnsi="宋体" w:cs="宋体"/>
                <w:szCs w:val="21"/>
              </w:rPr>
            </w:pPr>
            <w:r>
              <w:rPr>
                <w:rFonts w:hint="eastAsia" w:ascii="宋体" w:hAnsi="宋体" w:cs="宋体"/>
                <w:szCs w:val="21"/>
              </w:rPr>
              <w:t>1.壁挂式安装，防盗防破坏，无锐角无利边设计，有效防止师生碰伤、划伤，具备补光功能</w:t>
            </w:r>
          </w:p>
          <w:p>
            <w:pPr>
              <w:widowControl/>
              <w:spacing w:line="360" w:lineRule="auto"/>
              <w:jc w:val="left"/>
              <w:textAlignment w:val="center"/>
              <w:rPr>
                <w:rFonts w:ascii="宋体" w:hAnsi="宋体" w:cs="宋体"/>
                <w:szCs w:val="21"/>
              </w:rPr>
            </w:pPr>
            <w:r>
              <w:rPr>
                <w:rFonts w:hint="eastAsia" w:ascii="宋体" w:hAnsi="宋体" w:cs="宋体"/>
                <w:szCs w:val="21"/>
              </w:rPr>
              <w:t>2.采用USB高速接口，单根USB线实现供电、高清数据传输需求。</w:t>
            </w:r>
          </w:p>
          <w:p>
            <w:pPr>
              <w:widowControl/>
              <w:spacing w:line="360" w:lineRule="auto"/>
              <w:jc w:val="left"/>
              <w:textAlignment w:val="center"/>
              <w:rPr>
                <w:rFonts w:ascii="宋体" w:hAnsi="宋体" w:cs="宋体"/>
                <w:szCs w:val="21"/>
              </w:rPr>
            </w:pPr>
            <w:r>
              <w:rPr>
                <w:rFonts w:hint="eastAsia" w:ascii="宋体" w:hAnsi="宋体" w:cs="宋体"/>
                <w:szCs w:val="21"/>
              </w:rPr>
              <w:t>3.展台采用≥800万像素自动对焦摄像头，≥A4拍摄幅面。</w:t>
            </w:r>
          </w:p>
          <w:p>
            <w:pPr>
              <w:widowControl/>
              <w:spacing w:line="360" w:lineRule="auto"/>
              <w:jc w:val="left"/>
              <w:textAlignment w:val="center"/>
              <w:rPr>
                <w:rFonts w:ascii="宋体" w:hAnsi="宋体" w:cs="宋体"/>
                <w:szCs w:val="21"/>
              </w:rPr>
            </w:pPr>
            <w:r>
              <w:rPr>
                <w:rFonts w:hint="eastAsia" w:ascii="宋体" w:hAnsi="宋体" w:cs="宋体"/>
                <w:szCs w:val="21"/>
              </w:rPr>
              <w:t>4.展台按键采用触摸按键，可实现一键启动展台画面、画面放大、画面缩小、画面旋转、拍照截图等功能，同时也支持在一体机或电脑上进行同样的操作。</w:t>
            </w:r>
          </w:p>
          <w:p>
            <w:pPr>
              <w:widowControl/>
              <w:spacing w:line="360" w:lineRule="auto"/>
              <w:jc w:val="left"/>
              <w:textAlignment w:val="center"/>
              <w:rPr>
                <w:rFonts w:ascii="宋体" w:hAnsi="宋体" w:cs="宋体"/>
                <w:szCs w:val="21"/>
              </w:rPr>
            </w:pPr>
            <w:r>
              <w:rPr>
                <w:rFonts w:hint="eastAsia" w:ascii="宋体" w:hAnsi="宋体" w:cs="宋体"/>
                <w:szCs w:val="21"/>
              </w:rPr>
              <w:t>5.支持故障自动检测，在软件无法出现展台拍摄画面时，自动出现检测链接，帮助用户检测“无画面”的原因，并给出引导性解决方案。可判断故障问题。</w:t>
            </w:r>
          </w:p>
          <w:p>
            <w:pPr>
              <w:widowControl/>
              <w:spacing w:line="360" w:lineRule="auto"/>
              <w:jc w:val="left"/>
              <w:textAlignment w:val="center"/>
              <w:rPr>
                <w:rFonts w:ascii="宋体" w:hAnsi="宋体" w:cs="宋体"/>
                <w:szCs w:val="21"/>
              </w:rPr>
            </w:pPr>
            <w:r>
              <w:rPr>
                <w:rFonts w:hint="eastAsia" w:ascii="宋体" w:hAnsi="宋体" w:cs="宋体"/>
                <w:szCs w:val="21"/>
              </w:rPr>
              <w:t>6.展台与智慧黑板同品牌。</w:t>
            </w:r>
          </w:p>
        </w:tc>
        <w:tc>
          <w:tcPr>
            <w:tcW w:w="407" w:type="dxa"/>
            <w:noWrap/>
            <w:vAlign w:val="center"/>
          </w:tcPr>
          <w:p>
            <w:pPr>
              <w:jc w:val="center"/>
              <w:rPr>
                <w:rFonts w:ascii="宋体" w:hAnsi="宋体" w:cs="宋体"/>
                <w:szCs w:val="21"/>
              </w:rPr>
            </w:pPr>
            <w:r>
              <w:rPr>
                <w:rFonts w:hint="eastAsia" w:ascii="宋体" w:hAnsi="宋体" w:cs="宋体"/>
                <w:szCs w:val="21"/>
              </w:rPr>
              <w:t>台</w:t>
            </w:r>
          </w:p>
        </w:tc>
        <w:tc>
          <w:tcPr>
            <w:tcW w:w="427" w:type="dxa"/>
            <w:noWrap/>
            <w:vAlign w:val="center"/>
          </w:tcPr>
          <w:p>
            <w:pPr>
              <w:jc w:val="center"/>
              <w:rPr>
                <w:rFonts w:ascii="宋体" w:hAnsi="宋体" w:cs="宋体"/>
                <w:szCs w:val="21"/>
              </w:rPr>
            </w:pPr>
            <w:r>
              <w:rPr>
                <w:rFonts w:hint="eastAsia" w:ascii="宋体" w:hAnsi="宋体" w:cs="宋体"/>
                <w:szCs w:val="21"/>
              </w:rPr>
              <w:t>78</w:t>
            </w:r>
          </w:p>
        </w:tc>
        <w:tc>
          <w:tcPr>
            <w:tcW w:w="1155" w:type="dxa"/>
            <w:noWrap/>
            <w:vAlign w:val="center"/>
          </w:tcPr>
          <w:p>
            <w:pPr>
              <w:jc w:val="center"/>
              <w:rPr>
                <w:szCs w:val="21"/>
              </w:rPr>
            </w:pPr>
            <w:r>
              <w:rPr>
                <w:rFonts w:hint="eastAsia"/>
                <w:szCs w:val="21"/>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565" w:type="dxa"/>
            <w:noWrap/>
            <w:vAlign w:val="center"/>
          </w:tcPr>
          <w:p>
            <w:pPr>
              <w:jc w:val="center"/>
              <w:rPr>
                <w:rFonts w:ascii="宋体" w:hAnsi="宋体" w:cs="宋体"/>
                <w:szCs w:val="21"/>
              </w:rPr>
            </w:pPr>
            <w:r>
              <w:rPr>
                <w:rFonts w:hint="eastAsia" w:ascii="宋体" w:hAnsi="宋体" w:cs="宋体"/>
                <w:szCs w:val="21"/>
              </w:rPr>
              <w:t>3</w:t>
            </w:r>
          </w:p>
        </w:tc>
        <w:tc>
          <w:tcPr>
            <w:tcW w:w="1004" w:type="dxa"/>
            <w:noWrap/>
            <w:vAlign w:val="center"/>
          </w:tcPr>
          <w:p>
            <w:pPr>
              <w:widowControl/>
              <w:spacing w:line="360" w:lineRule="auto"/>
              <w:jc w:val="center"/>
              <w:textAlignment w:val="center"/>
              <w:rPr>
                <w:rFonts w:ascii="宋体" w:hAnsi="宋体" w:cs="宋体"/>
                <w:kern w:val="0"/>
                <w:szCs w:val="21"/>
              </w:rPr>
            </w:pPr>
            <w:r>
              <w:rPr>
                <w:rFonts w:hint="eastAsia" w:ascii="宋体" w:hAnsi="宋体" w:cs="宋体"/>
                <w:szCs w:val="21"/>
              </w:rPr>
              <w:t>安装调试</w:t>
            </w:r>
          </w:p>
        </w:tc>
        <w:tc>
          <w:tcPr>
            <w:tcW w:w="6238" w:type="dxa"/>
            <w:noWrap/>
            <w:vAlign w:val="center"/>
          </w:tcPr>
          <w:p>
            <w:pPr>
              <w:widowControl/>
              <w:spacing w:line="360" w:lineRule="auto"/>
              <w:jc w:val="left"/>
              <w:textAlignment w:val="center"/>
              <w:rPr>
                <w:rFonts w:ascii="宋体" w:hAnsi="宋体" w:cs="宋体"/>
                <w:szCs w:val="21"/>
              </w:rPr>
            </w:pPr>
            <w:r>
              <w:rPr>
                <w:rFonts w:hint="eastAsia" w:ascii="宋体" w:hAnsi="宋体" w:cs="宋体"/>
                <w:szCs w:val="21"/>
              </w:rPr>
              <w:t>包含安装所需要的电源线、网线、PVC管线以及其他线材和辅料，原有设备拆除、设备安装、调试、质保不低于三年。</w:t>
            </w:r>
          </w:p>
        </w:tc>
        <w:tc>
          <w:tcPr>
            <w:tcW w:w="407" w:type="dxa"/>
            <w:noWrap/>
            <w:vAlign w:val="center"/>
          </w:tcPr>
          <w:p>
            <w:pPr>
              <w:jc w:val="center"/>
              <w:rPr>
                <w:rFonts w:ascii="宋体" w:hAnsi="宋体" w:cs="宋体"/>
                <w:szCs w:val="21"/>
              </w:rPr>
            </w:pPr>
            <w:r>
              <w:rPr>
                <w:rFonts w:hint="eastAsia" w:ascii="宋体" w:hAnsi="宋体" w:cs="宋体"/>
                <w:szCs w:val="21"/>
              </w:rPr>
              <w:t>套</w:t>
            </w:r>
          </w:p>
        </w:tc>
        <w:tc>
          <w:tcPr>
            <w:tcW w:w="427" w:type="dxa"/>
            <w:noWrap/>
            <w:vAlign w:val="center"/>
          </w:tcPr>
          <w:p>
            <w:pPr>
              <w:jc w:val="center"/>
              <w:rPr>
                <w:rFonts w:ascii="宋体" w:hAnsi="宋体" w:cs="宋体"/>
                <w:szCs w:val="21"/>
              </w:rPr>
            </w:pPr>
            <w:r>
              <w:rPr>
                <w:rFonts w:hint="eastAsia" w:ascii="宋体" w:hAnsi="宋体" w:cs="宋体"/>
                <w:szCs w:val="21"/>
              </w:rPr>
              <w:t>78</w:t>
            </w:r>
          </w:p>
        </w:tc>
        <w:tc>
          <w:tcPr>
            <w:tcW w:w="1155" w:type="dxa"/>
            <w:noWrap/>
            <w:vAlign w:val="center"/>
          </w:tcPr>
          <w:p>
            <w:pPr>
              <w:jc w:val="center"/>
              <w:rPr>
                <w:szCs w:val="21"/>
              </w:rPr>
            </w:pPr>
            <w:r>
              <w:rPr>
                <w:rFonts w:hint="eastAsia"/>
                <w:szCs w:val="21"/>
              </w:rPr>
              <w:t>否</w:t>
            </w:r>
          </w:p>
        </w:tc>
      </w:tr>
    </w:tbl>
    <w:p>
      <w:pPr>
        <w:spacing w:line="360" w:lineRule="auto"/>
        <w:ind w:firstLine="448" w:firstLineChars="200"/>
        <w:outlineLvl w:val="0"/>
        <w:rPr>
          <w:sz w:val="24"/>
        </w:rPr>
      </w:pPr>
      <w:r>
        <w:rPr>
          <w:rFonts w:hint="eastAsia"/>
          <w:sz w:val="24"/>
        </w:rPr>
        <w:t>注：</w:t>
      </w:r>
    </w:p>
    <w:p>
      <w:pPr>
        <w:spacing w:line="360" w:lineRule="auto"/>
        <w:ind w:firstLine="448" w:firstLineChars="200"/>
        <w:outlineLvl w:val="0"/>
        <w:rPr>
          <w:sz w:val="24"/>
        </w:rPr>
      </w:pPr>
      <w:r>
        <w:rPr>
          <w:rFonts w:hint="eastAsia"/>
          <w:sz w:val="24"/>
        </w:rPr>
        <w:t>应逐项明确每项标的是否属于集采目录内产品</w:t>
      </w:r>
    </w:p>
    <w:p>
      <w:pPr>
        <w:spacing w:line="360" w:lineRule="auto"/>
        <w:ind w:firstLine="448" w:firstLineChars="200"/>
        <w:outlineLvl w:val="0"/>
        <w:rPr>
          <w:sz w:val="24"/>
        </w:rPr>
      </w:pPr>
      <w:r>
        <w:rPr>
          <w:rFonts w:hint="eastAsia"/>
          <w:sz w:val="24"/>
        </w:rPr>
        <w:t>量化指标应标示出范围值，例如长度≥30cm，而不是长度30cm</w:t>
      </w:r>
    </w:p>
    <w:p>
      <w:pPr>
        <w:spacing w:line="360" w:lineRule="auto"/>
        <w:ind w:firstLine="448" w:firstLineChars="200"/>
        <w:outlineLvl w:val="0"/>
        <w:rPr>
          <w:sz w:val="24"/>
        </w:rPr>
      </w:pPr>
      <w:r>
        <w:rPr>
          <w:sz w:val="24"/>
        </w:rPr>
        <w:t>加注“</w:t>
      </w:r>
      <w:r>
        <w:rPr>
          <w:rFonts w:hint="eastAsia" w:ascii="宋体" w:hAnsi="宋体" w:cs="宋体"/>
          <w:sz w:val="24"/>
        </w:rPr>
        <w:t>★</w:t>
      </w:r>
      <w:r>
        <w:rPr>
          <w:sz w:val="24"/>
        </w:rPr>
        <w:t>”号条款为实质性条款，不得出现负偏离，发生负偏离即做无效标处理。</w:t>
      </w:r>
    </w:p>
    <w:p>
      <w:pPr>
        <w:spacing w:line="360" w:lineRule="auto"/>
        <w:ind w:firstLine="448" w:firstLineChars="200"/>
        <w:outlineLvl w:val="0"/>
        <w:rPr>
          <w:sz w:val="24"/>
        </w:rPr>
      </w:pPr>
      <w:r>
        <w:rPr>
          <w:rFonts w:hint="eastAsia"/>
          <w:sz w:val="24"/>
        </w:rPr>
        <w:t>加注“▲”号的产品为核心产品（如项目需求书中未明确核心产品，则视为全部产品均为核心产品）。</w:t>
      </w:r>
    </w:p>
    <w:p>
      <w:pPr>
        <w:spacing w:line="360" w:lineRule="auto"/>
        <w:rPr>
          <w:rFonts w:ascii="宋体" w:hAnsi="宋体"/>
          <w:sz w:val="24"/>
        </w:rPr>
      </w:pPr>
    </w:p>
    <w:p>
      <w:pPr>
        <w:spacing w:line="360" w:lineRule="auto"/>
        <w:ind w:firstLine="448" w:firstLineChars="200"/>
        <w:outlineLvl w:val="0"/>
        <w:rPr>
          <w:sz w:val="24"/>
        </w:rPr>
      </w:pPr>
    </w:p>
    <w:p>
      <w:pPr>
        <w:spacing w:line="360" w:lineRule="auto"/>
        <w:ind w:firstLine="448" w:firstLineChars="200"/>
        <w:outlineLvl w:val="0"/>
        <w:rPr>
          <w:sz w:val="24"/>
        </w:rPr>
      </w:pPr>
    </w:p>
    <w:p>
      <w:pPr>
        <w:spacing w:line="360" w:lineRule="auto"/>
        <w:ind w:firstLine="448" w:firstLineChars="200"/>
        <w:outlineLvl w:val="0"/>
        <w:rPr>
          <w:sz w:val="24"/>
        </w:rPr>
      </w:pPr>
    </w:p>
    <w:p>
      <w:pPr>
        <w:spacing w:line="360" w:lineRule="auto"/>
        <w:ind w:firstLine="448" w:firstLineChars="200"/>
        <w:outlineLvl w:val="0"/>
        <w:rPr>
          <w:sz w:val="24"/>
        </w:rPr>
      </w:pPr>
    </w:p>
    <w:p>
      <w:pPr>
        <w:widowControl/>
        <w:jc w:val="left"/>
        <w:rPr>
          <w:sz w:val="24"/>
        </w:rPr>
      </w:pPr>
      <w:r>
        <w:rPr>
          <w:sz w:val="24"/>
        </w:rPr>
        <w:br w:type="page"/>
      </w:r>
    </w:p>
    <w:p>
      <w:pPr>
        <w:pStyle w:val="16"/>
        <w:rPr>
          <w:rFonts w:ascii="Times New Roman" w:hAnsi="Times New Roman"/>
        </w:rPr>
      </w:pPr>
      <w:r>
        <w:rPr>
          <w:rFonts w:hint="eastAsia" w:ascii="Times New Roman" w:hAnsiTheme="minorEastAsia"/>
        </w:rPr>
        <w:t>第三部分投标须知</w:t>
      </w:r>
    </w:p>
    <w:p>
      <w:pPr>
        <w:pStyle w:val="33"/>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A  </w:t>
      </w:r>
      <w:r>
        <w:rPr>
          <w:rFonts w:hint="eastAsia" w:ascii="Times New Roman" w:eastAsia="宋体" w:cs="Times New Roman" w:hAnsiTheme="minorEastAsia"/>
          <w:color w:val="auto"/>
        </w:rPr>
        <w:t>说明</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 </w:t>
      </w:r>
      <w:r>
        <w:rPr>
          <w:rFonts w:hint="eastAsia" w:ascii="Times New Roman" w:eastAsia="宋体" w:cs="Times New Roman" w:hAnsiTheme="minorEastAsia"/>
          <w:color w:val="auto"/>
        </w:rPr>
        <w:t>概述</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 </w:t>
      </w:r>
      <w:r>
        <w:rPr>
          <w:rFonts w:hint="eastAsia" w:ascii="Times New Roman" w:eastAsia="宋体" w:cs="Times New Roman" w:hAnsiTheme="minorEastAsia"/>
          <w:color w:val="auto"/>
        </w:rPr>
        <w:t>根据《中华人民共和国政府采购法》、《中华人民共和国政府采购法实施条例》等有关法律、法规和规章的规定，本采购项目已具备招标条件。</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 </w:t>
      </w:r>
      <w:r>
        <w:rPr>
          <w:rFonts w:hint="eastAsia" w:ascii="Times New Roman" w:eastAsia="宋体" w:cs="Times New Roman" w:hAnsiTheme="minorEastAsia"/>
          <w:color w:val="auto"/>
        </w:rPr>
        <w:t>本招标文件仅适用于投标邀请函中所叙述项目货物和服务的采购。</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 </w:t>
      </w:r>
      <w:r>
        <w:rPr>
          <w:rFonts w:hint="eastAsia" w:ascii="Times New Roman" w:eastAsia="宋体" w:cs="Times New Roman" w:hAnsiTheme="minorEastAsia"/>
          <w:color w:val="auto"/>
        </w:rPr>
        <w:t>参与招标投标活动的所有各方，对在参与招标投标过程中获悉的国家、商业和技术秘密以及其它依法应当保密的内容，均负有保密义务，违者应对由此造成的后果承担全部法律责任。</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hint="eastAsia" w:ascii="Times New Roman" w:eastAsia="宋体" w:cs="Times New Roman" w:hAnsiTheme="minorEastAsia"/>
          <w:color w:val="auto"/>
        </w:rPr>
        <w:t>定义</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w:t>
      </w:r>
      <w:r>
        <w:rPr>
          <w:rFonts w:hint="eastAsia" w:ascii="Times New Roman" w:eastAsia="宋体" w:cs="Times New Roman" w:hAnsiTheme="minorEastAsia"/>
          <w:color w:val="auto"/>
        </w:rPr>
        <w:t>采购人</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系指本次招标活动的采购单位。</w:t>
      </w:r>
      <w:r>
        <w:rPr>
          <w:rFonts w:hint="eastAsia" w:ascii="Times New Roman" w:hAnsi="Times New Roman" w:eastAsia="宋体" w:cs="Times New Roman"/>
          <w:color w:val="auto"/>
        </w:rPr>
        <w:t>“</w:t>
      </w:r>
      <w:r>
        <w:rPr>
          <w:rFonts w:hint="eastAsia" w:ascii="Times New Roman" w:eastAsia="宋体" w:cs="Times New Roman" w:hAnsiTheme="minorEastAsia"/>
          <w:color w:val="auto"/>
        </w:rPr>
        <w:t>采购代理机构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系指组织本次招标活动的机构，即</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天津市滨海新区政府采购中心</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w:t>
      </w:r>
      <w:r>
        <w:rPr>
          <w:rFonts w:hint="eastAsia" w:ascii="Times New Roman" w:eastAsia="宋体" w:cs="Times New Roman" w:hAnsiTheme="minorEastAsia"/>
          <w:color w:val="auto"/>
        </w:rPr>
        <w:t>投标人</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系指响应招标、参加投标竞争的法人、其他组织或者自然人。</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w:t>
      </w:r>
      <w:r>
        <w:rPr>
          <w:rFonts w:hint="eastAsia" w:ascii="Times New Roman" w:eastAsia="宋体" w:cs="Times New Roman" w:hAnsiTheme="minorEastAsia"/>
          <w:color w:val="auto"/>
        </w:rPr>
        <w:t>货物</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系指投标人按招标文件规定，须向采购人提供的各种形态和种类的物品（包括原材料、燃料、设备、产品等）、备品备件、工具、手册及其它有关技术资料和材料。</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 “</w:t>
      </w:r>
      <w:r>
        <w:rPr>
          <w:rFonts w:hint="eastAsia" w:ascii="Times New Roman" w:eastAsia="宋体" w:cs="Times New Roman" w:hAnsiTheme="minorEastAsia"/>
          <w:color w:val="auto"/>
        </w:rPr>
        <w:t>服务</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系指招标文件规定投标人须承担的运输、安装、调试、技术协助、校准、培训、维修以及其它类似的义务。</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 </w:t>
      </w:r>
      <w:r>
        <w:rPr>
          <w:rFonts w:hint="eastAsia" w:ascii="Times New Roman" w:eastAsia="宋体" w:cs="Times New Roman" w:hAnsiTheme="minorEastAsia"/>
          <w:color w:val="auto"/>
        </w:rPr>
        <w:t>解释权</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 </w:t>
      </w:r>
      <w:r>
        <w:rPr>
          <w:rFonts w:hint="eastAsia" w:ascii="Times New Roman" w:eastAsia="宋体" w:cs="Times New Roman" w:hAnsiTheme="minorEastAsia"/>
          <w:color w:val="auto"/>
        </w:rPr>
        <w:t>本次招投标的最终解释权归为采购人、采购代理机构。</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 </w:t>
      </w:r>
      <w:r>
        <w:rPr>
          <w:rFonts w:hint="eastAsia" w:ascii="Times New Roman" w:eastAsia="宋体" w:cs="Times New Roman" w:hAnsiTheme="minorEastAsia"/>
          <w:color w:val="auto"/>
        </w:rPr>
        <w:t>本文件未作须知明示，而又有相关法律、法规规定的，采购人、采购代理机构将对此解释为依据有关法律、法规的规定。</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4. </w:t>
      </w:r>
      <w:r>
        <w:rPr>
          <w:rFonts w:hint="eastAsia" w:ascii="Times New Roman" w:eastAsia="宋体" w:cs="Times New Roman" w:hAnsiTheme="minorEastAsia"/>
          <w:color w:val="auto"/>
        </w:rPr>
        <w:t>合格的投标人</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4.1 </w:t>
      </w:r>
      <w:r>
        <w:rPr>
          <w:rFonts w:hint="eastAsia" w:ascii="Times New Roman" w:eastAsia="宋体" w:cs="Times New Roman" w:hAnsiTheme="minorEastAsia"/>
          <w:color w:val="auto"/>
        </w:rPr>
        <w:t>符合《中华人民共和国政府采购法》第二十二条供应商参加政府采购活动应当具备的条件及其他有关法律、法规关于供应商的有关规定，有能力提供招标采购货物及服务的供应商。</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4.2 </w:t>
      </w:r>
      <w:r>
        <w:rPr>
          <w:rFonts w:hint="eastAsia" w:ascii="Times New Roman" w:eastAsia="宋体" w:cs="Times New Roman" w:hAnsiTheme="minorEastAsia"/>
          <w:color w:val="auto"/>
        </w:rPr>
        <w:t>符合《投标邀请函》中关于供应商资格要求（实质性要求）的规定。</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4.3 </w:t>
      </w:r>
      <w:r>
        <w:rPr>
          <w:rFonts w:hint="eastAsia" w:ascii="Times New Roman" w:eastAsia="宋体" w:cs="Times New Roman" w:hAnsiTheme="minorEastAsia"/>
          <w:color w:val="auto"/>
        </w:rPr>
        <w:t>关于联合体投标</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若《投标邀请函》接受联合体投标的：</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）两个以上的自然人、法人或者其他组织可以组成一个联合体，以一个供应商的身份共同参加政府采购。</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pPr>
        <w:pStyle w:val="33"/>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w:t>
      </w:r>
      <w:r>
        <w:rPr>
          <w:rFonts w:ascii="Times New Roman" w:eastAsia="宋体" w:cs="Times New Roman" w:hAnsiTheme="minorEastAsia"/>
          <w:color w:val="auto"/>
        </w:rPr>
        <w:t>联合体各方之间应当签订共同投标协议并在投标文件内提交，明确约定联合体主体及联合体各方承担的工作和相应的责任。</w:t>
      </w:r>
      <w:r>
        <w:rPr>
          <w:rFonts w:hint="eastAsia" w:ascii="Times New Roman" w:eastAsia="宋体" w:cs="Times New Roman" w:hAnsiTheme="minorEastAsia"/>
          <w:color w:val="auto"/>
        </w:rPr>
        <w:t>联合体各方签订共同投标协议后，</w:t>
      </w:r>
      <w:r>
        <w:rPr>
          <w:rFonts w:ascii="Times New Roman" w:eastAsia="宋体" w:cs="Times New Roman" w:hAnsiTheme="minorEastAsia"/>
          <w:color w:val="auto"/>
        </w:rPr>
        <w:t>不得再以自己名义单独在</w:t>
      </w:r>
      <w:r>
        <w:rPr>
          <w:rFonts w:hint="eastAsia" w:ascii="Times New Roman" w:eastAsia="宋体" w:cs="Times New Roman" w:hAnsiTheme="minorEastAsia"/>
          <w:color w:val="auto"/>
        </w:rPr>
        <w:t>同一合同项下</w:t>
      </w:r>
      <w:r>
        <w:rPr>
          <w:rFonts w:ascii="Times New Roman" w:eastAsia="宋体" w:cs="Times New Roman" w:hAnsiTheme="minorEastAsia"/>
          <w:color w:val="auto"/>
        </w:rPr>
        <w:t>投标，也不得组成新的联合体参加同一</w:t>
      </w:r>
      <w:r>
        <w:rPr>
          <w:rFonts w:hint="eastAsia" w:ascii="Times New Roman" w:eastAsia="宋体" w:cs="Times New Roman" w:hAnsiTheme="minorEastAsia"/>
          <w:color w:val="auto"/>
        </w:rPr>
        <w:t>合同</w:t>
      </w:r>
      <w:r>
        <w:rPr>
          <w:rFonts w:ascii="Times New Roman" w:eastAsia="宋体" w:cs="Times New Roman" w:hAnsiTheme="minorEastAsia"/>
          <w:color w:val="auto"/>
        </w:rPr>
        <w:t>项下的投标。</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）下载招标文件</w:t>
      </w:r>
      <w:r>
        <w:rPr>
          <w:rFonts w:ascii="Times New Roman" w:eastAsia="宋体" w:cs="Times New Roman" w:hAnsiTheme="minorEastAsia"/>
          <w:color w:val="auto"/>
        </w:rPr>
        <w:t>时，应以联合体协议中确定的主体方名义</w:t>
      </w:r>
      <w:r>
        <w:rPr>
          <w:rFonts w:hint="eastAsia" w:ascii="Times New Roman" w:eastAsia="宋体" w:cs="Times New Roman" w:hAnsiTheme="minorEastAsia"/>
          <w:color w:val="auto"/>
        </w:rPr>
        <w:t>下载</w:t>
      </w:r>
      <w:r>
        <w:rPr>
          <w:rFonts w:ascii="Times New Roman" w:eastAsia="宋体" w:cs="Times New Roman" w:hAnsiTheme="minorEastAsia"/>
          <w:color w:val="auto"/>
        </w:rPr>
        <w:t>。</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）联合体投标的，应以主体方名义提交投标保证金（如有），对联合体各方均具有约束力。</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6</w:t>
      </w:r>
      <w:r>
        <w:rPr>
          <w:rFonts w:hint="eastAsia" w:ascii="Times New Roman" w:eastAsia="宋体" w:cs="Times New Roman" w:hAnsiTheme="minor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8</w:t>
      </w:r>
      <w:r>
        <w:rPr>
          <w:rFonts w:hint="eastAsia" w:ascii="Times New Roman" w:eastAsia="宋体" w:cs="Times New Roman" w:hAnsiTheme="minorEastAsia"/>
          <w:color w:val="auto"/>
        </w:rPr>
        <w:t>）联合体各方应当共同与采购人签订采购合同，就采购合同约定的事项对采购人承担连带责任。</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4.4 </w:t>
      </w:r>
      <w:r>
        <w:rPr>
          <w:rFonts w:hint="eastAsia" w:ascii="Times New Roman" w:eastAsia="宋体" w:cs="Times New Roman" w:hAnsiTheme="minorEastAsia"/>
          <w:color w:val="auto"/>
        </w:rPr>
        <w:t>关于关联企业</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除联合体外，法定代表人或单位负责人为同一个人或者存在直接控股、管理关系的不同供应商，不得同时参加同一项目或同一子项目的投标。如同时参加，则评审时将同时被拒绝。</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4.5 </w:t>
      </w:r>
      <w:r>
        <w:rPr>
          <w:rFonts w:hint="eastAsia" w:ascii="Times New Roman" w:eastAsia="宋体" w:cs="Times New Roman" w:hAnsiTheme="minorEastAsia"/>
          <w:color w:val="auto"/>
        </w:rPr>
        <w:t>关于分公司投标</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4.6 </w:t>
      </w:r>
      <w:r>
        <w:rPr>
          <w:rFonts w:hint="eastAsia" w:ascii="Times New Roman" w:eastAsia="宋体" w:cs="Times New Roman" w:hAnsiTheme="minorEastAsia"/>
          <w:color w:val="auto"/>
        </w:rPr>
        <w:t>关于提供前期服务的供应商</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为采购项目提供整体设计、规范编制或者项目管理、监理、检测等服务的供应商，不得再参加该采购项目的其他采购活动。</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4.7 </w:t>
      </w:r>
      <w:r>
        <w:rPr>
          <w:rFonts w:hint="eastAsia" w:ascii="Times New Roman" w:eastAsia="宋体" w:cs="Times New Roman" w:hAnsiTheme="minorEastAsia"/>
          <w:color w:val="auto"/>
        </w:rPr>
        <w:t>关于中小微企业投标</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根据财库〔</w:t>
      </w:r>
      <w:r>
        <w:rPr>
          <w:rFonts w:hint="eastAsia" w:ascii="Times New Roman" w:hAnsi="Times New Roman" w:eastAsia="宋体" w:cs="Times New Roman"/>
          <w:color w:val="auto"/>
        </w:rPr>
        <w:t>2014</w:t>
      </w:r>
      <w:r>
        <w:rPr>
          <w:rFonts w:hint="eastAsia" w:ascii="Times New Roman" w:eastAsia="宋体" w:cs="Times New Roman" w:hAnsiTheme="minorEastAsia"/>
          <w:color w:val="auto"/>
        </w:rPr>
        <w:t>〕</w:t>
      </w:r>
      <w:r>
        <w:rPr>
          <w:rFonts w:hint="eastAsia" w:ascii="Times New Roman" w:hAnsi="Times New Roman" w:eastAsia="宋体" w:cs="Times New Roman"/>
          <w:color w:val="auto"/>
        </w:rPr>
        <w:t>68</w:t>
      </w:r>
      <w:r>
        <w:rPr>
          <w:rFonts w:hint="eastAsia" w:ascii="Times New Roman" w:eastAsia="宋体" w:cs="Times New Roman" w:hAnsiTheme="minor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hint="eastAsia" w:ascii="Times New Roman" w:hAnsi="Times New Roman" w:eastAsia="宋体" w:cs="Times New Roman"/>
          <w:color w:val="auto"/>
        </w:rPr>
        <w:t>(</w:t>
      </w:r>
      <w:r>
        <w:rPr>
          <w:rFonts w:hint="eastAsia" w:ascii="Times New Roman" w:eastAsia="宋体" w:cs="Times New Roman" w:hAnsiTheme="minorEastAsia"/>
          <w:color w:val="auto"/>
        </w:rPr>
        <w:t>设区的市</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pPr>
        <w:pStyle w:val="33"/>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szCs w:val="21"/>
        </w:rPr>
        <w:t>根据《财政部民政部中国残疾人联合会关于促进残疾人就业政府采购政策的通知》（财库〔</w:t>
      </w:r>
      <w:r>
        <w:rPr>
          <w:rFonts w:ascii="Times New Roman" w:hAnsi="Times New Roman" w:eastAsia="宋体" w:cs="Times New Roman"/>
          <w:color w:val="auto"/>
          <w:szCs w:val="21"/>
        </w:rPr>
        <w:t>2017</w:t>
      </w:r>
      <w:r>
        <w:rPr>
          <w:rFonts w:ascii="Times New Roman" w:eastAsia="宋体" w:cs="Times New Roman" w:hAnsiTheme="minorEastAsia"/>
          <w:color w:val="auto"/>
          <w:szCs w:val="21"/>
        </w:rPr>
        <w:t>〕</w:t>
      </w:r>
      <w:r>
        <w:rPr>
          <w:rFonts w:ascii="Times New Roman" w:hAnsi="Times New Roman" w:eastAsia="宋体" w:cs="Times New Roman"/>
          <w:color w:val="auto"/>
          <w:szCs w:val="21"/>
        </w:rPr>
        <w:t>141</w:t>
      </w:r>
      <w:r>
        <w:rPr>
          <w:rFonts w:ascii="Times New Roman" w:eastAsia="宋体" w:cs="Times New Roman" w:hAnsiTheme="minorEastAsia"/>
          <w:color w:val="auto"/>
          <w:szCs w:val="21"/>
        </w:rPr>
        <w:t>号）的规定，残疾人福利性单位视同为小型、微型企业。</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hint="eastAsia" w:ascii="Times New Roman" w:eastAsia="宋体" w:cs="Times New Roman" w:hAnsiTheme="minorEastAsia"/>
          <w:color w:val="auto"/>
        </w:rPr>
        <w:t>合格的货物和相关服务</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5.1 </w:t>
      </w:r>
      <w:r>
        <w:rPr>
          <w:rFonts w:hint="eastAsia" w:ascii="Times New Roman" w:eastAsia="宋体" w:cs="Times New Roman" w:hAnsiTheme="minor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w:t>
      </w:r>
      <w:r>
        <w:rPr>
          <w:rFonts w:hint="eastAsia" w:ascii="Times New Roman" w:eastAsia="宋体" w:cs="Times New Roman" w:hAnsiTheme="minor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5.3 </w:t>
      </w:r>
      <w:r>
        <w:rPr>
          <w:rFonts w:hint="eastAsia" w:ascii="Times New Roman" w:eastAsia="宋体" w:cs="Times New Roman" w:hAnsiTheme="minorEastAsia"/>
          <w:color w:val="auto"/>
        </w:rPr>
        <w:t>投标人应当说明投标货物的来源地，如投标的货物非投标人生产或制造的，则交货时有义务提供其从合法途径获得该货物的相关证明。</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5.4 </w:t>
      </w:r>
      <w:r>
        <w:rPr>
          <w:rFonts w:hint="eastAsia" w:ascii="Times New Roman" w:eastAsia="宋体" w:cs="Times New Roman" w:hAnsiTheme="minorEastAsia"/>
          <w:color w:val="auto"/>
        </w:rPr>
        <w:t>系统软件、通用软件必须是具有在中国境内的合法使用权或版权的正版软件，涉及到第三方提出侵权或知识产权的起诉及支付版税等费用由投标人承担所有责任及费用。</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6. </w:t>
      </w:r>
      <w:r>
        <w:rPr>
          <w:rFonts w:hint="eastAsia" w:ascii="Times New Roman" w:eastAsia="宋体" w:cs="Times New Roman" w:hAnsiTheme="minorEastAsia"/>
          <w:color w:val="auto"/>
        </w:rPr>
        <w:t>投标费用</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6.1 </w:t>
      </w:r>
      <w:r>
        <w:rPr>
          <w:rFonts w:hint="eastAsia" w:ascii="Times New Roman" w:eastAsia="宋体" w:cs="Times New Roman" w:hAnsiTheme="minorEastAsia"/>
          <w:color w:val="auto"/>
        </w:rPr>
        <w:t>本项目不收取招标代理服务费。</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6.2 </w:t>
      </w:r>
      <w:r>
        <w:rPr>
          <w:rFonts w:hint="eastAsia" w:ascii="Times New Roman" w:eastAsia="宋体" w:cs="Times New Roman" w:hAnsiTheme="minorEastAsia"/>
          <w:color w:val="auto"/>
        </w:rPr>
        <w:t>无论投标过程中的做法和结果如何，投标人自行承担所有与参加投标有关的费用。</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7. </w:t>
      </w:r>
      <w:r>
        <w:rPr>
          <w:rFonts w:hint="eastAsia" w:ascii="Times New Roman" w:eastAsia="宋体" w:cs="Times New Roman" w:hAnsiTheme="minorEastAsia"/>
          <w:color w:val="auto"/>
        </w:rPr>
        <w:t>信息发布</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本项目需要公开的有关信息，包括招标公告、更正公告、中标公告、终止公告等与招标活动有关的通知，采购人、采购代理机构均将通过</w:t>
      </w:r>
      <w:r>
        <w:rPr>
          <w:rFonts w:ascii="Times New Roman" w:hAnsi="Times New Roman" w:eastAsia="宋体" w:cs="Times New Roman"/>
          <w:color w:val="auto"/>
        </w:rPr>
        <w:t>“天津政府采购网（</w:t>
      </w:r>
      <w:r>
        <w:fldChar w:fldCharType="begin"/>
      </w:r>
      <w:r>
        <w:instrText xml:space="preserve"> HYPERLINK "http://tjgp.cz.tj.gov.cn" </w:instrText>
      </w:r>
      <w:r>
        <w:fldChar w:fldCharType="separate"/>
      </w:r>
      <w:r>
        <w:rPr>
          <w:rStyle w:val="27"/>
          <w:rFonts w:ascii="Times New Roman" w:hAnsi="Times New Roman" w:eastAsia="宋体" w:cs="Times New Roman"/>
        </w:rPr>
        <w:t>http://tjgp.cz.tj.gov.cn</w:t>
      </w:r>
      <w:r>
        <w:rPr>
          <w:rStyle w:val="27"/>
          <w:rFonts w:ascii="Times New Roman" w:hAnsi="Times New Roman" w:eastAsia="宋体" w:cs="Times New Roman"/>
        </w:rPr>
        <w:fldChar w:fldCharType="end"/>
      </w:r>
      <w:r>
        <w:rPr>
          <w:rFonts w:ascii="Times New Roman" w:hAnsi="Times New Roman" w:eastAsia="宋体" w:cs="Times New Roman"/>
          <w:color w:val="auto"/>
        </w:rPr>
        <w:t>）”和“天津政府采购中心网（</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ascii="Times New Roman" w:hAnsi="Times New Roman" w:eastAsia="宋体" w:cs="Times New Roman"/>
          <w:color w:val="auto"/>
        </w:rPr>
        <w:t>）”</w:t>
      </w:r>
      <w:r>
        <w:rPr>
          <w:rFonts w:hint="eastAsia" w:ascii="Times New Roman" w:eastAsia="宋体" w:cs="Times New Roman" w:hAnsiTheme="minorEastAsia"/>
          <w:color w:val="auto"/>
        </w:rPr>
        <w:t>公开发布。投标人在参与本采购项目招投标活动期间，请及时关注上述媒体和天津市政府采购中心招投标系统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的相关信息。因没有及时关注而未能如期获取相关信息，投标人自行</w:t>
      </w:r>
      <w:r>
        <w:rPr>
          <w:rFonts w:ascii="Times New Roman" w:eastAsia="宋体" w:cs="Times New Roman" w:hAnsiTheme="minorEastAsia"/>
          <w:color w:val="auto"/>
        </w:rPr>
        <w:t>承担由此可能产生的风险。</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8. </w:t>
      </w:r>
      <w:r>
        <w:rPr>
          <w:rFonts w:hint="eastAsia" w:ascii="Times New Roman" w:eastAsia="宋体" w:cs="Times New Roman" w:hAnsiTheme="minorEastAsia"/>
          <w:color w:val="auto"/>
        </w:rPr>
        <w:t>询问与质疑</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滨海新区政府采购中心提出。</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8.2 </w:t>
      </w:r>
      <w:r>
        <w:rPr>
          <w:rFonts w:hint="eastAsia" w:ascii="Times New Roman" w:eastAsia="宋体" w:cs="Times New Roman" w:hAnsiTheme="minorEastAsia"/>
          <w:color w:val="auto"/>
        </w:rPr>
        <w:t>询问</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）询问可以采取电话、当面或书面等形式。</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）采购人应当自收到供应商询问之日起</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个工作日内作出答复，但答复的内容不得涉及商业秘密或者依法应当保密的内容。</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8.3 </w:t>
      </w:r>
      <w:r>
        <w:rPr>
          <w:rFonts w:hint="eastAsia" w:ascii="Times New Roman" w:eastAsia="宋体" w:cs="Times New Roman" w:hAnsiTheme="minorEastAsia"/>
          <w:color w:val="auto"/>
        </w:rPr>
        <w:t>质疑</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）提出质疑的供应商应当是参与所质疑项目采购活动的供应商。</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向采购人提出质疑，否则不予受理。</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w:t>
      </w:r>
      <w:r>
        <w:fldChar w:fldCharType="begin"/>
      </w:r>
      <w:r>
        <w:instrText xml:space="preserve"> HYPERLINK "http://tjgp.cz.tj.gov.cn" </w:instrText>
      </w:r>
      <w:r>
        <w:fldChar w:fldCharType="separate"/>
      </w:r>
      <w:r>
        <w:rPr>
          <w:rStyle w:val="27"/>
          <w:rFonts w:hint="eastAsia" w:ascii="Times New Roman" w:hAnsi="Times New Roman" w:eastAsia="宋体" w:cs="Times New Roman"/>
        </w:rPr>
        <w:t>http://tjgp.cz.tj.gov.cn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下载专区”中的“质疑函格式文本”）。质疑函应当明确阐述采购文件、采购过程、采购结果使自己的合法权益受到损害的法律依据、事实依据、相关证明材料及证据来源，以便于有关单位调查、答复和处理。</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8.4 </w:t>
      </w:r>
      <w:r>
        <w:rPr>
          <w:rFonts w:hint="eastAsia" w:ascii="Times New Roman" w:eastAsia="宋体" w:cs="Times New Roman" w:hAnsiTheme="minorEastAsia"/>
          <w:color w:val="auto"/>
        </w:rPr>
        <w:t>针对询问或质疑的答复内容需要修改采购文件的，其修改内容应当以天津市政府采购网发布的更正公告为准。</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9. </w:t>
      </w:r>
      <w:r>
        <w:rPr>
          <w:rFonts w:hint="eastAsia" w:ascii="Times New Roman" w:eastAsia="宋体" w:cs="Times New Roman" w:hAnsiTheme="minorEastAsia"/>
          <w:color w:val="auto"/>
        </w:rPr>
        <w:t>其他</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本《投标须知》的条款如与《投标邀请函》、《招标项目需求》就同一内容的表述不一致的，以《投标邀请函》、《招标项目需求》中规定的内容为准。</w:t>
      </w:r>
    </w:p>
    <w:p>
      <w:pPr>
        <w:pStyle w:val="33"/>
        <w:spacing w:line="360" w:lineRule="auto"/>
        <w:ind w:firstLine="448" w:firstLineChars="200"/>
        <w:jc w:val="both"/>
        <w:rPr>
          <w:rFonts w:ascii="Times New Roman" w:hAnsi="Times New Roman" w:eastAsia="宋体" w:cs="Times New Roman"/>
          <w:color w:val="auto"/>
        </w:rPr>
      </w:pPr>
    </w:p>
    <w:p>
      <w:pPr>
        <w:pStyle w:val="33"/>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B  </w:t>
      </w:r>
      <w:r>
        <w:rPr>
          <w:rFonts w:hint="eastAsia" w:ascii="Times New Roman" w:eastAsia="宋体" w:cs="Times New Roman" w:hAnsiTheme="minorEastAsia"/>
          <w:color w:val="auto"/>
        </w:rPr>
        <w:t>招标文件说明</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 </w:t>
      </w:r>
      <w:r>
        <w:rPr>
          <w:rFonts w:hint="eastAsia" w:ascii="Times New Roman" w:eastAsia="宋体" w:cs="Times New Roman" w:hAnsiTheme="minorEastAsia"/>
          <w:color w:val="auto"/>
        </w:rPr>
        <w:t>招标文件的构成</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10.1 </w:t>
      </w:r>
      <w:r>
        <w:rPr>
          <w:rFonts w:hint="eastAsia" w:ascii="Times New Roman" w:eastAsia="宋体" w:cs="Times New Roman" w:hAnsiTheme="minorEastAsia"/>
          <w:color w:val="auto"/>
        </w:rPr>
        <w:t>招标文件由下述部分组成：</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）投标邀请函</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）招标项目需求</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）投标须知</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）合同条款</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）投标文件格式</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6</w:t>
      </w:r>
      <w:r>
        <w:rPr>
          <w:rFonts w:hint="eastAsia" w:ascii="Times New Roman" w:eastAsia="宋体" w:cs="Times New Roman" w:hAnsiTheme="minorEastAsia"/>
          <w:color w:val="auto"/>
        </w:rPr>
        <w:t>）本项目招标文件的更正公告内容（如有）</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10.2 </w:t>
      </w:r>
      <w:r>
        <w:rPr>
          <w:rFonts w:hint="eastAsia" w:ascii="Times New Roman" w:eastAsia="宋体" w:cs="Times New Roman" w:hAnsiTheme="minorEastAsia"/>
          <w:color w:val="auto"/>
        </w:rPr>
        <w:t>除非有特殊要求，招标文件不单独提供招标项目使用地的自然环境、气候条件、公用设施等情况，投标人被视为熟悉上述与履行合同有关的一切情况。</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10.3 </w:t>
      </w:r>
      <w:r>
        <w:rPr>
          <w:rFonts w:hint="eastAsia" w:ascii="Times New Roman" w:eastAsia="宋体" w:cs="Times New Roman" w:hAnsiTheme="minorEastAsia"/>
          <w:color w:val="auto"/>
        </w:rPr>
        <w:t>加注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号条款为实质性条款，不得出现负偏离，发生负偏离即做无效标处理。加注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号的产品为核心产品（如项目需求书中未明确核心产品，则视为全部产品均为核心产品），任意一种核心产品为同一品牌时，按照本部分第</w:t>
      </w:r>
      <w:r>
        <w:rPr>
          <w:rFonts w:ascii="Times New Roman" w:hAnsi="Times New Roman" w:eastAsia="宋体" w:cs="Times New Roman"/>
          <w:color w:val="auto"/>
        </w:rPr>
        <w:t>32.4</w:t>
      </w:r>
      <w:r>
        <w:rPr>
          <w:rFonts w:hint="eastAsia" w:ascii="Times New Roman" w:eastAsia="宋体" w:cs="Times New Roman" w:hAnsiTheme="minorEastAsia"/>
          <w:color w:val="auto"/>
        </w:rPr>
        <w:t>条款执行。</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10.4 </w:t>
      </w:r>
      <w:r>
        <w:rPr>
          <w:rFonts w:hint="eastAsia" w:ascii="Times New Roman" w:eastAsia="宋体" w:cs="Times New Roman" w:hAnsiTheme="minorEastAsia"/>
          <w:color w:val="auto"/>
        </w:rPr>
        <w:t>招标文件中涉及的参照品牌、型号仅起说明作用，并没有任何限制性，投标人在投标中可以选用其他替代品牌或型号，但这些替代要实质上优于或相当于招标要求。</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10.5 </w:t>
      </w:r>
      <w:r>
        <w:rPr>
          <w:rFonts w:hint="eastAsia" w:ascii="Times New Roman" w:eastAsia="宋体" w:cs="Times New Roman" w:hAnsiTheme="minorEastAsia"/>
          <w:color w:val="auto"/>
        </w:rPr>
        <w:t>除招标文件另有规定外，招标文件中要求的每一项产品只允许一种产品投标，每一项产品的采购数量不允许变更。</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 </w:t>
      </w:r>
      <w:r>
        <w:rPr>
          <w:rFonts w:hint="eastAsia" w:ascii="Times New Roman" w:eastAsia="宋体" w:cs="Times New Roman" w:hAnsiTheme="minorEastAsia"/>
          <w:color w:val="auto"/>
        </w:rPr>
        <w:t>招标文件的澄清和修改</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11.1 </w:t>
      </w:r>
      <w:r>
        <w:rPr>
          <w:rFonts w:hint="eastAsia" w:ascii="Times New Roman" w:eastAsia="宋体" w:cs="Times New Roman" w:hAnsiTheme="minorEastAsia"/>
          <w:color w:val="auto"/>
        </w:rPr>
        <w:t>投标截止前，采购人、采购代理机构需要对招标文件进行补充或修改的，采购人、采购代理机构将会通过</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天津市政府采购中心网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以更正公告形式发布。</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11.2 </w:t>
      </w:r>
      <w:r>
        <w:rPr>
          <w:rFonts w:hint="eastAsia" w:ascii="Times New Roman" w:eastAsia="宋体" w:cs="Times New Roman" w:hAnsiTheme="minorEastAsia"/>
          <w:color w:val="auto"/>
        </w:rPr>
        <w:t>更正公告一经在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天津市政府采购中心网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发布，天津市政府采购中心招投标系统将自动发送通知至已报名供应商的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，视同已书面通知所有招标文件的收受人。请参与项目的供应商及时关注更正公告，由此导致的风险由投标人自行承担，采购人、采购代理机构不承担任何责任。</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11.3 </w:t>
      </w:r>
      <w:r>
        <w:rPr>
          <w:rFonts w:hint="eastAsia" w:ascii="Times New Roman" w:eastAsia="宋体" w:cs="Times New Roman" w:hAnsiTheme="minorEastAsia"/>
          <w:color w:val="auto"/>
        </w:rPr>
        <w:t>更正公告的内容为招标文件的组成部分。当招标文件与更正公告就同一内容的表述不一致时，以最后发出的更正公告内容为准。</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11.4 </w:t>
      </w:r>
      <w:r>
        <w:rPr>
          <w:rFonts w:hint="eastAsia" w:ascii="Times New Roman" w:eastAsia="宋体" w:cs="Times New Roman" w:hAnsiTheme="minor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 </w:t>
      </w:r>
      <w:r>
        <w:rPr>
          <w:rFonts w:hint="eastAsia" w:ascii="Times New Roman" w:eastAsia="宋体" w:cs="Times New Roman" w:hAnsiTheme="minorEastAsia"/>
          <w:color w:val="auto"/>
        </w:rPr>
        <w:t>答疑会和踏勘现场</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12.1 </w:t>
      </w:r>
      <w:r>
        <w:rPr>
          <w:rFonts w:hint="eastAsia" w:ascii="Times New Roman" w:eastAsia="宋体" w:cs="Times New Roman" w:hAnsiTheme="minorEastAsia"/>
          <w:color w:val="auto"/>
        </w:rPr>
        <w:t>采购人、采购代理机构召开答疑会的，所有投标人应按《投标邀请函》规定的时间、地点参加答疑会。投标人如不参加，其风险由投标人自行承担，采购人、采购代理机构不承担任何责任。</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12.2 </w:t>
      </w:r>
      <w:r>
        <w:rPr>
          <w:rFonts w:hint="eastAsia" w:ascii="Times New Roman" w:eastAsia="宋体" w:cs="Times New Roman" w:hAnsiTheme="minorEastAsia"/>
          <w:color w:val="auto"/>
        </w:rPr>
        <w:t>采购人、采购代理机构组织踏勘现场的，所有投标人按《投标邀请函》规定的时间、地点参加踏勘现场活动。投标人如不参加，其风险由投标人自行承担，采购人、采购代理机构不承担任何责任。</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12.3 </w:t>
      </w:r>
      <w:r>
        <w:rPr>
          <w:rFonts w:hint="eastAsia" w:ascii="Times New Roman" w:eastAsia="宋体" w:cs="Times New Roman" w:hAnsiTheme="minorEastAsia"/>
          <w:color w:val="auto"/>
        </w:rPr>
        <w:t>采购人、采购代理机构在答疑会或踏勘现场中口头介绍的情况，除经</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天津市政府采购中心网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以更正公告的形式发布外，不构成对招标文件的修改，不作为投标人编制投标文件的依据。</w:t>
      </w:r>
    </w:p>
    <w:p>
      <w:pPr>
        <w:pStyle w:val="33"/>
        <w:spacing w:line="360" w:lineRule="auto"/>
        <w:ind w:firstLine="448" w:firstLineChars="200"/>
        <w:jc w:val="both"/>
        <w:rPr>
          <w:rFonts w:ascii="Times New Roman" w:hAnsi="Times New Roman" w:eastAsia="宋体" w:cs="Times New Roman"/>
          <w:color w:val="auto"/>
        </w:rPr>
      </w:pPr>
    </w:p>
    <w:p>
      <w:pPr>
        <w:pStyle w:val="33"/>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C  </w:t>
      </w:r>
      <w:r>
        <w:rPr>
          <w:rFonts w:hint="eastAsia" w:ascii="Times New Roman" w:eastAsia="宋体" w:cs="Times New Roman" w:hAnsiTheme="minorEastAsia"/>
          <w:color w:val="auto"/>
        </w:rPr>
        <w:t>投标文件的编制</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 </w:t>
      </w:r>
      <w:r>
        <w:rPr>
          <w:rFonts w:hint="eastAsia" w:ascii="Times New Roman" w:eastAsia="宋体" w:cs="Times New Roman" w:hAnsiTheme="minorEastAsia"/>
          <w:color w:val="auto"/>
        </w:rPr>
        <w:t>要求</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13.1 </w:t>
      </w:r>
      <w:r>
        <w:rPr>
          <w:rFonts w:hint="eastAsia" w:ascii="Times New Roman" w:eastAsia="宋体" w:cs="Times New Roman" w:hAnsiTheme="minorEastAsia"/>
          <w:color w:val="auto"/>
        </w:rPr>
        <w:t>投标人应仔细阅读招标文件的所有内容，按招标文件要求编制投标文件，以使其投标对招标文件做出实质性响应。否则，其投标文件可能被拒绝，投标人须自行承担由此引起的风险和责任。</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13.2 </w:t>
      </w:r>
      <w:r>
        <w:rPr>
          <w:rFonts w:hint="eastAsia" w:ascii="Times New Roman" w:eastAsia="宋体" w:cs="Times New Roman" w:hAnsiTheme="minorEastAsia"/>
          <w:color w:val="auto"/>
        </w:rPr>
        <w:t>投标人应根据招标项目需求和投标文件格式编制投标文件，保证其真实有效，并承担相应的法律责任。</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13.3 </w:t>
      </w:r>
      <w:r>
        <w:rPr>
          <w:rFonts w:hint="eastAsia" w:ascii="Times New Roman" w:eastAsia="宋体" w:cs="Times New Roman" w:hAnsiTheme="minor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14. </w:t>
      </w:r>
      <w:r>
        <w:rPr>
          <w:rFonts w:hint="eastAsia" w:ascii="Times New Roman" w:eastAsia="宋体" w:cs="Times New Roman" w:hAnsiTheme="minorEastAsia"/>
          <w:color w:val="auto"/>
        </w:rPr>
        <w:t>投标语言及计量单位</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14.1 </w:t>
      </w:r>
      <w:r>
        <w:rPr>
          <w:rFonts w:hint="eastAsia" w:ascii="Times New Roman" w:eastAsia="宋体" w:cs="Times New Roman" w:hAnsiTheme="minor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14.2 </w:t>
      </w:r>
      <w:r>
        <w:rPr>
          <w:rFonts w:hint="eastAsia" w:ascii="Times New Roman" w:eastAsia="宋体" w:cs="Times New Roman" w:hAnsiTheme="minorEastAsia"/>
          <w:color w:val="auto"/>
        </w:rPr>
        <w:t>除招标文件中另有规定外，投标文件所使用的计量单位均应使用中华人民共和国法定计量单位。</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 </w:t>
      </w:r>
      <w:r>
        <w:rPr>
          <w:rFonts w:hint="eastAsia" w:ascii="Times New Roman" w:eastAsia="宋体" w:cs="Times New Roman" w:hAnsiTheme="minorEastAsia"/>
          <w:color w:val="auto"/>
        </w:rPr>
        <w:t>投标文件格式</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15.1 </w:t>
      </w:r>
      <w:r>
        <w:rPr>
          <w:rFonts w:hint="eastAsia" w:ascii="Times New Roman" w:eastAsia="宋体" w:cs="Times New Roman" w:hAnsiTheme="minorEastAsia"/>
          <w:color w:val="auto"/>
        </w:rPr>
        <w:t>投标人应按招标文件中提供的投标文件格式完整填写。因不按要求编制而引起系统无法检索、读取相关信息时，其后果由投标人自行承担。</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15.2 </w:t>
      </w:r>
      <w:r>
        <w:rPr>
          <w:rFonts w:hint="eastAsia" w:ascii="Times New Roman" w:eastAsia="宋体" w:cs="Times New Roman" w:hAnsiTheme="minorEastAsia"/>
          <w:color w:val="auto"/>
        </w:rPr>
        <w:t>投标人可对本招标文件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招标项目要求</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所列的所有货物进行投标，也可只对其中一包或几包的货物投标；若无特殊说明，每一包的内容不得分项投标，采购人原则上按照整包确定中标供应商。</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15.3 </w:t>
      </w:r>
      <w:r>
        <w:rPr>
          <w:rFonts w:hint="eastAsia" w:ascii="Times New Roman" w:eastAsia="宋体" w:cs="Times New Roman" w:hAnsiTheme="minor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w:t>
      </w:r>
      <w:r>
        <w:rPr>
          <w:rFonts w:hint="eastAsia" w:ascii="Times New Roman" w:eastAsia="宋体" w:cs="Times New Roman" w:hAnsiTheme="minorEastAsia"/>
          <w:color w:val="auto"/>
        </w:rPr>
        <w:t>如投标多个包的，要求按包分别独立制作投标文件。</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15.5</w:t>
      </w:r>
      <w:r>
        <w:rPr>
          <w:rFonts w:hint="eastAsia" w:ascii="Times New Roman" w:eastAsia="宋体" w:cs="Times New Roman" w:hAnsiTheme="minorEastAsia"/>
          <w:color w:val="auto"/>
        </w:rPr>
        <w:t>投标文件（包括封面和目录）的每一页，从封面开始按阿拉伯数字</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顺序编制页码。</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 </w:t>
      </w:r>
      <w:r>
        <w:rPr>
          <w:rFonts w:hint="eastAsia" w:ascii="Times New Roman" w:eastAsia="宋体" w:cs="Times New Roman" w:hAnsiTheme="minorEastAsia"/>
          <w:color w:val="auto"/>
        </w:rPr>
        <w:t>投标报价</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16.1 </w:t>
      </w:r>
      <w:r>
        <w:rPr>
          <w:rFonts w:hint="eastAsia" w:ascii="Times New Roman" w:eastAsia="宋体" w:cs="Times New Roman" w:hAnsiTheme="minorEastAsia"/>
          <w:color w:val="auto"/>
        </w:rPr>
        <w:t>投标书、开标一览表等各表中的报价，若无特殊说明应采用人民币填报。</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16.2 </w:t>
      </w:r>
      <w:r>
        <w:rPr>
          <w:rFonts w:hint="eastAsia" w:ascii="Times New Roman" w:eastAsia="宋体" w:cs="Times New Roman" w:hAnsiTheme="minorEastAsia"/>
          <w:color w:val="auto"/>
        </w:rPr>
        <w:t>投标报价是</w:t>
      </w:r>
      <w:r>
        <w:rPr>
          <w:rFonts w:hint="eastAsia" w:ascii="Times New Roman" w:eastAsia="宋体" w:hAnsiTheme="minorEastAsia"/>
          <w:color w:val="auto"/>
        </w:rPr>
        <w:t>为完成招标文件规定的一切工作所需的全部费用的最终优惠价格。</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16.3 </w:t>
      </w:r>
      <w:r>
        <w:rPr>
          <w:rFonts w:hint="eastAsia" w:ascii="Times New Roman" w:eastAsia="宋体" w:cs="Times New Roman" w:hAnsiTheme="minorEastAsia"/>
          <w:color w:val="auto"/>
        </w:rPr>
        <w:t>除《招标项目需求》中说明并允许外，投标的每一个货物、服务的单项报价以及采购项目的投标总价均只允许有一个报价，任何有选择的报价，采购人、采购代理机构均将予以拒绝。</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17. </w:t>
      </w:r>
      <w:r>
        <w:rPr>
          <w:rFonts w:hint="eastAsia" w:ascii="Times New Roman" w:eastAsia="宋体" w:cs="Times New Roman" w:hAnsiTheme="minorEastAsia"/>
          <w:color w:val="auto"/>
        </w:rPr>
        <w:t>投标人资格证明文件</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投标人必须提交证明其有资格进行投标和有能力履行合同的文件，作为投标文件的一部分。</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）《投标邀请函》中规定的供应商资格要求（实质性要求）证明文件；</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）若国家及行业对投标项目有特殊资格要求的，还须提供特殊资格证明文件；</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）涉及本须知中</w:t>
      </w:r>
      <w:r>
        <w:rPr>
          <w:rFonts w:hint="eastAsia" w:ascii="Times New Roman" w:hAnsi="Times New Roman" w:eastAsia="宋体" w:cs="Times New Roman"/>
          <w:color w:val="auto"/>
        </w:rPr>
        <w:t xml:space="preserve">“4. </w:t>
      </w:r>
      <w:r>
        <w:rPr>
          <w:rFonts w:hint="eastAsia" w:ascii="Times New Roman" w:eastAsia="宋体" w:cs="Times New Roman" w:hAnsiTheme="minorEastAsia"/>
          <w:color w:val="auto"/>
        </w:rPr>
        <w:t>合格的投标人</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相关要求的，按其要求执行。</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 </w:t>
      </w:r>
      <w:r>
        <w:rPr>
          <w:rFonts w:hint="eastAsia" w:ascii="Times New Roman" w:eastAsia="宋体" w:cs="Times New Roman" w:hAnsiTheme="minorEastAsia"/>
          <w:color w:val="auto"/>
        </w:rPr>
        <w:t>技术响应文件</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18.1 </w:t>
      </w:r>
      <w:r>
        <w:rPr>
          <w:rFonts w:hint="eastAsia" w:ascii="Times New Roman" w:eastAsia="宋体" w:cs="Times New Roman" w:hAnsiTheme="minorEastAsia"/>
          <w:color w:val="auto"/>
        </w:rPr>
        <w:t>投标人须提交证明其拟供货物符合招标文件规定的技术响应文件，作为投标文件的一部分。</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18.2 </w:t>
      </w:r>
      <w:r>
        <w:rPr>
          <w:rFonts w:hint="eastAsia" w:ascii="Times New Roman" w:eastAsia="宋体" w:cs="Times New Roman" w:hAnsiTheme="minorEastAsia"/>
          <w:color w:val="auto"/>
        </w:rPr>
        <w:t>上述文件可以是文字资料、图纸或数据，并须提供：</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）货物主要技术性能的详细描述；</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）保证货物从采购人开始使用至招标文件规定的保修期内正常和连续运转期间所需要的所有备件和专用工具的详细清单，包括其现行价格和供货来源资料；</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18.3 </w:t>
      </w:r>
      <w:r>
        <w:rPr>
          <w:rFonts w:hint="eastAsia" w:ascii="Times New Roman" w:eastAsia="宋体" w:cs="Times New Roman" w:hAnsiTheme="minorEastAsia"/>
          <w:color w:val="auto"/>
        </w:rPr>
        <w:t>投标文件中设备的性能指标应达到或优于招标文件中所列技术指标。投标人应注意招标文件中所列技术指标仅列出了最低限度。投标人在《技术要求点对点应答表》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项目需求书要求</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的投标应答中必须列出具体数值或内容。如投标人未应答或只注明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符合</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满足</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等类似无具体内容的表述，将被视为不符合招标文件要求。投标人自行承担由此造成的一切后果。</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19. </w:t>
      </w:r>
      <w:r>
        <w:rPr>
          <w:rFonts w:hint="eastAsia" w:ascii="Times New Roman" w:eastAsia="宋体" w:cs="Times New Roman" w:hAnsiTheme="minorEastAsia"/>
          <w:color w:val="auto"/>
        </w:rPr>
        <w:t>投标保证金</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19.1 </w:t>
      </w:r>
      <w:r>
        <w:rPr>
          <w:rFonts w:hint="eastAsia" w:ascii="Times New Roman" w:eastAsia="宋体" w:cs="Times New Roman" w:hAnsiTheme="minorEastAsia"/>
          <w:color w:val="auto"/>
        </w:rPr>
        <w:t>按照《招标项目要求》要求执行。</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19.2 </w:t>
      </w:r>
      <w:r>
        <w:rPr>
          <w:rFonts w:hint="eastAsia" w:ascii="Times New Roman" w:eastAsia="宋体" w:cs="Times New Roman" w:hAnsiTheme="minorEastAsia"/>
          <w:color w:val="auto"/>
        </w:rPr>
        <w:t>符合《政府采购货物和服务招标投标管理办法》和《政府采购法实施条例》相关规定。</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20. </w:t>
      </w:r>
      <w:r>
        <w:rPr>
          <w:rFonts w:hint="eastAsia" w:ascii="Times New Roman" w:eastAsia="宋体" w:cs="Times New Roman" w:hAnsiTheme="minorEastAsia"/>
          <w:color w:val="auto"/>
        </w:rPr>
        <w:t>投标有效期</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20.1 </w:t>
      </w:r>
      <w:r>
        <w:rPr>
          <w:rFonts w:hint="eastAsia" w:ascii="Times New Roman" w:eastAsia="宋体" w:cs="Times New Roman" w:hAnsiTheme="minorEastAsia"/>
          <w:color w:val="auto"/>
        </w:rPr>
        <w:t>投标有效期为提交投标文件的截止之日起</w:t>
      </w:r>
      <w:r>
        <w:rPr>
          <w:rFonts w:hint="eastAsia" w:ascii="Times New Roman" w:hAnsi="Times New Roman" w:eastAsia="宋体" w:cs="Times New Roman"/>
          <w:color w:val="auto"/>
        </w:rPr>
        <w:t>60</w:t>
      </w:r>
      <w:r>
        <w:rPr>
          <w:rFonts w:hint="eastAsia" w:ascii="Times New Roman" w:eastAsia="宋体" w:cs="Times New Roman" w:hAnsiTheme="minorEastAsia"/>
          <w:color w:val="auto"/>
        </w:rPr>
        <w:t>天。投标书中规定的有效期短于招标文件规定的，其投标将被拒绝。</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20.2 </w:t>
      </w:r>
      <w:r>
        <w:rPr>
          <w:rFonts w:hint="eastAsia" w:ascii="Times New Roman" w:eastAsia="宋体" w:cs="Times New Roman" w:hAnsiTheme="minor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 </w:t>
      </w:r>
      <w:r>
        <w:rPr>
          <w:rFonts w:hint="eastAsia" w:ascii="Times New Roman" w:eastAsia="宋体" w:cs="Times New Roman" w:hAnsiTheme="minorEastAsia"/>
          <w:color w:val="auto"/>
        </w:rPr>
        <w:t>投标文件的签署及规定</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21.1 </w:t>
      </w:r>
      <w:r>
        <w:rPr>
          <w:rFonts w:hint="eastAsia" w:ascii="Times New Roman" w:eastAsia="宋体" w:cs="Times New Roman" w:hAnsiTheme="minor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21.2 </w:t>
      </w:r>
      <w:r>
        <w:rPr>
          <w:rFonts w:hint="eastAsia" w:ascii="Times New Roman" w:eastAsia="宋体" w:cs="Times New Roman" w:hAnsiTheme="minorEastAsia"/>
          <w:color w:val="auto"/>
        </w:rPr>
        <w:t>投标人按照《投标邀请函》的要求提交网上应答并</w:t>
      </w:r>
      <w:r>
        <w:rPr>
          <w:rFonts w:hint="eastAsia" w:ascii="Times New Roman" w:eastAsia="宋体" w:cs="Times New Roman" w:hAnsiTheme="minorEastAsia"/>
          <w:color w:val="auto"/>
          <w:szCs w:val="32"/>
        </w:rPr>
        <w:t>上传</w:t>
      </w:r>
      <w:r>
        <w:rPr>
          <w:rFonts w:hint="eastAsia" w:ascii="Times New Roman" w:eastAsia="宋体" w:cs="Times New Roman" w:hAnsiTheme="minorEastAsia"/>
          <w:color w:val="auto"/>
        </w:rPr>
        <w:t>加盖投标人电子签章的</w:t>
      </w:r>
      <w:r>
        <w:rPr>
          <w:rFonts w:hint="eastAsia" w:ascii="Times New Roman" w:hAnsi="Times New Roman" w:eastAsia="宋体" w:cs="Times New Roman"/>
          <w:color w:val="auto"/>
        </w:rPr>
        <w:t>PDF</w:t>
      </w:r>
      <w:r>
        <w:rPr>
          <w:rFonts w:hint="eastAsia" w:ascii="Times New Roman" w:eastAsia="宋体" w:cs="Times New Roman" w:hAnsiTheme="minorEastAsia"/>
          <w:color w:val="auto"/>
        </w:rPr>
        <w:t>格式电子投标文件（以通过天津公共资源电子签章客户端正确读取签章信息为准）。</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21.3 </w:t>
      </w:r>
      <w:r>
        <w:rPr>
          <w:rFonts w:hint="eastAsia" w:ascii="Times New Roman" w:eastAsia="宋体" w:cs="Times New Roman" w:hAnsiTheme="minorEastAsia"/>
          <w:color w:val="auto"/>
        </w:rPr>
        <w:t>若上传加盖投标人电子签章的</w:t>
      </w:r>
      <w:r>
        <w:rPr>
          <w:rFonts w:hint="eastAsia" w:ascii="Times New Roman" w:hAnsi="Times New Roman" w:eastAsia="宋体" w:cs="Times New Roman"/>
          <w:color w:val="auto"/>
        </w:rPr>
        <w:t>PDF</w:t>
      </w:r>
      <w:r>
        <w:rPr>
          <w:rFonts w:hint="eastAsia" w:ascii="Times New Roman" w:eastAsia="宋体" w:cs="Times New Roman" w:hAnsiTheme="minorEastAsia"/>
          <w:color w:val="auto"/>
        </w:rPr>
        <w:t>格式电子投标文件有修改，须于规定时间内重新提交电子投标文件。电子投标文件因模糊不清或表达不清所引起的后果由投标人自负。</w:t>
      </w:r>
    </w:p>
    <w:p>
      <w:pPr>
        <w:pStyle w:val="33"/>
        <w:spacing w:line="360" w:lineRule="auto"/>
        <w:ind w:firstLine="448" w:firstLineChars="200"/>
        <w:jc w:val="both"/>
        <w:rPr>
          <w:rFonts w:ascii="Times New Roman" w:hAnsi="Times New Roman" w:eastAsia="宋体" w:cs="Times New Roman"/>
          <w:color w:val="auto"/>
        </w:rPr>
      </w:pPr>
    </w:p>
    <w:p>
      <w:pPr>
        <w:pStyle w:val="33"/>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D  </w:t>
      </w:r>
      <w:r>
        <w:rPr>
          <w:rFonts w:hint="eastAsia" w:ascii="Times New Roman" w:eastAsia="宋体" w:cs="Times New Roman" w:hAnsiTheme="minorEastAsia"/>
          <w:color w:val="auto"/>
        </w:rPr>
        <w:t>投标文件的网上应答和提交</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22. </w:t>
      </w:r>
      <w:r>
        <w:rPr>
          <w:rFonts w:hint="eastAsia" w:ascii="Times New Roman" w:eastAsia="宋体" w:cs="Times New Roman" w:hAnsiTheme="minorEastAsia"/>
          <w:color w:val="auto"/>
        </w:rPr>
        <w:t>投标人须按《投标邀请函》规定提交网上应答并上传加盖投标人电子签章的</w:t>
      </w:r>
      <w:r>
        <w:rPr>
          <w:rFonts w:hint="eastAsia" w:ascii="Times New Roman" w:hAnsi="Times New Roman" w:eastAsia="宋体" w:cs="Times New Roman"/>
          <w:color w:val="auto"/>
        </w:rPr>
        <w:t>PDF</w:t>
      </w:r>
      <w:r>
        <w:rPr>
          <w:rFonts w:hint="eastAsia" w:ascii="Times New Roman" w:eastAsia="宋体" w:cs="Times New Roman" w:hAnsiTheme="minorEastAsia"/>
          <w:color w:val="auto"/>
        </w:rPr>
        <w:t>格式电子投标文件（以通过天津公共资源电子签章客户端正确读取签章信息为准）。具体方式：</w:t>
      </w:r>
      <w:r>
        <w:rPr>
          <w:rFonts w:ascii="Times New Roman" w:eastAsia="宋体" w:cs="Times New Roman" w:hAnsiTheme="minorEastAsia"/>
          <w:color w:val="auto"/>
        </w:rPr>
        <w:t>使用天津市中环认证服务有限公司发出的CA数字证书（原天津市电子认证中心发出尚在有效期内的CA数字证书仍可使用）登陆</w:t>
      </w:r>
      <w:r>
        <w:rPr>
          <w:rFonts w:hint="eastAsia" w:ascii="Times New Roman" w:eastAsia="宋体" w:cs="Times New Roman" w:hAnsiTheme="minorEastAsia"/>
          <w:color w:val="auto"/>
        </w:rPr>
        <w:t>天津市政府采购中心网（网址：</w:t>
      </w:r>
      <w:r>
        <w:fldChar w:fldCharType="begin"/>
      </w:r>
      <w:r>
        <w:instrText xml:space="preserve"> HYPERLINK "http://tjgpc.cz.tj.gov.cn" </w:instrText>
      </w:r>
      <w:r>
        <w:fldChar w:fldCharType="separate"/>
      </w:r>
      <w:r>
        <w:rPr>
          <w:rStyle w:val="27"/>
          <w:rFonts w:ascii="Times New Roman" w:hAnsi="Times New Roman" w:eastAsia="宋体"/>
        </w:rPr>
        <w:t>http://tjgpc.cz.tj.gov.cn</w:t>
      </w:r>
      <w:r>
        <w:rPr>
          <w:rStyle w:val="27"/>
          <w:rFonts w:ascii="Times New Roman" w:hAnsi="Times New Roman" w:eastAsia="宋体"/>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网上招投标”-“供应商登录”-“区级集采机构入口”提交网上应答并上传加盖投标人电子签章的</w:t>
      </w:r>
      <w:r>
        <w:rPr>
          <w:rFonts w:hint="eastAsia" w:ascii="Times New Roman" w:hAnsi="Times New Roman" w:eastAsia="宋体" w:cs="Times New Roman"/>
          <w:color w:val="auto"/>
        </w:rPr>
        <w:t>PDF</w:t>
      </w:r>
      <w:r>
        <w:rPr>
          <w:rFonts w:hint="eastAsia" w:ascii="Times New Roman" w:eastAsia="宋体" w:cs="Times New Roman" w:hAnsiTheme="minorEastAsia"/>
          <w:color w:val="auto"/>
        </w:rPr>
        <w:t>格式电子投标文件（以通过天津公共资源电子签章客户端正确读取签章信息为准）。如有需要，投标人可于工作时间且在招标文件规定的截止时间前到天津市河东区红星路</w:t>
      </w:r>
      <w:r>
        <w:rPr>
          <w:rFonts w:hint="eastAsia" w:ascii="Times New Roman" w:hAnsi="Times New Roman" w:eastAsia="宋体" w:cs="Times New Roman"/>
          <w:color w:val="auto"/>
        </w:rPr>
        <w:t>79</w:t>
      </w:r>
      <w:r>
        <w:rPr>
          <w:rFonts w:hint="eastAsia" w:ascii="Times New Roman" w:eastAsia="宋体" w:cs="Times New Roman" w:hAnsiTheme="minorEastAsia"/>
          <w:color w:val="auto"/>
        </w:rPr>
        <w:t>号天津市政府采购中心窗口完成上述操作。</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23. </w:t>
      </w:r>
      <w:r>
        <w:rPr>
          <w:rFonts w:hint="eastAsia" w:ascii="Times New Roman" w:eastAsia="宋体" w:cs="Times New Roman" w:hAnsiTheme="minorEastAsia"/>
          <w:color w:val="auto"/>
        </w:rPr>
        <w:t>制作和上传电子投标文件要求</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w:t>
      </w:r>
      <w:r>
        <w:rPr>
          <w:rFonts w:hint="eastAsia" w:ascii="Times New Roman" w:eastAsia="宋体" w:cs="Times New Roman" w:hAnsiTheme="minorEastAsia"/>
          <w:color w:val="auto"/>
        </w:rPr>
        <w:t>投标人须下载天津市政府采购中心网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下载中心</w:t>
      </w:r>
      <w:r>
        <w:rPr>
          <w:rFonts w:hint="eastAsia" w:ascii="Times New Roman" w:hAnsi="Times New Roman" w:eastAsia="宋体" w:cs="Times New Roman"/>
          <w:color w:val="auto"/>
        </w:rPr>
        <w:t>-</w:t>
      </w:r>
      <w:r>
        <w:rPr>
          <w:rFonts w:hint="eastAsia" w:ascii="Times New Roman" w:eastAsia="宋体" w:cs="Times New Roman" w:hAnsiTheme="minorEastAsia"/>
          <w:color w:val="auto"/>
        </w:rPr>
        <w:t>《远程招投标电子签章客户端用户使用说明及安装程序》。</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23.2 </w:t>
      </w:r>
      <w:r>
        <w:rPr>
          <w:rFonts w:hint="eastAsia" w:ascii="Times New Roman" w:eastAsia="宋体" w:cs="Times New Roman" w:hAnsiTheme="minorEastAsia"/>
          <w:color w:val="auto"/>
        </w:rPr>
        <w:t>投标人须按照招标文件的规定制作电子投标文件，对所需提供的一切纸质材料进行扫描后加入电子投标文件，按照《远程招投标电子签章客户端用户使用说明及安装程序》中《远程招投标电子签章客户端用户使用说明》规定的要求制作加盖投标人电子签章的</w:t>
      </w:r>
      <w:r>
        <w:rPr>
          <w:rFonts w:hint="eastAsia" w:ascii="Times New Roman" w:hAnsi="Times New Roman" w:eastAsia="宋体" w:cs="Times New Roman"/>
          <w:color w:val="auto"/>
        </w:rPr>
        <w:t>PDF</w:t>
      </w:r>
      <w:r>
        <w:rPr>
          <w:rFonts w:hint="eastAsia" w:ascii="Times New Roman" w:eastAsia="宋体" w:cs="Times New Roman" w:hAnsiTheme="minorEastAsia"/>
          <w:color w:val="auto"/>
        </w:rPr>
        <w:t>格式电子投标文件（以通过天津公共资源电子签章客户端正确读取签章信息为准），并于投标截止时间前上传至天津市政府采购中心招投标系统。</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特别提醒：</w:t>
      </w:r>
    </w:p>
    <w:p>
      <w:pPr>
        <w:pStyle w:val="33"/>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由于投标人网络接入速率不可控等网络传输风险，建议投标人在网上应答上传加盖电子签章的PDF文件后，对上传文件进行下载，核对文件完整性，如是否缺页少页、图片是否显示完整、签章是否有效等，并按照《远程招投标电子签章客户端用户使用说明》要求的文件检查方法进行检查，确保投标文件上传准确、有效。</w:t>
      </w:r>
    </w:p>
    <w:p>
      <w:pPr>
        <w:pStyle w:val="33"/>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23.3 </w:t>
      </w:r>
      <w:r>
        <w:rPr>
          <w:rFonts w:hint="eastAsia" w:ascii="Times New Roman" w:eastAsia="宋体" w:cs="Times New Roman" w:hAnsiTheme="minorEastAsia"/>
          <w:color w:val="auto"/>
        </w:rPr>
        <w:t>投标人须保证电子投标文件清晰，便于识别，如因上传、扫描、格式等原因导致评审时受到影响，由投标人自行承担相应责任。</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24. </w:t>
      </w:r>
      <w:r>
        <w:rPr>
          <w:rFonts w:hint="eastAsia" w:ascii="Times New Roman" w:eastAsia="宋体" w:cs="Times New Roman" w:hAnsiTheme="minorEastAsia"/>
          <w:color w:val="auto"/>
        </w:rPr>
        <w:t>投标人须承诺接受电子投标的方式，并自行承担由此带来的废标、无效投标的风险。</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25. </w:t>
      </w:r>
      <w:r>
        <w:rPr>
          <w:rFonts w:hint="eastAsia" w:ascii="Times New Roman" w:eastAsia="宋体" w:cs="Times New Roman" w:hAnsiTheme="minorEastAsia"/>
          <w:color w:val="auto"/>
        </w:rPr>
        <w:t>未按招标文件的规定提交网上应答和上传加盖投标人电子签章的</w:t>
      </w:r>
      <w:r>
        <w:rPr>
          <w:rFonts w:hint="eastAsia" w:ascii="Times New Roman" w:hAnsi="Times New Roman" w:eastAsia="宋体" w:cs="Times New Roman"/>
          <w:color w:val="auto"/>
        </w:rPr>
        <w:t>PDF</w:t>
      </w:r>
      <w:r>
        <w:rPr>
          <w:rFonts w:hint="eastAsia" w:ascii="Times New Roman" w:eastAsia="宋体" w:cs="Times New Roman" w:hAnsiTheme="minorEastAsia"/>
          <w:color w:val="auto"/>
        </w:rPr>
        <w:t>格式电子投标文件（以通过天津公共资源电子签章客户端正确读取签章信息为准）的投标将被拒绝。</w:t>
      </w:r>
    </w:p>
    <w:p>
      <w:pPr>
        <w:pStyle w:val="33"/>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E  </w:t>
      </w:r>
      <w:r>
        <w:rPr>
          <w:rFonts w:hint="eastAsia" w:ascii="Times New Roman" w:eastAsia="宋体" w:cs="Times New Roman" w:hAnsiTheme="minorEastAsia"/>
          <w:color w:val="auto"/>
        </w:rPr>
        <w:t>开标和评标</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 </w:t>
      </w:r>
      <w:r>
        <w:rPr>
          <w:rFonts w:hint="eastAsia" w:ascii="Times New Roman" w:eastAsia="宋体" w:cs="Times New Roman" w:hAnsiTheme="minorEastAsia"/>
          <w:color w:val="auto"/>
        </w:rPr>
        <w:t>开标解密和资格审查</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26.1 </w:t>
      </w:r>
      <w:r>
        <w:rPr>
          <w:rFonts w:hint="eastAsia" w:ascii="Times New Roman" w:eastAsia="宋体" w:cs="Times New Roman" w:hAnsiTheme="minorEastAsia"/>
          <w:color w:val="auto"/>
        </w:rPr>
        <w:t>投标人须于《投标邀请函》中规定的时间内使用天津市中环认证服务有限公司发出的CA数字证书（原天津市电子认证中心发出尚在有效期内的CA数字证书仍可使用）登陆天津市政府采购中心网（网址：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网上招投标”-“供应商登录”-“区级集采机构入口”完成开标解密。</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26.2 </w:t>
      </w:r>
      <w:r>
        <w:rPr>
          <w:rFonts w:hint="eastAsia" w:ascii="Times New Roman" w:eastAsia="宋体" w:cs="Times New Roman" w:hAnsiTheme="minorEastAsia"/>
          <w:color w:val="auto"/>
        </w:rPr>
        <w:t>由于投标人原因，没有在规定时间内进行网上开标解密，视为无效投标。</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26.3 </w:t>
      </w:r>
      <w:r>
        <w:rPr>
          <w:rFonts w:hint="eastAsia" w:ascii="Times New Roman" w:eastAsia="宋体" w:cs="Times New Roman" w:hAnsiTheme="minorEastAsia"/>
          <w:color w:val="auto"/>
        </w:rPr>
        <w:t>开标解密后，对开标结果进行网上公示，投标人报价为空、为零的将被视为无效投标。</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26.4 </w:t>
      </w:r>
      <w:r>
        <w:rPr>
          <w:rFonts w:hint="eastAsia" w:ascii="Times New Roman" w:eastAsia="宋体" w:cs="Times New Roman" w:hAnsiTheme="minorEastAsia"/>
          <w:color w:val="auto"/>
        </w:rPr>
        <w:t>开标解密后，投标代表人应保持电话畅通并具备相应的网络环境，随时准备接受评委的网上询标。</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26.5 </w:t>
      </w:r>
      <w:r>
        <w:rPr>
          <w:rFonts w:hint="eastAsia" w:ascii="Times New Roman" w:eastAsia="宋体" w:cs="Times New Roman" w:hAnsiTheme="minorEastAsia"/>
          <w:color w:val="auto"/>
        </w:rPr>
        <w:t>投标人须于规定时间内通过天津市政府采购中心招投标系统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询标解答</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对评委的网上询标予以解答。如投标代表人被要求到评审现场答疑时，须携带身份证等有效证件原件，以备查验。</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26.6 </w:t>
      </w:r>
      <w:r>
        <w:rPr>
          <w:rFonts w:hint="eastAsia" w:ascii="Times New Roman" w:eastAsia="宋体" w:cs="Times New Roman" w:hAnsiTheme="minorEastAsia"/>
          <w:color w:val="auto"/>
        </w:rPr>
        <w:t>投标截止时间后，投标人不足</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家的，不得开标。</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w:t>
      </w:r>
      <w:r>
        <w:rPr>
          <w:rFonts w:hint="eastAsia" w:ascii="Times New Roman" w:eastAsia="宋体" w:cs="Times New Roman" w:hAnsiTheme="minorEastAsia"/>
          <w:color w:val="auto"/>
        </w:rPr>
        <w:t>开标解密后，采购人或采购代理机构应当依法对投标人的资格进行审查。资格审查合格的投标人不足</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家的，不得评标。</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 </w:t>
      </w:r>
      <w:r>
        <w:rPr>
          <w:rFonts w:hint="eastAsia" w:ascii="Times New Roman" w:eastAsia="宋体" w:cs="Times New Roman" w:hAnsiTheme="minorEastAsia"/>
          <w:color w:val="auto"/>
        </w:rPr>
        <w:t>评标委员会</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27.1 </w:t>
      </w:r>
      <w:r>
        <w:rPr>
          <w:rFonts w:hint="eastAsia" w:ascii="Times New Roman" w:eastAsia="宋体" w:cs="Times New Roman" w:hAnsiTheme="minorEastAsia"/>
          <w:color w:val="auto"/>
        </w:rPr>
        <w:t>评标委员会成员由采购人代表和评审专家组成，成员人数应当为</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人以上单数，其中评审专家不得少于成员总数的三分之二。</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27.2 </w:t>
      </w:r>
      <w:r>
        <w:rPr>
          <w:rFonts w:hint="eastAsia" w:ascii="Times New Roman" w:eastAsia="宋体" w:cs="Times New Roman" w:hAnsiTheme="minorEastAsia"/>
          <w:color w:val="auto"/>
        </w:rPr>
        <w:t>评标委员会负责审查投标文件是否符合招标文件的要求，并进行审查、询标、评估和比较。评标委员会认为必要时，可向投标人进行询标。</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27.3 </w:t>
      </w:r>
      <w:r>
        <w:rPr>
          <w:rFonts w:hint="eastAsia" w:ascii="Times New Roman" w:eastAsia="宋体" w:cs="Times New Roman" w:hAnsiTheme="minor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27.4 </w:t>
      </w:r>
      <w:r>
        <w:rPr>
          <w:rFonts w:hint="eastAsia" w:ascii="Times New Roman" w:eastAsia="宋体" w:cs="Times New Roman" w:hAnsiTheme="minorEastAsia"/>
          <w:color w:val="auto"/>
        </w:rPr>
        <w:t>评标委员会负责完成全部评标工作，向采购人提出经评标委员会签字的书面评标报告。</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28. </w:t>
      </w:r>
      <w:r>
        <w:rPr>
          <w:rFonts w:hint="eastAsia" w:ascii="Times New Roman" w:eastAsia="宋体" w:cs="Times New Roman" w:hAnsiTheme="minorEastAsia"/>
          <w:color w:val="auto"/>
        </w:rPr>
        <w:t>对投标文件的审查和响应性的确定</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w:t>
      </w:r>
      <w:r>
        <w:rPr>
          <w:rFonts w:hint="eastAsia" w:ascii="Times New Roman" w:eastAsia="宋体" w:cs="Times New Roman" w:hAnsiTheme="minor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w:t>
      </w:r>
      <w:r>
        <w:rPr>
          <w:rFonts w:hint="eastAsia" w:ascii="Times New Roman" w:eastAsia="宋体" w:cs="Times New Roman" w:hAnsiTheme="minorEastAsia"/>
          <w:color w:val="auto"/>
        </w:rPr>
        <w:t>投标截止时间后，除评标委员会要求提供外，不接受投标人及与投标人有关的任何一方递交的材料。</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w:t>
      </w:r>
      <w:r>
        <w:rPr>
          <w:rFonts w:hint="eastAsia" w:ascii="Times New Roman" w:eastAsia="宋体" w:cs="Times New Roman" w:hAnsiTheme="minorEastAsia"/>
          <w:color w:val="auto"/>
        </w:rPr>
        <w:t>实质上没有响应招标文件要求的投标文件，将被拒绝。投标人不得通过修改或撤回不符合要求的内容而使其投标成为响应性的投标。如出现下列情况之一的，其投标将被拒绝或中标无效：</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）投标文件未按招标文件的要求加盖电子签章的；</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）投标有效期短于招标文件要求的；</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）投标文件中提供虚假或失实资料的；</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）不能满足招标文件中任何一条实质性要求或加注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号条款出现负偏离或经评标委员会认定未实质性响应招标文件要求的或投标内容不符合相关强制性规定的；</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pPr>
        <w:pStyle w:val="33"/>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8</w:t>
      </w:r>
      <w:r>
        <w:rPr>
          <w:rFonts w:ascii="Times New Roman" w:hAnsi="Times New Roman" w:eastAsia="宋体" w:cs="Times New Roman"/>
          <w:color w:val="auto"/>
        </w:rPr>
        <w:t>）单位负责人或法定代表人为同一人，或者存在控股、管理关系的不同供应商，参加同一包或者未划分包的同一项目投标的，相关投标均无效；</w:t>
      </w:r>
    </w:p>
    <w:p>
      <w:pPr>
        <w:pStyle w:val="33"/>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9</w:t>
      </w:r>
      <w:r>
        <w:rPr>
          <w:rFonts w:ascii="Times New Roman" w:hAnsi="Times New Roman" w:eastAsia="宋体" w:cs="Times New Roman"/>
          <w:color w:val="auto"/>
        </w:rPr>
        <w:t>）</w:t>
      </w:r>
      <w:r>
        <w:rPr>
          <w:rFonts w:hint="eastAsia" w:ascii="Times New Roman" w:hAnsi="Times New Roman" w:eastAsia="宋体" w:cs="Times New Roman"/>
          <w:color w:val="auto"/>
        </w:rPr>
        <w:t>其他法定投标无效的情形。</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28.4 </w:t>
      </w:r>
      <w:r>
        <w:rPr>
          <w:rFonts w:hint="eastAsia" w:ascii="Times New Roman" w:eastAsia="宋体" w:cs="Times New Roman" w:hAnsiTheme="minorEastAsia"/>
          <w:color w:val="auto"/>
        </w:rPr>
        <w:t>评标委员会对确定为实质上响应的投标进行审核，</w:t>
      </w:r>
      <w:r>
        <w:rPr>
          <w:rFonts w:ascii="Times New Roman" w:eastAsia="宋体" w:cs="Times New Roman" w:hAnsiTheme="minorEastAsia"/>
          <w:color w:val="auto"/>
        </w:rPr>
        <w:t>投标文件报价出现前后不一致的</w:t>
      </w:r>
      <w:r>
        <w:rPr>
          <w:rFonts w:hint="eastAsia" w:ascii="Times New Roman" w:eastAsia="宋体" w:cs="Times New Roman" w:hAnsiTheme="minorEastAsia"/>
          <w:color w:val="auto"/>
        </w:rPr>
        <w:t>，修改错误的原则如下：</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）投标文件中开标一览表（报价表）内容与投标文件中相应内容不一致的，以开标一览表（报价表）为准；</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）大写金额和小写金额不一致的，以大写金额为准；</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）单价金额小数点或者百分比有明显错位的，以开标一览表的总价为准，并修改单价；</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）总价金额与按单价汇总金额不一致的，以单价金额计算结果为准。</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）同时出现两种以上不一致的，按照前款规定的顺序修正。修正后的报价经投标人确认后产生约束力，投标人不确认的，其投标无效。</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28.5 </w:t>
      </w:r>
      <w:r>
        <w:rPr>
          <w:rFonts w:hint="eastAsia" w:ascii="Times New Roman" w:eastAsia="宋体" w:cs="Times New Roman" w:hAnsiTheme="minorEastAsia"/>
          <w:color w:val="auto"/>
        </w:rPr>
        <w:t>评标委员会将要求投标人按上述修改错误的方法调整投标报价，投标人同意后，调整后的报价对投标人起约束作用。如果投标人不接受修改后的报价，其投标将被拒绝。</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 </w:t>
      </w:r>
      <w:r>
        <w:rPr>
          <w:rFonts w:hint="eastAsia" w:ascii="Times New Roman" w:eastAsia="宋体" w:cs="Times New Roman" w:hAnsiTheme="minorEastAsia"/>
          <w:color w:val="auto"/>
        </w:rPr>
        <w:t>投标文件的澄清</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29.1 </w:t>
      </w:r>
      <w:r>
        <w:rPr>
          <w:rFonts w:hint="eastAsia" w:ascii="Times New Roman" w:eastAsia="宋体" w:cs="Times New Roman" w:hAnsiTheme="minor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29.2 </w:t>
      </w:r>
      <w:r>
        <w:rPr>
          <w:rFonts w:hint="eastAsia" w:ascii="Times New Roman" w:eastAsia="宋体" w:cs="Times New Roman" w:hAnsiTheme="minorEastAsia"/>
          <w:color w:val="auto"/>
        </w:rPr>
        <w:t>投标人澄清、说明、答复或者补充的内容须为</w:t>
      </w:r>
      <w:r>
        <w:rPr>
          <w:rFonts w:hint="eastAsia" w:ascii="Times New Roman" w:hAnsi="Times New Roman" w:eastAsia="宋体" w:cs="Times New Roman"/>
          <w:color w:val="auto"/>
        </w:rPr>
        <w:t>PDF</w:t>
      </w:r>
      <w:r>
        <w:rPr>
          <w:rFonts w:hint="eastAsia" w:ascii="Times New Roman" w:eastAsia="宋体" w:cs="Times New Roman" w:hAnsiTheme="minorEastAsia"/>
          <w:color w:val="auto"/>
        </w:rPr>
        <w:t>格式并加盖电子签章后上传至天津市政府采购中心招投标系统。</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29.3 </w:t>
      </w:r>
      <w:r>
        <w:rPr>
          <w:rFonts w:hint="eastAsia" w:ascii="Times New Roman" w:eastAsia="宋体" w:cs="Times New Roman" w:hAnsiTheme="minorEastAsia"/>
          <w:color w:val="auto"/>
        </w:rPr>
        <w:t>投标人的澄清、说明、答复或者补充应在规定的时间内完成，并不得超出投标文件的范围或对投标内容进行实质性的修改。</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29.4 </w:t>
      </w:r>
      <w:r>
        <w:rPr>
          <w:rFonts w:hint="eastAsia" w:ascii="Times New Roman" w:eastAsia="宋体" w:cs="Times New Roman" w:hAnsiTheme="minorEastAsia"/>
          <w:color w:val="auto"/>
        </w:rPr>
        <w:t>澄清文件将作为投标文件的一部分，与投标文件具有同等的法律效力。</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30. </w:t>
      </w:r>
      <w:r>
        <w:rPr>
          <w:rFonts w:hint="eastAsia" w:ascii="Times New Roman" w:eastAsia="宋体" w:cs="Times New Roman" w:hAnsiTheme="minorEastAsia"/>
          <w:color w:val="auto"/>
        </w:rPr>
        <w:t>投标的评估和比较</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评标委员会将根据招标文件确定的评标原则和评标方法对确定为实质上响应招标文件要求的投标进行评估和比较。</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 </w:t>
      </w:r>
      <w:r>
        <w:rPr>
          <w:rFonts w:hint="eastAsia" w:ascii="Times New Roman" w:eastAsia="宋体" w:cs="Times New Roman" w:hAnsiTheme="minorEastAsia"/>
          <w:color w:val="auto"/>
        </w:rPr>
        <w:t>评标原则和评标方法</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31.1 </w:t>
      </w:r>
      <w:r>
        <w:rPr>
          <w:rFonts w:hint="eastAsia" w:ascii="Times New Roman" w:eastAsia="宋体" w:cs="Times New Roman" w:hAnsiTheme="minorEastAsia"/>
          <w:color w:val="auto"/>
        </w:rPr>
        <w:t>评标原则</w:t>
      </w:r>
    </w:p>
    <w:p>
      <w:pPr>
        <w:pStyle w:val="33"/>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）评标委员会应当按照客观、公正、审慎的原则，根据招标文件规定的评审程序、评审方法和评审标准进行独立评审。</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w:t>
      </w:r>
      <w:r>
        <w:rPr>
          <w:rFonts w:ascii="Times New Roman" w:eastAsia="宋体" w:cs="Times New Roman" w:hAnsiTheme="minorEastAsia"/>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）对招标文件中描述有歧义或前后不一致的地方，但不影响项目评审的，评标委员会有权进行评判，但对同一条款的评判应适用于每个投标人。</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31.2 </w:t>
      </w:r>
      <w:r>
        <w:rPr>
          <w:rFonts w:hint="eastAsia" w:ascii="Times New Roman" w:eastAsia="宋体" w:cs="Times New Roman" w:hAnsiTheme="minorEastAsia"/>
          <w:color w:val="auto"/>
        </w:rPr>
        <w:t>评标方法</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）采用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综合评分法</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）根据《中华人民共和国政府采购法实施条例》和《关于进一步规范政府采购评审工作有关问题的通知》（财库〔</w:t>
      </w:r>
      <w:r>
        <w:rPr>
          <w:rFonts w:hint="eastAsia" w:ascii="Times New Roman" w:hAnsi="Times New Roman" w:eastAsia="宋体" w:cs="Times New Roman"/>
          <w:color w:val="auto"/>
        </w:rPr>
        <w:t>2012</w:t>
      </w:r>
      <w:r>
        <w:rPr>
          <w:rFonts w:hint="eastAsia" w:ascii="Times New Roman" w:eastAsia="宋体" w:cs="Times New Roman" w:hAnsiTheme="minorEastAsia"/>
          <w:color w:val="auto"/>
        </w:rPr>
        <w:t>〕</w:t>
      </w:r>
      <w:r>
        <w:rPr>
          <w:rFonts w:hint="eastAsia" w:ascii="Times New Roman" w:hAnsi="Times New Roman" w:eastAsia="宋体" w:cs="Times New Roman"/>
          <w:color w:val="auto"/>
        </w:rPr>
        <w:t>69</w:t>
      </w:r>
      <w:r>
        <w:rPr>
          <w:rFonts w:hint="eastAsia" w:ascii="Times New Roman" w:eastAsia="宋体" w:cs="Times New Roman" w:hAnsiTheme="minor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w:t>
      </w:r>
      <w:r>
        <w:rPr>
          <w:rFonts w:hint="eastAsia" w:ascii="Times New Roman" w:eastAsia="宋体" w:hAnsiTheme="minorEastAsia"/>
          <w:color w:val="auto"/>
        </w:rPr>
        <w:t>按照《关于调整优化节能产品、环境标志产品政府采购执行机制的通知》（财库〔</w:t>
      </w:r>
      <w:r>
        <w:rPr>
          <w:rFonts w:hint="eastAsia" w:ascii="Times New Roman" w:hAnsi="Times New Roman" w:eastAsia="宋体"/>
          <w:color w:val="auto"/>
        </w:rPr>
        <w:t>2019</w:t>
      </w:r>
      <w:r>
        <w:rPr>
          <w:rFonts w:hint="eastAsia" w:ascii="Times New Roman" w:eastAsia="宋体" w:hAnsiTheme="minorEastAsia"/>
          <w:color w:val="auto"/>
        </w:rPr>
        <w:t>〕</w:t>
      </w:r>
      <w:r>
        <w:rPr>
          <w:rFonts w:hint="eastAsia" w:ascii="Times New Roman" w:hAnsi="Times New Roman" w:eastAsia="宋体"/>
          <w:color w:val="auto"/>
        </w:rPr>
        <w:t>9</w:t>
      </w:r>
      <w:r>
        <w:rPr>
          <w:rFonts w:hint="eastAsia" w:ascii="Times New Roman" w:eastAsia="宋体" w:hAnsiTheme="minorEastAsia"/>
          <w:color w:val="auto"/>
        </w:rPr>
        <w:t>号）文件要求，对</w:t>
      </w:r>
      <w:r>
        <w:rPr>
          <w:rFonts w:ascii="Times New Roman" w:eastAsia="宋体" w:cs="Times New Roman" w:hAnsiTheme="minorEastAsia"/>
          <w:color w:val="auto"/>
        </w:rPr>
        <w:t>政府采购节能、环境标志品目清单</w:t>
      </w:r>
      <w:r>
        <w:rPr>
          <w:rFonts w:hint="eastAsia" w:ascii="Times New Roman" w:eastAsia="宋体" w:cs="Times New Roman" w:hAnsiTheme="minorEastAsia"/>
          <w:color w:val="auto"/>
        </w:rPr>
        <w:t>内的产品实施</w:t>
      </w:r>
      <w:r>
        <w:rPr>
          <w:rFonts w:hint="eastAsia" w:ascii="Times New Roman" w:eastAsia="宋体" w:hAnsiTheme="minorEastAsia"/>
          <w:color w:val="auto"/>
        </w:rPr>
        <w:t>优先采购和强制采购的评标方法。</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cs="Times New Roman" w:hAnsiTheme="minorEastAsia"/>
          <w:color w:val="auto"/>
        </w:rPr>
        <w:t>采购人</w:t>
      </w:r>
      <w:r>
        <w:rPr>
          <w:rFonts w:hint="eastAsia" w:ascii="Times New Roman" w:eastAsia="宋体" w:cs="Times New Roman" w:hAnsiTheme="minorEastAsia"/>
          <w:color w:val="auto"/>
        </w:rPr>
        <w:t>或评标委员会经采购人授权后</w:t>
      </w:r>
      <w:r>
        <w:rPr>
          <w:rFonts w:ascii="Times New Roman" w:eastAsia="宋体" w:cs="Times New Roman" w:hAnsiTheme="minorEastAsia"/>
          <w:color w:val="auto"/>
        </w:rPr>
        <w:t>按中标候选供应商顺序确定中标供应商。</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6</w:t>
      </w:r>
      <w:r>
        <w:rPr>
          <w:rFonts w:hint="eastAsia" w:ascii="Times New Roman" w:eastAsia="宋体" w:cs="Times New Roman" w:hAnsiTheme="minorEastAsia"/>
          <w:color w:val="auto"/>
        </w:rPr>
        <w:t>）根据《政府采购货物和服务招标投标管理办法》（财政部令第</w:t>
      </w:r>
      <w:r>
        <w:rPr>
          <w:rFonts w:hint="eastAsia" w:ascii="Times New Roman" w:hAnsi="Times New Roman" w:eastAsia="宋体" w:cs="Times New Roman"/>
          <w:color w:val="auto"/>
        </w:rPr>
        <w:t>87</w:t>
      </w:r>
      <w:r>
        <w:rPr>
          <w:rFonts w:hint="eastAsia" w:ascii="Times New Roman" w:eastAsia="宋体" w:cs="Times New Roman" w:hAnsiTheme="minorEastAsia"/>
          <w:color w:val="auto"/>
        </w:rPr>
        <w:t>号）第</w:t>
      </w:r>
      <w:r>
        <w:rPr>
          <w:rFonts w:hint="eastAsia" w:ascii="Times New Roman" w:hAnsi="Times New Roman" w:eastAsia="宋体" w:cs="Times New Roman"/>
          <w:color w:val="auto"/>
        </w:rPr>
        <w:t>43</w:t>
      </w:r>
      <w:r>
        <w:rPr>
          <w:rFonts w:hint="eastAsia" w:ascii="Times New Roman" w:eastAsia="宋体" w:cs="Times New Roman" w:hAnsiTheme="minorEastAsia"/>
          <w:color w:val="auto"/>
        </w:rPr>
        <w:t>条规定，如评审现场经财政部门批准本项目转为其他采购方式的，按相应采购方式程序执行。</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 </w:t>
      </w:r>
      <w:r>
        <w:rPr>
          <w:rFonts w:hint="eastAsia" w:ascii="Times New Roman" w:eastAsia="宋体" w:cs="Times New Roman" w:hAnsiTheme="minorEastAsia"/>
          <w:color w:val="auto"/>
        </w:rPr>
        <w:t>其他注意事项</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32.1 </w:t>
      </w:r>
      <w:r>
        <w:rPr>
          <w:rFonts w:hint="eastAsia" w:ascii="Times New Roman" w:eastAsia="宋体" w:cs="Times New Roman" w:hAnsiTheme="minorEastAsia"/>
          <w:color w:val="auto"/>
        </w:rPr>
        <w:t>在开标、投标期间，投标人不得向评标委员会成员或采购代理机构询问评标情况、施加任何影响，不得进行旨在影响评标结果的活动。</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32.2 </w:t>
      </w:r>
      <w:r>
        <w:rPr>
          <w:rFonts w:hint="eastAsia" w:ascii="Times New Roman" w:eastAsia="宋体" w:cs="Times New Roman" w:hAnsiTheme="minor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pPr>
        <w:pStyle w:val="33"/>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32.3 </w:t>
      </w:r>
      <w:r>
        <w:rPr>
          <w:rFonts w:hint="eastAsia" w:ascii="Times New Roman" w:eastAsia="宋体" w:cs="Times New Roman" w:hAnsiTheme="minorEastAsia"/>
          <w:color w:val="auto"/>
        </w:rPr>
        <w:t>本项目不接受赠品、回扣或者与采购无关的其他商品、服务。</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32.4 </w:t>
      </w:r>
      <w:r>
        <w:rPr>
          <w:rFonts w:hint="eastAsia" w:ascii="Times New Roman" w:eastAsia="宋体" w:cs="Times New Roman" w:hAnsiTheme="minorEastAsia"/>
          <w:color w:val="auto"/>
        </w:rPr>
        <w:t>不同投标人所投产品均为同一品牌或任一核心产品为同一品牌时，按以下原则处理：</w:t>
      </w:r>
    </w:p>
    <w:p>
      <w:pPr>
        <w:spacing w:line="360" w:lineRule="auto"/>
        <w:ind w:firstLine="448" w:firstLineChars="200"/>
        <w:jc w:val="left"/>
        <w:rPr>
          <w:sz w:val="24"/>
          <w:szCs w:val="24"/>
        </w:rPr>
      </w:pPr>
      <w:r>
        <w:rPr>
          <w:rFonts w:hint="eastAsia" w:hAnsiTheme="minorEastAsia"/>
          <w:sz w:val="24"/>
          <w:szCs w:val="24"/>
        </w:rPr>
        <w:t>（</w:t>
      </w:r>
      <w:r>
        <w:rPr>
          <w:rFonts w:hint="eastAsia"/>
          <w:sz w:val="24"/>
          <w:szCs w:val="24"/>
        </w:rPr>
        <w:t>1</w:t>
      </w:r>
      <w:r>
        <w:rPr>
          <w:rFonts w:hint="eastAsia" w:hAnsiTheme="minor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hAnsiTheme="minorEastAsia"/>
          <w:sz w:val="24"/>
          <w:szCs w:val="24"/>
        </w:rPr>
        <w:t>自行选取一个投标人参加评标</w:t>
      </w:r>
      <w:r>
        <w:rPr>
          <w:rFonts w:hAnsiTheme="minorEastAsia"/>
          <w:sz w:val="24"/>
          <w:szCs w:val="24"/>
        </w:rPr>
        <w:t>，其他投标无效。</w:t>
      </w:r>
    </w:p>
    <w:p>
      <w:pPr>
        <w:spacing w:line="360" w:lineRule="auto"/>
        <w:ind w:firstLine="448" w:firstLineChars="200"/>
        <w:jc w:val="left"/>
        <w:rPr>
          <w:sz w:val="24"/>
          <w:szCs w:val="24"/>
        </w:rPr>
      </w:pPr>
      <w:r>
        <w:rPr>
          <w:rFonts w:hint="eastAsia" w:hAnsiTheme="minorEastAsia"/>
          <w:sz w:val="24"/>
          <w:szCs w:val="24"/>
        </w:rPr>
        <w:t>（</w:t>
      </w:r>
      <w:r>
        <w:rPr>
          <w:rFonts w:hint="eastAsia"/>
          <w:sz w:val="24"/>
          <w:szCs w:val="24"/>
        </w:rPr>
        <w:t>2</w:t>
      </w:r>
      <w:r>
        <w:rPr>
          <w:rFonts w:hint="eastAsia" w:hAnsiTheme="minor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hAnsiTheme="minorEastAsia"/>
          <w:sz w:val="24"/>
          <w:szCs w:val="24"/>
        </w:rPr>
        <w:t>自行选取</w:t>
      </w:r>
      <w:r>
        <w:rPr>
          <w:rFonts w:hAnsiTheme="minorEastAsia"/>
          <w:sz w:val="24"/>
          <w:szCs w:val="24"/>
        </w:rPr>
        <w:t>一个投标人获得中标人推荐资格，其他同品牌投标人不作为中标候选人。</w:t>
      </w:r>
    </w:p>
    <w:p>
      <w:pPr>
        <w:pStyle w:val="33"/>
        <w:spacing w:line="360" w:lineRule="auto"/>
        <w:ind w:firstLine="448" w:firstLineChars="200"/>
        <w:jc w:val="both"/>
        <w:rPr>
          <w:rFonts w:ascii="Times New Roman" w:hAnsi="Times New Roman" w:eastAsia="宋体" w:cs="Times New Roman"/>
          <w:color w:val="auto"/>
        </w:rPr>
      </w:pPr>
    </w:p>
    <w:p>
      <w:pPr>
        <w:pStyle w:val="33"/>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F  </w:t>
      </w:r>
      <w:r>
        <w:rPr>
          <w:rFonts w:hint="eastAsia" w:ascii="Times New Roman" w:eastAsia="宋体" w:cs="Times New Roman" w:hAnsiTheme="minorEastAsia"/>
          <w:color w:val="auto"/>
        </w:rPr>
        <w:t>授予合同</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33. </w:t>
      </w:r>
      <w:r>
        <w:rPr>
          <w:rFonts w:hint="eastAsia" w:ascii="Times New Roman" w:eastAsia="宋体" w:cs="Times New Roman" w:hAnsiTheme="minorEastAsia"/>
          <w:color w:val="auto"/>
        </w:rPr>
        <w:t>中标供应商的产生</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33.1 </w:t>
      </w:r>
      <w:r>
        <w:rPr>
          <w:rFonts w:hint="eastAsia" w:ascii="Times New Roman" w:eastAsia="宋体" w:cs="Times New Roman" w:hAnsiTheme="minorEastAsia"/>
          <w:color w:val="auto"/>
        </w:rPr>
        <w:t>采购人可以事先授权评标委员会直接确定中标供应商。</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33.2 </w:t>
      </w:r>
      <w:r>
        <w:rPr>
          <w:rFonts w:hint="eastAsia" w:ascii="Times New Roman" w:eastAsia="宋体" w:cs="Times New Roman" w:hAnsiTheme="minorEastAsia"/>
          <w:color w:val="auto"/>
        </w:rPr>
        <w:t>采购人也可以按照《政府采购法》及其实施条例等法律法规的规定和招标文件的要求确认中标供应商。</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34. </w:t>
      </w:r>
      <w:r>
        <w:rPr>
          <w:rFonts w:hint="eastAsia" w:ascii="Times New Roman" w:eastAsia="宋体" w:cs="Times New Roman" w:hAnsiTheme="minorEastAsia"/>
          <w:color w:val="auto"/>
        </w:rPr>
        <w:t>中标通知</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34.1 </w:t>
      </w:r>
      <w:r>
        <w:rPr>
          <w:rFonts w:hint="eastAsia" w:ascii="Times New Roman" w:eastAsia="宋体" w:cs="Times New Roman" w:hAnsiTheme="minorEastAsia"/>
          <w:color w:val="auto"/>
        </w:rPr>
        <w:t>中标公告发布同时，采购代理机构将通过天津市政府采购中心招投标系统以电子形式向中标供应商发出《中标通知书》（请使用天津市中环认证服务有限公司发出的CA数字证书（原天津市电子认证中心发出尚在有效期内的CA数字证书仍可使用）登陆天津市政府采购中心网（网址：）</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中获取）。《中标通知书》一经发出即发生法律效力。</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35. </w:t>
      </w:r>
      <w:r>
        <w:rPr>
          <w:rFonts w:hint="eastAsia" w:ascii="Times New Roman" w:eastAsia="宋体" w:cs="Times New Roman" w:hAnsiTheme="minorEastAsia"/>
          <w:color w:val="auto"/>
        </w:rPr>
        <w:t>投标人可使用天津市中环认证服务有限公司发出的CA数字证书（原天津市电子认证中心发出尚在有效期内的CA数字证书仍可使用）登陆天津市政府采购中心网（网址：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项目资审情况</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中获取未通过资格审查的原因或从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查看排序和得分</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中获取未中标人本人的评审得分与排序。</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 </w:t>
      </w:r>
      <w:r>
        <w:rPr>
          <w:rFonts w:hint="eastAsia" w:ascii="Times New Roman" w:eastAsia="宋体" w:cs="Times New Roman" w:hAnsiTheme="minorEastAsia"/>
          <w:color w:val="auto"/>
        </w:rPr>
        <w:t>签订合同</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36.1 </w:t>
      </w:r>
      <w:r>
        <w:rPr>
          <w:rFonts w:hint="eastAsia" w:ascii="Times New Roman" w:eastAsia="宋体" w:cs="Times New Roman" w:hAnsiTheme="minorEastAsia"/>
          <w:color w:val="auto"/>
        </w:rPr>
        <w:t>采购人与中标供应商应当在中标通知书发出之日起三十日内，按照招标文件确定的事项签订政府采购合同。合同文本请使用天津市中环认证服务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合同</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36.2 </w:t>
      </w:r>
      <w:r>
        <w:rPr>
          <w:rFonts w:hint="eastAsia" w:ascii="Times New Roman" w:eastAsia="宋体" w:cs="Times New Roman" w:hAnsiTheme="minorEastAsia"/>
          <w:color w:val="auto"/>
        </w:rPr>
        <w:t>招标文件、中标供应商的投标文件及其澄清文件等，均为签订合同的依据，且为合同的组成部分。</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 </w:t>
      </w:r>
      <w:r>
        <w:rPr>
          <w:rFonts w:hint="eastAsia" w:ascii="Times New Roman" w:eastAsia="宋体" w:cs="Times New Roman" w:hAnsiTheme="minorEastAsia"/>
          <w:color w:val="auto"/>
        </w:rPr>
        <w:t>履约保证金</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37.1 </w:t>
      </w:r>
      <w:r>
        <w:rPr>
          <w:rFonts w:hint="eastAsia" w:ascii="Times New Roman" w:eastAsia="宋体" w:cs="Times New Roman" w:hAnsiTheme="minorEastAsia"/>
          <w:color w:val="auto"/>
        </w:rPr>
        <w:t>若《招标项目要求》规定须提交履约保证金的，合同签订前，中标供应商须按照规定要求提交履约保证金，履约保证金的有效期至货到并最终验收合格之日。</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37.2 </w:t>
      </w:r>
      <w:r>
        <w:rPr>
          <w:rFonts w:hint="eastAsia" w:ascii="Times New Roman" w:eastAsia="宋体" w:cs="Times New Roman" w:hAnsiTheme="minorEastAsia"/>
          <w:color w:val="auto"/>
        </w:rPr>
        <w:t>中标供应商未能按合同规定履行其义务，采购人有权没收其履约保证金。</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38. </w:t>
      </w:r>
      <w:r>
        <w:rPr>
          <w:rFonts w:hint="eastAsia" w:ascii="Times New Roman" w:eastAsia="宋体" w:cs="Times New Roman" w:hAnsiTheme="minorEastAsia"/>
          <w:color w:val="auto"/>
        </w:rPr>
        <w:t>中标供应商拒绝与采购人签订合同的，采购人可以按照评审报告推荐的中标候选人名单排序，确定下一候选人为中标供应商，也可以重新开展政府采购活动。</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39. </w:t>
      </w:r>
      <w:r>
        <w:rPr>
          <w:rFonts w:hint="eastAsia" w:ascii="Times New Roman" w:eastAsia="宋体" w:cs="Times New Roman" w:hAnsiTheme="minorEastAsia"/>
          <w:color w:val="auto"/>
        </w:rPr>
        <w:t>合同分包</w:t>
      </w: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39.1 </w:t>
      </w:r>
      <w:r>
        <w:rPr>
          <w:rFonts w:hint="eastAsia" w:ascii="Times New Roman" w:eastAsia="宋体" w:cs="Times New Roman" w:hAnsiTheme="minorEastAsia"/>
          <w:color w:val="auto"/>
        </w:rPr>
        <w:t>未经采购人同意，中标供应商不得分包合同。</w:t>
      </w:r>
    </w:p>
    <w:p>
      <w:pPr>
        <w:pStyle w:val="33"/>
        <w:spacing w:line="360" w:lineRule="auto"/>
        <w:ind w:firstLine="448" w:firstLineChars="200"/>
        <w:jc w:val="both"/>
        <w:rPr>
          <w:rFonts w:ascii="Times New Roman" w:eastAsia="宋体" w:cs="Times New Roman" w:hAnsiTheme="minorEastAsia"/>
          <w:color w:val="auto"/>
        </w:rPr>
      </w:pPr>
      <w:r>
        <w:rPr>
          <w:rFonts w:hint="eastAsia" w:ascii="Times New Roman" w:hAnsi="Times New Roman" w:eastAsia="宋体" w:cs="Times New Roman"/>
          <w:color w:val="auto"/>
        </w:rPr>
        <w:t xml:space="preserve">39.2 </w:t>
      </w:r>
      <w:r>
        <w:rPr>
          <w:rFonts w:hint="eastAsia" w:ascii="Times New Roman" w:eastAsia="宋体" w:cs="Times New Roman" w:hAnsiTheme="minorEastAsia"/>
          <w:color w:val="auto"/>
        </w:rPr>
        <w:t>政府采购合同分包履行的，中标供应商就采购项目和分包项目向采购人负责，分包供应商就分包项目承担责任。</w:t>
      </w:r>
    </w:p>
    <w:p>
      <w:pPr>
        <w:pStyle w:val="33"/>
        <w:spacing w:line="360" w:lineRule="auto"/>
        <w:ind w:firstLine="448" w:firstLineChars="200"/>
        <w:jc w:val="center"/>
        <w:rPr>
          <w:rFonts w:ascii="Times New Roman" w:eastAsia="宋体" w:cs="Times New Roman" w:hAnsiTheme="minorEastAsia"/>
          <w:color w:val="auto"/>
        </w:rPr>
      </w:pPr>
      <w:r>
        <w:rPr>
          <w:rFonts w:hint="eastAsia" w:ascii="Times New Roman" w:eastAsia="宋体" w:cs="Times New Roman" w:hAnsiTheme="minorEastAsia"/>
          <w:color w:val="auto"/>
        </w:rPr>
        <w:t>G 政府采购“明白纸”</w:t>
      </w:r>
    </w:p>
    <w:p>
      <w:pPr>
        <w:pStyle w:val="33"/>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40.1政府采购支持中小企业政策“明白纸”</w:t>
      </w:r>
    </w:p>
    <w:p>
      <w:pPr>
        <w:pStyle w:val="33"/>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区财政局区发展改革委区住房建设委区交通运输局区水务局区政务服务办关于进一步贯彻落实政府采购支持中小企业政策的通知》（津滨财采[2022]8号）（以下简称通知）提出了哪些进一步支持中小企业的措施？</w:t>
      </w:r>
    </w:p>
    <w:p>
      <w:pPr>
        <w:pStyle w:val="33"/>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阶段性提高政府采购工程面向中小企业预留份额。400万元以下的工程采购项目适宜由中小企业提供的应专门面向中小企业采购。超过400万元的工程采购项目中适宜由中小企业提供的，2022年下半年面向中小企业的预留份额由30%以上阶段性提高至40%以上。</w:t>
      </w:r>
    </w:p>
    <w:p>
      <w:pPr>
        <w:pStyle w:val="33"/>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二是调整对小微企业的价格评审优惠幅度。货物服务采购项目给予小微企业的价格扣除优惠，由6%-10%提高至10-%20%。大中型企业与小微企业组成联合体或者大中型企业向小微企业分包的，评审优惠幅度由2%-3%提高至4%-6%。货物、服务采购项目适宜由中小企业提供的，以及大中型企业与小微企业组成联合体或者大中型企业向小微企业分包的，对小微企业给予价格扣除优惠时按照上述比例区间上限执行。</w:t>
      </w:r>
    </w:p>
    <w:p>
      <w:pPr>
        <w:pStyle w:val="33"/>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2</w:t>
      </w:r>
      <w:r>
        <w:rPr>
          <w:rFonts w:ascii="Times New Roman" w:eastAsia="宋体" w:cs="Times New Roman" w:hAnsiTheme="minorEastAsia"/>
          <w:color w:val="auto"/>
        </w:rPr>
        <w:t>）《通知》是如何降低中小企业参与政府采购成本的？</w:t>
      </w:r>
    </w:p>
    <w:p>
      <w:pPr>
        <w:pStyle w:val="33"/>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《通知》在保证金收取、资金支付、合同融资等方面对支持中小企业也作出了规定，多措并举降低中小企业参与政府采购成本。</w:t>
      </w:r>
    </w:p>
    <w:p>
      <w:pPr>
        <w:pStyle w:val="33"/>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pPr>
        <w:pStyle w:val="33"/>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3</w:t>
      </w:r>
      <w:r>
        <w:rPr>
          <w:rFonts w:ascii="Times New Roman" w:eastAsia="宋体" w:cs="Times New Roman" w:hAnsiTheme="minorEastAsia"/>
          <w:color w:val="auto"/>
        </w:rPr>
        <w:t>）怎样确保政策落实到位？</w:t>
      </w:r>
    </w:p>
    <w:p>
      <w:pPr>
        <w:pStyle w:val="33"/>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一是强化政策宣传。政策印发后，新区财政局制定政府采购支持中小企业政策“明白纸”，细致解读政策内容，通过开展线上腾讯会议营商环境大讲堂对政策进行宣讲解读，提高中小企业政策知晓率。</w:t>
      </w:r>
    </w:p>
    <w:p>
      <w:pPr>
        <w:pStyle w:val="33"/>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pPr>
        <w:pStyle w:val="33"/>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4</w:t>
      </w:r>
      <w:r>
        <w:rPr>
          <w:rFonts w:ascii="Times New Roman" w:eastAsia="宋体" w:cs="Times New Roman" w:hAnsiTheme="minorEastAsia"/>
          <w:color w:val="auto"/>
        </w:rPr>
        <w:t>）中小企业怎样知晓采购项目是否面向中小企业？</w:t>
      </w:r>
    </w:p>
    <w:p>
      <w:pPr>
        <w:pStyle w:val="33"/>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《政府采购促进中小企业发展管理办法》明确采购项目涉及中小企业采购的，预留份额、价格扣除比例或价格加分比例等内容应当在采购文件中明确。因此，中小企业可在采购文件中获取相关信息。</w:t>
      </w:r>
    </w:p>
    <w:p>
      <w:pPr>
        <w:pStyle w:val="33"/>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5</w:t>
      </w:r>
      <w:r>
        <w:rPr>
          <w:rFonts w:ascii="Times New Roman" w:eastAsia="宋体" w:cs="Times New Roman" w:hAnsiTheme="minorEastAsia"/>
          <w:color w:val="auto"/>
        </w:rPr>
        <w:t>）中小企业享受扶持政策应提供什么份证明材料？</w:t>
      </w:r>
    </w:p>
    <w:p>
      <w:pPr>
        <w:pStyle w:val="33"/>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pPr>
        <w:pStyle w:val="33"/>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6</w:t>
      </w:r>
      <w:r>
        <w:rPr>
          <w:rFonts w:ascii="Times New Roman" w:eastAsia="宋体" w:cs="Times New Roman" w:hAnsiTheme="minorEastAsia"/>
          <w:color w:val="auto"/>
        </w:rPr>
        <w:t>）企业不清楚自身是否为中小企业，怎么办？</w:t>
      </w:r>
    </w:p>
    <w:p>
      <w:pPr>
        <w:pStyle w:val="33"/>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关于企业标准的判定，参与政府采购的企业可根据《中小企业划型标准规定》（工信部联企业〔2011〕300号）要求判定是否为中小企业。此外，为方便广大中小企业、政府部门和社会公众识别企业规模类型，工业和信息化部组织开发了中小企业规模类型自测小程序，并于2020年2月27日上线运行，在国务院客户端和工业和信息化部网站上均有链接，广大中小企业和各类社会机构填写企业所属的行业和指标数据自动生成企业规模类型测试结果。</w:t>
      </w:r>
    </w:p>
    <w:p>
      <w:pPr>
        <w:pStyle w:val="33"/>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40.2 滨海新区财政局</w:t>
      </w:r>
      <w:r>
        <w:rPr>
          <w:rFonts w:hint="eastAsia" w:ascii="Times New Roman" w:hAnsi="Times New Roman" w:eastAsia="宋体" w:cs="Times New Roman"/>
          <w:color w:val="auto"/>
        </w:rPr>
        <w:t>“政采贷”</w:t>
      </w:r>
      <w:r>
        <w:rPr>
          <w:rFonts w:hint="eastAsia" w:ascii="Times New Roman" w:eastAsia="宋体" w:cs="Times New Roman" w:hAnsiTheme="minorEastAsia"/>
          <w:color w:val="auto"/>
        </w:rPr>
        <w:t>明白纸</w:t>
      </w:r>
    </w:p>
    <w:p>
      <w:pPr>
        <w:pStyle w:val="33"/>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pPr>
        <w:pStyle w:val="33"/>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一、“政采贷”概念</w:t>
      </w:r>
    </w:p>
    <w:p>
      <w:pPr>
        <w:pStyle w:val="33"/>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pPr>
        <w:pStyle w:val="33"/>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二、“政采贷”基本流程介绍</w:t>
      </w:r>
    </w:p>
    <w:p>
      <w:pPr>
        <w:pStyle w:val="33"/>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“企业申请”-“银行接受申请”-“获取政采业务数据、订单信息、合同信息等”-“线下尽调、审核资质”-“银行风控评估”-“预授信”-“放款、提款”</w:t>
      </w:r>
    </w:p>
    <w:p>
      <w:pPr>
        <w:pStyle w:val="33"/>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三、我市主要金融机构开通“政采贷”情况</w:t>
      </w:r>
    </w:p>
    <w:p>
      <w:pPr>
        <w:pStyle w:val="33"/>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目前“政采贷”业务已经逐步在各大商业金融机构上线，未来我市主要金融机构“政采贷”业务将实现全覆盖，中标供应商可以根据自身情况自行选择。其中部分金融机构及咨询电话见下表(后续将持续更新)：</w:t>
      </w:r>
    </w:p>
    <w:tbl>
      <w:tblPr>
        <w:tblStyle w:val="21"/>
        <w:tblW w:w="8519" w:type="dxa"/>
        <w:tblInd w:w="93" w:type="dxa"/>
        <w:tblLayout w:type="fixed"/>
        <w:tblCellMar>
          <w:top w:w="0" w:type="dxa"/>
          <w:left w:w="108" w:type="dxa"/>
          <w:bottom w:w="0" w:type="dxa"/>
          <w:right w:w="108" w:type="dxa"/>
        </w:tblCellMar>
      </w:tblPr>
      <w:tblGrid>
        <w:gridCol w:w="492"/>
        <w:gridCol w:w="1001"/>
        <w:gridCol w:w="1292"/>
        <w:gridCol w:w="964"/>
        <w:gridCol w:w="3384"/>
        <w:gridCol w:w="1386"/>
      </w:tblGrid>
      <w:tr>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序号</w:t>
            </w:r>
          </w:p>
        </w:tc>
        <w:tc>
          <w:tcPr>
            <w:tcW w:w="100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金融机构名称</w:t>
            </w:r>
          </w:p>
        </w:tc>
        <w:tc>
          <w:tcPr>
            <w:tcW w:w="129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参考利率及额度</w:t>
            </w:r>
          </w:p>
        </w:tc>
        <w:tc>
          <w:tcPr>
            <w:tcW w:w="96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现阶段面向范围</w:t>
            </w:r>
          </w:p>
        </w:tc>
        <w:tc>
          <w:tcPr>
            <w:tcW w:w="338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申请条件</w:t>
            </w:r>
          </w:p>
        </w:tc>
        <w:tc>
          <w:tcPr>
            <w:tcW w:w="13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咨询电话</w:t>
            </w:r>
          </w:p>
        </w:tc>
      </w:tr>
      <w:tr>
        <w:tblPrEx>
          <w:tblCellMar>
            <w:top w:w="0" w:type="dxa"/>
            <w:left w:w="108" w:type="dxa"/>
            <w:bottom w:w="0" w:type="dxa"/>
            <w:right w:w="108" w:type="dxa"/>
          </w:tblCellMar>
        </w:tblPrEx>
        <w:trPr>
          <w:trHeight w:val="3120" w:hRule="atLeast"/>
        </w:trPr>
        <w:tc>
          <w:tcPr>
            <w:tcW w:w="49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1</w:t>
            </w:r>
          </w:p>
        </w:tc>
        <w:tc>
          <w:tcPr>
            <w:tcW w:w="100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中国银行</w:t>
            </w:r>
          </w:p>
        </w:tc>
        <w:tc>
          <w:tcPr>
            <w:tcW w:w="1292" w:type="dxa"/>
            <w:tcBorders>
              <w:top w:val="single" w:color="000000" w:sz="4" w:space="0"/>
              <w:left w:val="single" w:color="000000" w:sz="4" w:space="0"/>
              <w:bottom w:val="single" w:color="000000" w:sz="4" w:space="0"/>
              <w:right w:val="single" w:color="000000" w:sz="4" w:space="0"/>
            </w:tcBorders>
            <w:vAlign w:val="bottom"/>
          </w:tcPr>
          <w:p>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根据当期lpr进行综合核定，原则上不3.85%</w:t>
            </w:r>
          </w:p>
          <w:p>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融资额度：</w:t>
            </w:r>
          </w:p>
          <w:p>
            <w:pPr>
              <w:widowControl/>
              <w:textAlignment w:val="center"/>
              <w:rPr>
                <w:rFonts w:ascii="宋体" w:hAnsi="宋体" w:cs="宋体"/>
                <w:color w:val="000000"/>
                <w:sz w:val="19"/>
                <w:szCs w:val="19"/>
              </w:rPr>
            </w:pPr>
            <w:r>
              <w:rPr>
                <w:rFonts w:hint="eastAsia" w:ascii="宋体" w:hAnsi="宋体" w:cs="宋体"/>
                <w:color w:val="000000"/>
                <w:kern w:val="0"/>
                <w:sz w:val="19"/>
                <w:szCs w:val="19"/>
              </w:rPr>
              <w:t>小微企业不超过1000万元,大中型企业具体以政府采购金额为测算依据，无金额限制</w:t>
            </w:r>
          </w:p>
        </w:tc>
        <w:tc>
          <w:tcPr>
            <w:tcW w:w="96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1、在政府采购中无不良履约记录；</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2、企业及其实际控制人、法定代表人、受益所有人等关联人员不存在涉及洗钱、恐怖融资、金融诈骗、偷逃税、侵犯知识产权等违法犯罪行为或违反制裁规定的行为；</w:t>
            </w:r>
          </w:p>
          <w:p>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 xml:space="preserve">27106030 </w:t>
            </w:r>
          </w:p>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吴楠</w:t>
            </w:r>
          </w:p>
        </w:tc>
      </w:tr>
      <w:tr>
        <w:tblPrEx>
          <w:tblCellMar>
            <w:top w:w="0" w:type="dxa"/>
            <w:left w:w="108" w:type="dxa"/>
            <w:bottom w:w="0" w:type="dxa"/>
            <w:right w:w="108" w:type="dxa"/>
          </w:tblCellMar>
        </w:tblPrEx>
        <w:trPr>
          <w:trHeight w:val="1440" w:hRule="atLeast"/>
        </w:trPr>
        <w:tc>
          <w:tcPr>
            <w:tcW w:w="49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2</w:t>
            </w:r>
          </w:p>
        </w:tc>
        <w:tc>
          <w:tcPr>
            <w:tcW w:w="100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邮储银行</w:t>
            </w:r>
          </w:p>
        </w:tc>
        <w:tc>
          <w:tcPr>
            <w:tcW w:w="1292"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约4.95%</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融资额度：</w:t>
            </w:r>
          </w:p>
          <w:p>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不超过200万元</w:t>
            </w:r>
          </w:p>
        </w:tc>
        <w:tc>
          <w:tcPr>
            <w:tcW w:w="96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企业经营满一年以上，有一年以上政府中标历史记录，当前有生效政府中标订单，企业及法定代表人征信记录良好</w:t>
            </w:r>
          </w:p>
        </w:tc>
        <w:tc>
          <w:tcPr>
            <w:tcW w:w="13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hint="eastAsia" w:ascii="宋体" w:hAnsi="宋体" w:cs="宋体"/>
                <w:color w:val="000000"/>
                <w:kern w:val="0"/>
                <w:sz w:val="19"/>
                <w:szCs w:val="19"/>
              </w:rPr>
              <w:t>张日超</w:t>
            </w:r>
          </w:p>
        </w:tc>
      </w:tr>
      <w:tr>
        <w:tblPrEx>
          <w:tblCellMar>
            <w:top w:w="0" w:type="dxa"/>
            <w:left w:w="108" w:type="dxa"/>
            <w:bottom w:w="0" w:type="dxa"/>
            <w:right w:w="108" w:type="dxa"/>
          </w:tblCellMar>
        </w:tblPrEx>
        <w:trPr>
          <w:trHeight w:val="90" w:hRule="atLeast"/>
        </w:trPr>
        <w:tc>
          <w:tcPr>
            <w:tcW w:w="49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3</w:t>
            </w:r>
          </w:p>
        </w:tc>
        <w:tc>
          <w:tcPr>
            <w:tcW w:w="100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光大银行</w:t>
            </w:r>
          </w:p>
        </w:tc>
        <w:tc>
          <w:tcPr>
            <w:tcW w:w="1292"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约4%</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融资额度：</w:t>
            </w:r>
          </w:p>
          <w:p>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1.具有独立承担民事责任的能力，有固定经营场所，将我行账户作为政府采购合同唯一回款账户。</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2.企业成立1年以上，且实际控制人具有3年以上的实际行业经验，具有良好的纳税记录、工商登记记录；</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3.企业具有履行合同所必须的设备和服务能力；</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4.生产经营符合国家法律法规，产业政策和环境保护要求，符合我行信贷政策；</w:t>
            </w:r>
          </w:p>
          <w:p>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5.人行征信信息查询系统查询显示借款人、实际控制人无重大不良记录，政府采购履约无不良记录。</w:t>
            </w:r>
          </w:p>
        </w:tc>
        <w:tc>
          <w:tcPr>
            <w:tcW w:w="13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18722110192谢凝 </w:t>
            </w:r>
            <w:r>
              <w:rPr>
                <w:rFonts w:hint="eastAsia" w:ascii="宋体" w:hAnsi="宋体" w:cs="宋体"/>
                <w:color w:val="000000"/>
                <w:kern w:val="0"/>
                <w:sz w:val="19"/>
                <w:szCs w:val="19"/>
              </w:rPr>
              <w:t>18622858578</w:t>
            </w:r>
          </w:p>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马嵘</w:t>
            </w:r>
          </w:p>
        </w:tc>
      </w:tr>
      <w:tr>
        <w:tblPrEx>
          <w:tblCellMar>
            <w:top w:w="0" w:type="dxa"/>
            <w:left w:w="108" w:type="dxa"/>
            <w:bottom w:w="0" w:type="dxa"/>
            <w:right w:w="108" w:type="dxa"/>
          </w:tblCellMar>
        </w:tblPrEx>
        <w:trPr>
          <w:trHeight w:val="720" w:hRule="atLeast"/>
        </w:trPr>
        <w:tc>
          <w:tcPr>
            <w:tcW w:w="49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4</w:t>
            </w:r>
          </w:p>
        </w:tc>
        <w:tc>
          <w:tcPr>
            <w:tcW w:w="100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浦发银行</w:t>
            </w:r>
          </w:p>
        </w:tc>
        <w:tc>
          <w:tcPr>
            <w:tcW w:w="1292"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约3.8%</w:t>
            </w:r>
          </w:p>
          <w:p>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融资额度：不超过500万</w:t>
            </w:r>
          </w:p>
        </w:tc>
        <w:tc>
          <w:tcPr>
            <w:tcW w:w="96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1、申请人不得有失信记录；</w:t>
            </w:r>
          </w:p>
          <w:p>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2、订单对应的政府采购部门在天津市，中标企业注册地在天津。</w:t>
            </w:r>
          </w:p>
        </w:tc>
        <w:tc>
          <w:tcPr>
            <w:tcW w:w="13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13612152218</w:t>
            </w:r>
          </w:p>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刘扬</w:t>
            </w:r>
          </w:p>
        </w:tc>
      </w:tr>
      <w:tr>
        <w:tblPrEx>
          <w:tblCellMar>
            <w:top w:w="0" w:type="dxa"/>
            <w:left w:w="108" w:type="dxa"/>
            <w:bottom w:w="0" w:type="dxa"/>
            <w:right w:w="108" w:type="dxa"/>
          </w:tblCellMar>
        </w:tblPrEx>
        <w:trPr>
          <w:trHeight w:val="1920" w:hRule="atLeast"/>
        </w:trPr>
        <w:tc>
          <w:tcPr>
            <w:tcW w:w="49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5</w:t>
            </w:r>
          </w:p>
        </w:tc>
        <w:tc>
          <w:tcPr>
            <w:tcW w:w="100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齐鲁银行</w:t>
            </w:r>
          </w:p>
        </w:tc>
        <w:tc>
          <w:tcPr>
            <w:tcW w:w="1292"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4.50%起</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融资额度：</w:t>
            </w:r>
          </w:p>
          <w:p>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1、获得政府采购订单，中标信息可在公开网站查询。如无法查询，可出示国家扶持政策内不公开中标信息文件。</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2、采购合同回款账户为齐鲁银行，并做质押登记。</w:t>
            </w:r>
          </w:p>
          <w:p>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3、符合我行客户准入要求（同上一条）。</w:t>
            </w:r>
          </w:p>
        </w:tc>
        <w:tc>
          <w:tcPr>
            <w:tcW w:w="13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022-23271885</w:t>
            </w:r>
          </w:p>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朱怡璇</w:t>
            </w:r>
          </w:p>
        </w:tc>
      </w:tr>
      <w:tr>
        <w:tblPrEx>
          <w:tblCellMar>
            <w:top w:w="0" w:type="dxa"/>
            <w:left w:w="108" w:type="dxa"/>
            <w:bottom w:w="0" w:type="dxa"/>
            <w:right w:w="108" w:type="dxa"/>
          </w:tblCellMar>
        </w:tblPrEx>
        <w:trPr>
          <w:trHeight w:val="1440" w:hRule="atLeast"/>
        </w:trPr>
        <w:tc>
          <w:tcPr>
            <w:tcW w:w="49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6</w:t>
            </w:r>
          </w:p>
        </w:tc>
        <w:tc>
          <w:tcPr>
            <w:tcW w:w="100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天津银行</w:t>
            </w:r>
          </w:p>
        </w:tc>
        <w:tc>
          <w:tcPr>
            <w:tcW w:w="1292"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不低于3.85%</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融资额度：</w:t>
            </w:r>
          </w:p>
          <w:p>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1、连续从事政府采购活动一年以上，或主要股东从事政府采购活动两年以上，且交易及信用记录良好；</w:t>
            </w:r>
          </w:p>
          <w:p>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2、持有政府采购中标通知书、签订政府采购合同等资料。</w:t>
            </w:r>
          </w:p>
        </w:tc>
        <w:tc>
          <w:tcPr>
            <w:tcW w:w="13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28405397</w:t>
            </w:r>
          </w:p>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王小一</w:t>
            </w:r>
          </w:p>
        </w:tc>
      </w:tr>
      <w:tr>
        <w:tblPrEx>
          <w:tblCellMar>
            <w:top w:w="0" w:type="dxa"/>
            <w:left w:w="108" w:type="dxa"/>
            <w:bottom w:w="0" w:type="dxa"/>
            <w:right w:w="108" w:type="dxa"/>
          </w:tblCellMar>
        </w:tblPrEx>
        <w:trPr>
          <w:trHeight w:val="2160" w:hRule="atLeast"/>
        </w:trPr>
        <w:tc>
          <w:tcPr>
            <w:tcW w:w="49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7</w:t>
            </w:r>
          </w:p>
        </w:tc>
        <w:tc>
          <w:tcPr>
            <w:tcW w:w="100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天津农商银行</w:t>
            </w:r>
          </w:p>
        </w:tc>
        <w:tc>
          <w:tcPr>
            <w:tcW w:w="1292"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结合借款人经营规模、偿债能力、营运效率等因素合理确定</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融资额度：</w:t>
            </w:r>
          </w:p>
          <w:p>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不超过5000万</w:t>
            </w:r>
          </w:p>
        </w:tc>
        <w:tc>
          <w:tcPr>
            <w:tcW w:w="96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1、中标供应商财务状况良好，记录良好，有资质且具有1年(含)以上与天津市各类政府采购成功经验；</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2、生产经营符合国家政策；</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3、无违法、违约、不良信用记录，未发生过政府采购业务纠纷等；</w:t>
            </w:r>
          </w:p>
          <w:p>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4、银行要求的其他条件。</w:t>
            </w:r>
          </w:p>
        </w:tc>
        <w:tc>
          <w:tcPr>
            <w:tcW w:w="13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022-83872249</w:t>
            </w:r>
          </w:p>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林向宇</w:t>
            </w:r>
          </w:p>
        </w:tc>
      </w:tr>
      <w:tr>
        <w:tblPrEx>
          <w:tblCellMar>
            <w:top w:w="0" w:type="dxa"/>
            <w:left w:w="108" w:type="dxa"/>
            <w:bottom w:w="0" w:type="dxa"/>
            <w:right w:w="108" w:type="dxa"/>
          </w:tblCellMar>
        </w:tblPrEx>
        <w:trPr>
          <w:trHeight w:val="960" w:hRule="atLeast"/>
        </w:trPr>
        <w:tc>
          <w:tcPr>
            <w:tcW w:w="49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8</w:t>
            </w:r>
          </w:p>
        </w:tc>
        <w:tc>
          <w:tcPr>
            <w:tcW w:w="100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天津滨海农商银行</w:t>
            </w:r>
          </w:p>
        </w:tc>
        <w:tc>
          <w:tcPr>
            <w:tcW w:w="1292"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致电咨询</w:t>
            </w:r>
          </w:p>
          <w:p>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融资额度：100-5000万</w:t>
            </w:r>
          </w:p>
        </w:tc>
        <w:tc>
          <w:tcPr>
            <w:tcW w:w="96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1、具有2年(含)以上连续经营记录；</w:t>
            </w:r>
          </w:p>
          <w:p>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2、有固定生产经营场所；本行要求的其他条件。</w:t>
            </w:r>
          </w:p>
        </w:tc>
        <w:tc>
          <w:tcPr>
            <w:tcW w:w="13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 xml:space="preserve">13612141823高飞     </w:t>
            </w:r>
          </w:p>
        </w:tc>
      </w:tr>
      <w:tr>
        <w:tblPrEx>
          <w:tblCellMar>
            <w:top w:w="0" w:type="dxa"/>
            <w:left w:w="108" w:type="dxa"/>
            <w:bottom w:w="0" w:type="dxa"/>
            <w:right w:w="108" w:type="dxa"/>
          </w:tblCellMar>
        </w:tblPrEx>
        <w:trPr>
          <w:trHeight w:val="3542" w:hRule="atLeast"/>
        </w:trPr>
        <w:tc>
          <w:tcPr>
            <w:tcW w:w="49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9</w:t>
            </w:r>
          </w:p>
        </w:tc>
        <w:tc>
          <w:tcPr>
            <w:tcW w:w="100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民生银行</w:t>
            </w:r>
          </w:p>
        </w:tc>
        <w:tc>
          <w:tcPr>
            <w:tcW w:w="1292"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最低4%</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融资额度：</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信用额度最高1000万</w:t>
            </w:r>
          </w:p>
          <w:p>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信用+担保额度最高3000万</w:t>
            </w:r>
          </w:p>
        </w:tc>
        <w:tc>
          <w:tcPr>
            <w:tcW w:w="96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1、企业成立满一年，经营良好、征信良好；</w:t>
            </w:r>
          </w:p>
          <w:p>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2、实控人25-65周岁，征信良好；</w:t>
            </w:r>
          </w:p>
          <w:p>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3、近12个月有政府采购中标且正常履约、回款</w:t>
            </w:r>
          </w:p>
        </w:tc>
        <w:tc>
          <w:tcPr>
            <w:tcW w:w="13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tblPrEx>
          <w:tblCellMar>
            <w:top w:w="0" w:type="dxa"/>
            <w:left w:w="108" w:type="dxa"/>
            <w:bottom w:w="0" w:type="dxa"/>
            <w:right w:w="108" w:type="dxa"/>
          </w:tblCellMar>
        </w:tblPrEx>
        <w:trPr>
          <w:trHeight w:val="2938" w:hRule="atLeast"/>
        </w:trPr>
        <w:tc>
          <w:tcPr>
            <w:tcW w:w="49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10</w:t>
            </w:r>
          </w:p>
        </w:tc>
        <w:tc>
          <w:tcPr>
            <w:tcW w:w="1001" w:type="dxa"/>
            <w:tcBorders>
              <w:top w:val="single" w:color="000000" w:sz="4" w:space="0"/>
              <w:left w:val="single" w:color="000000" w:sz="4" w:space="0"/>
              <w:bottom w:val="single" w:color="000000" w:sz="4" w:space="0"/>
              <w:right w:val="single" w:color="000000" w:sz="4" w:space="0"/>
            </w:tcBorders>
            <w:vAlign w:val="center"/>
          </w:tcPr>
          <w:p>
            <w:pPr>
              <w:widowControl/>
              <w:textAlignment w:val="center"/>
              <w:rPr>
                <w:rFonts w:ascii="宋体" w:hAnsi="宋体" w:cs="宋体"/>
                <w:color w:val="000000"/>
                <w:sz w:val="19"/>
                <w:szCs w:val="19"/>
              </w:rPr>
            </w:pPr>
            <w:r>
              <w:rPr>
                <w:rFonts w:hint="eastAsia" w:ascii="宋体" w:hAnsi="宋体" w:cs="宋体"/>
                <w:color w:val="000000"/>
                <w:kern w:val="0"/>
                <w:sz w:val="19"/>
                <w:szCs w:val="19"/>
              </w:rPr>
              <w:t>平安银行</w:t>
            </w:r>
          </w:p>
        </w:tc>
        <w:tc>
          <w:tcPr>
            <w:tcW w:w="1292" w:type="dxa"/>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pPr>
              <w:jc w:val="left"/>
              <w:rPr>
                <w:rFonts w:ascii="宋体" w:hAnsi="宋体" w:cs="宋体"/>
                <w:color w:val="000000"/>
                <w:kern w:val="0"/>
                <w:sz w:val="19"/>
                <w:szCs w:val="19"/>
              </w:rPr>
            </w:pPr>
            <w:r>
              <w:rPr>
                <w:rFonts w:hint="eastAsia" w:ascii="宋体" w:hAnsi="宋体" w:cs="宋体"/>
                <w:color w:val="000000"/>
                <w:kern w:val="0"/>
                <w:sz w:val="19"/>
                <w:szCs w:val="19"/>
              </w:rPr>
              <w:t>约6.00%</w:t>
            </w:r>
          </w:p>
          <w:p>
            <w:pPr>
              <w:jc w:val="left"/>
              <w:rPr>
                <w:rFonts w:ascii="宋体" w:hAnsi="宋体" w:cs="宋体"/>
                <w:color w:val="000000"/>
                <w:kern w:val="0"/>
                <w:sz w:val="19"/>
                <w:szCs w:val="19"/>
              </w:rPr>
            </w:pPr>
            <w:r>
              <w:rPr>
                <w:rFonts w:hint="eastAsia" w:ascii="宋体" w:hAnsi="宋体" w:cs="宋体"/>
                <w:color w:val="000000"/>
                <w:kern w:val="0"/>
                <w:sz w:val="19"/>
                <w:szCs w:val="19"/>
              </w:rPr>
              <w:t>融资额度：</w:t>
            </w:r>
          </w:p>
          <w:p>
            <w:pPr>
              <w:jc w:val="left"/>
              <w:rPr>
                <w:rFonts w:ascii="宋体" w:hAnsi="宋体" w:cs="宋体"/>
                <w:color w:val="000000"/>
                <w:sz w:val="19"/>
                <w:szCs w:val="19"/>
              </w:rPr>
            </w:pPr>
            <w:r>
              <w:rPr>
                <w:rFonts w:hint="eastAsia" w:ascii="宋体" w:hAnsi="宋体" w:cs="宋体"/>
                <w:color w:val="000000"/>
                <w:kern w:val="0"/>
                <w:sz w:val="19"/>
                <w:szCs w:val="19"/>
              </w:rPr>
              <w:t>最高200万元</w:t>
            </w:r>
          </w:p>
        </w:tc>
        <w:tc>
          <w:tcPr>
            <w:tcW w:w="964"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申请人为企业法定代表人或第一大自然人股东，通过微信申请； </w:t>
                  </w:r>
                </w:p>
                <w:p>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企业及申请人信用记录良好，无不良、违法行为； </w:t>
                  </w:r>
                </w:p>
                <w:p>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企业为天津市政府部门、事业单位的供应商； </w:t>
                  </w:r>
                </w:p>
                <w:p>
                  <w:pPr>
                    <w:widowControl/>
                    <w:jc w:val="left"/>
                    <w:textAlignment w:val="top"/>
                    <w:rPr>
                      <w:rFonts w:ascii="����" w:hAnsi="����" w:eastAsia="����" w:cs="����"/>
                      <w:color w:val="333333"/>
                      <w:sz w:val="24"/>
                      <w:szCs w:val="24"/>
                    </w:rPr>
                  </w:pPr>
                  <w:r>
                    <w:rPr>
                      <w:rFonts w:hint="eastAsia" w:ascii="宋体" w:hAnsi="宋体" w:cs="宋体"/>
                      <w:color w:val="000000"/>
                      <w:kern w:val="0"/>
                      <w:sz w:val="19"/>
                      <w:szCs w:val="19"/>
                    </w:rPr>
                    <w:t>4、企业有政府采购历史合作记录（近24个月2次，合计50万以上订单记录）且交易记录良好</w:t>
                  </w:r>
                </w:p>
              </w:tc>
            </w:tr>
          </w:tbl>
          <w:p>
            <w:pPr>
              <w:jc w:val="left"/>
              <w:rPr>
                <w:rFonts w:ascii="宋体" w:hAnsi="宋体" w:cs="宋体"/>
                <w:color w:val="00000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pPr>
              <w:jc w:val="center"/>
              <w:rPr>
                <w:rFonts w:ascii="宋体" w:hAnsi="宋体" w:cs="宋体"/>
                <w:color w:val="000000"/>
                <w:sz w:val="24"/>
                <w:szCs w:val="24"/>
              </w:rPr>
            </w:pPr>
            <w:r>
              <w:rPr>
                <w:rFonts w:hint="eastAsia" w:ascii="宋体" w:hAnsi="宋体" w:cs="宋体"/>
                <w:color w:val="000000"/>
                <w:kern w:val="0"/>
                <w:sz w:val="19"/>
                <w:szCs w:val="19"/>
              </w:rPr>
              <w:t xml:space="preserve">18698167095张伟 </w:t>
            </w:r>
          </w:p>
        </w:tc>
      </w:tr>
      <w:tr>
        <w:tblPrEx>
          <w:tblCellMar>
            <w:top w:w="0" w:type="dxa"/>
            <w:left w:w="108" w:type="dxa"/>
            <w:bottom w:w="0" w:type="dxa"/>
            <w:right w:w="108" w:type="dxa"/>
          </w:tblCellMar>
        </w:tblPrEx>
        <w:trPr>
          <w:trHeight w:val="2730" w:hRule="atLeast"/>
        </w:trPr>
        <w:tc>
          <w:tcPr>
            <w:tcW w:w="49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11</w:t>
            </w:r>
          </w:p>
        </w:tc>
        <w:tc>
          <w:tcPr>
            <w:tcW w:w="100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渤海银行</w:t>
            </w:r>
          </w:p>
        </w:tc>
        <w:tc>
          <w:tcPr>
            <w:tcW w:w="1292" w:type="dxa"/>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pPr>
              <w:jc w:val="left"/>
              <w:rPr>
                <w:rFonts w:ascii="宋体" w:hAnsi="宋体" w:cs="宋体"/>
                <w:color w:val="000000"/>
                <w:kern w:val="0"/>
                <w:sz w:val="19"/>
                <w:szCs w:val="19"/>
              </w:rPr>
            </w:pPr>
            <w:r>
              <w:rPr>
                <w:rFonts w:hint="eastAsia" w:ascii="宋体" w:hAnsi="宋体" w:cs="宋体"/>
                <w:color w:val="000000"/>
                <w:kern w:val="0"/>
                <w:sz w:val="19"/>
                <w:szCs w:val="19"/>
              </w:rPr>
              <w:t>年化约3.85%</w:t>
            </w:r>
          </w:p>
          <w:p>
            <w:pPr>
              <w:jc w:val="left"/>
              <w:rPr>
                <w:rFonts w:ascii="宋体" w:hAnsi="宋体" w:cs="宋体"/>
                <w:color w:val="000000"/>
                <w:kern w:val="0"/>
                <w:sz w:val="19"/>
                <w:szCs w:val="19"/>
              </w:rPr>
            </w:pPr>
            <w:r>
              <w:rPr>
                <w:rFonts w:hint="eastAsia" w:ascii="宋体" w:hAnsi="宋体" w:cs="宋体"/>
                <w:color w:val="000000"/>
                <w:kern w:val="0"/>
                <w:sz w:val="19"/>
                <w:szCs w:val="19"/>
              </w:rPr>
              <w:t>融资额度：</w:t>
            </w:r>
          </w:p>
          <w:p>
            <w:pPr>
              <w:jc w:val="left"/>
              <w:rPr>
                <w:rFonts w:ascii="宋体" w:hAnsi="宋体" w:cs="宋体"/>
                <w:color w:val="000000"/>
                <w:sz w:val="19"/>
                <w:szCs w:val="19"/>
              </w:rPr>
            </w:pPr>
            <w:r>
              <w:rPr>
                <w:rFonts w:hint="eastAsia" w:ascii="宋体" w:hAnsi="宋体" w:cs="宋体"/>
                <w:color w:val="000000"/>
                <w:kern w:val="0"/>
                <w:sz w:val="19"/>
                <w:szCs w:val="19"/>
              </w:rPr>
              <w:t>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有固定的经营场所，企业划型符合小微企业； </w:t>
                  </w:r>
                </w:p>
                <w:p>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信用记录良好，无不良、违法行为； </w:t>
                  </w:r>
                </w:p>
                <w:p>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持续经营2年以上或实际控制人从业3年以上； 具备政府采购投标资格且交易记录良好； </w:t>
                  </w:r>
                </w:p>
                <w:p>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采购项目符合国家产业政策和资源环保政策要求；</w:t>
                  </w:r>
                </w:p>
              </w:tc>
            </w:tr>
          </w:tbl>
          <w:p>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pPr>
              <w:jc w:val="left"/>
              <w:rPr>
                <w:rFonts w:ascii="宋体" w:hAnsi="宋体" w:cs="宋体"/>
                <w:color w:val="000000"/>
                <w:kern w:val="0"/>
                <w:sz w:val="19"/>
                <w:szCs w:val="19"/>
              </w:rPr>
            </w:pPr>
            <w:r>
              <w:rPr>
                <w:rFonts w:hint="eastAsia" w:ascii="宋体" w:hAnsi="宋体" w:cs="宋体"/>
                <w:color w:val="000000"/>
                <w:kern w:val="0"/>
                <w:sz w:val="19"/>
                <w:szCs w:val="19"/>
              </w:rPr>
              <w:t>022-58879322</w:t>
            </w:r>
          </w:p>
          <w:p>
            <w:pPr>
              <w:ind w:firstLine="174" w:firstLineChars="100"/>
              <w:jc w:val="left"/>
              <w:rPr>
                <w:rFonts w:ascii="宋体" w:hAnsi="宋体" w:cs="宋体"/>
                <w:color w:val="000000"/>
                <w:kern w:val="0"/>
                <w:sz w:val="19"/>
                <w:szCs w:val="19"/>
              </w:rPr>
            </w:pPr>
            <w:r>
              <w:rPr>
                <w:rFonts w:hint="eastAsia" w:ascii="宋体" w:hAnsi="宋体" w:cs="宋体"/>
                <w:color w:val="000000"/>
                <w:kern w:val="0"/>
                <w:sz w:val="19"/>
                <w:szCs w:val="19"/>
              </w:rPr>
              <w:t xml:space="preserve">  姚斌 </w:t>
            </w:r>
          </w:p>
        </w:tc>
      </w:tr>
      <w:tr>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12</w:t>
            </w:r>
          </w:p>
        </w:tc>
        <w:tc>
          <w:tcPr>
            <w:tcW w:w="100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中国建设银行</w:t>
            </w:r>
          </w:p>
        </w:tc>
        <w:tc>
          <w:tcPr>
            <w:tcW w:w="1292" w:type="dxa"/>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kern w:val="0"/>
                <w:sz w:val="19"/>
                <w:szCs w:val="19"/>
              </w:rPr>
            </w:pPr>
            <w:r>
              <w:rPr>
                <w:rFonts w:hint="eastAsia" w:ascii="宋体" w:hAnsi="宋体" w:cs="宋体"/>
                <w:color w:val="000000"/>
                <w:kern w:val="0"/>
                <w:sz w:val="19"/>
                <w:szCs w:val="19"/>
              </w:rPr>
              <w:t>参考利率：4.00%-5.00%</w:t>
            </w:r>
          </w:p>
          <w:p>
            <w:pPr>
              <w:jc w:val="left"/>
              <w:rPr>
                <w:rFonts w:ascii="宋体" w:hAnsi="宋体" w:cs="宋体"/>
                <w:color w:val="000000"/>
                <w:kern w:val="0"/>
                <w:sz w:val="19"/>
                <w:szCs w:val="19"/>
              </w:rPr>
            </w:pPr>
            <w:r>
              <w:rPr>
                <w:rFonts w:hint="eastAsia" w:ascii="宋体" w:hAnsi="宋体" w:cs="宋体"/>
                <w:color w:val="000000"/>
                <w:kern w:val="0"/>
                <w:sz w:val="19"/>
                <w:szCs w:val="19"/>
              </w:rPr>
              <w:t>融资额度：</w:t>
            </w:r>
          </w:p>
          <w:p>
            <w:pPr>
              <w:jc w:val="left"/>
              <w:rPr>
                <w:rFonts w:ascii="宋体" w:hAnsi="宋体" w:cs="宋体"/>
                <w:color w:val="000000"/>
                <w:kern w:val="0"/>
                <w:sz w:val="19"/>
                <w:szCs w:val="19"/>
              </w:rPr>
            </w:pPr>
            <w:r>
              <w:rPr>
                <w:rFonts w:hint="eastAsia" w:ascii="宋体" w:hAnsi="宋体" w:cs="宋体"/>
                <w:color w:val="000000"/>
                <w:kern w:val="0"/>
                <w:sz w:val="19"/>
                <w:szCs w:val="19"/>
              </w:rPr>
              <w:t>最高2000万元</w:t>
            </w:r>
          </w:p>
        </w:tc>
        <w:tc>
          <w:tcPr>
            <w:tcW w:w="96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已获得政府采购中标通知，并与集中采购机构、采购代理机构或采购人签订采购合同，企业不得采用分包或转包方式履行政府采购合同。政府采购合同明确了《合同法》规定的基本要素并符合商业惯例和行业规范，政府采购履约期限和付款期限距贷款申请日均在1年（含）以内。 </w:t>
                  </w:r>
                </w:p>
                <w:p>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应收账款融资模式下，企业已按政府采购合同的约定履行了交货、工程施工或提供服务等主要义务并且无任何违约行为。 </w:t>
                  </w:r>
                </w:p>
                <w:p>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采购合同融资模式下，企业在政府采购活动中与政府成功合作2年（含）以上，且近2年政府采购供应量、工程量或服务量均不低于100万元（含）。 </w:t>
                  </w:r>
                </w:p>
                <w:p>
                  <w:pPr>
                    <w:widowControl/>
                    <w:jc w:val="left"/>
                    <w:textAlignment w:val="top"/>
                    <w:rPr>
                      <w:rFonts w:ascii="����" w:hAnsi="����" w:eastAsia="����" w:cs="����"/>
                      <w:color w:val="333333"/>
                      <w:sz w:val="24"/>
                      <w:szCs w:val="24"/>
                    </w:rPr>
                  </w:pPr>
                  <w:r>
                    <w:rPr>
                      <w:rFonts w:hint="eastAsia" w:ascii="宋体" w:hAnsi="宋体" w:cs="宋体"/>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pPr>
              <w:jc w:val="center"/>
              <w:rPr>
                <w:rFonts w:ascii="宋体" w:hAnsi="宋体" w:cs="宋体"/>
                <w:color w:val="000000"/>
                <w:kern w:val="0"/>
                <w:sz w:val="19"/>
                <w:szCs w:val="19"/>
              </w:rPr>
            </w:pPr>
            <w:r>
              <w:rPr>
                <w:rFonts w:hint="eastAsia" w:ascii="宋体" w:hAnsi="宋体" w:cs="宋体"/>
                <w:color w:val="000000"/>
                <w:kern w:val="0"/>
                <w:sz w:val="19"/>
                <w:szCs w:val="19"/>
              </w:rPr>
              <w:t xml:space="preserve">58751595 </w:t>
            </w:r>
          </w:p>
          <w:p>
            <w:pPr>
              <w:jc w:val="center"/>
              <w:rPr>
                <w:rFonts w:ascii="宋体" w:hAnsi="宋体" w:cs="宋体"/>
                <w:color w:val="000000"/>
                <w:kern w:val="0"/>
                <w:sz w:val="19"/>
                <w:szCs w:val="19"/>
              </w:rPr>
            </w:pPr>
            <w:r>
              <w:rPr>
                <w:rFonts w:hint="eastAsia" w:ascii="宋体" w:hAnsi="宋体" w:cs="宋体"/>
                <w:color w:val="000000"/>
                <w:kern w:val="0"/>
                <w:sz w:val="19"/>
                <w:szCs w:val="19"/>
              </w:rPr>
              <w:t xml:space="preserve"> 赵望宇 </w:t>
            </w:r>
          </w:p>
          <w:p>
            <w:pPr>
              <w:jc w:val="center"/>
              <w:rPr>
                <w:rFonts w:ascii="宋体" w:hAnsi="宋体" w:cs="宋体"/>
                <w:color w:val="000000"/>
                <w:kern w:val="0"/>
                <w:sz w:val="19"/>
                <w:szCs w:val="19"/>
              </w:rPr>
            </w:pPr>
            <w:r>
              <w:rPr>
                <w:rFonts w:hint="eastAsia" w:ascii="宋体" w:hAnsi="宋体" w:cs="宋体"/>
                <w:color w:val="000000"/>
                <w:kern w:val="0"/>
                <w:sz w:val="19"/>
                <w:szCs w:val="19"/>
              </w:rPr>
              <w:t>58750209</w:t>
            </w:r>
          </w:p>
          <w:p>
            <w:pPr>
              <w:jc w:val="center"/>
              <w:rPr>
                <w:rFonts w:ascii="宋体" w:hAnsi="宋体" w:cs="宋体"/>
                <w:color w:val="000000"/>
                <w:kern w:val="0"/>
                <w:sz w:val="19"/>
                <w:szCs w:val="19"/>
              </w:rPr>
            </w:pPr>
            <w:r>
              <w:rPr>
                <w:rFonts w:hint="eastAsia" w:ascii="宋体" w:hAnsi="宋体" w:cs="宋体"/>
                <w:color w:val="000000"/>
                <w:kern w:val="0"/>
                <w:sz w:val="19"/>
                <w:szCs w:val="19"/>
              </w:rPr>
              <w:t xml:space="preserve">肖毅 </w:t>
            </w:r>
          </w:p>
        </w:tc>
      </w:tr>
      <w:tr>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13</w:t>
            </w:r>
          </w:p>
        </w:tc>
        <w:tc>
          <w:tcPr>
            <w:tcW w:w="100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中国农业银行</w:t>
            </w:r>
          </w:p>
        </w:tc>
        <w:tc>
          <w:tcPr>
            <w:tcW w:w="1292" w:type="dxa"/>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pPr>
              <w:jc w:val="left"/>
              <w:rPr>
                <w:rFonts w:ascii="宋体" w:hAnsi="宋体" w:cs="宋体"/>
                <w:color w:val="000000"/>
                <w:kern w:val="0"/>
                <w:sz w:val="19"/>
                <w:szCs w:val="19"/>
              </w:rPr>
            </w:pPr>
            <w:r>
              <w:rPr>
                <w:rFonts w:hint="eastAsia" w:ascii="宋体" w:hAnsi="宋体" w:cs="宋体"/>
                <w:color w:val="000000"/>
                <w:kern w:val="0"/>
                <w:sz w:val="19"/>
                <w:szCs w:val="19"/>
              </w:rPr>
              <w:t>约4%</w:t>
            </w:r>
          </w:p>
          <w:p>
            <w:pPr>
              <w:jc w:val="left"/>
              <w:rPr>
                <w:rFonts w:ascii="宋体" w:hAnsi="宋体" w:cs="宋体"/>
                <w:color w:val="000000"/>
                <w:kern w:val="0"/>
                <w:sz w:val="19"/>
                <w:szCs w:val="19"/>
              </w:rPr>
            </w:pP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pPr>
              <w:widowControl/>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1、公司成立1年（含）以上，属于政采中标供应商,履约记录良好。 </w:t>
                  </w:r>
                </w:p>
                <w:p>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在我行开立账户，自愿接受农业银行信用监督和结算监管。 </w:t>
                  </w:r>
                </w:p>
                <w:p>
                  <w:pPr>
                    <w:widowControl/>
                    <w:jc w:val="left"/>
                    <w:textAlignment w:val="top"/>
                    <w:rPr>
                      <w:rFonts w:ascii="����" w:hAnsi="����" w:eastAsia="����" w:cs="����"/>
                      <w:color w:val="333333"/>
                      <w:sz w:val="24"/>
                      <w:szCs w:val="24"/>
                    </w:rPr>
                  </w:pPr>
                  <w:r>
                    <w:rPr>
                      <w:rFonts w:hint="eastAsia" w:ascii="宋体" w:hAnsi="宋体" w:cs="宋体"/>
                      <w:color w:val="000000"/>
                      <w:kern w:val="0"/>
                      <w:sz w:val="19"/>
                      <w:szCs w:val="19"/>
                    </w:rPr>
                    <w:t>3、法定代表人年满18周岁且不超过65周岁，非港、澳、台及外籍人士。 注：具体开办的业务种类及办理程序、办理条件等以中国农业银行当地分行有关规定为准。</w:t>
                  </w:r>
                </w:p>
              </w:tc>
            </w:tr>
          </w:tbl>
          <w:p>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13920727755</w:t>
            </w:r>
          </w:p>
          <w:p>
            <w:pPr>
              <w:jc w:val="center"/>
              <w:rPr>
                <w:rFonts w:ascii="宋体" w:hAnsi="宋体" w:cs="宋体"/>
                <w:color w:val="000000"/>
                <w:kern w:val="0"/>
                <w:sz w:val="19"/>
                <w:szCs w:val="19"/>
              </w:rPr>
            </w:pPr>
            <w:r>
              <w:rPr>
                <w:rFonts w:hint="eastAsia" w:ascii="宋体" w:hAnsi="宋体" w:cs="宋体"/>
                <w:color w:val="000000"/>
                <w:kern w:val="0"/>
                <w:sz w:val="19"/>
                <w:szCs w:val="19"/>
              </w:rPr>
              <w:t>李倩</w:t>
            </w:r>
          </w:p>
        </w:tc>
      </w:tr>
      <w:tr>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14</w:t>
            </w:r>
          </w:p>
        </w:tc>
        <w:tc>
          <w:tcPr>
            <w:tcW w:w="100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招商银行</w:t>
            </w:r>
          </w:p>
        </w:tc>
        <w:tc>
          <w:tcPr>
            <w:tcW w:w="1292" w:type="dxa"/>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pPr>
              <w:jc w:val="left"/>
              <w:rPr>
                <w:rFonts w:ascii="宋体" w:hAnsi="宋体" w:cs="宋体"/>
                <w:color w:val="000000"/>
                <w:kern w:val="0"/>
                <w:sz w:val="19"/>
                <w:szCs w:val="19"/>
              </w:rPr>
            </w:pPr>
            <w:r>
              <w:rPr>
                <w:rFonts w:hint="eastAsia" w:ascii="宋体" w:hAnsi="宋体" w:cs="宋体"/>
                <w:color w:val="000000"/>
                <w:kern w:val="0"/>
                <w:sz w:val="19"/>
                <w:szCs w:val="19"/>
              </w:rPr>
              <w:t>一般性贷款利率</w:t>
            </w:r>
          </w:p>
          <w:p>
            <w:pPr>
              <w:jc w:val="left"/>
              <w:rPr>
                <w:rFonts w:ascii="宋体" w:hAnsi="宋体" w:cs="宋体"/>
                <w:color w:val="000000"/>
                <w:kern w:val="0"/>
                <w:sz w:val="19"/>
                <w:szCs w:val="19"/>
              </w:rPr>
            </w:pPr>
            <w:r>
              <w:rPr>
                <w:rFonts w:hint="eastAsia" w:ascii="宋体" w:hAnsi="宋体" w:cs="宋体"/>
                <w:color w:val="000000"/>
                <w:kern w:val="0"/>
                <w:sz w:val="19"/>
                <w:szCs w:val="19"/>
              </w:rPr>
              <w:t>融资额度：最高3000万元</w:t>
            </w:r>
          </w:p>
        </w:tc>
        <w:tc>
          <w:tcPr>
            <w:tcW w:w="96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pPr>
                    <w:widowControl/>
                    <w:jc w:val="left"/>
                    <w:textAlignment w:val="top"/>
                    <w:rPr>
                      <w:rFonts w:ascii="����" w:hAnsi="����" w:eastAsia="����" w:cs="����"/>
                      <w:color w:val="333333"/>
                      <w:sz w:val="24"/>
                      <w:szCs w:val="24"/>
                    </w:rPr>
                  </w:pPr>
                  <w:r>
                    <w:rPr>
                      <w:rFonts w:hint="eastAsia" w:ascii="宋体" w:hAnsi="宋体" w:cs="宋体"/>
                      <w:color w:val="000000"/>
                      <w:kern w:val="0"/>
                      <w:sz w:val="19"/>
                      <w:szCs w:val="19"/>
                    </w:rPr>
                    <w:t>1、企业及实际控制人征信及各项社会记录较好。</w:t>
                  </w:r>
                </w:p>
                <w:p>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2、企业成立两年以上或实际控制人本行业经营两年以上。</w:t>
                  </w:r>
                </w:p>
                <w:p>
                  <w:pPr>
                    <w:widowControl/>
                    <w:jc w:val="left"/>
                    <w:textAlignment w:val="top"/>
                    <w:rPr>
                      <w:rFonts w:ascii="����" w:hAnsi="����" w:eastAsia="����" w:cs="����"/>
                      <w:color w:val="333333"/>
                      <w:sz w:val="24"/>
                      <w:szCs w:val="24"/>
                    </w:rPr>
                  </w:pPr>
                  <w:r>
                    <w:rPr>
                      <w:rFonts w:hint="eastAsia" w:ascii="宋体" w:hAnsi="宋体" w:cs="宋体"/>
                      <w:color w:val="000000"/>
                      <w:kern w:val="0"/>
                      <w:sz w:val="19"/>
                      <w:szCs w:val="19"/>
                    </w:rPr>
                    <w:t>3、财务报表未出现连续两年经营亏损。</w:t>
                  </w:r>
                </w:p>
              </w:tc>
            </w:tr>
          </w:tbl>
          <w:p>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pPr>
              <w:jc w:val="center"/>
              <w:rPr>
                <w:rFonts w:ascii="宋体" w:hAnsi="宋体" w:cs="宋体"/>
                <w:color w:val="000000"/>
                <w:kern w:val="0"/>
                <w:sz w:val="19"/>
                <w:szCs w:val="19"/>
              </w:rPr>
            </w:pPr>
            <w:r>
              <w:rPr>
                <w:rFonts w:hint="eastAsia" w:ascii="宋体" w:hAnsi="宋体" w:cs="宋体"/>
                <w:color w:val="000000"/>
                <w:kern w:val="0"/>
                <w:sz w:val="19"/>
                <w:szCs w:val="19"/>
              </w:rPr>
              <w:t>28301244</w:t>
            </w:r>
          </w:p>
        </w:tc>
      </w:tr>
      <w:tr>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15</w:t>
            </w:r>
          </w:p>
        </w:tc>
        <w:tc>
          <w:tcPr>
            <w:tcW w:w="100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兴业银行</w:t>
            </w:r>
          </w:p>
        </w:tc>
        <w:tc>
          <w:tcPr>
            <w:tcW w:w="1292" w:type="dxa"/>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pPr>
              <w:jc w:val="left"/>
              <w:rPr>
                <w:rFonts w:ascii="宋体" w:hAnsi="宋体" w:cs="宋体"/>
                <w:color w:val="000000"/>
                <w:kern w:val="0"/>
                <w:sz w:val="19"/>
                <w:szCs w:val="19"/>
              </w:rPr>
            </w:pPr>
            <w:r>
              <w:rPr>
                <w:rFonts w:hint="eastAsia" w:ascii="宋体" w:hAnsi="宋体" w:cs="宋体"/>
                <w:color w:val="000000"/>
                <w:kern w:val="0"/>
                <w:sz w:val="19"/>
                <w:szCs w:val="19"/>
              </w:rPr>
              <w:t>利率3.7%起</w:t>
            </w:r>
          </w:p>
          <w:p>
            <w:pPr>
              <w:jc w:val="left"/>
              <w:rPr>
                <w:rFonts w:ascii="宋体" w:hAnsi="宋体" w:cs="宋体"/>
                <w:color w:val="000000"/>
                <w:kern w:val="0"/>
                <w:sz w:val="19"/>
                <w:szCs w:val="19"/>
              </w:rPr>
            </w:pPr>
            <w:r>
              <w:rPr>
                <w:rFonts w:hint="eastAsia" w:ascii="宋体" w:hAnsi="宋体" w:cs="宋体"/>
                <w:color w:val="000000"/>
                <w:kern w:val="0"/>
                <w:sz w:val="19"/>
                <w:szCs w:val="19"/>
              </w:rPr>
              <w:t>融资额度：</w:t>
            </w:r>
          </w:p>
          <w:p>
            <w:pPr>
              <w:jc w:val="left"/>
              <w:rPr>
                <w:rFonts w:ascii="宋体" w:hAnsi="宋体" w:cs="宋体"/>
                <w:color w:val="000000"/>
                <w:kern w:val="0"/>
                <w:sz w:val="19"/>
                <w:szCs w:val="19"/>
              </w:rPr>
            </w:pPr>
            <w:r>
              <w:rPr>
                <w:rFonts w:hint="eastAsia" w:ascii="宋体" w:hAnsi="宋体" w:cs="宋体"/>
                <w:color w:val="000000"/>
                <w:kern w:val="0"/>
                <w:sz w:val="19"/>
                <w:szCs w:val="19"/>
              </w:rPr>
              <w:t>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top"/>
              <w:rPr>
                <w:rFonts w:ascii="宋体" w:hAnsi="宋体" w:cs="宋体"/>
                <w:color w:val="000000"/>
                <w:kern w:val="0"/>
                <w:sz w:val="19"/>
                <w:szCs w:val="19"/>
              </w:rPr>
            </w:pPr>
          </w:p>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tblPrEx>
                <w:shd w:val="clear" w:color="auto" w:fill="FFFFFF"/>
                <w:tblCellMar>
                  <w:top w:w="15" w:type="dxa"/>
                  <w:left w:w="15" w:type="dxa"/>
                  <w:bottom w:w="15" w:type="dxa"/>
                  <w:right w:w="15" w:type="dxa"/>
                </w:tblCellMar>
              </w:tblPrEx>
              <w:tc>
                <w:tcPr>
                  <w:tcW w:w="3017" w:type="dxa"/>
                  <w:shd w:val="clear" w:color="auto" w:fill="FFFFFF"/>
                  <w:tcMar>
                    <w:top w:w="150" w:type="dxa"/>
                    <w:left w:w="0" w:type="dxa"/>
                    <w:bottom w:w="150" w:type="dxa"/>
                    <w:right w:w="0" w:type="dxa"/>
                  </w:tcMar>
                </w:tcPr>
                <w:p>
                  <w:pPr>
                    <w:widowControl/>
                    <w:jc w:val="left"/>
                    <w:textAlignment w:val="top"/>
                    <w:rPr>
                      <w:rFonts w:ascii="����" w:hAnsi="����" w:eastAsia="����" w:cs="����"/>
                      <w:color w:val="333333"/>
                      <w:sz w:val="24"/>
                      <w:szCs w:val="24"/>
                    </w:rPr>
                  </w:pPr>
                  <w:r>
                    <w:rPr>
                      <w:rFonts w:hint="eastAsia" w:ascii="宋体" w:hAnsi="宋体" w:cs="宋体"/>
                      <w:color w:val="000000"/>
                      <w:kern w:val="0"/>
                      <w:sz w:val="19"/>
                      <w:szCs w:val="19"/>
                    </w:rPr>
                    <w:t>合法合规经营、符合本行授信要求、无不利诉讼纠纷、存在政府采购项目且履约记录良好</w:t>
                  </w:r>
                </w:p>
              </w:tc>
            </w:tr>
            <w:tr>
              <w:tblPrEx>
                <w:tblCellMar>
                  <w:top w:w="15" w:type="dxa"/>
                  <w:left w:w="15" w:type="dxa"/>
                  <w:bottom w:w="15" w:type="dxa"/>
                  <w:right w:w="15" w:type="dxa"/>
                </w:tblCellMar>
              </w:tblPrEx>
              <w:tc>
                <w:tcPr>
                  <w:tcW w:w="3017" w:type="dxa"/>
                  <w:shd w:val="clear" w:color="auto" w:fill="FFFFFF"/>
                  <w:tcMar>
                    <w:top w:w="150" w:type="dxa"/>
                    <w:left w:w="0" w:type="dxa"/>
                    <w:bottom w:w="150" w:type="dxa"/>
                    <w:right w:w="0" w:type="dxa"/>
                  </w:tcMar>
                </w:tcPr>
                <w:p>
                  <w:pPr>
                    <w:widowControl/>
                    <w:jc w:val="left"/>
                    <w:textAlignment w:val="top"/>
                    <w:rPr>
                      <w:rFonts w:ascii="����" w:hAnsi="����" w:eastAsia="����" w:cs="����"/>
                      <w:color w:val="333333"/>
                      <w:kern w:val="0"/>
                      <w:sz w:val="24"/>
                      <w:szCs w:val="24"/>
                    </w:rPr>
                  </w:pPr>
                </w:p>
              </w:tc>
            </w:tr>
          </w:tbl>
          <w:p>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022/23526678/222112 </w:t>
            </w:r>
          </w:p>
          <w:p>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武庆林</w:t>
            </w:r>
          </w:p>
        </w:tc>
      </w:tr>
      <w:tr>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16</w:t>
            </w:r>
          </w:p>
        </w:tc>
        <w:tc>
          <w:tcPr>
            <w:tcW w:w="100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广发银行</w:t>
            </w:r>
          </w:p>
        </w:tc>
        <w:tc>
          <w:tcPr>
            <w:tcW w:w="1292" w:type="dxa"/>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pPr>
              <w:jc w:val="left"/>
              <w:rPr>
                <w:rFonts w:ascii="宋体" w:hAnsi="宋体" w:cs="宋体"/>
                <w:color w:val="000000"/>
                <w:kern w:val="0"/>
                <w:sz w:val="19"/>
                <w:szCs w:val="19"/>
              </w:rPr>
            </w:pPr>
            <w:r>
              <w:rPr>
                <w:rFonts w:hint="eastAsia" w:ascii="宋体" w:hAnsi="宋体" w:cs="宋体"/>
                <w:color w:val="000000"/>
                <w:kern w:val="0"/>
                <w:sz w:val="19"/>
                <w:szCs w:val="19"/>
              </w:rPr>
              <w:t>贷款利率最低Lpr</w:t>
            </w:r>
          </w:p>
          <w:p>
            <w:pPr>
              <w:jc w:val="left"/>
              <w:rPr>
                <w:rFonts w:ascii="宋体" w:hAnsi="宋体" w:cs="宋体"/>
                <w:color w:val="000000"/>
                <w:kern w:val="0"/>
                <w:sz w:val="19"/>
                <w:szCs w:val="19"/>
              </w:rPr>
            </w:pP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tblPrEx>
                <w:shd w:val="clear" w:color="auto" w:fill="FFFFFF"/>
                <w:tblCellMar>
                  <w:top w:w="15" w:type="dxa"/>
                  <w:left w:w="15" w:type="dxa"/>
                  <w:bottom w:w="15" w:type="dxa"/>
                  <w:right w:w="15" w:type="dxa"/>
                </w:tblCellMar>
              </w:tblPrEx>
              <w:trPr>
                <w:trHeight w:val="3660" w:hRule="atLeast"/>
              </w:trPr>
              <w:tc>
                <w:tcPr>
                  <w:tcW w:w="3017" w:type="dxa"/>
                  <w:shd w:val="clear" w:color="auto" w:fill="FFFFFF"/>
                  <w:tcMar>
                    <w:top w:w="150" w:type="dxa"/>
                    <w:left w:w="0" w:type="dxa"/>
                    <w:bottom w:w="150" w:type="dxa"/>
                    <w:right w:w="0" w:type="dxa"/>
                  </w:tcMar>
                </w:tcPr>
                <w:p>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1、供应商至少有一次政府采购订单履约记录；</w:t>
                  </w:r>
                </w:p>
                <w:p>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在我行内部信用评级不低于BB+；3、近三年至少有一期营业利润或净利润或上年度经营性现金流净额为正（任选其一即可）；</w:t>
                  </w:r>
                </w:p>
                <w:p>
                  <w:pPr>
                    <w:widowControl/>
                    <w:jc w:val="left"/>
                    <w:textAlignment w:val="top"/>
                    <w:rPr>
                      <w:rFonts w:ascii="����" w:hAnsi="����" w:eastAsia="����" w:cs="����"/>
                      <w:color w:val="333333"/>
                      <w:sz w:val="24"/>
                      <w:szCs w:val="24"/>
                    </w:rPr>
                  </w:pPr>
                  <w:r>
                    <w:rPr>
                      <w:rFonts w:hint="eastAsia" w:ascii="宋体" w:hAnsi="宋体" w:cs="宋体"/>
                      <w:color w:val="000000"/>
                      <w:kern w:val="0"/>
                      <w:sz w:val="19"/>
                      <w:szCs w:val="19"/>
                    </w:rPr>
                    <w:t>4、资产负债率不超过85%；企业主含实际控制人/主要股东或其配偶拥有本地户口或房产或在本地有连续一年含以上的社保缴交记录（满足其一即可）</w:t>
                  </w:r>
                </w:p>
              </w:tc>
            </w:tr>
            <w:tr>
              <w:tblPrEx>
                <w:tblCellMar>
                  <w:top w:w="15" w:type="dxa"/>
                  <w:left w:w="15" w:type="dxa"/>
                  <w:bottom w:w="15" w:type="dxa"/>
                  <w:right w:w="15" w:type="dxa"/>
                </w:tblCellMar>
              </w:tblPrEx>
              <w:trPr>
                <w:trHeight w:val="90" w:hRule="atLeast"/>
              </w:trPr>
              <w:tc>
                <w:tcPr>
                  <w:tcW w:w="3017" w:type="dxa"/>
                  <w:shd w:val="clear" w:color="auto" w:fill="FFFFFF"/>
                  <w:tcMar>
                    <w:top w:w="150" w:type="dxa"/>
                    <w:left w:w="0" w:type="dxa"/>
                    <w:bottom w:w="150" w:type="dxa"/>
                    <w:right w:w="0" w:type="dxa"/>
                  </w:tcMar>
                </w:tcPr>
                <w:p>
                  <w:pPr>
                    <w:widowControl/>
                    <w:jc w:val="left"/>
                    <w:textAlignment w:val="top"/>
                    <w:rPr>
                      <w:rFonts w:ascii="宋体" w:hAnsi="宋体" w:cs="宋体"/>
                      <w:color w:val="000000"/>
                      <w:kern w:val="0"/>
                      <w:sz w:val="19"/>
                      <w:szCs w:val="19"/>
                    </w:rPr>
                  </w:pPr>
                </w:p>
              </w:tc>
            </w:tr>
            <w:tr>
              <w:tblPrEx>
                <w:tblCellMar>
                  <w:top w:w="15" w:type="dxa"/>
                  <w:left w:w="15" w:type="dxa"/>
                  <w:bottom w:w="15" w:type="dxa"/>
                  <w:right w:w="15" w:type="dxa"/>
                </w:tblCellMar>
              </w:tblPrEx>
              <w:tc>
                <w:tcPr>
                  <w:tcW w:w="3017" w:type="dxa"/>
                  <w:shd w:val="clear" w:color="auto" w:fill="FFFFFF"/>
                  <w:tcMar>
                    <w:top w:w="150" w:type="dxa"/>
                    <w:left w:w="0" w:type="dxa"/>
                    <w:bottom w:w="150" w:type="dxa"/>
                    <w:right w:w="0" w:type="dxa"/>
                  </w:tcMar>
                </w:tcPr>
                <w:p>
                  <w:pPr>
                    <w:widowControl/>
                    <w:jc w:val="left"/>
                    <w:textAlignment w:val="top"/>
                    <w:rPr>
                      <w:rFonts w:ascii="宋体" w:hAnsi="宋体" w:cs="宋体"/>
                      <w:color w:val="000000"/>
                      <w:kern w:val="0"/>
                      <w:sz w:val="19"/>
                      <w:szCs w:val="19"/>
                    </w:rPr>
                  </w:pPr>
                </w:p>
              </w:tc>
            </w:tr>
          </w:tbl>
          <w:p>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13820640544</w:t>
            </w:r>
          </w:p>
          <w:p>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胡小宁</w:t>
            </w:r>
          </w:p>
        </w:tc>
      </w:tr>
      <w:tr>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17</w:t>
            </w:r>
          </w:p>
        </w:tc>
        <w:tc>
          <w:tcPr>
            <w:tcW w:w="100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浙商银行</w:t>
            </w:r>
          </w:p>
        </w:tc>
        <w:tc>
          <w:tcPr>
            <w:tcW w:w="1292" w:type="dxa"/>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pPr>
              <w:jc w:val="left"/>
              <w:rPr>
                <w:rFonts w:ascii="宋体" w:hAnsi="宋体" w:cs="宋体"/>
                <w:color w:val="000000"/>
                <w:kern w:val="0"/>
                <w:sz w:val="19"/>
                <w:szCs w:val="19"/>
              </w:rPr>
            </w:pPr>
            <w:r>
              <w:rPr>
                <w:rFonts w:hint="eastAsia" w:ascii="宋体" w:hAnsi="宋体" w:cs="宋体"/>
                <w:color w:val="000000"/>
                <w:kern w:val="0"/>
                <w:sz w:val="19"/>
                <w:szCs w:val="19"/>
              </w:rPr>
              <w:t>5%</w:t>
            </w:r>
          </w:p>
          <w:p>
            <w:pPr>
              <w:jc w:val="left"/>
              <w:rPr>
                <w:rFonts w:ascii="宋体" w:hAnsi="宋体" w:cs="宋体"/>
                <w:color w:val="000000"/>
                <w:kern w:val="0"/>
                <w:sz w:val="19"/>
                <w:szCs w:val="19"/>
              </w:rPr>
            </w:pP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1、符合我行小企业授信客户界定标准的小型、微型企业；</w:t>
                  </w:r>
                </w:p>
                <w:p>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2、须连续经营2年及以上或实际控制人有3年及以上相关行业从业经验，经营状况良好，信用记录良好；3、与采购人无关联关系，行业相关证照齐全；</w:t>
                  </w:r>
                </w:p>
                <w:p>
                  <w:pPr>
                    <w:widowControl/>
                    <w:jc w:val="left"/>
                    <w:textAlignment w:val="top"/>
                    <w:rPr>
                      <w:rFonts w:ascii="����" w:hAnsi="����" w:eastAsia="����" w:cs="����"/>
                      <w:color w:val="333333"/>
                      <w:sz w:val="24"/>
                      <w:szCs w:val="24"/>
                    </w:rPr>
                  </w:pPr>
                  <w:r>
                    <w:rPr>
                      <w:rFonts w:hint="eastAsia" w:ascii="宋体" w:hAnsi="宋体" w:cs="宋体"/>
                      <w:color w:val="000000"/>
                      <w:kern w:val="0"/>
                      <w:sz w:val="19"/>
                      <w:szCs w:val="19"/>
                    </w:rPr>
                    <w:t>4、借款人须在本行开立单位结算账户或保证金账户，并将该账户指定为采购活动项下应收账款的唯一回款账户。</w:t>
                  </w:r>
                </w:p>
              </w:tc>
            </w:tr>
          </w:tbl>
          <w:p>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23271307</w:t>
            </w:r>
          </w:p>
          <w:p>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刘粲</w:t>
            </w:r>
          </w:p>
        </w:tc>
      </w:tr>
      <w:tr>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18</w:t>
            </w:r>
          </w:p>
        </w:tc>
        <w:tc>
          <w:tcPr>
            <w:tcW w:w="100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中信银行</w:t>
            </w:r>
          </w:p>
        </w:tc>
        <w:tc>
          <w:tcPr>
            <w:tcW w:w="1292" w:type="dxa"/>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pPr>
              <w:jc w:val="left"/>
              <w:rPr>
                <w:rFonts w:ascii="宋体" w:hAnsi="宋体" w:cs="宋体"/>
                <w:color w:val="000000"/>
                <w:kern w:val="0"/>
                <w:sz w:val="19"/>
                <w:szCs w:val="19"/>
              </w:rPr>
            </w:pPr>
            <w:r>
              <w:rPr>
                <w:rFonts w:hint="eastAsia" w:ascii="宋体" w:hAnsi="宋体" w:cs="宋体"/>
                <w:color w:val="000000"/>
                <w:kern w:val="0"/>
                <w:sz w:val="19"/>
                <w:szCs w:val="19"/>
              </w:rPr>
              <w:t>3.75%-3.95%</w:t>
            </w:r>
          </w:p>
          <w:p>
            <w:pPr>
              <w:jc w:val="left"/>
              <w:rPr>
                <w:rFonts w:ascii="宋体" w:hAnsi="宋体" w:cs="宋体"/>
                <w:color w:val="000000"/>
                <w:kern w:val="0"/>
                <w:sz w:val="19"/>
                <w:szCs w:val="19"/>
              </w:rPr>
            </w:pP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pPr>
              <w:widowControl/>
              <w:numPr>
                <w:ilvl w:val="0"/>
                <w:numId w:val="7"/>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借款企业持续经营1年（含）以上或在本行业持续经营2年（含）以上；</w:t>
            </w:r>
          </w:p>
          <w:p>
            <w:pPr>
              <w:widowControl/>
              <w:numPr>
                <w:ilvl w:val="0"/>
                <w:numId w:val="7"/>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借款企业实际控制人年龄在18周岁（含）至65周岁（含）之间；</w:t>
            </w:r>
          </w:p>
          <w:p>
            <w:pPr>
              <w:widowControl/>
              <w:numPr>
                <w:ilvl w:val="0"/>
                <w:numId w:val="7"/>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采购品类为货物类或服务类；</w:t>
            </w:r>
          </w:p>
          <w:p>
            <w:pPr>
              <w:widowControl/>
              <w:numPr>
                <w:ilvl w:val="0"/>
                <w:numId w:val="7"/>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借款企业政采合作月数不少于6个月；</w:t>
            </w:r>
          </w:p>
        </w:tc>
        <w:tc>
          <w:tcPr>
            <w:tcW w:w="138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13767182800</w:t>
            </w:r>
          </w:p>
          <w:p>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唐朝</w:t>
            </w:r>
          </w:p>
        </w:tc>
      </w:tr>
      <w:tr>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19</w:t>
            </w:r>
          </w:p>
        </w:tc>
        <w:tc>
          <w:tcPr>
            <w:tcW w:w="100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后续持续更新</w:t>
            </w:r>
          </w:p>
        </w:tc>
        <w:tc>
          <w:tcPr>
            <w:tcW w:w="1292" w:type="dxa"/>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kern w:val="0"/>
                <w:sz w:val="19"/>
                <w:szCs w:val="19"/>
              </w:rPr>
            </w:pPr>
          </w:p>
        </w:tc>
        <w:tc>
          <w:tcPr>
            <w:tcW w:w="96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top"/>
              <w:rPr>
                <w:rFonts w:ascii="宋体" w:hAnsi="宋体" w:cs="宋体"/>
                <w:color w:val="000000"/>
                <w:kern w:val="0"/>
                <w:sz w:val="19"/>
                <w:szCs w:val="19"/>
              </w:rPr>
            </w:pPr>
          </w:p>
        </w:tc>
        <w:tc>
          <w:tcPr>
            <w:tcW w:w="338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top"/>
              <w:rPr>
                <w:rFonts w:ascii="宋体" w:hAnsi="宋体" w:cs="宋体"/>
                <w:color w:val="000000"/>
                <w:kern w:val="0"/>
                <w:sz w:val="19"/>
                <w:szCs w:val="19"/>
              </w:rPr>
            </w:pPr>
          </w:p>
        </w:tc>
      </w:tr>
    </w:tbl>
    <w:p>
      <w:pPr>
        <w:pStyle w:val="33"/>
        <w:spacing w:line="360" w:lineRule="auto"/>
        <w:ind w:firstLine="448" w:firstLineChars="200"/>
        <w:jc w:val="both"/>
        <w:rPr>
          <w:rFonts w:ascii="Times New Roman" w:eastAsia="宋体" w:cs="Times New Roman" w:hAnsiTheme="minorEastAsia"/>
          <w:color w:val="auto"/>
        </w:rPr>
      </w:pPr>
    </w:p>
    <w:p>
      <w:pPr>
        <w:pStyle w:val="33"/>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以上内容均为当前政策内容，未来不排除各大金融机构针对政采贷业务的相关政策会有修改和变动，本“政采贷”明白纸仅供参考，详情请自行致电咨询。</w:t>
      </w:r>
    </w:p>
    <w:p>
      <w:pPr>
        <w:pStyle w:val="33"/>
        <w:spacing w:line="360" w:lineRule="auto"/>
        <w:ind w:firstLine="448" w:firstLineChars="200"/>
        <w:jc w:val="both"/>
        <w:rPr>
          <w:rFonts w:ascii="Times New Roman" w:hAnsi="Times New Roman" w:eastAsia="宋体"/>
          <w:b/>
          <w:bCs/>
          <w:kern w:val="28"/>
          <w:sz w:val="32"/>
          <w:szCs w:val="32"/>
        </w:rPr>
      </w:pPr>
      <w:r>
        <w:rPr>
          <w:rFonts w:ascii="Times New Roman" w:hAnsi="Times New Roman" w:eastAsia="宋体"/>
        </w:rPr>
        <w:br w:type="page"/>
      </w:r>
    </w:p>
    <w:p>
      <w:pPr>
        <w:pStyle w:val="16"/>
        <w:rPr>
          <w:rFonts w:ascii="Times New Roman" w:hAnsi="Times New Roman"/>
        </w:rPr>
      </w:pPr>
      <w:r>
        <w:rPr>
          <w:rFonts w:hint="eastAsia" w:ascii="Times New Roman" w:hAnsiTheme="minorEastAsia"/>
        </w:rPr>
        <w:t>第四部分合同条款</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需方：</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供方：</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供、需双方根据    年    月      日         项目（项目编号：）的招标结果和招标文件的要求，并经双方协商一致，达成货物购销合同：</w:t>
      </w:r>
    </w:p>
    <w:p>
      <w:pPr>
        <w:numPr>
          <w:ilvl w:val="0"/>
          <w:numId w:val="8"/>
        </w:numPr>
        <w:tabs>
          <w:tab w:val="left" w:pos="0"/>
          <w:tab w:val="left" w:pos="315"/>
        </w:tabs>
        <w:spacing w:line="520" w:lineRule="exact"/>
        <w:rPr>
          <w:sz w:val="24"/>
          <w:szCs w:val="24"/>
        </w:rPr>
      </w:pPr>
      <w:r>
        <w:rPr>
          <w:rFonts w:hint="eastAsia"/>
          <w:sz w:val="24"/>
          <w:szCs w:val="24"/>
        </w:rPr>
        <w:t>本合同为中小企业预留合同</w:t>
      </w:r>
    </w:p>
    <w:p>
      <w:pPr>
        <w:numPr>
          <w:ilvl w:val="0"/>
          <w:numId w:val="8"/>
        </w:numPr>
        <w:tabs>
          <w:tab w:val="left" w:pos="0"/>
          <w:tab w:val="left" w:pos="315"/>
        </w:tabs>
        <w:spacing w:line="520" w:lineRule="exact"/>
        <w:rPr>
          <w:sz w:val="24"/>
          <w:szCs w:val="24"/>
        </w:rPr>
      </w:pPr>
      <w:r>
        <w:rPr>
          <w:rFonts w:hint="eastAsia"/>
          <w:sz w:val="24"/>
          <w:szCs w:val="24"/>
        </w:rPr>
        <w:t>本合同非中小企业预留合同</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一、货物名称：</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货物型号：</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制造商：</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货物原产地：</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货物数量：</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货物单价：</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货物总价款：</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大写：</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二、货物质量要求及供方对质量负责条件和期限：</w:t>
      </w:r>
    </w:p>
    <w:p>
      <w:pPr>
        <w:autoSpaceDE w:val="0"/>
        <w:autoSpaceDN w:val="0"/>
        <w:adjustRightInd w:val="0"/>
        <w:spacing w:line="360" w:lineRule="auto"/>
        <w:ind w:firstLine="448" w:firstLineChars="200"/>
        <w:rPr>
          <w:color w:val="000000"/>
          <w:sz w:val="24"/>
        </w:rPr>
      </w:pPr>
      <w:r>
        <w:rPr>
          <w:rFonts w:hint="eastAsia"/>
          <w:color w:val="000000"/>
          <w:sz w:val="24"/>
        </w:rPr>
        <w:t xml:space="preserve">1. </w:t>
      </w:r>
      <w:r>
        <w:rPr>
          <w:rFonts w:hint="eastAsia" w:hAnsiTheme="minorEastAsia"/>
          <w:color w:val="000000"/>
          <w:sz w:val="24"/>
        </w:rPr>
        <w:t>货物具体技术指标见附件</w:t>
      </w:r>
      <w:r>
        <w:rPr>
          <w:rFonts w:hint="eastAsia"/>
          <w:color w:val="000000"/>
          <w:sz w:val="24"/>
        </w:rPr>
        <w:t>1</w:t>
      </w:r>
      <w:r>
        <w:rPr>
          <w:rFonts w:hint="eastAsia" w:hAnsiTheme="minorEastAsia"/>
          <w:color w:val="000000"/>
          <w:sz w:val="24"/>
        </w:rPr>
        <w:t>。</w:t>
      </w:r>
    </w:p>
    <w:p>
      <w:pPr>
        <w:autoSpaceDE w:val="0"/>
        <w:autoSpaceDN w:val="0"/>
        <w:adjustRightInd w:val="0"/>
        <w:spacing w:line="360" w:lineRule="auto"/>
        <w:ind w:firstLine="448" w:firstLineChars="200"/>
        <w:rPr>
          <w:color w:val="000000"/>
          <w:sz w:val="24"/>
        </w:rPr>
      </w:pPr>
      <w:r>
        <w:rPr>
          <w:rFonts w:hint="eastAsia"/>
          <w:color w:val="000000"/>
          <w:sz w:val="24"/>
        </w:rPr>
        <w:t xml:space="preserve">2. </w:t>
      </w:r>
      <w:r>
        <w:rPr>
          <w:rFonts w:hint="eastAsia" w:hAnsiTheme="minor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pPr>
        <w:autoSpaceDE w:val="0"/>
        <w:autoSpaceDN w:val="0"/>
        <w:adjustRightInd w:val="0"/>
        <w:spacing w:line="360" w:lineRule="auto"/>
        <w:ind w:firstLine="448" w:firstLineChars="200"/>
        <w:rPr>
          <w:color w:val="000000"/>
          <w:sz w:val="24"/>
        </w:rPr>
      </w:pPr>
      <w:r>
        <w:rPr>
          <w:rFonts w:hint="eastAsia"/>
          <w:color w:val="000000"/>
          <w:sz w:val="24"/>
        </w:rPr>
        <w:t>3.</w:t>
      </w:r>
      <w:r>
        <w:rPr>
          <w:rFonts w:hint="eastAsia" w:hAnsiTheme="minor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不能调换，按不能交货处理。</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三、供方所提供的货物必须具有合法手续及相关文件。如涉及知识产权则必须是自己拥有或合法使用的。</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四、交货时间、地点、方式：</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合同签订后，于年月日之前将所供货物在需方或需方指定处交付（具体地点：），并于年月日之前完成安装、调试工作，货物运送产生的费用由供方负责。</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五、供方应随货物向需方交付货物的使用说明书及与货物相关的资料。如果所提交文件是外文的，供方有义务为需方提供中文或译成中文文件。</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六、验收工作由需方负责对货物进行验收。</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七、货款支付方式：</w:t>
      </w:r>
    </w:p>
    <w:p>
      <w:pPr>
        <w:autoSpaceDE w:val="0"/>
        <w:autoSpaceDN w:val="0"/>
        <w:adjustRightInd w:val="0"/>
        <w:spacing w:line="360" w:lineRule="auto"/>
        <w:ind w:firstLine="448" w:firstLineChars="200"/>
        <w:rPr>
          <w:color w:val="000000"/>
          <w:sz w:val="24"/>
        </w:rPr>
      </w:pPr>
      <w:r>
        <w:rPr>
          <w:rFonts w:hint="eastAsia"/>
          <w:color w:val="000000"/>
          <w:sz w:val="24"/>
        </w:rPr>
        <w:t xml:space="preserve">1. </w:t>
      </w:r>
      <w:r>
        <w:rPr>
          <w:rFonts w:hint="eastAsia" w:hAnsiTheme="minorEastAsia"/>
          <w:color w:val="000000"/>
          <w:sz w:val="24"/>
        </w:rPr>
        <w:t>本合同以人民币进行结算</w:t>
      </w:r>
    </w:p>
    <w:p>
      <w:pPr>
        <w:autoSpaceDE w:val="0"/>
        <w:autoSpaceDN w:val="0"/>
        <w:adjustRightInd w:val="0"/>
        <w:spacing w:line="360" w:lineRule="auto"/>
        <w:ind w:firstLine="448" w:firstLineChars="200"/>
        <w:rPr>
          <w:color w:val="000000"/>
          <w:sz w:val="24"/>
        </w:rPr>
      </w:pPr>
      <w:r>
        <w:rPr>
          <w:rFonts w:hint="eastAsia"/>
          <w:color w:val="000000"/>
          <w:sz w:val="24"/>
        </w:rPr>
        <w:t xml:space="preserve">2. </w:t>
      </w:r>
      <w:r>
        <w:rPr>
          <w:rFonts w:hint="eastAsia" w:hAnsiTheme="minorEastAsia"/>
          <w:color w:val="000000"/>
          <w:sz w:val="24"/>
        </w:rPr>
        <w:t>付款方式：</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合同签订后个工作日内支付合同总额</w:t>
      </w:r>
      <w:r>
        <w:rPr>
          <w:rFonts w:hint="eastAsia"/>
          <w:color w:val="000000"/>
          <w:sz w:val="24"/>
        </w:rPr>
        <w:t xml:space="preserve">   %</w:t>
      </w:r>
      <w:r>
        <w:rPr>
          <w:rFonts w:hint="eastAsia" w:hAnsiTheme="minorEastAsia"/>
          <w:color w:val="000000"/>
          <w:sz w:val="24"/>
        </w:rPr>
        <w:t>的货款；货到现场安装调试完毕验收合格无质量问题后个工作日内支付合同总额</w:t>
      </w:r>
      <w:r>
        <w:rPr>
          <w:rFonts w:hint="eastAsia"/>
          <w:color w:val="000000"/>
          <w:sz w:val="24"/>
        </w:rPr>
        <w:t xml:space="preserve">   %</w:t>
      </w:r>
      <w:r>
        <w:rPr>
          <w:rFonts w:hint="eastAsia" w:hAnsiTheme="minorEastAsia"/>
          <w:color w:val="000000"/>
          <w:sz w:val="24"/>
        </w:rPr>
        <w:t>的货款；所有货物使用无质量问题，自验收合格之日起个月后个工作日内支付其余</w:t>
      </w:r>
      <w:r>
        <w:rPr>
          <w:rFonts w:hint="eastAsia"/>
          <w:color w:val="000000"/>
          <w:sz w:val="24"/>
        </w:rPr>
        <w:t xml:space="preserve">   %</w:t>
      </w:r>
      <w:r>
        <w:rPr>
          <w:rFonts w:hint="eastAsia" w:hAnsiTheme="minorEastAsia"/>
          <w:color w:val="000000"/>
          <w:sz w:val="24"/>
        </w:rPr>
        <w:t>的货款。</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供方开户银行（汉字全称）：，行号（数字代码）：，</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帐号：。</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合同约定的交货期或验收期届满，需方由于不具备现场条件导致供方无法安装和验收，合同顺延，延期</w:t>
      </w:r>
      <w:r>
        <w:rPr>
          <w:rFonts w:hint="eastAsia"/>
          <w:color w:val="000000"/>
          <w:sz w:val="24"/>
        </w:rPr>
        <w:t>30</w:t>
      </w:r>
      <w:r>
        <w:rPr>
          <w:rFonts w:hint="eastAsia" w:hAnsiTheme="minor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int="eastAsia" w:hAnsiTheme="minorEastAsia"/>
          <w:color w:val="000000"/>
          <w:sz w:val="24"/>
        </w:rPr>
        <w:t>验收合格</w:t>
      </w:r>
      <w:r>
        <w:rPr>
          <w:rFonts w:hint="eastAsia"/>
          <w:color w:val="000000"/>
          <w:sz w:val="24"/>
        </w:rPr>
        <w:t>”</w:t>
      </w:r>
      <w:r>
        <w:rPr>
          <w:rFonts w:hint="eastAsia" w:hAnsiTheme="minorEastAsia"/>
          <w:color w:val="000000"/>
          <w:sz w:val="24"/>
        </w:rPr>
        <w:t>并向供方付款，但合同中与验收有关的其他条款以合同实际履行后的验收为准。需方具备现场条件，供方应积极做好安装和验收工作。</w:t>
      </w:r>
    </w:p>
    <w:p>
      <w:pPr>
        <w:autoSpaceDE w:val="0"/>
        <w:autoSpaceDN w:val="0"/>
        <w:adjustRightInd w:val="0"/>
        <w:spacing w:line="360" w:lineRule="auto"/>
        <w:ind w:firstLine="448" w:firstLineChars="200"/>
        <w:rPr>
          <w:color w:val="000000"/>
          <w:sz w:val="24"/>
        </w:rPr>
      </w:pPr>
      <w:r>
        <w:rPr>
          <w:rFonts w:hint="eastAsia"/>
          <w:color w:val="000000"/>
          <w:sz w:val="24"/>
        </w:rPr>
        <w:t xml:space="preserve">3. </w:t>
      </w:r>
      <w:r>
        <w:rPr>
          <w:rFonts w:hint="eastAsia" w:hAnsiTheme="minorEastAsia"/>
          <w:color w:val="000000"/>
          <w:sz w:val="24"/>
        </w:rPr>
        <w:t>如所供货物出现质量问题，需方在付款期内随时有权停止付款，待供方对该货物消除障碍正常运转后再行付款。付款的时间则相应顺延。</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八、违约责任：</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需方无正当理由拒收货物的，需方向供方偿付货款总值</w:t>
      </w:r>
      <w:r>
        <w:rPr>
          <w:rFonts w:hint="eastAsia"/>
          <w:color w:val="000000"/>
          <w:sz w:val="24"/>
        </w:rPr>
        <w:t>30%</w:t>
      </w:r>
      <w:r>
        <w:rPr>
          <w:rFonts w:hint="eastAsia" w:hAnsiTheme="minorEastAsia"/>
          <w:color w:val="000000"/>
          <w:sz w:val="24"/>
        </w:rPr>
        <w:t>的违约金。</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需方逾期支付货款的，需方向供方每日偿付欠款总额</w:t>
      </w:r>
      <w:r>
        <w:rPr>
          <w:rFonts w:hint="eastAsia"/>
          <w:color w:val="000000"/>
          <w:sz w:val="24"/>
        </w:rPr>
        <w:t>5‰</w:t>
      </w:r>
      <w:r>
        <w:rPr>
          <w:rFonts w:hint="eastAsia" w:hAnsiTheme="minorEastAsia"/>
          <w:color w:val="000000"/>
          <w:sz w:val="24"/>
        </w:rPr>
        <w:t>的违约金。</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int="eastAsia" w:hAnsiTheme="minorEastAsia"/>
          <w:color w:val="000000"/>
          <w:sz w:val="24"/>
        </w:rPr>
        <w:t>的违约金。</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供方不能交付货物的，供方向需方支付货款总值</w:t>
      </w:r>
      <w:r>
        <w:rPr>
          <w:rFonts w:hint="eastAsia"/>
          <w:color w:val="000000"/>
          <w:sz w:val="24"/>
        </w:rPr>
        <w:t>30%</w:t>
      </w:r>
      <w:r>
        <w:rPr>
          <w:rFonts w:hint="eastAsia" w:hAnsiTheme="minorEastAsia"/>
          <w:color w:val="000000"/>
          <w:sz w:val="24"/>
        </w:rPr>
        <w:t>的违约金。</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供方逾期交付货物的，供方向需方每日偿付货款总额</w:t>
      </w:r>
      <w:r>
        <w:rPr>
          <w:rFonts w:hint="eastAsia"/>
          <w:color w:val="000000"/>
          <w:sz w:val="24"/>
        </w:rPr>
        <w:t>5</w:t>
      </w:r>
      <w:r>
        <w:rPr>
          <w:color w:val="000000"/>
          <w:sz w:val="24"/>
        </w:rPr>
        <w:t>‰</w:t>
      </w:r>
      <w:r>
        <w:rPr>
          <w:rFonts w:hint="eastAsia" w:hAnsiTheme="minorEastAsia"/>
          <w:color w:val="000000"/>
          <w:sz w:val="24"/>
        </w:rPr>
        <w:t>的违约金。</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十、由于供需双方在履行本合同过程中出现问题，由供需双方直接交涉解决，包括采用诉诸法律的手段。</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十一、有关涉及本合同供方向天津市政府采购中心所提交的投标文件及有关澄清资料和服务承诺均视为本合同不可分割的部分，对供方具有约束力。</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十二、本合同未作明示约定，而又有相关法律、法规规定的，从其规定。本合同发生争议产生的诉讼，由合同履行所在地人民法院管辖。</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十三、本合同一式份，供方持份，需方持份，均具同等效力，签字盖章后生效。</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供方（公章）：需方（公章）：</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地址：地址：</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法定代表人：法定代表人：</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委托代理人：委托代理人：</w:t>
      </w:r>
    </w:p>
    <w:p>
      <w:pPr>
        <w:autoSpaceDE w:val="0"/>
        <w:autoSpaceDN w:val="0"/>
        <w:adjustRightInd w:val="0"/>
        <w:spacing w:line="360" w:lineRule="auto"/>
        <w:ind w:firstLine="448" w:firstLineChars="200"/>
        <w:rPr>
          <w:color w:val="000000"/>
          <w:sz w:val="24"/>
        </w:rPr>
      </w:pPr>
      <w:r>
        <w:rPr>
          <w:rFonts w:hint="eastAsia" w:hAnsiTheme="minorEastAsia"/>
          <w:color w:val="000000"/>
          <w:sz w:val="24"/>
        </w:rPr>
        <w:t>电话：电话：</w:t>
      </w:r>
    </w:p>
    <w:p>
      <w:pPr>
        <w:autoSpaceDE w:val="0"/>
        <w:autoSpaceDN w:val="0"/>
        <w:adjustRightInd w:val="0"/>
        <w:spacing w:line="360" w:lineRule="auto"/>
        <w:ind w:firstLine="448" w:firstLineChars="200"/>
        <w:rPr>
          <w:sz w:val="24"/>
        </w:rPr>
      </w:pPr>
      <w:r>
        <w:rPr>
          <w:rFonts w:hint="eastAsia" w:hAnsiTheme="minorEastAsia"/>
          <w:color w:val="000000"/>
          <w:sz w:val="24"/>
        </w:rPr>
        <w:t>时间：年月日</w:t>
      </w:r>
      <w:r>
        <w:rPr>
          <w:sz w:val="24"/>
        </w:rPr>
        <w:br w:type="page"/>
      </w:r>
    </w:p>
    <w:p>
      <w:pPr>
        <w:pStyle w:val="16"/>
        <w:rPr>
          <w:rFonts w:ascii="Times New Roman" w:hAnsi="Times New Roman"/>
        </w:rPr>
      </w:pPr>
      <w:r>
        <w:rPr>
          <w:rFonts w:hint="eastAsia" w:ascii="Times New Roman" w:hAnsiTheme="minorEastAsia"/>
        </w:rPr>
        <w:t>第五部分投标文件格式</w:t>
      </w:r>
    </w:p>
    <w:p>
      <w:pPr>
        <w:autoSpaceDN w:val="0"/>
        <w:spacing w:line="360" w:lineRule="auto"/>
        <w:jc w:val="center"/>
        <w:rPr>
          <w:b/>
          <w:bCs/>
          <w:sz w:val="24"/>
        </w:rPr>
      </w:pPr>
      <w:r>
        <w:rPr>
          <w:rFonts w:hint="eastAsia" w:hAnsiTheme="minorEastAsia"/>
          <w:b/>
          <w:bCs/>
          <w:sz w:val="24"/>
        </w:rPr>
        <w:t>投标文件封面格式</w:t>
      </w:r>
    </w:p>
    <w:p>
      <w:pPr>
        <w:autoSpaceDE w:val="0"/>
        <w:autoSpaceDN w:val="0"/>
        <w:adjustRightInd w:val="0"/>
        <w:spacing w:line="520" w:lineRule="exact"/>
      </w:pPr>
    </w:p>
    <w:p>
      <w:pPr>
        <w:autoSpaceDE w:val="0"/>
        <w:autoSpaceDN w:val="0"/>
        <w:adjustRightInd w:val="0"/>
        <w:spacing w:line="520" w:lineRule="exact"/>
        <w:rPr>
          <w:b/>
          <w:kern w:val="0"/>
          <w:sz w:val="24"/>
        </w:rPr>
      </w:pPr>
    </w:p>
    <w:p>
      <w:pPr>
        <w:autoSpaceDE w:val="0"/>
        <w:autoSpaceDN w:val="0"/>
        <w:adjustRightInd w:val="0"/>
        <w:spacing w:line="520" w:lineRule="exact"/>
        <w:rPr>
          <w:b/>
          <w:kern w:val="0"/>
          <w:sz w:val="24"/>
        </w:rPr>
      </w:pPr>
    </w:p>
    <w:p>
      <w:pPr>
        <w:autoSpaceDE w:val="0"/>
        <w:autoSpaceDN w:val="0"/>
        <w:adjustRightInd w:val="0"/>
        <w:spacing w:line="520" w:lineRule="exact"/>
        <w:rPr>
          <w:b/>
          <w:kern w:val="0"/>
          <w:sz w:val="24"/>
        </w:rPr>
      </w:pPr>
    </w:p>
    <w:p>
      <w:pPr>
        <w:autoSpaceDE w:val="0"/>
        <w:autoSpaceDN w:val="0"/>
        <w:adjustRightInd w:val="0"/>
        <w:jc w:val="center"/>
        <w:rPr>
          <w:kern w:val="0"/>
          <w:sz w:val="144"/>
          <w:szCs w:val="144"/>
        </w:rPr>
      </w:pPr>
      <w:r>
        <w:rPr>
          <w:rFonts w:hint="eastAsia" w:hAnsiTheme="minorEastAsia"/>
          <w:sz w:val="160"/>
          <w:szCs w:val="84"/>
        </w:rPr>
        <w:t>投标文件</w:t>
      </w:r>
    </w:p>
    <w:p>
      <w:pPr>
        <w:autoSpaceDE w:val="0"/>
        <w:autoSpaceDN w:val="0"/>
        <w:adjustRightInd w:val="0"/>
        <w:spacing w:line="520" w:lineRule="exact"/>
        <w:rPr>
          <w:b/>
          <w:kern w:val="0"/>
          <w:sz w:val="36"/>
          <w:szCs w:val="36"/>
        </w:rPr>
      </w:pPr>
    </w:p>
    <w:p>
      <w:pPr>
        <w:autoSpaceDE w:val="0"/>
        <w:autoSpaceDN w:val="0"/>
        <w:adjustRightInd w:val="0"/>
        <w:spacing w:line="520" w:lineRule="exact"/>
        <w:jc w:val="center"/>
        <w:rPr>
          <w:b/>
          <w:color w:val="FF0000"/>
          <w:kern w:val="0"/>
          <w:sz w:val="24"/>
        </w:rPr>
      </w:pPr>
      <w:r>
        <w:rPr>
          <w:rFonts w:hint="eastAsia" w:hAnsiTheme="minorEastAsia"/>
          <w:b/>
          <w:color w:val="FF0000"/>
          <w:kern w:val="0"/>
          <w:sz w:val="24"/>
        </w:rPr>
        <w:t>（加盖电子签章）</w:t>
      </w:r>
    </w:p>
    <w:p>
      <w:pPr>
        <w:spacing w:beforeLines="30" w:afterLines="70" w:line="540" w:lineRule="exact"/>
        <w:ind w:left="582" w:leftChars="300"/>
        <w:rPr>
          <w:b/>
          <w:sz w:val="34"/>
          <w:szCs w:val="34"/>
        </w:rPr>
      </w:pPr>
      <w:r>
        <w:rPr>
          <w:rFonts w:hint="eastAsia" w:hAnsiTheme="minorEastAsia"/>
          <w:b/>
          <w:sz w:val="34"/>
          <w:szCs w:val="34"/>
        </w:rPr>
        <w:t>项目编号：</w:t>
      </w:r>
    </w:p>
    <w:p>
      <w:pPr>
        <w:spacing w:beforeLines="30" w:afterLines="70" w:line="540" w:lineRule="exact"/>
        <w:ind w:left="2027" w:leftChars="300" w:hanging="1445" w:hangingChars="446"/>
        <w:rPr>
          <w:b/>
          <w:sz w:val="34"/>
          <w:szCs w:val="34"/>
        </w:rPr>
      </w:pPr>
      <w:r>
        <w:rPr>
          <w:rFonts w:hint="eastAsia" w:hAnsiTheme="minorEastAsia"/>
          <w:b/>
          <w:sz w:val="34"/>
          <w:szCs w:val="34"/>
        </w:rPr>
        <w:t>项目名称：</w:t>
      </w:r>
    </w:p>
    <w:p>
      <w:pPr>
        <w:spacing w:beforeLines="30" w:afterLines="70" w:line="540" w:lineRule="exact"/>
        <w:ind w:left="2027" w:leftChars="300" w:hanging="1445" w:hangingChars="446"/>
        <w:rPr>
          <w:b/>
          <w:sz w:val="34"/>
          <w:szCs w:val="34"/>
        </w:rPr>
      </w:pPr>
      <w:r>
        <w:rPr>
          <w:rFonts w:hint="eastAsia" w:hAnsiTheme="minorEastAsia"/>
          <w:b/>
          <w:sz w:val="34"/>
          <w:szCs w:val="34"/>
        </w:rPr>
        <w:t>投标包号：</w:t>
      </w:r>
    </w:p>
    <w:p>
      <w:pPr>
        <w:spacing w:beforeLines="30" w:afterLines="70" w:line="540" w:lineRule="exact"/>
        <w:ind w:left="582" w:leftChars="300"/>
        <w:rPr>
          <w:b/>
          <w:sz w:val="34"/>
          <w:szCs w:val="34"/>
        </w:rPr>
      </w:pPr>
      <w:r>
        <w:rPr>
          <w:rFonts w:hint="eastAsia" w:hAnsiTheme="minorEastAsia"/>
          <w:b/>
          <w:sz w:val="34"/>
          <w:szCs w:val="34"/>
        </w:rPr>
        <w:t>投标单位名称：</w:t>
      </w:r>
    </w:p>
    <w:p>
      <w:pPr>
        <w:spacing w:beforeLines="30" w:afterLines="70" w:line="540" w:lineRule="exact"/>
        <w:ind w:left="582" w:leftChars="300"/>
        <w:rPr>
          <w:b/>
          <w:sz w:val="34"/>
          <w:szCs w:val="34"/>
        </w:rPr>
      </w:pPr>
      <w:r>
        <w:rPr>
          <w:rFonts w:hint="eastAsia" w:hAnsiTheme="minorEastAsia"/>
          <w:b/>
          <w:sz w:val="34"/>
          <w:szCs w:val="34"/>
        </w:rPr>
        <w:t>投标单位电话：</w:t>
      </w:r>
    </w:p>
    <w:p>
      <w:pPr>
        <w:spacing w:beforeLines="30" w:afterLines="70" w:line="540" w:lineRule="exact"/>
        <w:ind w:left="582" w:leftChars="300"/>
        <w:rPr>
          <w:b/>
          <w:sz w:val="34"/>
          <w:szCs w:val="34"/>
        </w:rPr>
      </w:pPr>
      <w:r>
        <w:rPr>
          <w:rFonts w:hint="eastAsia" w:hAnsiTheme="minorEastAsia"/>
          <w:b/>
          <w:sz w:val="34"/>
          <w:szCs w:val="34"/>
        </w:rPr>
        <w:t>投标单位详细地址：</w:t>
      </w:r>
    </w:p>
    <w:p>
      <w:pPr>
        <w:spacing w:beforeLines="30" w:afterLines="70" w:line="540" w:lineRule="exact"/>
        <w:ind w:left="582" w:leftChars="300"/>
        <w:rPr>
          <w:b/>
          <w:sz w:val="34"/>
          <w:szCs w:val="34"/>
        </w:rPr>
      </w:pPr>
      <w:r>
        <w:rPr>
          <w:rFonts w:hint="eastAsia" w:hAnsiTheme="minorEastAsia"/>
          <w:b/>
          <w:kern w:val="0"/>
          <w:sz w:val="34"/>
          <w:szCs w:val="34"/>
        </w:rPr>
        <w:t>投标代表人姓名：</w:t>
      </w:r>
    </w:p>
    <w:p>
      <w:pPr>
        <w:spacing w:beforeLines="30" w:afterLines="70" w:line="540" w:lineRule="exact"/>
        <w:ind w:left="582" w:leftChars="300"/>
        <w:rPr>
          <w:b/>
          <w:sz w:val="34"/>
          <w:szCs w:val="34"/>
        </w:rPr>
      </w:pPr>
      <w:r>
        <w:rPr>
          <w:rFonts w:hint="eastAsia" w:hAnsiTheme="minorEastAsia"/>
          <w:b/>
          <w:sz w:val="34"/>
          <w:szCs w:val="34"/>
        </w:rPr>
        <w:t>法定代表人：</w:t>
      </w:r>
    </w:p>
    <w:p>
      <w:pPr>
        <w:spacing w:beforeLines="30" w:afterLines="70" w:line="540" w:lineRule="exact"/>
        <w:ind w:left="582" w:leftChars="300"/>
        <w:rPr>
          <w:b/>
          <w:bCs/>
          <w:sz w:val="24"/>
        </w:rPr>
      </w:pPr>
      <w:r>
        <w:rPr>
          <w:rFonts w:hint="eastAsia" w:hAnsiTheme="minorEastAsia"/>
          <w:b/>
          <w:sz w:val="34"/>
          <w:szCs w:val="34"/>
        </w:rPr>
        <w:t>投标日期：年月日</w:t>
      </w:r>
    </w:p>
    <w:p>
      <w:pPr>
        <w:widowControl/>
        <w:jc w:val="left"/>
        <w:rPr>
          <w:b/>
          <w:bCs/>
          <w:sz w:val="24"/>
        </w:rPr>
      </w:pPr>
      <w:r>
        <w:rPr>
          <w:b/>
          <w:bCs/>
          <w:sz w:val="24"/>
        </w:rPr>
        <w:br w:type="page"/>
      </w:r>
    </w:p>
    <w:p>
      <w:pPr>
        <w:autoSpaceDN w:val="0"/>
        <w:spacing w:line="360" w:lineRule="auto"/>
        <w:jc w:val="center"/>
        <w:rPr>
          <w:b/>
          <w:bCs/>
          <w:sz w:val="24"/>
        </w:rPr>
      </w:pPr>
      <w:r>
        <w:rPr>
          <w:rFonts w:hint="eastAsia" w:hAnsiTheme="minorEastAsia"/>
          <w:b/>
          <w:bCs/>
          <w:sz w:val="24"/>
        </w:rPr>
        <w:t>投标文件目录格式</w:t>
      </w:r>
    </w:p>
    <w:p>
      <w:pPr>
        <w:autoSpaceDN w:val="0"/>
        <w:spacing w:line="360" w:lineRule="auto"/>
        <w:jc w:val="center"/>
        <w:rPr>
          <w:b/>
          <w:bCs/>
          <w:sz w:val="24"/>
        </w:rPr>
      </w:pPr>
      <w:r>
        <w:rPr>
          <w:rFonts w:hint="eastAsia" w:hAnsiTheme="minorEastAsia"/>
          <w:b/>
          <w:bCs/>
          <w:sz w:val="24"/>
        </w:rPr>
        <w:t>（投标人自行编制）</w:t>
      </w:r>
    </w:p>
    <w:p>
      <w:pPr>
        <w:widowControl/>
        <w:jc w:val="center"/>
        <w:rPr>
          <w:b/>
          <w:sz w:val="24"/>
        </w:rPr>
      </w:pPr>
    </w:p>
    <w:p>
      <w:pPr>
        <w:widowControl/>
        <w:jc w:val="left"/>
        <w:rPr>
          <w:b/>
          <w:sz w:val="24"/>
        </w:rPr>
      </w:pPr>
      <w:r>
        <w:rPr>
          <w:b/>
          <w:sz w:val="24"/>
        </w:rPr>
        <w:br w:type="page"/>
      </w:r>
    </w:p>
    <w:p>
      <w:pPr>
        <w:widowControl/>
        <w:jc w:val="center"/>
        <w:rPr>
          <w:b/>
          <w:sz w:val="24"/>
        </w:rPr>
      </w:pPr>
      <w:r>
        <w:rPr>
          <w:rFonts w:hint="eastAsia" w:hAnsiTheme="minorEastAsia"/>
          <w:b/>
          <w:sz w:val="24"/>
        </w:rPr>
        <w:t>评分因素及评标标准页码检索</w:t>
      </w:r>
    </w:p>
    <w:p>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pPr>
        <w:widowControl/>
        <w:jc w:val="center"/>
        <w:rPr>
          <w:b/>
          <w:sz w:val="24"/>
        </w:rPr>
      </w:pPr>
    </w:p>
    <w:p>
      <w:pPr>
        <w:widowControl/>
        <w:jc w:val="left"/>
        <w:rPr>
          <w:sz w:val="24"/>
        </w:rPr>
      </w:pPr>
      <w:r>
        <w:rPr>
          <w:sz w:val="24"/>
        </w:rPr>
        <w:br w:type="page"/>
      </w:r>
    </w:p>
    <w:p>
      <w:pPr>
        <w:tabs>
          <w:tab w:val="left" w:pos="360"/>
        </w:tabs>
        <w:spacing w:afterLines="100" w:line="360" w:lineRule="auto"/>
        <w:ind w:firstLine="448" w:firstLineChars="200"/>
        <w:rPr>
          <w:sz w:val="24"/>
        </w:rPr>
      </w:pPr>
      <w:r>
        <w:rPr>
          <w:rFonts w:hAnsiTheme="minorEastAsia"/>
          <w:sz w:val="24"/>
        </w:rPr>
        <w:t>附件</w:t>
      </w:r>
      <w:r>
        <w:rPr>
          <w:sz w:val="24"/>
        </w:rPr>
        <w:t>1</w:t>
      </w:r>
    </w:p>
    <w:p>
      <w:pPr>
        <w:autoSpaceDN w:val="0"/>
        <w:spacing w:line="360" w:lineRule="auto"/>
        <w:jc w:val="center"/>
        <w:rPr>
          <w:b/>
          <w:bCs/>
          <w:sz w:val="24"/>
        </w:rPr>
      </w:pPr>
      <w:r>
        <w:rPr>
          <w:rFonts w:hAnsiTheme="minorEastAsia"/>
          <w:b/>
          <w:bCs/>
          <w:sz w:val="24"/>
        </w:rPr>
        <w:t>投标书</w:t>
      </w:r>
    </w:p>
    <w:p>
      <w:pPr>
        <w:spacing w:line="360" w:lineRule="auto"/>
        <w:rPr>
          <w:sz w:val="24"/>
        </w:rPr>
      </w:pPr>
      <w:r>
        <w:rPr>
          <w:rFonts w:hAnsiTheme="minorEastAsia"/>
          <w:sz w:val="24"/>
        </w:rPr>
        <w:t>致：天津市</w:t>
      </w:r>
      <w:r>
        <w:rPr>
          <w:rFonts w:hint="eastAsia" w:hAnsiTheme="minorEastAsia"/>
          <w:sz w:val="24"/>
        </w:rPr>
        <w:t>滨海新区</w:t>
      </w:r>
      <w:r>
        <w:rPr>
          <w:rFonts w:hAnsiTheme="minorEastAsia"/>
          <w:sz w:val="24"/>
        </w:rPr>
        <w:t>政府采购中心</w:t>
      </w:r>
    </w:p>
    <w:p>
      <w:pPr>
        <w:spacing w:line="360" w:lineRule="auto"/>
        <w:ind w:firstLine="448" w:firstLineChars="200"/>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int="eastAsia" w:hAnsiTheme="minorEastAsia"/>
          <w:sz w:val="24"/>
        </w:rPr>
        <w:t>我公司</w:t>
      </w:r>
      <w:r>
        <w:rPr>
          <w:rFonts w:hAnsiTheme="minorEastAsia"/>
          <w:sz w:val="24"/>
        </w:rPr>
        <w:t>（</w:t>
      </w:r>
      <w:r>
        <w:rPr>
          <w:rFonts w:hint="eastAsia" w:hAnsiTheme="minorEastAsia"/>
          <w:sz w:val="24"/>
        </w:rPr>
        <w:t>投标单位</w:t>
      </w:r>
      <w:r>
        <w:rPr>
          <w:rFonts w:hAnsiTheme="minorEastAsia"/>
          <w:sz w:val="24"/>
        </w:rPr>
        <w:t>名称、地址）提交</w:t>
      </w:r>
      <w:r>
        <w:rPr>
          <w:rFonts w:hint="eastAsia" w:hAnsiTheme="minorEastAsia"/>
          <w:sz w:val="24"/>
        </w:rPr>
        <w:t>网上应答及上传加盖电子签章的投标文件</w:t>
      </w:r>
      <w:r>
        <w:rPr>
          <w:rFonts w:hAnsiTheme="minorEastAsia"/>
          <w:sz w:val="24"/>
        </w:rPr>
        <w:t>。</w:t>
      </w:r>
    </w:p>
    <w:p>
      <w:pPr>
        <w:spacing w:line="360" w:lineRule="auto"/>
        <w:ind w:firstLine="448" w:firstLineChars="200"/>
        <w:rPr>
          <w:sz w:val="24"/>
        </w:rPr>
      </w:pPr>
      <w:r>
        <w:rPr>
          <w:rFonts w:hAnsiTheme="minorEastAsia"/>
          <w:sz w:val="24"/>
        </w:rPr>
        <w:t>据此函，签字代表宣布同意如下：</w:t>
      </w:r>
    </w:p>
    <w:p>
      <w:pPr>
        <w:spacing w:line="360" w:lineRule="auto"/>
        <w:ind w:firstLine="448" w:firstLineChars="200"/>
        <w:rPr>
          <w:sz w:val="24"/>
        </w:rPr>
      </w:pPr>
      <w:r>
        <w:rPr>
          <w:rFonts w:hint="eastAsia"/>
          <w:sz w:val="24"/>
        </w:rPr>
        <w:t xml:space="preserve">1. </w:t>
      </w:r>
      <w:r>
        <w:rPr>
          <w:rFonts w:hint="eastAsia" w:hAnsiTheme="minorEastAsia"/>
          <w:sz w:val="24"/>
        </w:rPr>
        <w:t>所附投标报价表中规定的应提供和交付的货物投标总价为：</w:t>
      </w:r>
    </w:p>
    <w:p>
      <w:pPr>
        <w:spacing w:line="360" w:lineRule="auto"/>
        <w:ind w:firstLine="448" w:firstLineChars="200"/>
        <w:rPr>
          <w:sz w:val="24"/>
        </w:rPr>
      </w:pPr>
      <w:r>
        <w:rPr>
          <w:rFonts w:hint="eastAsia" w:hAnsiTheme="minorEastAsia"/>
          <w:sz w:val="24"/>
        </w:rPr>
        <w:t>第一包，￥元（人民币），大写。</w:t>
      </w:r>
    </w:p>
    <w:p>
      <w:pPr>
        <w:spacing w:line="360" w:lineRule="auto"/>
        <w:ind w:firstLine="448" w:firstLineChars="200"/>
        <w:rPr>
          <w:sz w:val="24"/>
        </w:rPr>
      </w:pPr>
      <w:r>
        <w:rPr>
          <w:sz w:val="24"/>
        </w:rPr>
        <w:t>……</w:t>
      </w:r>
    </w:p>
    <w:p>
      <w:pPr>
        <w:spacing w:line="360" w:lineRule="auto"/>
        <w:ind w:firstLine="448" w:firstLineChars="200"/>
        <w:rPr>
          <w:sz w:val="24"/>
        </w:rPr>
      </w:pPr>
      <w:r>
        <w:rPr>
          <w:sz w:val="24"/>
        </w:rPr>
        <w:t>2.</w:t>
      </w:r>
      <w:r>
        <w:rPr>
          <w:rFonts w:hint="eastAsia" w:hAnsiTheme="minorEastAsia"/>
          <w:sz w:val="24"/>
        </w:rPr>
        <w:t>我公司</w:t>
      </w:r>
      <w:r>
        <w:rPr>
          <w:rFonts w:hAnsiTheme="minorEastAsia"/>
          <w:sz w:val="24"/>
        </w:rPr>
        <w:t>将按招标文件的规定履行合同责任和义务。</w:t>
      </w:r>
    </w:p>
    <w:p>
      <w:pPr>
        <w:spacing w:line="360" w:lineRule="auto"/>
        <w:ind w:firstLine="448" w:firstLineChars="200"/>
        <w:rPr>
          <w:sz w:val="24"/>
        </w:rPr>
      </w:pPr>
      <w:r>
        <w:rPr>
          <w:sz w:val="24"/>
        </w:rPr>
        <w:t>3.</w:t>
      </w:r>
      <w:r>
        <w:rPr>
          <w:rFonts w:hint="eastAsia"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pPr>
        <w:spacing w:line="360" w:lineRule="auto"/>
        <w:ind w:firstLine="448" w:firstLineChars="200"/>
        <w:rPr>
          <w:sz w:val="24"/>
        </w:rPr>
      </w:pPr>
      <w:r>
        <w:rPr>
          <w:sz w:val="24"/>
        </w:rPr>
        <w:t>4.</w:t>
      </w:r>
      <w:r>
        <w:rPr>
          <w:rFonts w:hint="eastAsia" w:hAnsiTheme="minorEastAsia"/>
          <w:sz w:val="24"/>
        </w:rPr>
        <w:t>我公司的投标有效期为提交投标文件的截止之日起</w:t>
      </w:r>
      <w:r>
        <w:rPr>
          <w:rFonts w:hint="eastAsia"/>
          <w:sz w:val="24"/>
        </w:rPr>
        <w:t>60</w:t>
      </w:r>
      <w:r>
        <w:rPr>
          <w:rFonts w:hint="eastAsia" w:hAnsiTheme="minorEastAsia"/>
          <w:sz w:val="24"/>
        </w:rPr>
        <w:t>天。</w:t>
      </w:r>
    </w:p>
    <w:p>
      <w:pPr>
        <w:spacing w:line="360" w:lineRule="auto"/>
        <w:ind w:firstLine="448" w:firstLineChars="200"/>
        <w:rPr>
          <w:sz w:val="24"/>
        </w:rPr>
      </w:pPr>
      <w:r>
        <w:rPr>
          <w:rFonts w:hint="eastAsia"/>
          <w:sz w:val="24"/>
        </w:rPr>
        <w:t>5</w:t>
      </w:r>
      <w:r>
        <w:rPr>
          <w:sz w:val="24"/>
        </w:rPr>
        <w:t>.</w:t>
      </w:r>
      <w:r>
        <w:rPr>
          <w:rFonts w:hint="eastAsia" w:hAnsiTheme="minorEastAsia"/>
          <w:sz w:val="24"/>
        </w:rPr>
        <w:t>我公司同意按照招标方要求</w:t>
      </w:r>
      <w:r>
        <w:rPr>
          <w:rFonts w:hAnsiTheme="minorEastAsia"/>
          <w:sz w:val="24"/>
        </w:rPr>
        <w:t>提供的与投标有关的一切数据或资料</w:t>
      </w:r>
      <w:r>
        <w:rPr>
          <w:rFonts w:hint="eastAsia" w:hAnsiTheme="minorEastAsia"/>
          <w:sz w:val="24"/>
        </w:rPr>
        <w:t>，并声明投标文件及所提供的一切资料均真实有效。由于我公司提供资料不实而造成的责任和后果由我公司自行承担。</w:t>
      </w:r>
    </w:p>
    <w:p>
      <w:pPr>
        <w:spacing w:line="360" w:lineRule="auto"/>
        <w:ind w:firstLine="448" w:firstLineChars="200"/>
        <w:rPr>
          <w:sz w:val="24"/>
        </w:rPr>
      </w:pPr>
      <w:r>
        <w:rPr>
          <w:rFonts w:hint="eastAsia"/>
          <w:sz w:val="24"/>
        </w:rPr>
        <w:t xml:space="preserve">6. </w:t>
      </w:r>
      <w:r>
        <w:rPr>
          <w:rFonts w:hint="eastAsia" w:hAnsiTheme="minorEastAsia"/>
          <w:sz w:val="24"/>
        </w:rPr>
        <w:t>我公司保证所投产品来自合法的供货渠道，若中标，则有义务向采购人提供其需要的有效书面证明材料。如果提供非法渠道的商品，视为欺诈，并承担相关责任。</w:t>
      </w:r>
    </w:p>
    <w:p>
      <w:pPr>
        <w:spacing w:line="360" w:lineRule="auto"/>
        <w:ind w:firstLine="448" w:firstLineChars="200"/>
        <w:rPr>
          <w:sz w:val="24"/>
        </w:rPr>
      </w:pPr>
      <w:r>
        <w:rPr>
          <w:rFonts w:hint="eastAsia"/>
          <w:sz w:val="24"/>
        </w:rPr>
        <w:t xml:space="preserve">7. </w:t>
      </w:r>
      <w:r>
        <w:rPr>
          <w:rFonts w:hint="eastAsia"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pPr>
        <w:spacing w:line="360" w:lineRule="auto"/>
        <w:ind w:firstLine="448" w:firstLineChars="200"/>
        <w:rPr>
          <w:sz w:val="24"/>
        </w:rPr>
      </w:pPr>
      <w:r>
        <w:rPr>
          <w:rFonts w:hint="eastAsia"/>
          <w:sz w:val="24"/>
        </w:rPr>
        <w:t xml:space="preserve">8. </w:t>
      </w:r>
      <w:r>
        <w:rPr>
          <w:rFonts w:hint="eastAsia" w:hAnsiTheme="minorEastAsia"/>
          <w:sz w:val="24"/>
        </w:rPr>
        <w:t>我公司承诺完全符合《政府采购法》、《政府采购法实施条例》等法律法规规定，并随时接受采购人、采购代理机构的检查验证。</w:t>
      </w:r>
      <w:r>
        <w:rPr>
          <w:rFonts w:hAnsiTheme="minorEastAsia"/>
          <w:sz w:val="24"/>
        </w:rPr>
        <w:t>在整个招标过程中，</w:t>
      </w:r>
      <w:r>
        <w:rPr>
          <w:rFonts w:hint="eastAsia" w:hAnsiTheme="minorEastAsia"/>
          <w:sz w:val="24"/>
        </w:rPr>
        <w:t>我公司</w:t>
      </w:r>
      <w:r>
        <w:rPr>
          <w:rFonts w:hAnsiTheme="minorEastAsia"/>
          <w:sz w:val="24"/>
        </w:rPr>
        <w:t>若有违规行为，</w:t>
      </w:r>
      <w:r>
        <w:rPr>
          <w:rFonts w:hint="eastAsia" w:hAnsiTheme="minorEastAsia"/>
          <w:sz w:val="24"/>
        </w:rPr>
        <w:t>我公司完全接受</w:t>
      </w:r>
      <w:r>
        <w:rPr>
          <w:rFonts w:hAnsiTheme="minorEastAsia"/>
          <w:sz w:val="24"/>
        </w:rPr>
        <w:t>贵</w:t>
      </w:r>
      <w:r>
        <w:rPr>
          <w:rFonts w:hint="eastAsia" w:hAnsiTheme="minorEastAsia"/>
          <w:sz w:val="24"/>
        </w:rPr>
        <w:t>中心依照相关法律法规和</w:t>
      </w:r>
      <w:r>
        <w:rPr>
          <w:rFonts w:hAnsiTheme="minorEastAsia"/>
          <w:sz w:val="24"/>
        </w:rPr>
        <w:t>招标文件</w:t>
      </w:r>
      <w:r>
        <w:rPr>
          <w:rFonts w:hint="eastAsia" w:hAnsiTheme="minorEastAsia"/>
          <w:sz w:val="24"/>
        </w:rPr>
        <w:t>的</w:t>
      </w:r>
      <w:r>
        <w:rPr>
          <w:rFonts w:hAnsiTheme="minorEastAsia"/>
          <w:sz w:val="24"/>
        </w:rPr>
        <w:t>规定给予</w:t>
      </w:r>
      <w:r>
        <w:rPr>
          <w:rFonts w:hint="eastAsia" w:hAnsiTheme="minorEastAsia"/>
          <w:sz w:val="24"/>
        </w:rPr>
        <w:t>处罚</w:t>
      </w:r>
      <w:r>
        <w:rPr>
          <w:rFonts w:hAnsiTheme="minorEastAsia"/>
          <w:sz w:val="24"/>
        </w:rPr>
        <w:t>。</w:t>
      </w:r>
    </w:p>
    <w:p>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pPr>
        <w:spacing w:line="360" w:lineRule="auto"/>
        <w:ind w:firstLine="448" w:firstLineChars="200"/>
        <w:rPr>
          <w:sz w:val="24"/>
        </w:rPr>
      </w:pPr>
      <w:r>
        <w:rPr>
          <w:rFonts w:hint="eastAsia"/>
          <w:sz w:val="24"/>
        </w:rPr>
        <w:t xml:space="preserve">10. </w:t>
      </w:r>
      <w:r>
        <w:rPr>
          <w:rFonts w:hint="eastAsia" w:hAnsiTheme="minorEastAsia"/>
          <w:sz w:val="24"/>
        </w:rPr>
        <w:t>我公司完全认同招标文件中对于节能产品政府采购强制采购产品范围的划定。</w:t>
      </w:r>
    </w:p>
    <w:p>
      <w:pPr>
        <w:spacing w:line="360" w:lineRule="auto"/>
        <w:ind w:firstLine="448" w:firstLineChars="200"/>
        <w:rPr>
          <w:sz w:val="24"/>
        </w:rPr>
      </w:pPr>
      <w:r>
        <w:rPr>
          <w:rFonts w:hint="eastAsia"/>
          <w:sz w:val="24"/>
        </w:rPr>
        <w:t>11</w:t>
      </w:r>
      <w:r>
        <w:rPr>
          <w:sz w:val="24"/>
        </w:rPr>
        <w:t>.</w:t>
      </w:r>
      <w:r>
        <w:rPr>
          <w:rFonts w:hAnsiTheme="minorEastAsia"/>
          <w:sz w:val="24"/>
        </w:rPr>
        <w:t>我公司若中标，本承诺将成为合同不可分割的一部分，与合同具有同等的法律效力。</w:t>
      </w:r>
    </w:p>
    <w:p>
      <w:pPr>
        <w:spacing w:line="360" w:lineRule="auto"/>
        <w:ind w:firstLine="448" w:firstLineChars="200"/>
        <w:rPr>
          <w:sz w:val="24"/>
        </w:rPr>
      </w:pPr>
      <w:r>
        <w:rPr>
          <w:rFonts w:hint="eastAsia"/>
          <w:sz w:val="24"/>
        </w:rPr>
        <w:t xml:space="preserve">12. </w:t>
      </w:r>
      <w:r>
        <w:rPr>
          <w:rFonts w:hint="eastAsia" w:hAnsiTheme="minorEastAsia"/>
          <w:sz w:val="24"/>
        </w:rPr>
        <w:t>如违反上述承诺，我公司投标无效且接受相关部门依法作出的处罚，并承担通过</w:t>
      </w:r>
      <w:r>
        <w:rPr>
          <w:rFonts w:hint="eastAsia"/>
          <w:sz w:val="24"/>
        </w:rPr>
        <w:t>“</w:t>
      </w:r>
      <w:r>
        <w:rPr>
          <w:rFonts w:hint="eastAsia" w:hAnsiTheme="minorEastAsia"/>
          <w:sz w:val="24"/>
        </w:rPr>
        <w:t>天津市政府采购网</w:t>
      </w:r>
      <w:r>
        <w:rPr>
          <w:rFonts w:hint="eastAsia"/>
          <w:sz w:val="24"/>
        </w:rPr>
        <w:t>”</w:t>
      </w:r>
      <w:r>
        <w:rPr>
          <w:rFonts w:hint="eastAsia" w:hAnsiTheme="minorEastAsia"/>
          <w:sz w:val="24"/>
        </w:rPr>
        <w:t>等相关媒体予以公布的任何风险和责任。</w:t>
      </w:r>
    </w:p>
    <w:p>
      <w:pPr>
        <w:spacing w:line="360" w:lineRule="auto"/>
        <w:ind w:firstLine="448" w:firstLineChars="200"/>
        <w:rPr>
          <w:sz w:val="24"/>
        </w:rPr>
      </w:pPr>
      <w:r>
        <w:rPr>
          <w:rFonts w:hint="eastAsia"/>
          <w:sz w:val="24"/>
        </w:rPr>
        <w:t>13</w:t>
      </w:r>
      <w:r>
        <w:rPr>
          <w:sz w:val="24"/>
        </w:rPr>
        <w:t>.</w:t>
      </w:r>
      <w:r>
        <w:rPr>
          <w:rFonts w:hAnsiTheme="minorEastAsia"/>
          <w:sz w:val="24"/>
        </w:rPr>
        <w:t>与本投标有关的一切正式往来通讯请寄：</w:t>
      </w:r>
    </w:p>
    <w:p>
      <w:pPr>
        <w:spacing w:line="360" w:lineRule="auto"/>
        <w:ind w:firstLine="448" w:firstLineChars="200"/>
        <w:rPr>
          <w:sz w:val="24"/>
        </w:rPr>
      </w:pPr>
    </w:p>
    <w:p>
      <w:pPr>
        <w:spacing w:line="360" w:lineRule="auto"/>
        <w:ind w:firstLine="448" w:firstLineChars="200"/>
        <w:rPr>
          <w:sz w:val="24"/>
        </w:rPr>
      </w:pPr>
      <w:r>
        <w:rPr>
          <w:rFonts w:hAnsiTheme="minorEastAsia"/>
          <w:sz w:val="24"/>
        </w:rPr>
        <w:t>地址：</w:t>
      </w:r>
    </w:p>
    <w:p>
      <w:pPr>
        <w:spacing w:line="360" w:lineRule="auto"/>
        <w:ind w:firstLine="448" w:firstLineChars="200"/>
        <w:rPr>
          <w:sz w:val="24"/>
        </w:rPr>
      </w:pPr>
      <w:r>
        <w:rPr>
          <w:rFonts w:hAnsiTheme="minorEastAsia"/>
          <w:sz w:val="24"/>
        </w:rPr>
        <w:t>邮政编码：</w:t>
      </w:r>
    </w:p>
    <w:p>
      <w:pPr>
        <w:spacing w:line="360" w:lineRule="auto"/>
        <w:ind w:firstLine="448" w:firstLineChars="200"/>
        <w:rPr>
          <w:sz w:val="24"/>
        </w:rPr>
      </w:pPr>
      <w:r>
        <w:rPr>
          <w:rFonts w:hAnsiTheme="minorEastAsia"/>
          <w:sz w:val="24"/>
        </w:rPr>
        <w:t>电话：</w:t>
      </w:r>
    </w:p>
    <w:p>
      <w:pPr>
        <w:spacing w:line="360" w:lineRule="auto"/>
        <w:ind w:firstLine="448" w:firstLineChars="200"/>
        <w:rPr>
          <w:sz w:val="24"/>
        </w:rPr>
      </w:pPr>
      <w:r>
        <w:rPr>
          <w:rFonts w:hAnsiTheme="minorEastAsia"/>
          <w:sz w:val="24"/>
        </w:rPr>
        <w:t>传真：</w:t>
      </w:r>
    </w:p>
    <w:p>
      <w:pPr>
        <w:spacing w:line="360" w:lineRule="auto"/>
        <w:ind w:firstLine="3808" w:firstLineChars="1700"/>
        <w:rPr>
          <w:sz w:val="24"/>
        </w:rPr>
      </w:pPr>
      <w:r>
        <w:rPr>
          <w:rFonts w:hAnsiTheme="minorEastAsia"/>
          <w:sz w:val="24"/>
        </w:rPr>
        <w:t>投标人名称：</w:t>
      </w:r>
    </w:p>
    <w:p>
      <w:pPr>
        <w:spacing w:line="360" w:lineRule="auto"/>
        <w:ind w:firstLine="3808" w:firstLineChars="1700"/>
        <w:rPr>
          <w:sz w:val="24"/>
        </w:rPr>
      </w:pPr>
      <w:r>
        <w:rPr>
          <w:rFonts w:hAnsiTheme="minorEastAsia"/>
          <w:sz w:val="24"/>
        </w:rPr>
        <w:t>日期：年月日</w:t>
      </w:r>
    </w:p>
    <w:p>
      <w:pPr>
        <w:spacing w:line="460" w:lineRule="exact"/>
        <w:rPr>
          <w:sz w:val="24"/>
        </w:rPr>
      </w:pPr>
    </w:p>
    <w:p>
      <w:pPr>
        <w:widowControl/>
        <w:jc w:val="left"/>
        <w:rPr>
          <w:sz w:val="24"/>
        </w:rPr>
      </w:pPr>
      <w:r>
        <w:rPr>
          <w:sz w:val="24"/>
        </w:rPr>
        <w:br w:type="page"/>
      </w:r>
    </w:p>
    <w:p>
      <w:pPr>
        <w:tabs>
          <w:tab w:val="left" w:pos="360"/>
        </w:tabs>
        <w:spacing w:afterLines="100" w:line="360" w:lineRule="auto"/>
        <w:ind w:firstLine="448" w:firstLineChars="200"/>
        <w:rPr>
          <w:sz w:val="24"/>
        </w:rPr>
      </w:pPr>
      <w:r>
        <w:rPr>
          <w:rFonts w:hAnsiTheme="minorEastAsia"/>
          <w:sz w:val="24"/>
        </w:rPr>
        <w:t>附件</w:t>
      </w:r>
      <w:r>
        <w:rPr>
          <w:rFonts w:hint="eastAsia"/>
          <w:sz w:val="24"/>
        </w:rPr>
        <w:t>2</w:t>
      </w:r>
    </w:p>
    <w:p>
      <w:pPr>
        <w:autoSpaceDN w:val="0"/>
        <w:spacing w:line="360" w:lineRule="auto"/>
        <w:jc w:val="center"/>
        <w:rPr>
          <w:b/>
          <w:bCs/>
          <w:sz w:val="24"/>
        </w:rPr>
      </w:pPr>
      <w:r>
        <w:rPr>
          <w:rFonts w:hint="eastAsia" w:hAnsiTheme="minorEastAsia"/>
          <w:b/>
          <w:bCs/>
          <w:sz w:val="24"/>
        </w:rPr>
        <w:t>供应商资格要求证明文件</w:t>
      </w:r>
    </w:p>
    <w:p>
      <w:pPr>
        <w:spacing w:line="620" w:lineRule="exact"/>
        <w:rPr>
          <w:sz w:val="24"/>
        </w:rPr>
      </w:pPr>
    </w:p>
    <w:p>
      <w:pPr>
        <w:spacing w:line="620" w:lineRule="exact"/>
        <w:rPr>
          <w:sz w:val="24"/>
        </w:rPr>
      </w:pPr>
    </w:p>
    <w:p>
      <w:pPr>
        <w:spacing w:line="620" w:lineRule="exact"/>
        <w:rPr>
          <w:sz w:val="24"/>
        </w:rPr>
      </w:pPr>
    </w:p>
    <w:p>
      <w:pPr>
        <w:spacing w:line="620" w:lineRule="exact"/>
        <w:rPr>
          <w:sz w:val="24"/>
        </w:rPr>
      </w:pPr>
    </w:p>
    <w:p>
      <w:pPr>
        <w:spacing w:line="620" w:lineRule="exact"/>
        <w:rPr>
          <w:sz w:val="24"/>
        </w:rPr>
      </w:pPr>
    </w:p>
    <w:p>
      <w:pPr>
        <w:spacing w:line="620" w:lineRule="exact"/>
        <w:rPr>
          <w:sz w:val="24"/>
        </w:rPr>
      </w:pPr>
    </w:p>
    <w:p>
      <w:pPr>
        <w:spacing w:line="360" w:lineRule="auto"/>
        <w:ind w:firstLine="672" w:firstLineChars="300"/>
        <w:rPr>
          <w:sz w:val="24"/>
        </w:rPr>
      </w:pPr>
      <w:r>
        <w:rPr>
          <w:rFonts w:hAnsiTheme="minorEastAsia"/>
          <w:sz w:val="24"/>
        </w:rPr>
        <w:t>注：相关证明材料应附在此页后面。</w:t>
      </w:r>
    </w:p>
    <w:p>
      <w:pPr>
        <w:spacing w:line="620" w:lineRule="exact"/>
        <w:rPr>
          <w:sz w:val="24"/>
        </w:rPr>
      </w:pPr>
    </w:p>
    <w:p>
      <w:pPr>
        <w:spacing w:line="620" w:lineRule="exact"/>
        <w:rPr>
          <w:sz w:val="24"/>
        </w:rPr>
      </w:pPr>
    </w:p>
    <w:p>
      <w:pPr>
        <w:spacing w:line="460" w:lineRule="exact"/>
        <w:rPr>
          <w:sz w:val="24"/>
        </w:rPr>
      </w:pPr>
    </w:p>
    <w:p>
      <w:pPr>
        <w:widowControl/>
        <w:jc w:val="left"/>
        <w:rPr>
          <w:sz w:val="24"/>
        </w:rPr>
      </w:pPr>
      <w:r>
        <w:rPr>
          <w:sz w:val="24"/>
        </w:rPr>
        <w:br w:type="page"/>
      </w:r>
    </w:p>
    <w:p>
      <w:pPr>
        <w:tabs>
          <w:tab w:val="left" w:pos="360"/>
        </w:tabs>
        <w:spacing w:afterLines="100" w:line="360" w:lineRule="auto"/>
        <w:ind w:firstLine="448" w:firstLineChars="200"/>
        <w:rPr>
          <w:sz w:val="24"/>
        </w:rPr>
      </w:pPr>
      <w:r>
        <w:rPr>
          <w:rFonts w:hAnsiTheme="minorEastAsia"/>
          <w:sz w:val="24"/>
        </w:rPr>
        <w:t>附件</w:t>
      </w:r>
      <w:r>
        <w:rPr>
          <w:rFonts w:hint="eastAsia"/>
          <w:sz w:val="24"/>
        </w:rPr>
        <w:t>3</w:t>
      </w:r>
    </w:p>
    <w:p>
      <w:pPr>
        <w:autoSpaceDN w:val="0"/>
        <w:spacing w:line="360" w:lineRule="auto"/>
        <w:jc w:val="center"/>
        <w:rPr>
          <w:b/>
          <w:bCs/>
          <w:sz w:val="24"/>
        </w:rPr>
      </w:pPr>
      <w:r>
        <w:rPr>
          <w:b/>
          <w:bCs/>
          <w:sz w:val="24"/>
        </w:rPr>
        <w:t>法定代表人授权书</w:t>
      </w:r>
    </w:p>
    <w:p>
      <w:pPr>
        <w:spacing w:line="360" w:lineRule="auto"/>
        <w:rPr>
          <w:sz w:val="24"/>
          <w:szCs w:val="21"/>
        </w:rPr>
      </w:pPr>
    </w:p>
    <w:p>
      <w:pPr>
        <w:spacing w:line="360" w:lineRule="auto"/>
        <w:rPr>
          <w:sz w:val="24"/>
          <w:szCs w:val="21"/>
        </w:rPr>
      </w:pPr>
      <w:r>
        <w:rPr>
          <w:sz w:val="24"/>
          <w:szCs w:val="21"/>
        </w:rPr>
        <w:t>致：天津市</w:t>
      </w:r>
      <w:r>
        <w:rPr>
          <w:rFonts w:hint="eastAsia"/>
          <w:sz w:val="24"/>
          <w:szCs w:val="21"/>
        </w:rPr>
        <w:t>滨海新区</w:t>
      </w:r>
      <w:r>
        <w:rPr>
          <w:sz w:val="24"/>
          <w:szCs w:val="21"/>
        </w:rPr>
        <w:t>政府采购中心</w:t>
      </w:r>
    </w:p>
    <w:p>
      <w:pPr>
        <w:snapToGrid w:val="0"/>
        <w:spacing w:line="360" w:lineRule="auto"/>
        <w:ind w:firstLine="448" w:firstLineChars="200"/>
        <w:rPr>
          <w:sz w:val="24"/>
          <w:szCs w:val="21"/>
        </w:rPr>
      </w:pPr>
      <w:r>
        <w:rPr>
          <w:rFonts w:hint="eastAsia"/>
          <w:sz w:val="24"/>
          <w:szCs w:val="21"/>
        </w:rPr>
        <w:t>我单位授权委托在职职工</w:t>
      </w:r>
      <w:r>
        <w:rPr>
          <w:sz w:val="24"/>
          <w:szCs w:val="21"/>
        </w:rPr>
        <w:t>_______________</w:t>
      </w:r>
      <w:r>
        <w:rPr>
          <w:rFonts w:hint="eastAsia"/>
          <w:sz w:val="24"/>
          <w:szCs w:val="21"/>
        </w:rPr>
        <w:t>（姓名，职务）（身份证号码：</w:t>
      </w:r>
      <w:r>
        <w:rPr>
          <w:sz w:val="24"/>
          <w:szCs w:val="21"/>
        </w:rPr>
        <w:t>____________________</w:t>
      </w:r>
      <w:r>
        <w:rPr>
          <w:rFonts w:hint="eastAsia"/>
          <w:sz w:val="24"/>
          <w:szCs w:val="21"/>
        </w:rPr>
        <w:t>，本月社保缴纳单位：，联系电话：</w:t>
      </w:r>
      <w:r>
        <w:rPr>
          <w:sz w:val="24"/>
          <w:szCs w:val="21"/>
        </w:rPr>
        <w:t>_______________</w:t>
      </w:r>
      <w:r>
        <w:rPr>
          <w:rFonts w:hint="eastAsia"/>
          <w:sz w:val="24"/>
          <w:szCs w:val="21"/>
        </w:rPr>
        <w:t>）</w:t>
      </w:r>
      <w:r>
        <w:rPr>
          <w:sz w:val="24"/>
          <w:szCs w:val="21"/>
        </w:rPr>
        <w:t>作为投标代表人以我方的名义参加贵中心______________________项目（项目编号：_______________）的投标活动，并代表我方全权办理针对上述项目的投标、开标、投标文件澄清、</w:t>
      </w:r>
      <w:r>
        <w:rPr>
          <w:rFonts w:hint="eastAsia"/>
          <w:sz w:val="24"/>
          <w:szCs w:val="21"/>
        </w:rPr>
        <w:t>说明或者更正等一切具体事务和签署相关文件。</w:t>
      </w:r>
    </w:p>
    <w:p>
      <w:pPr>
        <w:spacing w:line="360" w:lineRule="auto"/>
        <w:ind w:firstLine="448" w:firstLineChars="200"/>
        <w:rPr>
          <w:sz w:val="24"/>
          <w:szCs w:val="21"/>
        </w:rPr>
      </w:pPr>
      <w:r>
        <w:rPr>
          <w:rFonts w:hint="eastAsia"/>
          <w:sz w:val="24"/>
          <w:szCs w:val="21"/>
        </w:rPr>
        <w:t>我方对投标代表人的签名事项负全部责任。</w:t>
      </w:r>
    </w:p>
    <w:p>
      <w:pPr>
        <w:spacing w:line="360" w:lineRule="auto"/>
        <w:ind w:firstLine="448" w:firstLineChars="200"/>
        <w:rPr>
          <w:sz w:val="24"/>
          <w:szCs w:val="21"/>
        </w:rPr>
      </w:pPr>
      <w:r>
        <w:rPr>
          <w:rFonts w:hint="eastAsia"/>
          <w:sz w:val="24"/>
          <w:szCs w:val="21"/>
        </w:rPr>
        <w:t>我单位对填写的上述授权代表的社保缴纳单位信息的真实性负责，如有不实，愿承担相应的责任。</w:t>
      </w:r>
    </w:p>
    <w:p>
      <w:pPr>
        <w:spacing w:line="360" w:lineRule="auto"/>
        <w:ind w:firstLine="448" w:firstLineChars="200"/>
        <w:rPr>
          <w:sz w:val="24"/>
          <w:szCs w:val="21"/>
        </w:rPr>
      </w:pPr>
      <w:r>
        <w:rPr>
          <w:rFonts w:hint="eastAsia"/>
          <w:sz w:val="24"/>
          <w:szCs w:val="21"/>
        </w:rPr>
        <w:t>本授权书至投标有效期结束前始终有效。</w:t>
      </w:r>
    </w:p>
    <w:p>
      <w:pPr>
        <w:spacing w:line="360" w:lineRule="auto"/>
        <w:ind w:firstLine="448" w:firstLineChars="200"/>
        <w:rPr>
          <w:sz w:val="24"/>
        </w:rPr>
      </w:pPr>
      <w:r>
        <w:rPr>
          <w:rFonts w:hint="eastAsia"/>
          <w:sz w:val="24"/>
          <w:szCs w:val="21"/>
        </w:rPr>
        <w:t>投标代表人无转委托权，特此委托。</w:t>
      </w:r>
    </w:p>
    <w:p>
      <w:pPr>
        <w:spacing w:line="360" w:lineRule="auto"/>
        <w:ind w:firstLine="448" w:firstLineChars="200"/>
        <w:rPr>
          <w:sz w:val="24"/>
        </w:rPr>
      </w:pPr>
    </w:p>
    <w:p>
      <w:pPr>
        <w:spacing w:line="480" w:lineRule="auto"/>
        <w:ind w:right="480" w:firstLine="4032" w:firstLineChars="1800"/>
        <w:rPr>
          <w:sz w:val="24"/>
        </w:rPr>
      </w:pPr>
    </w:p>
    <w:p>
      <w:pPr>
        <w:spacing w:line="480" w:lineRule="auto"/>
        <w:jc w:val="center"/>
        <w:rPr>
          <w:sz w:val="24"/>
        </w:rPr>
      </w:pPr>
      <w:r>
        <w:rPr>
          <w:sz w:val="24"/>
        </w:rPr>
        <w:t>法定代表人签字或名章：</w:t>
      </w:r>
    </w:p>
    <w:p>
      <w:pPr>
        <w:spacing w:line="480" w:lineRule="auto"/>
        <w:jc w:val="center"/>
        <w:rPr>
          <w:sz w:val="24"/>
        </w:rPr>
      </w:pPr>
      <w:r>
        <w:rPr>
          <w:sz w:val="24"/>
        </w:rPr>
        <w:t>年月日</w:t>
      </w:r>
    </w:p>
    <w:p>
      <w:pPr>
        <w:spacing w:line="360" w:lineRule="auto"/>
        <w:ind w:firstLine="4704" w:firstLineChars="2100"/>
        <w:rPr>
          <w:sz w:val="24"/>
        </w:rPr>
      </w:pP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pPr>
              <w:spacing w:line="360" w:lineRule="auto"/>
              <w:jc w:val="left"/>
              <w:rPr>
                <w:sz w:val="24"/>
              </w:rPr>
            </w:pPr>
            <w:r>
              <w:rPr>
                <w:sz w:val="24"/>
              </w:rPr>
              <w:t>投标代表人身份证正面</w:t>
            </w:r>
          </w:p>
          <w:p>
            <w:pPr>
              <w:spacing w:line="360" w:lineRule="auto"/>
              <w:jc w:val="left"/>
              <w:rPr>
                <w:sz w:val="24"/>
              </w:rPr>
            </w:pPr>
          </w:p>
          <w:p>
            <w:pPr>
              <w:spacing w:line="360" w:lineRule="auto"/>
              <w:jc w:val="left"/>
              <w:rPr>
                <w:sz w:val="24"/>
              </w:rPr>
            </w:pPr>
          </w:p>
          <w:p>
            <w:pPr>
              <w:spacing w:line="360" w:lineRule="auto"/>
              <w:jc w:val="left"/>
              <w:rPr>
                <w:sz w:val="24"/>
              </w:rPr>
            </w:pPr>
          </w:p>
          <w:p>
            <w:pPr>
              <w:spacing w:line="360" w:lineRule="auto"/>
              <w:jc w:val="left"/>
              <w:rPr>
                <w:sz w:val="24"/>
              </w:rPr>
            </w:pPr>
          </w:p>
          <w:p>
            <w:pPr>
              <w:spacing w:line="360" w:lineRule="auto"/>
              <w:jc w:val="left"/>
              <w:rPr>
                <w:sz w:val="24"/>
              </w:rPr>
            </w:pPr>
          </w:p>
        </w:tc>
        <w:tc>
          <w:tcPr>
            <w:tcW w:w="4264" w:type="dxa"/>
          </w:tcPr>
          <w:p>
            <w:pPr>
              <w:spacing w:line="360" w:lineRule="auto"/>
              <w:jc w:val="left"/>
              <w:rPr>
                <w:sz w:val="24"/>
              </w:rPr>
            </w:pPr>
            <w:r>
              <w:rPr>
                <w:sz w:val="24"/>
              </w:rPr>
              <w:t>投标代表人身份证背面</w:t>
            </w:r>
          </w:p>
        </w:tc>
      </w:tr>
    </w:tbl>
    <w:p>
      <w:pPr>
        <w:spacing w:line="360" w:lineRule="auto"/>
        <w:rPr>
          <w:sz w:val="24"/>
        </w:rPr>
      </w:pPr>
      <w:r>
        <w:rPr>
          <w:sz w:val="24"/>
        </w:rPr>
        <w:t>此授权书填写完毕后打印，由法定代表人签字或加盖名章，扫描后放入电子投标文件。</w:t>
      </w:r>
    </w:p>
    <w:p>
      <w:pPr>
        <w:widowControl/>
        <w:jc w:val="left"/>
        <w:rPr>
          <w:sz w:val="24"/>
        </w:rPr>
      </w:pPr>
      <w:r>
        <w:rPr>
          <w:sz w:val="24"/>
        </w:rPr>
        <w:br w:type="page"/>
      </w:r>
    </w:p>
    <w:p>
      <w:pPr>
        <w:widowControl/>
        <w:jc w:val="left"/>
        <w:rPr>
          <w:sz w:val="24"/>
        </w:rPr>
      </w:pPr>
      <w:r>
        <w:rPr>
          <w:rFonts w:hAnsiTheme="minorEastAsia"/>
          <w:sz w:val="24"/>
        </w:rPr>
        <w:t>附件</w:t>
      </w:r>
      <w:r>
        <w:rPr>
          <w:rFonts w:hint="eastAsia"/>
          <w:sz w:val="24"/>
        </w:rPr>
        <w:t>4</w:t>
      </w:r>
    </w:p>
    <w:p>
      <w:pPr>
        <w:autoSpaceDN w:val="0"/>
        <w:spacing w:line="360" w:lineRule="auto"/>
        <w:jc w:val="center"/>
        <w:rPr>
          <w:b/>
          <w:bCs/>
          <w:sz w:val="24"/>
        </w:rPr>
      </w:pPr>
      <w:r>
        <w:rPr>
          <w:rFonts w:hAnsiTheme="minorEastAsia"/>
          <w:b/>
          <w:bCs/>
          <w:sz w:val="24"/>
        </w:rPr>
        <w:t>开标一览表</w:t>
      </w:r>
    </w:p>
    <w:p>
      <w:pPr>
        <w:ind w:right="84"/>
        <w:rPr>
          <w:sz w:val="24"/>
        </w:rPr>
      </w:pPr>
    </w:p>
    <w:p>
      <w:pPr>
        <w:spacing w:line="460" w:lineRule="exact"/>
        <w:ind w:left="192"/>
        <w:rPr>
          <w:sz w:val="24"/>
        </w:rPr>
      </w:pPr>
      <w:r>
        <w:rPr>
          <w:rFonts w:hAnsiTheme="minorEastAsia"/>
          <w:sz w:val="24"/>
        </w:rPr>
        <w:t>项目名称：</w:t>
      </w:r>
    </w:p>
    <w:p>
      <w:pPr>
        <w:spacing w:line="460" w:lineRule="exact"/>
        <w:ind w:left="192"/>
        <w:rPr>
          <w:sz w:val="24"/>
        </w:rPr>
      </w:pPr>
      <w:r>
        <w:rPr>
          <w:rFonts w:hAnsiTheme="minorEastAsia"/>
          <w:sz w:val="24"/>
        </w:rPr>
        <w:t>项目编号：</w:t>
      </w:r>
    </w:p>
    <w:p>
      <w:pPr>
        <w:spacing w:line="460" w:lineRule="exact"/>
        <w:rPr>
          <w:sz w:val="24"/>
        </w:rPr>
      </w:pPr>
      <w:r>
        <w:rPr>
          <w:rFonts w:hAnsiTheme="minorEastAsia"/>
          <w:sz w:val="24"/>
        </w:rPr>
        <w:t>单位：元</w:t>
      </w:r>
    </w:p>
    <w:tbl>
      <w:tblPr>
        <w:tblStyle w:val="2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1707"/>
        <w:gridCol w:w="1463"/>
        <w:gridCol w:w="1605"/>
        <w:gridCol w:w="1463"/>
        <w:gridCol w:w="13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pPr>
              <w:spacing w:line="460" w:lineRule="exact"/>
              <w:jc w:val="center"/>
              <w:rPr>
                <w:sz w:val="24"/>
              </w:rPr>
            </w:pPr>
            <w:r>
              <w:rPr>
                <w:rFonts w:hint="eastAsia" w:hAnsiTheme="minorEastAsia"/>
                <w:sz w:val="24"/>
              </w:rPr>
              <w:t>包</w:t>
            </w:r>
            <w:r>
              <w:rPr>
                <w:rFonts w:hAnsiTheme="minorEastAsia"/>
                <w:sz w:val="24"/>
              </w:rPr>
              <w:t>号</w:t>
            </w:r>
          </w:p>
        </w:tc>
        <w:tc>
          <w:tcPr>
            <w:tcW w:w="1001" w:type="pct"/>
            <w:vAlign w:val="center"/>
          </w:tcPr>
          <w:p>
            <w:pPr>
              <w:spacing w:line="460" w:lineRule="exact"/>
              <w:jc w:val="center"/>
              <w:rPr>
                <w:sz w:val="24"/>
              </w:rPr>
            </w:pPr>
            <w:r>
              <w:rPr>
                <w:rFonts w:hint="eastAsia" w:hAnsiTheme="minorEastAsia"/>
                <w:sz w:val="24"/>
              </w:rPr>
              <w:t>包</w:t>
            </w:r>
            <w:r>
              <w:rPr>
                <w:rFonts w:hAnsiTheme="minorEastAsia"/>
                <w:sz w:val="24"/>
              </w:rPr>
              <w:t>名称</w:t>
            </w:r>
          </w:p>
        </w:tc>
        <w:tc>
          <w:tcPr>
            <w:tcW w:w="858" w:type="pct"/>
            <w:vAlign w:val="center"/>
          </w:tcPr>
          <w:p>
            <w:pPr>
              <w:spacing w:line="460" w:lineRule="exact"/>
              <w:jc w:val="center"/>
              <w:rPr>
                <w:sz w:val="24"/>
              </w:rPr>
            </w:pPr>
            <w:r>
              <w:rPr>
                <w:rFonts w:hAnsiTheme="minorEastAsia"/>
                <w:sz w:val="24"/>
              </w:rPr>
              <w:t>品牌</w:t>
            </w:r>
          </w:p>
        </w:tc>
        <w:tc>
          <w:tcPr>
            <w:tcW w:w="941" w:type="pct"/>
            <w:vAlign w:val="center"/>
          </w:tcPr>
          <w:p>
            <w:pPr>
              <w:spacing w:line="460" w:lineRule="exact"/>
              <w:jc w:val="center"/>
              <w:rPr>
                <w:sz w:val="24"/>
              </w:rPr>
            </w:pPr>
            <w:r>
              <w:rPr>
                <w:rFonts w:hAnsiTheme="minorEastAsia"/>
                <w:sz w:val="24"/>
              </w:rPr>
              <w:t>投标总价</w:t>
            </w:r>
          </w:p>
        </w:tc>
        <w:tc>
          <w:tcPr>
            <w:tcW w:w="858" w:type="pct"/>
            <w:vAlign w:val="center"/>
          </w:tcPr>
          <w:p>
            <w:pPr>
              <w:spacing w:line="460" w:lineRule="exact"/>
              <w:jc w:val="center"/>
              <w:rPr>
                <w:sz w:val="24"/>
              </w:rPr>
            </w:pPr>
            <w:r>
              <w:rPr>
                <w:rFonts w:hAnsiTheme="minorEastAsia"/>
                <w:sz w:val="24"/>
              </w:rPr>
              <w:t>交货期</w:t>
            </w:r>
          </w:p>
        </w:tc>
        <w:tc>
          <w:tcPr>
            <w:tcW w:w="770" w:type="pct"/>
            <w:vAlign w:val="center"/>
          </w:tcPr>
          <w:p>
            <w:pPr>
              <w:spacing w:line="460" w:lineRule="exact"/>
              <w:jc w:val="center"/>
              <w:rPr>
                <w:sz w:val="24"/>
              </w:rPr>
            </w:pPr>
            <w:r>
              <w:rPr>
                <w:rFonts w:hAnsiTheme="minorEastAsia"/>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pPr>
              <w:spacing w:line="460" w:lineRule="exact"/>
              <w:jc w:val="center"/>
              <w:rPr>
                <w:sz w:val="24"/>
              </w:rPr>
            </w:pPr>
            <w:r>
              <w:rPr>
                <w:sz w:val="24"/>
              </w:rPr>
              <w:t>1</w:t>
            </w:r>
          </w:p>
        </w:tc>
        <w:tc>
          <w:tcPr>
            <w:tcW w:w="1001" w:type="pct"/>
            <w:vAlign w:val="center"/>
          </w:tcPr>
          <w:p>
            <w:pPr>
              <w:spacing w:line="460" w:lineRule="exact"/>
              <w:jc w:val="center"/>
              <w:rPr>
                <w:sz w:val="24"/>
              </w:rPr>
            </w:pPr>
          </w:p>
        </w:tc>
        <w:tc>
          <w:tcPr>
            <w:tcW w:w="858" w:type="pct"/>
            <w:vAlign w:val="center"/>
          </w:tcPr>
          <w:p>
            <w:pPr>
              <w:spacing w:line="460" w:lineRule="exact"/>
              <w:jc w:val="center"/>
              <w:rPr>
                <w:sz w:val="24"/>
              </w:rPr>
            </w:pPr>
          </w:p>
        </w:tc>
        <w:tc>
          <w:tcPr>
            <w:tcW w:w="941" w:type="pct"/>
            <w:vAlign w:val="center"/>
          </w:tcPr>
          <w:p>
            <w:pPr>
              <w:spacing w:line="460" w:lineRule="exact"/>
              <w:jc w:val="center"/>
              <w:rPr>
                <w:sz w:val="24"/>
              </w:rPr>
            </w:pPr>
          </w:p>
        </w:tc>
        <w:tc>
          <w:tcPr>
            <w:tcW w:w="858" w:type="pct"/>
            <w:vAlign w:val="center"/>
          </w:tcPr>
          <w:p>
            <w:pPr>
              <w:spacing w:line="460" w:lineRule="exact"/>
              <w:jc w:val="center"/>
              <w:rPr>
                <w:sz w:val="24"/>
              </w:rPr>
            </w:pPr>
          </w:p>
        </w:tc>
        <w:tc>
          <w:tcPr>
            <w:tcW w:w="770" w:type="pct"/>
            <w:vAlign w:val="center"/>
          </w:tcPr>
          <w:p>
            <w:pPr>
              <w:spacing w:line="460" w:lineRule="exact"/>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pPr>
              <w:spacing w:line="460" w:lineRule="exact"/>
              <w:jc w:val="center"/>
              <w:rPr>
                <w:sz w:val="24"/>
              </w:rPr>
            </w:pPr>
            <w:r>
              <w:rPr>
                <w:rFonts w:hint="eastAsia"/>
                <w:sz w:val="24"/>
              </w:rPr>
              <w:t>2</w:t>
            </w:r>
          </w:p>
        </w:tc>
        <w:tc>
          <w:tcPr>
            <w:tcW w:w="1001" w:type="pct"/>
            <w:vAlign w:val="center"/>
          </w:tcPr>
          <w:p>
            <w:pPr>
              <w:spacing w:line="460" w:lineRule="exact"/>
              <w:jc w:val="center"/>
              <w:rPr>
                <w:sz w:val="24"/>
              </w:rPr>
            </w:pPr>
          </w:p>
        </w:tc>
        <w:tc>
          <w:tcPr>
            <w:tcW w:w="858" w:type="pct"/>
            <w:vAlign w:val="center"/>
          </w:tcPr>
          <w:p>
            <w:pPr>
              <w:spacing w:line="460" w:lineRule="exact"/>
              <w:jc w:val="center"/>
              <w:rPr>
                <w:sz w:val="24"/>
              </w:rPr>
            </w:pPr>
          </w:p>
        </w:tc>
        <w:tc>
          <w:tcPr>
            <w:tcW w:w="941" w:type="pct"/>
            <w:vAlign w:val="center"/>
          </w:tcPr>
          <w:p>
            <w:pPr>
              <w:spacing w:line="460" w:lineRule="exact"/>
              <w:jc w:val="center"/>
              <w:rPr>
                <w:sz w:val="24"/>
              </w:rPr>
            </w:pPr>
          </w:p>
        </w:tc>
        <w:tc>
          <w:tcPr>
            <w:tcW w:w="858" w:type="pct"/>
            <w:vAlign w:val="center"/>
          </w:tcPr>
          <w:p>
            <w:pPr>
              <w:spacing w:line="460" w:lineRule="exact"/>
              <w:jc w:val="center"/>
              <w:rPr>
                <w:sz w:val="24"/>
              </w:rPr>
            </w:pPr>
          </w:p>
        </w:tc>
        <w:tc>
          <w:tcPr>
            <w:tcW w:w="770" w:type="pct"/>
            <w:vAlign w:val="center"/>
          </w:tcPr>
          <w:p>
            <w:pPr>
              <w:spacing w:line="460" w:lineRule="exact"/>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pPr>
              <w:spacing w:line="460" w:lineRule="exact"/>
              <w:jc w:val="center"/>
              <w:rPr>
                <w:sz w:val="24"/>
              </w:rPr>
            </w:pPr>
          </w:p>
        </w:tc>
        <w:tc>
          <w:tcPr>
            <w:tcW w:w="1001" w:type="pct"/>
            <w:vAlign w:val="center"/>
          </w:tcPr>
          <w:p>
            <w:pPr>
              <w:spacing w:line="460" w:lineRule="exact"/>
              <w:jc w:val="center"/>
              <w:rPr>
                <w:sz w:val="24"/>
              </w:rPr>
            </w:pPr>
          </w:p>
        </w:tc>
        <w:tc>
          <w:tcPr>
            <w:tcW w:w="858" w:type="pct"/>
            <w:vAlign w:val="center"/>
          </w:tcPr>
          <w:p>
            <w:pPr>
              <w:spacing w:line="460" w:lineRule="exact"/>
              <w:jc w:val="center"/>
              <w:rPr>
                <w:sz w:val="24"/>
              </w:rPr>
            </w:pPr>
          </w:p>
        </w:tc>
        <w:tc>
          <w:tcPr>
            <w:tcW w:w="941" w:type="pct"/>
            <w:vAlign w:val="center"/>
          </w:tcPr>
          <w:p>
            <w:pPr>
              <w:spacing w:line="460" w:lineRule="exact"/>
              <w:jc w:val="center"/>
              <w:rPr>
                <w:sz w:val="24"/>
              </w:rPr>
            </w:pPr>
          </w:p>
        </w:tc>
        <w:tc>
          <w:tcPr>
            <w:tcW w:w="858" w:type="pct"/>
            <w:vAlign w:val="center"/>
          </w:tcPr>
          <w:p>
            <w:pPr>
              <w:spacing w:line="460" w:lineRule="exact"/>
              <w:jc w:val="center"/>
              <w:rPr>
                <w:sz w:val="24"/>
              </w:rPr>
            </w:pPr>
          </w:p>
        </w:tc>
        <w:tc>
          <w:tcPr>
            <w:tcW w:w="770" w:type="pct"/>
            <w:vAlign w:val="center"/>
          </w:tcPr>
          <w:p>
            <w:pPr>
              <w:spacing w:line="460" w:lineRule="exact"/>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pPr>
              <w:spacing w:line="460" w:lineRule="exact"/>
              <w:jc w:val="center"/>
              <w:rPr>
                <w:sz w:val="24"/>
              </w:rPr>
            </w:pPr>
          </w:p>
        </w:tc>
        <w:tc>
          <w:tcPr>
            <w:tcW w:w="1001" w:type="pct"/>
            <w:vAlign w:val="center"/>
          </w:tcPr>
          <w:p>
            <w:pPr>
              <w:spacing w:line="460" w:lineRule="exact"/>
              <w:jc w:val="center"/>
              <w:rPr>
                <w:sz w:val="24"/>
              </w:rPr>
            </w:pPr>
          </w:p>
        </w:tc>
        <w:tc>
          <w:tcPr>
            <w:tcW w:w="858" w:type="pct"/>
            <w:vAlign w:val="center"/>
          </w:tcPr>
          <w:p>
            <w:pPr>
              <w:spacing w:line="460" w:lineRule="exact"/>
              <w:jc w:val="center"/>
              <w:rPr>
                <w:sz w:val="24"/>
              </w:rPr>
            </w:pPr>
          </w:p>
        </w:tc>
        <w:tc>
          <w:tcPr>
            <w:tcW w:w="941" w:type="pct"/>
            <w:vAlign w:val="center"/>
          </w:tcPr>
          <w:p>
            <w:pPr>
              <w:spacing w:line="460" w:lineRule="exact"/>
              <w:jc w:val="center"/>
              <w:rPr>
                <w:sz w:val="24"/>
              </w:rPr>
            </w:pPr>
          </w:p>
        </w:tc>
        <w:tc>
          <w:tcPr>
            <w:tcW w:w="858" w:type="pct"/>
            <w:vAlign w:val="center"/>
          </w:tcPr>
          <w:p>
            <w:pPr>
              <w:spacing w:line="460" w:lineRule="exact"/>
              <w:jc w:val="center"/>
              <w:rPr>
                <w:sz w:val="24"/>
              </w:rPr>
            </w:pPr>
          </w:p>
        </w:tc>
        <w:tc>
          <w:tcPr>
            <w:tcW w:w="770" w:type="pct"/>
            <w:vAlign w:val="center"/>
          </w:tcPr>
          <w:p>
            <w:pPr>
              <w:spacing w:line="460" w:lineRule="exact"/>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pPr>
              <w:spacing w:line="460" w:lineRule="exact"/>
              <w:jc w:val="center"/>
              <w:rPr>
                <w:sz w:val="24"/>
              </w:rPr>
            </w:pPr>
          </w:p>
        </w:tc>
        <w:tc>
          <w:tcPr>
            <w:tcW w:w="1001" w:type="pct"/>
            <w:vAlign w:val="center"/>
          </w:tcPr>
          <w:p>
            <w:pPr>
              <w:spacing w:line="460" w:lineRule="exact"/>
              <w:jc w:val="center"/>
              <w:rPr>
                <w:sz w:val="24"/>
              </w:rPr>
            </w:pPr>
          </w:p>
        </w:tc>
        <w:tc>
          <w:tcPr>
            <w:tcW w:w="858" w:type="pct"/>
            <w:vAlign w:val="center"/>
          </w:tcPr>
          <w:p>
            <w:pPr>
              <w:spacing w:line="460" w:lineRule="exact"/>
              <w:jc w:val="center"/>
              <w:rPr>
                <w:sz w:val="24"/>
              </w:rPr>
            </w:pPr>
          </w:p>
        </w:tc>
        <w:tc>
          <w:tcPr>
            <w:tcW w:w="941" w:type="pct"/>
            <w:vAlign w:val="center"/>
          </w:tcPr>
          <w:p>
            <w:pPr>
              <w:spacing w:line="460" w:lineRule="exact"/>
              <w:jc w:val="center"/>
              <w:rPr>
                <w:sz w:val="24"/>
              </w:rPr>
            </w:pPr>
          </w:p>
        </w:tc>
        <w:tc>
          <w:tcPr>
            <w:tcW w:w="858" w:type="pct"/>
            <w:vAlign w:val="center"/>
          </w:tcPr>
          <w:p>
            <w:pPr>
              <w:spacing w:line="460" w:lineRule="exact"/>
              <w:jc w:val="center"/>
              <w:rPr>
                <w:sz w:val="24"/>
              </w:rPr>
            </w:pPr>
          </w:p>
        </w:tc>
        <w:tc>
          <w:tcPr>
            <w:tcW w:w="770" w:type="pct"/>
            <w:vAlign w:val="center"/>
          </w:tcPr>
          <w:p>
            <w:pPr>
              <w:spacing w:line="460" w:lineRule="exact"/>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pPr>
              <w:spacing w:line="460" w:lineRule="exact"/>
              <w:jc w:val="center"/>
              <w:rPr>
                <w:sz w:val="24"/>
              </w:rPr>
            </w:pPr>
          </w:p>
        </w:tc>
        <w:tc>
          <w:tcPr>
            <w:tcW w:w="1001" w:type="pct"/>
            <w:vAlign w:val="center"/>
          </w:tcPr>
          <w:p>
            <w:pPr>
              <w:spacing w:line="460" w:lineRule="exact"/>
              <w:jc w:val="center"/>
              <w:rPr>
                <w:sz w:val="24"/>
              </w:rPr>
            </w:pPr>
          </w:p>
        </w:tc>
        <w:tc>
          <w:tcPr>
            <w:tcW w:w="858" w:type="pct"/>
            <w:vAlign w:val="center"/>
          </w:tcPr>
          <w:p>
            <w:pPr>
              <w:spacing w:line="460" w:lineRule="exact"/>
              <w:jc w:val="center"/>
              <w:rPr>
                <w:sz w:val="24"/>
              </w:rPr>
            </w:pPr>
          </w:p>
        </w:tc>
        <w:tc>
          <w:tcPr>
            <w:tcW w:w="941" w:type="pct"/>
            <w:vAlign w:val="center"/>
          </w:tcPr>
          <w:p>
            <w:pPr>
              <w:spacing w:line="460" w:lineRule="exact"/>
              <w:jc w:val="center"/>
              <w:rPr>
                <w:sz w:val="24"/>
              </w:rPr>
            </w:pPr>
          </w:p>
        </w:tc>
        <w:tc>
          <w:tcPr>
            <w:tcW w:w="858" w:type="pct"/>
            <w:vAlign w:val="center"/>
          </w:tcPr>
          <w:p>
            <w:pPr>
              <w:spacing w:line="460" w:lineRule="exact"/>
              <w:jc w:val="center"/>
              <w:rPr>
                <w:sz w:val="24"/>
              </w:rPr>
            </w:pPr>
          </w:p>
        </w:tc>
        <w:tc>
          <w:tcPr>
            <w:tcW w:w="770" w:type="pct"/>
            <w:vAlign w:val="center"/>
          </w:tcPr>
          <w:p>
            <w:pPr>
              <w:spacing w:line="460" w:lineRule="exact"/>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pPr>
              <w:spacing w:line="460" w:lineRule="exact"/>
              <w:jc w:val="center"/>
              <w:rPr>
                <w:sz w:val="24"/>
              </w:rPr>
            </w:pPr>
          </w:p>
        </w:tc>
        <w:tc>
          <w:tcPr>
            <w:tcW w:w="1001" w:type="pct"/>
            <w:vAlign w:val="center"/>
          </w:tcPr>
          <w:p>
            <w:pPr>
              <w:spacing w:line="460" w:lineRule="exact"/>
              <w:jc w:val="center"/>
              <w:rPr>
                <w:sz w:val="24"/>
              </w:rPr>
            </w:pPr>
          </w:p>
        </w:tc>
        <w:tc>
          <w:tcPr>
            <w:tcW w:w="858" w:type="pct"/>
            <w:vAlign w:val="center"/>
          </w:tcPr>
          <w:p>
            <w:pPr>
              <w:spacing w:line="460" w:lineRule="exact"/>
              <w:jc w:val="center"/>
              <w:rPr>
                <w:sz w:val="24"/>
              </w:rPr>
            </w:pPr>
          </w:p>
        </w:tc>
        <w:tc>
          <w:tcPr>
            <w:tcW w:w="941" w:type="pct"/>
            <w:vAlign w:val="center"/>
          </w:tcPr>
          <w:p>
            <w:pPr>
              <w:spacing w:line="460" w:lineRule="exact"/>
              <w:jc w:val="center"/>
              <w:rPr>
                <w:sz w:val="24"/>
              </w:rPr>
            </w:pPr>
          </w:p>
        </w:tc>
        <w:tc>
          <w:tcPr>
            <w:tcW w:w="858" w:type="pct"/>
            <w:vAlign w:val="center"/>
          </w:tcPr>
          <w:p>
            <w:pPr>
              <w:spacing w:line="460" w:lineRule="exact"/>
              <w:jc w:val="center"/>
              <w:rPr>
                <w:sz w:val="24"/>
              </w:rPr>
            </w:pPr>
          </w:p>
        </w:tc>
        <w:tc>
          <w:tcPr>
            <w:tcW w:w="770" w:type="pct"/>
            <w:vAlign w:val="center"/>
          </w:tcPr>
          <w:p>
            <w:pPr>
              <w:spacing w:line="460" w:lineRule="exact"/>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pPr>
              <w:spacing w:line="460" w:lineRule="exact"/>
              <w:jc w:val="center"/>
              <w:rPr>
                <w:sz w:val="24"/>
              </w:rPr>
            </w:pPr>
            <w:r>
              <w:rPr>
                <w:sz w:val="24"/>
              </w:rPr>
              <w:t>…</w:t>
            </w:r>
          </w:p>
        </w:tc>
        <w:tc>
          <w:tcPr>
            <w:tcW w:w="1001" w:type="pct"/>
            <w:vAlign w:val="center"/>
          </w:tcPr>
          <w:p>
            <w:pPr>
              <w:spacing w:line="460" w:lineRule="exact"/>
              <w:jc w:val="center"/>
              <w:rPr>
                <w:sz w:val="24"/>
              </w:rPr>
            </w:pPr>
          </w:p>
        </w:tc>
        <w:tc>
          <w:tcPr>
            <w:tcW w:w="858" w:type="pct"/>
            <w:vAlign w:val="center"/>
          </w:tcPr>
          <w:p>
            <w:pPr>
              <w:spacing w:line="460" w:lineRule="exact"/>
              <w:jc w:val="center"/>
              <w:rPr>
                <w:sz w:val="24"/>
              </w:rPr>
            </w:pPr>
          </w:p>
        </w:tc>
        <w:tc>
          <w:tcPr>
            <w:tcW w:w="941" w:type="pct"/>
            <w:vAlign w:val="center"/>
          </w:tcPr>
          <w:p>
            <w:pPr>
              <w:spacing w:line="460" w:lineRule="exact"/>
              <w:jc w:val="center"/>
              <w:rPr>
                <w:sz w:val="24"/>
              </w:rPr>
            </w:pPr>
          </w:p>
        </w:tc>
        <w:tc>
          <w:tcPr>
            <w:tcW w:w="858" w:type="pct"/>
            <w:vAlign w:val="center"/>
          </w:tcPr>
          <w:p>
            <w:pPr>
              <w:spacing w:line="460" w:lineRule="exact"/>
              <w:jc w:val="center"/>
              <w:rPr>
                <w:sz w:val="24"/>
              </w:rPr>
            </w:pPr>
          </w:p>
        </w:tc>
        <w:tc>
          <w:tcPr>
            <w:tcW w:w="770" w:type="pct"/>
            <w:vAlign w:val="center"/>
          </w:tcPr>
          <w:p>
            <w:pPr>
              <w:spacing w:line="460" w:lineRule="exact"/>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pPr>
              <w:spacing w:line="460" w:lineRule="exact"/>
              <w:jc w:val="center"/>
              <w:rPr>
                <w:sz w:val="24"/>
              </w:rPr>
            </w:pPr>
          </w:p>
        </w:tc>
        <w:tc>
          <w:tcPr>
            <w:tcW w:w="1001" w:type="pct"/>
            <w:vAlign w:val="center"/>
          </w:tcPr>
          <w:p>
            <w:pPr>
              <w:spacing w:line="460" w:lineRule="exact"/>
              <w:jc w:val="center"/>
              <w:rPr>
                <w:sz w:val="24"/>
              </w:rPr>
            </w:pPr>
          </w:p>
        </w:tc>
        <w:tc>
          <w:tcPr>
            <w:tcW w:w="858" w:type="pct"/>
            <w:vAlign w:val="center"/>
          </w:tcPr>
          <w:p>
            <w:pPr>
              <w:spacing w:line="460" w:lineRule="exact"/>
              <w:jc w:val="center"/>
              <w:rPr>
                <w:sz w:val="24"/>
              </w:rPr>
            </w:pPr>
          </w:p>
        </w:tc>
        <w:tc>
          <w:tcPr>
            <w:tcW w:w="941" w:type="pct"/>
            <w:vAlign w:val="center"/>
          </w:tcPr>
          <w:p>
            <w:pPr>
              <w:spacing w:line="460" w:lineRule="exact"/>
              <w:jc w:val="center"/>
              <w:rPr>
                <w:sz w:val="24"/>
              </w:rPr>
            </w:pPr>
          </w:p>
        </w:tc>
        <w:tc>
          <w:tcPr>
            <w:tcW w:w="858" w:type="pct"/>
            <w:vAlign w:val="center"/>
          </w:tcPr>
          <w:p>
            <w:pPr>
              <w:spacing w:line="460" w:lineRule="exact"/>
              <w:jc w:val="center"/>
              <w:rPr>
                <w:sz w:val="24"/>
              </w:rPr>
            </w:pPr>
          </w:p>
        </w:tc>
        <w:tc>
          <w:tcPr>
            <w:tcW w:w="770" w:type="pct"/>
            <w:vAlign w:val="center"/>
          </w:tcPr>
          <w:p>
            <w:pPr>
              <w:spacing w:line="460" w:lineRule="exact"/>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pPr>
              <w:spacing w:line="460" w:lineRule="exact"/>
              <w:jc w:val="center"/>
              <w:rPr>
                <w:sz w:val="24"/>
              </w:rPr>
            </w:pPr>
          </w:p>
        </w:tc>
        <w:tc>
          <w:tcPr>
            <w:tcW w:w="1001" w:type="pct"/>
            <w:vAlign w:val="center"/>
          </w:tcPr>
          <w:p>
            <w:pPr>
              <w:spacing w:line="460" w:lineRule="exact"/>
              <w:jc w:val="center"/>
              <w:rPr>
                <w:sz w:val="24"/>
              </w:rPr>
            </w:pPr>
          </w:p>
        </w:tc>
        <w:tc>
          <w:tcPr>
            <w:tcW w:w="858" w:type="pct"/>
            <w:vAlign w:val="center"/>
          </w:tcPr>
          <w:p>
            <w:pPr>
              <w:spacing w:line="460" w:lineRule="exact"/>
              <w:jc w:val="center"/>
              <w:rPr>
                <w:sz w:val="24"/>
              </w:rPr>
            </w:pPr>
          </w:p>
        </w:tc>
        <w:tc>
          <w:tcPr>
            <w:tcW w:w="941" w:type="pct"/>
            <w:vAlign w:val="center"/>
          </w:tcPr>
          <w:p>
            <w:pPr>
              <w:spacing w:line="460" w:lineRule="exact"/>
              <w:jc w:val="center"/>
              <w:rPr>
                <w:sz w:val="24"/>
              </w:rPr>
            </w:pPr>
          </w:p>
        </w:tc>
        <w:tc>
          <w:tcPr>
            <w:tcW w:w="858" w:type="pct"/>
            <w:vAlign w:val="center"/>
          </w:tcPr>
          <w:p>
            <w:pPr>
              <w:spacing w:line="460" w:lineRule="exact"/>
              <w:jc w:val="center"/>
              <w:rPr>
                <w:sz w:val="24"/>
              </w:rPr>
            </w:pPr>
          </w:p>
        </w:tc>
        <w:tc>
          <w:tcPr>
            <w:tcW w:w="770" w:type="pct"/>
            <w:vAlign w:val="center"/>
          </w:tcPr>
          <w:p>
            <w:pPr>
              <w:spacing w:line="460" w:lineRule="exact"/>
              <w:jc w:val="center"/>
              <w:rPr>
                <w:sz w:val="24"/>
              </w:rPr>
            </w:pPr>
          </w:p>
        </w:tc>
      </w:tr>
    </w:tbl>
    <w:p>
      <w:pPr>
        <w:spacing w:line="360" w:lineRule="auto"/>
        <w:ind w:right="84" w:firstLine="420"/>
        <w:rPr>
          <w:sz w:val="24"/>
        </w:rPr>
      </w:pPr>
    </w:p>
    <w:p>
      <w:pPr>
        <w:spacing w:line="360" w:lineRule="auto"/>
        <w:ind w:firstLine="3808" w:firstLineChars="1700"/>
        <w:rPr>
          <w:sz w:val="24"/>
        </w:rPr>
      </w:pPr>
      <w:r>
        <w:rPr>
          <w:rFonts w:hAnsiTheme="minorEastAsia"/>
          <w:sz w:val="24"/>
        </w:rPr>
        <w:t>投标人名称：</w:t>
      </w:r>
    </w:p>
    <w:p>
      <w:pPr>
        <w:spacing w:line="360" w:lineRule="auto"/>
        <w:ind w:firstLine="3808" w:firstLineChars="1700"/>
        <w:rPr>
          <w:sz w:val="24"/>
        </w:rPr>
      </w:pPr>
      <w:r>
        <w:rPr>
          <w:rFonts w:hAnsiTheme="minorEastAsia"/>
          <w:sz w:val="24"/>
        </w:rPr>
        <w:t>日期：年月日</w:t>
      </w:r>
    </w:p>
    <w:p>
      <w:pPr>
        <w:spacing w:line="360" w:lineRule="auto"/>
        <w:ind w:right="84" w:firstLine="420"/>
        <w:rPr>
          <w:sz w:val="24"/>
        </w:rPr>
      </w:pPr>
    </w:p>
    <w:p>
      <w:pPr>
        <w:widowControl/>
        <w:jc w:val="left"/>
        <w:rPr>
          <w:sz w:val="24"/>
        </w:rPr>
      </w:pPr>
      <w:r>
        <w:rPr>
          <w:sz w:val="24"/>
        </w:rPr>
        <w:br w:type="page"/>
      </w:r>
    </w:p>
    <w:p>
      <w:pPr>
        <w:tabs>
          <w:tab w:val="left" w:pos="360"/>
        </w:tabs>
        <w:spacing w:afterLines="100" w:line="360" w:lineRule="auto"/>
        <w:ind w:firstLine="448" w:firstLineChars="200"/>
        <w:rPr>
          <w:sz w:val="24"/>
        </w:rPr>
      </w:pPr>
      <w:r>
        <w:rPr>
          <w:rFonts w:hAnsiTheme="minorEastAsia"/>
          <w:sz w:val="24"/>
        </w:rPr>
        <w:t>附件</w:t>
      </w:r>
      <w:r>
        <w:rPr>
          <w:rFonts w:hint="eastAsia"/>
          <w:sz w:val="24"/>
        </w:rPr>
        <w:t>5</w:t>
      </w:r>
    </w:p>
    <w:p>
      <w:pPr>
        <w:autoSpaceDN w:val="0"/>
        <w:spacing w:line="360" w:lineRule="auto"/>
        <w:jc w:val="center"/>
        <w:rPr>
          <w:b/>
          <w:bCs/>
          <w:sz w:val="24"/>
        </w:rPr>
      </w:pPr>
      <w:r>
        <w:rPr>
          <w:rFonts w:hAnsiTheme="minorEastAsia"/>
          <w:b/>
          <w:bCs/>
          <w:sz w:val="24"/>
        </w:rPr>
        <w:t>开标分项一览表</w:t>
      </w:r>
    </w:p>
    <w:p>
      <w:pPr>
        <w:ind w:right="84"/>
        <w:rPr>
          <w:sz w:val="24"/>
        </w:rPr>
      </w:pPr>
    </w:p>
    <w:p>
      <w:pPr>
        <w:spacing w:line="460" w:lineRule="exact"/>
        <w:ind w:left="192"/>
        <w:rPr>
          <w:sz w:val="24"/>
        </w:rPr>
      </w:pPr>
      <w:r>
        <w:rPr>
          <w:rFonts w:hAnsiTheme="minorEastAsia"/>
          <w:sz w:val="24"/>
        </w:rPr>
        <w:t>项目名称：</w:t>
      </w:r>
    </w:p>
    <w:p>
      <w:pPr>
        <w:spacing w:line="460" w:lineRule="exact"/>
        <w:ind w:left="192"/>
        <w:rPr>
          <w:sz w:val="24"/>
        </w:rPr>
      </w:pPr>
      <w:r>
        <w:rPr>
          <w:rFonts w:hAnsiTheme="minorEastAsia"/>
          <w:sz w:val="24"/>
        </w:rPr>
        <w:t>项目编号：</w:t>
      </w:r>
    </w:p>
    <w:p>
      <w:pPr>
        <w:spacing w:line="460" w:lineRule="exact"/>
        <w:ind w:left="192"/>
        <w:rPr>
          <w:sz w:val="24"/>
        </w:rPr>
      </w:pPr>
      <w:r>
        <w:rPr>
          <w:rFonts w:hint="eastAsia" w:hAnsiTheme="minorEastAsia"/>
          <w:sz w:val="24"/>
        </w:rPr>
        <w:t>包号：</w:t>
      </w:r>
    </w:p>
    <w:p>
      <w:pPr>
        <w:spacing w:line="460" w:lineRule="exact"/>
        <w:ind w:firstLine="6496" w:firstLineChars="2900"/>
        <w:rPr>
          <w:sz w:val="24"/>
        </w:rPr>
      </w:pPr>
      <w:r>
        <w:rPr>
          <w:rFonts w:hAnsiTheme="minorEastAsia"/>
          <w:sz w:val="24"/>
        </w:rPr>
        <w:t>单位：元</w:t>
      </w:r>
    </w:p>
    <w:tbl>
      <w:tblPr>
        <w:tblStyle w:val="21"/>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pPr>
              <w:widowControl/>
              <w:jc w:val="center"/>
              <w:rPr>
                <w:bCs/>
                <w:kern w:val="0"/>
                <w:sz w:val="24"/>
                <w:szCs w:val="24"/>
              </w:rPr>
            </w:pPr>
            <w:r>
              <w:rPr>
                <w:rFonts w:hAnsiTheme="minorEastAsia"/>
                <w:bCs/>
                <w:kern w:val="0"/>
                <w:sz w:val="24"/>
                <w:szCs w:val="24"/>
              </w:rPr>
              <w:t>项号</w:t>
            </w:r>
          </w:p>
        </w:tc>
        <w:tc>
          <w:tcPr>
            <w:tcW w:w="1348" w:type="dxa"/>
            <w:vAlign w:val="center"/>
          </w:tcPr>
          <w:p>
            <w:pPr>
              <w:widowControl/>
              <w:jc w:val="center"/>
              <w:rPr>
                <w:bCs/>
                <w:kern w:val="0"/>
                <w:sz w:val="24"/>
                <w:szCs w:val="24"/>
              </w:rPr>
            </w:pPr>
            <w:r>
              <w:rPr>
                <w:rFonts w:hAnsiTheme="minorEastAsia"/>
                <w:bCs/>
                <w:kern w:val="0"/>
                <w:sz w:val="24"/>
                <w:szCs w:val="24"/>
              </w:rPr>
              <w:t>货物名称</w:t>
            </w:r>
          </w:p>
        </w:tc>
        <w:tc>
          <w:tcPr>
            <w:tcW w:w="716" w:type="dxa"/>
            <w:vAlign w:val="center"/>
          </w:tcPr>
          <w:p>
            <w:pPr>
              <w:widowControl/>
              <w:jc w:val="center"/>
              <w:rPr>
                <w:bCs/>
                <w:kern w:val="0"/>
                <w:sz w:val="24"/>
                <w:szCs w:val="24"/>
              </w:rPr>
            </w:pPr>
            <w:r>
              <w:rPr>
                <w:rFonts w:hAnsiTheme="minorEastAsia"/>
                <w:bCs/>
                <w:kern w:val="0"/>
                <w:sz w:val="24"/>
                <w:szCs w:val="24"/>
              </w:rPr>
              <w:t>品牌</w:t>
            </w:r>
          </w:p>
        </w:tc>
        <w:tc>
          <w:tcPr>
            <w:tcW w:w="715" w:type="dxa"/>
            <w:vAlign w:val="center"/>
          </w:tcPr>
          <w:p>
            <w:pPr>
              <w:widowControl/>
              <w:jc w:val="center"/>
              <w:rPr>
                <w:bCs/>
                <w:kern w:val="0"/>
                <w:sz w:val="24"/>
                <w:szCs w:val="24"/>
              </w:rPr>
            </w:pPr>
            <w:r>
              <w:rPr>
                <w:rFonts w:hAnsiTheme="minorEastAsia"/>
                <w:bCs/>
                <w:kern w:val="0"/>
                <w:sz w:val="24"/>
                <w:szCs w:val="24"/>
              </w:rPr>
              <w:t>规格型号</w:t>
            </w:r>
          </w:p>
        </w:tc>
        <w:tc>
          <w:tcPr>
            <w:tcW w:w="1230" w:type="dxa"/>
            <w:vAlign w:val="center"/>
          </w:tcPr>
          <w:p>
            <w:pPr>
              <w:widowControl/>
              <w:jc w:val="center"/>
              <w:rPr>
                <w:bCs/>
                <w:kern w:val="0"/>
                <w:sz w:val="24"/>
                <w:szCs w:val="24"/>
              </w:rPr>
            </w:pPr>
            <w:r>
              <w:rPr>
                <w:rFonts w:hAnsiTheme="minorEastAsia"/>
                <w:bCs/>
                <w:kern w:val="0"/>
                <w:sz w:val="24"/>
                <w:szCs w:val="24"/>
              </w:rPr>
              <w:t>制造商</w:t>
            </w:r>
          </w:p>
        </w:tc>
        <w:tc>
          <w:tcPr>
            <w:tcW w:w="715" w:type="dxa"/>
            <w:vAlign w:val="center"/>
          </w:tcPr>
          <w:p>
            <w:pPr>
              <w:widowControl/>
              <w:jc w:val="center"/>
              <w:rPr>
                <w:bCs/>
                <w:kern w:val="0"/>
                <w:sz w:val="24"/>
                <w:szCs w:val="24"/>
              </w:rPr>
            </w:pPr>
            <w:r>
              <w:rPr>
                <w:rFonts w:hAnsiTheme="minorEastAsia"/>
                <w:bCs/>
                <w:kern w:val="0"/>
                <w:sz w:val="24"/>
                <w:szCs w:val="24"/>
              </w:rPr>
              <w:t>产地</w:t>
            </w:r>
          </w:p>
        </w:tc>
        <w:tc>
          <w:tcPr>
            <w:tcW w:w="1235" w:type="dxa"/>
            <w:vAlign w:val="center"/>
          </w:tcPr>
          <w:p>
            <w:pPr>
              <w:widowControl/>
              <w:jc w:val="center"/>
              <w:rPr>
                <w:bCs/>
                <w:kern w:val="0"/>
                <w:sz w:val="24"/>
                <w:szCs w:val="24"/>
              </w:rPr>
            </w:pPr>
            <w:r>
              <w:rPr>
                <w:rFonts w:hAnsiTheme="minorEastAsia"/>
                <w:bCs/>
                <w:kern w:val="0"/>
                <w:sz w:val="24"/>
                <w:szCs w:val="24"/>
              </w:rPr>
              <w:t>商品属性</w:t>
            </w:r>
          </w:p>
        </w:tc>
        <w:tc>
          <w:tcPr>
            <w:tcW w:w="715" w:type="dxa"/>
            <w:vAlign w:val="center"/>
          </w:tcPr>
          <w:p>
            <w:pPr>
              <w:widowControl/>
              <w:jc w:val="center"/>
              <w:rPr>
                <w:bCs/>
                <w:kern w:val="0"/>
                <w:sz w:val="24"/>
                <w:szCs w:val="24"/>
              </w:rPr>
            </w:pPr>
            <w:r>
              <w:rPr>
                <w:rFonts w:hAnsiTheme="minorEastAsia"/>
                <w:bCs/>
                <w:kern w:val="0"/>
                <w:sz w:val="24"/>
                <w:szCs w:val="24"/>
              </w:rPr>
              <w:t>单价</w:t>
            </w:r>
          </w:p>
        </w:tc>
        <w:tc>
          <w:tcPr>
            <w:tcW w:w="795" w:type="dxa"/>
            <w:vAlign w:val="center"/>
          </w:tcPr>
          <w:p>
            <w:pPr>
              <w:widowControl/>
              <w:jc w:val="center"/>
              <w:rPr>
                <w:bCs/>
                <w:kern w:val="0"/>
                <w:sz w:val="24"/>
                <w:szCs w:val="24"/>
              </w:rPr>
            </w:pPr>
            <w:r>
              <w:rPr>
                <w:rFonts w:hAnsiTheme="minorEastAsia"/>
                <w:bCs/>
                <w:kern w:val="0"/>
                <w:sz w:val="24"/>
                <w:szCs w:val="24"/>
              </w:rPr>
              <w:t>采购数量</w:t>
            </w:r>
          </w:p>
        </w:tc>
        <w:tc>
          <w:tcPr>
            <w:tcW w:w="767" w:type="dxa"/>
            <w:vAlign w:val="center"/>
          </w:tcPr>
          <w:p>
            <w:pPr>
              <w:widowControl/>
              <w:jc w:val="center"/>
              <w:rPr>
                <w:bCs/>
                <w:kern w:val="0"/>
                <w:sz w:val="24"/>
                <w:szCs w:val="24"/>
              </w:rPr>
            </w:pPr>
            <w:r>
              <w:rPr>
                <w:rFonts w:hAnsiTheme="minorEastAsia"/>
                <w:bCs/>
                <w:kern w:val="0"/>
                <w:sz w:val="24"/>
                <w:szCs w:val="24"/>
              </w:rPr>
              <w:t>计量单位</w:t>
            </w:r>
          </w:p>
        </w:tc>
        <w:tc>
          <w:tcPr>
            <w:tcW w:w="737" w:type="dxa"/>
            <w:vAlign w:val="center"/>
          </w:tcPr>
          <w:p>
            <w:pPr>
              <w:widowControl/>
              <w:jc w:val="center"/>
              <w:rPr>
                <w:bCs/>
                <w:kern w:val="0"/>
                <w:sz w:val="24"/>
                <w:szCs w:val="24"/>
              </w:rPr>
            </w:pPr>
            <w:r>
              <w:rPr>
                <w:rFonts w:hAnsiTheme="minorEastAsia"/>
                <w:bCs/>
                <w:kern w:val="0"/>
                <w:sz w:val="24"/>
                <w:szCs w:val="24"/>
              </w:rPr>
              <w:t>总价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pPr>
              <w:widowControl/>
              <w:jc w:val="center"/>
              <w:rPr>
                <w:kern w:val="0"/>
                <w:sz w:val="24"/>
                <w:szCs w:val="24"/>
              </w:rPr>
            </w:pPr>
          </w:p>
        </w:tc>
        <w:tc>
          <w:tcPr>
            <w:tcW w:w="1348" w:type="dxa"/>
            <w:noWrap/>
            <w:vAlign w:val="center"/>
          </w:tcPr>
          <w:p>
            <w:pPr>
              <w:widowControl/>
              <w:jc w:val="center"/>
              <w:rPr>
                <w:kern w:val="0"/>
                <w:sz w:val="24"/>
                <w:szCs w:val="24"/>
              </w:rPr>
            </w:pPr>
          </w:p>
        </w:tc>
        <w:tc>
          <w:tcPr>
            <w:tcW w:w="716" w:type="dxa"/>
            <w:noWrap/>
            <w:vAlign w:val="center"/>
          </w:tcPr>
          <w:p>
            <w:pPr>
              <w:widowControl/>
              <w:jc w:val="center"/>
              <w:rPr>
                <w:kern w:val="0"/>
                <w:sz w:val="24"/>
                <w:szCs w:val="24"/>
              </w:rPr>
            </w:pPr>
          </w:p>
        </w:tc>
        <w:tc>
          <w:tcPr>
            <w:tcW w:w="715" w:type="dxa"/>
            <w:noWrap/>
            <w:vAlign w:val="center"/>
          </w:tcPr>
          <w:p>
            <w:pPr>
              <w:widowControl/>
              <w:jc w:val="center"/>
              <w:rPr>
                <w:kern w:val="0"/>
                <w:sz w:val="24"/>
                <w:szCs w:val="24"/>
              </w:rPr>
            </w:pPr>
          </w:p>
        </w:tc>
        <w:tc>
          <w:tcPr>
            <w:tcW w:w="1230" w:type="dxa"/>
            <w:noWrap/>
            <w:vAlign w:val="center"/>
          </w:tcPr>
          <w:p>
            <w:pPr>
              <w:widowControl/>
              <w:jc w:val="center"/>
              <w:rPr>
                <w:kern w:val="0"/>
                <w:sz w:val="24"/>
                <w:szCs w:val="24"/>
              </w:rPr>
            </w:pPr>
          </w:p>
        </w:tc>
        <w:tc>
          <w:tcPr>
            <w:tcW w:w="715" w:type="dxa"/>
            <w:noWrap/>
            <w:vAlign w:val="center"/>
          </w:tcPr>
          <w:p>
            <w:pPr>
              <w:widowControl/>
              <w:jc w:val="center"/>
              <w:rPr>
                <w:kern w:val="0"/>
                <w:sz w:val="24"/>
                <w:szCs w:val="24"/>
              </w:rPr>
            </w:pPr>
          </w:p>
        </w:tc>
        <w:tc>
          <w:tcPr>
            <w:tcW w:w="1235" w:type="dxa"/>
            <w:vAlign w:val="center"/>
          </w:tcPr>
          <w:p>
            <w:pPr>
              <w:widowControl/>
              <w:jc w:val="center"/>
              <w:rPr>
                <w:kern w:val="0"/>
                <w:sz w:val="24"/>
                <w:szCs w:val="18"/>
              </w:rPr>
            </w:pPr>
          </w:p>
        </w:tc>
        <w:tc>
          <w:tcPr>
            <w:tcW w:w="715" w:type="dxa"/>
            <w:vAlign w:val="center"/>
          </w:tcPr>
          <w:p>
            <w:pPr>
              <w:widowControl/>
              <w:jc w:val="center"/>
              <w:rPr>
                <w:kern w:val="0"/>
                <w:sz w:val="24"/>
                <w:szCs w:val="18"/>
              </w:rPr>
            </w:pPr>
          </w:p>
        </w:tc>
        <w:tc>
          <w:tcPr>
            <w:tcW w:w="795" w:type="dxa"/>
            <w:noWrap/>
            <w:vAlign w:val="center"/>
          </w:tcPr>
          <w:p>
            <w:pPr>
              <w:widowControl/>
              <w:jc w:val="center"/>
              <w:rPr>
                <w:kern w:val="0"/>
                <w:sz w:val="24"/>
                <w:szCs w:val="24"/>
              </w:rPr>
            </w:pPr>
          </w:p>
        </w:tc>
        <w:tc>
          <w:tcPr>
            <w:tcW w:w="767" w:type="dxa"/>
            <w:noWrap/>
            <w:vAlign w:val="center"/>
          </w:tcPr>
          <w:p>
            <w:pPr>
              <w:widowControl/>
              <w:jc w:val="center"/>
              <w:rPr>
                <w:kern w:val="0"/>
                <w:sz w:val="24"/>
                <w:szCs w:val="18"/>
              </w:rPr>
            </w:pPr>
          </w:p>
        </w:tc>
        <w:tc>
          <w:tcPr>
            <w:tcW w:w="737" w:type="dxa"/>
            <w:noWrap/>
            <w:vAlign w:val="center"/>
          </w:tcPr>
          <w:p>
            <w:pPr>
              <w:widowControl/>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pPr>
              <w:widowControl/>
              <w:jc w:val="center"/>
              <w:rPr>
                <w:kern w:val="0"/>
                <w:sz w:val="24"/>
                <w:szCs w:val="24"/>
              </w:rPr>
            </w:pPr>
          </w:p>
        </w:tc>
        <w:tc>
          <w:tcPr>
            <w:tcW w:w="1348" w:type="dxa"/>
            <w:noWrap/>
            <w:vAlign w:val="center"/>
          </w:tcPr>
          <w:p>
            <w:pPr>
              <w:widowControl/>
              <w:jc w:val="center"/>
              <w:rPr>
                <w:kern w:val="0"/>
                <w:sz w:val="24"/>
                <w:szCs w:val="24"/>
              </w:rPr>
            </w:pPr>
          </w:p>
        </w:tc>
        <w:tc>
          <w:tcPr>
            <w:tcW w:w="716" w:type="dxa"/>
            <w:noWrap/>
            <w:vAlign w:val="center"/>
          </w:tcPr>
          <w:p>
            <w:pPr>
              <w:widowControl/>
              <w:jc w:val="center"/>
              <w:rPr>
                <w:kern w:val="0"/>
                <w:sz w:val="24"/>
                <w:szCs w:val="24"/>
              </w:rPr>
            </w:pPr>
          </w:p>
        </w:tc>
        <w:tc>
          <w:tcPr>
            <w:tcW w:w="715" w:type="dxa"/>
            <w:noWrap/>
            <w:vAlign w:val="center"/>
          </w:tcPr>
          <w:p>
            <w:pPr>
              <w:widowControl/>
              <w:jc w:val="center"/>
              <w:rPr>
                <w:kern w:val="0"/>
                <w:sz w:val="24"/>
                <w:szCs w:val="24"/>
              </w:rPr>
            </w:pPr>
          </w:p>
        </w:tc>
        <w:tc>
          <w:tcPr>
            <w:tcW w:w="1230" w:type="dxa"/>
            <w:noWrap/>
            <w:vAlign w:val="center"/>
          </w:tcPr>
          <w:p>
            <w:pPr>
              <w:widowControl/>
              <w:jc w:val="center"/>
              <w:rPr>
                <w:kern w:val="0"/>
                <w:sz w:val="24"/>
                <w:szCs w:val="24"/>
              </w:rPr>
            </w:pPr>
          </w:p>
        </w:tc>
        <w:tc>
          <w:tcPr>
            <w:tcW w:w="715" w:type="dxa"/>
            <w:noWrap/>
            <w:vAlign w:val="center"/>
          </w:tcPr>
          <w:p>
            <w:pPr>
              <w:widowControl/>
              <w:jc w:val="center"/>
              <w:rPr>
                <w:kern w:val="0"/>
                <w:sz w:val="24"/>
                <w:szCs w:val="24"/>
              </w:rPr>
            </w:pPr>
          </w:p>
        </w:tc>
        <w:tc>
          <w:tcPr>
            <w:tcW w:w="1235" w:type="dxa"/>
            <w:vAlign w:val="center"/>
          </w:tcPr>
          <w:p>
            <w:pPr>
              <w:widowControl/>
              <w:jc w:val="center"/>
              <w:rPr>
                <w:kern w:val="0"/>
                <w:sz w:val="24"/>
                <w:szCs w:val="18"/>
              </w:rPr>
            </w:pPr>
          </w:p>
        </w:tc>
        <w:tc>
          <w:tcPr>
            <w:tcW w:w="715" w:type="dxa"/>
            <w:vAlign w:val="center"/>
          </w:tcPr>
          <w:p>
            <w:pPr>
              <w:widowControl/>
              <w:jc w:val="center"/>
              <w:rPr>
                <w:kern w:val="0"/>
                <w:sz w:val="24"/>
                <w:szCs w:val="18"/>
              </w:rPr>
            </w:pPr>
          </w:p>
        </w:tc>
        <w:tc>
          <w:tcPr>
            <w:tcW w:w="795" w:type="dxa"/>
            <w:noWrap/>
            <w:vAlign w:val="center"/>
          </w:tcPr>
          <w:p>
            <w:pPr>
              <w:widowControl/>
              <w:jc w:val="center"/>
              <w:rPr>
                <w:kern w:val="0"/>
                <w:sz w:val="24"/>
                <w:szCs w:val="24"/>
              </w:rPr>
            </w:pPr>
          </w:p>
        </w:tc>
        <w:tc>
          <w:tcPr>
            <w:tcW w:w="767" w:type="dxa"/>
            <w:noWrap/>
            <w:vAlign w:val="center"/>
          </w:tcPr>
          <w:p>
            <w:pPr>
              <w:widowControl/>
              <w:jc w:val="center"/>
              <w:rPr>
                <w:kern w:val="0"/>
                <w:sz w:val="24"/>
                <w:szCs w:val="24"/>
              </w:rPr>
            </w:pPr>
          </w:p>
        </w:tc>
        <w:tc>
          <w:tcPr>
            <w:tcW w:w="737" w:type="dxa"/>
            <w:noWrap/>
            <w:vAlign w:val="center"/>
          </w:tcPr>
          <w:p>
            <w:pPr>
              <w:widowControl/>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pPr>
              <w:widowControl/>
              <w:jc w:val="center"/>
              <w:rPr>
                <w:kern w:val="0"/>
                <w:sz w:val="24"/>
                <w:szCs w:val="24"/>
              </w:rPr>
            </w:pPr>
          </w:p>
        </w:tc>
        <w:tc>
          <w:tcPr>
            <w:tcW w:w="1348" w:type="dxa"/>
            <w:noWrap/>
            <w:vAlign w:val="center"/>
          </w:tcPr>
          <w:p>
            <w:pPr>
              <w:widowControl/>
              <w:jc w:val="center"/>
              <w:rPr>
                <w:kern w:val="0"/>
                <w:sz w:val="24"/>
                <w:szCs w:val="24"/>
              </w:rPr>
            </w:pPr>
          </w:p>
        </w:tc>
        <w:tc>
          <w:tcPr>
            <w:tcW w:w="716" w:type="dxa"/>
            <w:noWrap/>
            <w:vAlign w:val="center"/>
          </w:tcPr>
          <w:p>
            <w:pPr>
              <w:widowControl/>
              <w:jc w:val="center"/>
              <w:rPr>
                <w:kern w:val="0"/>
                <w:sz w:val="24"/>
                <w:szCs w:val="24"/>
              </w:rPr>
            </w:pPr>
          </w:p>
        </w:tc>
        <w:tc>
          <w:tcPr>
            <w:tcW w:w="715" w:type="dxa"/>
            <w:noWrap/>
            <w:vAlign w:val="center"/>
          </w:tcPr>
          <w:p>
            <w:pPr>
              <w:widowControl/>
              <w:jc w:val="center"/>
              <w:rPr>
                <w:kern w:val="0"/>
                <w:sz w:val="24"/>
                <w:szCs w:val="24"/>
              </w:rPr>
            </w:pPr>
          </w:p>
        </w:tc>
        <w:tc>
          <w:tcPr>
            <w:tcW w:w="1230" w:type="dxa"/>
            <w:noWrap/>
            <w:vAlign w:val="center"/>
          </w:tcPr>
          <w:p>
            <w:pPr>
              <w:widowControl/>
              <w:jc w:val="center"/>
              <w:rPr>
                <w:kern w:val="0"/>
                <w:sz w:val="24"/>
                <w:szCs w:val="24"/>
              </w:rPr>
            </w:pPr>
          </w:p>
        </w:tc>
        <w:tc>
          <w:tcPr>
            <w:tcW w:w="715" w:type="dxa"/>
            <w:noWrap/>
            <w:vAlign w:val="center"/>
          </w:tcPr>
          <w:p>
            <w:pPr>
              <w:widowControl/>
              <w:jc w:val="center"/>
              <w:rPr>
                <w:kern w:val="0"/>
                <w:sz w:val="24"/>
                <w:szCs w:val="24"/>
              </w:rPr>
            </w:pPr>
          </w:p>
        </w:tc>
        <w:tc>
          <w:tcPr>
            <w:tcW w:w="1235" w:type="dxa"/>
            <w:vAlign w:val="center"/>
          </w:tcPr>
          <w:p>
            <w:pPr>
              <w:widowControl/>
              <w:jc w:val="center"/>
              <w:rPr>
                <w:kern w:val="0"/>
                <w:sz w:val="24"/>
                <w:szCs w:val="18"/>
              </w:rPr>
            </w:pPr>
          </w:p>
        </w:tc>
        <w:tc>
          <w:tcPr>
            <w:tcW w:w="715" w:type="dxa"/>
            <w:vAlign w:val="center"/>
          </w:tcPr>
          <w:p>
            <w:pPr>
              <w:widowControl/>
              <w:jc w:val="center"/>
              <w:rPr>
                <w:kern w:val="0"/>
                <w:sz w:val="24"/>
                <w:szCs w:val="18"/>
              </w:rPr>
            </w:pPr>
          </w:p>
        </w:tc>
        <w:tc>
          <w:tcPr>
            <w:tcW w:w="795" w:type="dxa"/>
            <w:noWrap/>
            <w:vAlign w:val="center"/>
          </w:tcPr>
          <w:p>
            <w:pPr>
              <w:widowControl/>
              <w:jc w:val="center"/>
              <w:rPr>
                <w:kern w:val="0"/>
                <w:sz w:val="24"/>
                <w:szCs w:val="24"/>
              </w:rPr>
            </w:pPr>
          </w:p>
        </w:tc>
        <w:tc>
          <w:tcPr>
            <w:tcW w:w="767" w:type="dxa"/>
            <w:noWrap/>
            <w:vAlign w:val="center"/>
          </w:tcPr>
          <w:p>
            <w:pPr>
              <w:widowControl/>
              <w:jc w:val="center"/>
              <w:rPr>
                <w:kern w:val="0"/>
                <w:sz w:val="24"/>
                <w:szCs w:val="24"/>
              </w:rPr>
            </w:pPr>
          </w:p>
        </w:tc>
        <w:tc>
          <w:tcPr>
            <w:tcW w:w="737" w:type="dxa"/>
            <w:noWrap/>
            <w:vAlign w:val="center"/>
          </w:tcPr>
          <w:p>
            <w:pPr>
              <w:widowControl/>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pPr>
              <w:widowControl/>
              <w:jc w:val="center"/>
              <w:rPr>
                <w:kern w:val="0"/>
                <w:sz w:val="24"/>
                <w:szCs w:val="24"/>
              </w:rPr>
            </w:pPr>
          </w:p>
        </w:tc>
        <w:tc>
          <w:tcPr>
            <w:tcW w:w="1348" w:type="dxa"/>
            <w:noWrap/>
            <w:vAlign w:val="center"/>
          </w:tcPr>
          <w:p>
            <w:pPr>
              <w:widowControl/>
              <w:jc w:val="center"/>
              <w:rPr>
                <w:kern w:val="0"/>
                <w:sz w:val="24"/>
                <w:szCs w:val="24"/>
              </w:rPr>
            </w:pPr>
          </w:p>
        </w:tc>
        <w:tc>
          <w:tcPr>
            <w:tcW w:w="716" w:type="dxa"/>
            <w:noWrap/>
            <w:vAlign w:val="center"/>
          </w:tcPr>
          <w:p>
            <w:pPr>
              <w:widowControl/>
              <w:jc w:val="center"/>
              <w:rPr>
                <w:kern w:val="0"/>
                <w:sz w:val="24"/>
                <w:szCs w:val="24"/>
              </w:rPr>
            </w:pPr>
          </w:p>
        </w:tc>
        <w:tc>
          <w:tcPr>
            <w:tcW w:w="715" w:type="dxa"/>
            <w:noWrap/>
            <w:vAlign w:val="center"/>
          </w:tcPr>
          <w:p>
            <w:pPr>
              <w:widowControl/>
              <w:jc w:val="center"/>
              <w:rPr>
                <w:kern w:val="0"/>
                <w:sz w:val="24"/>
                <w:szCs w:val="24"/>
              </w:rPr>
            </w:pPr>
          </w:p>
        </w:tc>
        <w:tc>
          <w:tcPr>
            <w:tcW w:w="1230" w:type="dxa"/>
            <w:noWrap/>
            <w:vAlign w:val="center"/>
          </w:tcPr>
          <w:p>
            <w:pPr>
              <w:widowControl/>
              <w:jc w:val="center"/>
              <w:rPr>
                <w:kern w:val="0"/>
                <w:sz w:val="24"/>
                <w:szCs w:val="24"/>
              </w:rPr>
            </w:pPr>
          </w:p>
        </w:tc>
        <w:tc>
          <w:tcPr>
            <w:tcW w:w="715" w:type="dxa"/>
            <w:noWrap/>
            <w:vAlign w:val="center"/>
          </w:tcPr>
          <w:p>
            <w:pPr>
              <w:widowControl/>
              <w:jc w:val="center"/>
              <w:rPr>
                <w:kern w:val="0"/>
                <w:sz w:val="24"/>
                <w:szCs w:val="24"/>
              </w:rPr>
            </w:pPr>
          </w:p>
        </w:tc>
        <w:tc>
          <w:tcPr>
            <w:tcW w:w="1235" w:type="dxa"/>
            <w:noWrap/>
            <w:vAlign w:val="center"/>
          </w:tcPr>
          <w:p>
            <w:pPr>
              <w:widowControl/>
              <w:jc w:val="center"/>
              <w:rPr>
                <w:kern w:val="0"/>
                <w:sz w:val="24"/>
                <w:szCs w:val="18"/>
              </w:rPr>
            </w:pPr>
          </w:p>
        </w:tc>
        <w:tc>
          <w:tcPr>
            <w:tcW w:w="715" w:type="dxa"/>
            <w:noWrap/>
            <w:vAlign w:val="center"/>
          </w:tcPr>
          <w:p>
            <w:pPr>
              <w:widowControl/>
              <w:jc w:val="center"/>
              <w:rPr>
                <w:kern w:val="0"/>
                <w:sz w:val="24"/>
                <w:szCs w:val="24"/>
              </w:rPr>
            </w:pPr>
          </w:p>
        </w:tc>
        <w:tc>
          <w:tcPr>
            <w:tcW w:w="795" w:type="dxa"/>
            <w:noWrap/>
            <w:vAlign w:val="center"/>
          </w:tcPr>
          <w:p>
            <w:pPr>
              <w:widowControl/>
              <w:jc w:val="center"/>
              <w:rPr>
                <w:kern w:val="0"/>
                <w:sz w:val="24"/>
                <w:szCs w:val="24"/>
              </w:rPr>
            </w:pPr>
          </w:p>
        </w:tc>
        <w:tc>
          <w:tcPr>
            <w:tcW w:w="767" w:type="dxa"/>
            <w:noWrap/>
            <w:vAlign w:val="center"/>
          </w:tcPr>
          <w:p>
            <w:pPr>
              <w:widowControl/>
              <w:jc w:val="center"/>
              <w:rPr>
                <w:kern w:val="0"/>
                <w:sz w:val="24"/>
                <w:szCs w:val="24"/>
              </w:rPr>
            </w:pPr>
          </w:p>
        </w:tc>
        <w:tc>
          <w:tcPr>
            <w:tcW w:w="737" w:type="dxa"/>
            <w:noWrap/>
            <w:vAlign w:val="center"/>
          </w:tcPr>
          <w:p>
            <w:pPr>
              <w:widowControl/>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pPr>
              <w:widowControl/>
              <w:jc w:val="center"/>
              <w:rPr>
                <w:kern w:val="0"/>
                <w:sz w:val="24"/>
                <w:szCs w:val="24"/>
              </w:rPr>
            </w:pPr>
          </w:p>
        </w:tc>
        <w:tc>
          <w:tcPr>
            <w:tcW w:w="1348" w:type="dxa"/>
            <w:noWrap/>
            <w:vAlign w:val="center"/>
          </w:tcPr>
          <w:p>
            <w:pPr>
              <w:widowControl/>
              <w:jc w:val="center"/>
              <w:rPr>
                <w:kern w:val="0"/>
                <w:sz w:val="24"/>
                <w:szCs w:val="24"/>
              </w:rPr>
            </w:pPr>
          </w:p>
        </w:tc>
        <w:tc>
          <w:tcPr>
            <w:tcW w:w="716" w:type="dxa"/>
            <w:noWrap/>
            <w:vAlign w:val="center"/>
          </w:tcPr>
          <w:p>
            <w:pPr>
              <w:widowControl/>
              <w:jc w:val="center"/>
              <w:rPr>
                <w:kern w:val="0"/>
                <w:sz w:val="24"/>
                <w:szCs w:val="24"/>
              </w:rPr>
            </w:pPr>
          </w:p>
        </w:tc>
        <w:tc>
          <w:tcPr>
            <w:tcW w:w="715" w:type="dxa"/>
            <w:noWrap/>
            <w:vAlign w:val="center"/>
          </w:tcPr>
          <w:p>
            <w:pPr>
              <w:widowControl/>
              <w:jc w:val="center"/>
              <w:rPr>
                <w:kern w:val="0"/>
                <w:sz w:val="24"/>
                <w:szCs w:val="24"/>
              </w:rPr>
            </w:pPr>
          </w:p>
        </w:tc>
        <w:tc>
          <w:tcPr>
            <w:tcW w:w="1230" w:type="dxa"/>
            <w:noWrap/>
            <w:vAlign w:val="center"/>
          </w:tcPr>
          <w:p>
            <w:pPr>
              <w:widowControl/>
              <w:jc w:val="center"/>
              <w:rPr>
                <w:kern w:val="0"/>
                <w:sz w:val="24"/>
                <w:szCs w:val="24"/>
              </w:rPr>
            </w:pPr>
          </w:p>
        </w:tc>
        <w:tc>
          <w:tcPr>
            <w:tcW w:w="715" w:type="dxa"/>
            <w:noWrap/>
            <w:vAlign w:val="center"/>
          </w:tcPr>
          <w:p>
            <w:pPr>
              <w:widowControl/>
              <w:jc w:val="center"/>
              <w:rPr>
                <w:kern w:val="0"/>
                <w:sz w:val="24"/>
                <w:szCs w:val="24"/>
              </w:rPr>
            </w:pPr>
          </w:p>
        </w:tc>
        <w:tc>
          <w:tcPr>
            <w:tcW w:w="1235" w:type="dxa"/>
            <w:noWrap/>
            <w:vAlign w:val="center"/>
          </w:tcPr>
          <w:p>
            <w:pPr>
              <w:widowControl/>
              <w:jc w:val="center"/>
              <w:rPr>
                <w:kern w:val="0"/>
                <w:sz w:val="24"/>
                <w:szCs w:val="24"/>
              </w:rPr>
            </w:pPr>
          </w:p>
        </w:tc>
        <w:tc>
          <w:tcPr>
            <w:tcW w:w="715" w:type="dxa"/>
            <w:noWrap/>
            <w:vAlign w:val="center"/>
          </w:tcPr>
          <w:p>
            <w:pPr>
              <w:widowControl/>
              <w:jc w:val="center"/>
              <w:rPr>
                <w:kern w:val="0"/>
                <w:sz w:val="24"/>
                <w:szCs w:val="24"/>
              </w:rPr>
            </w:pPr>
          </w:p>
        </w:tc>
        <w:tc>
          <w:tcPr>
            <w:tcW w:w="795" w:type="dxa"/>
            <w:noWrap/>
            <w:vAlign w:val="center"/>
          </w:tcPr>
          <w:p>
            <w:pPr>
              <w:widowControl/>
              <w:jc w:val="center"/>
              <w:rPr>
                <w:kern w:val="0"/>
                <w:sz w:val="24"/>
                <w:szCs w:val="24"/>
              </w:rPr>
            </w:pPr>
          </w:p>
        </w:tc>
        <w:tc>
          <w:tcPr>
            <w:tcW w:w="767" w:type="dxa"/>
            <w:noWrap/>
            <w:vAlign w:val="center"/>
          </w:tcPr>
          <w:p>
            <w:pPr>
              <w:widowControl/>
              <w:jc w:val="center"/>
              <w:rPr>
                <w:kern w:val="0"/>
                <w:sz w:val="24"/>
                <w:szCs w:val="24"/>
              </w:rPr>
            </w:pPr>
          </w:p>
        </w:tc>
        <w:tc>
          <w:tcPr>
            <w:tcW w:w="737" w:type="dxa"/>
            <w:noWrap/>
            <w:vAlign w:val="center"/>
          </w:tcPr>
          <w:p>
            <w:pPr>
              <w:widowControl/>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pPr>
              <w:widowControl/>
              <w:jc w:val="center"/>
              <w:rPr>
                <w:kern w:val="0"/>
                <w:sz w:val="24"/>
                <w:szCs w:val="24"/>
              </w:rPr>
            </w:pPr>
          </w:p>
        </w:tc>
        <w:tc>
          <w:tcPr>
            <w:tcW w:w="1348" w:type="dxa"/>
            <w:noWrap/>
            <w:vAlign w:val="center"/>
          </w:tcPr>
          <w:p>
            <w:pPr>
              <w:widowControl/>
              <w:jc w:val="center"/>
              <w:rPr>
                <w:kern w:val="0"/>
                <w:sz w:val="24"/>
                <w:szCs w:val="24"/>
              </w:rPr>
            </w:pPr>
          </w:p>
        </w:tc>
        <w:tc>
          <w:tcPr>
            <w:tcW w:w="716" w:type="dxa"/>
            <w:noWrap/>
            <w:vAlign w:val="center"/>
          </w:tcPr>
          <w:p>
            <w:pPr>
              <w:widowControl/>
              <w:jc w:val="center"/>
              <w:rPr>
                <w:kern w:val="0"/>
                <w:sz w:val="24"/>
                <w:szCs w:val="24"/>
              </w:rPr>
            </w:pPr>
          </w:p>
        </w:tc>
        <w:tc>
          <w:tcPr>
            <w:tcW w:w="715" w:type="dxa"/>
            <w:noWrap/>
            <w:vAlign w:val="center"/>
          </w:tcPr>
          <w:p>
            <w:pPr>
              <w:widowControl/>
              <w:jc w:val="center"/>
              <w:rPr>
                <w:kern w:val="0"/>
                <w:sz w:val="24"/>
                <w:szCs w:val="24"/>
              </w:rPr>
            </w:pPr>
          </w:p>
        </w:tc>
        <w:tc>
          <w:tcPr>
            <w:tcW w:w="1230" w:type="dxa"/>
            <w:noWrap/>
            <w:vAlign w:val="center"/>
          </w:tcPr>
          <w:p>
            <w:pPr>
              <w:widowControl/>
              <w:jc w:val="center"/>
              <w:rPr>
                <w:kern w:val="0"/>
                <w:sz w:val="24"/>
                <w:szCs w:val="24"/>
              </w:rPr>
            </w:pPr>
          </w:p>
        </w:tc>
        <w:tc>
          <w:tcPr>
            <w:tcW w:w="715" w:type="dxa"/>
            <w:noWrap/>
            <w:vAlign w:val="center"/>
          </w:tcPr>
          <w:p>
            <w:pPr>
              <w:widowControl/>
              <w:jc w:val="center"/>
              <w:rPr>
                <w:kern w:val="0"/>
                <w:sz w:val="24"/>
                <w:szCs w:val="24"/>
              </w:rPr>
            </w:pPr>
          </w:p>
        </w:tc>
        <w:tc>
          <w:tcPr>
            <w:tcW w:w="1235" w:type="dxa"/>
            <w:noWrap/>
            <w:vAlign w:val="center"/>
          </w:tcPr>
          <w:p>
            <w:pPr>
              <w:widowControl/>
              <w:jc w:val="center"/>
              <w:rPr>
                <w:kern w:val="0"/>
                <w:sz w:val="24"/>
                <w:szCs w:val="24"/>
              </w:rPr>
            </w:pPr>
          </w:p>
        </w:tc>
        <w:tc>
          <w:tcPr>
            <w:tcW w:w="715" w:type="dxa"/>
            <w:noWrap/>
            <w:vAlign w:val="center"/>
          </w:tcPr>
          <w:p>
            <w:pPr>
              <w:widowControl/>
              <w:jc w:val="center"/>
              <w:rPr>
                <w:kern w:val="0"/>
                <w:sz w:val="24"/>
                <w:szCs w:val="24"/>
              </w:rPr>
            </w:pPr>
          </w:p>
        </w:tc>
        <w:tc>
          <w:tcPr>
            <w:tcW w:w="795" w:type="dxa"/>
            <w:noWrap/>
            <w:vAlign w:val="center"/>
          </w:tcPr>
          <w:p>
            <w:pPr>
              <w:widowControl/>
              <w:jc w:val="center"/>
              <w:rPr>
                <w:kern w:val="0"/>
                <w:sz w:val="24"/>
                <w:szCs w:val="24"/>
              </w:rPr>
            </w:pPr>
          </w:p>
        </w:tc>
        <w:tc>
          <w:tcPr>
            <w:tcW w:w="767" w:type="dxa"/>
            <w:noWrap/>
            <w:vAlign w:val="center"/>
          </w:tcPr>
          <w:p>
            <w:pPr>
              <w:widowControl/>
              <w:jc w:val="center"/>
              <w:rPr>
                <w:kern w:val="0"/>
                <w:sz w:val="24"/>
                <w:szCs w:val="24"/>
              </w:rPr>
            </w:pPr>
          </w:p>
        </w:tc>
        <w:tc>
          <w:tcPr>
            <w:tcW w:w="737" w:type="dxa"/>
            <w:noWrap/>
            <w:vAlign w:val="center"/>
          </w:tcPr>
          <w:p>
            <w:pPr>
              <w:widowControl/>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pPr>
              <w:widowControl/>
              <w:jc w:val="center"/>
              <w:rPr>
                <w:kern w:val="0"/>
                <w:sz w:val="24"/>
                <w:szCs w:val="24"/>
              </w:rPr>
            </w:pPr>
          </w:p>
        </w:tc>
        <w:tc>
          <w:tcPr>
            <w:tcW w:w="1348" w:type="dxa"/>
            <w:noWrap/>
            <w:vAlign w:val="center"/>
          </w:tcPr>
          <w:p>
            <w:pPr>
              <w:widowControl/>
              <w:jc w:val="center"/>
              <w:rPr>
                <w:kern w:val="0"/>
                <w:sz w:val="24"/>
                <w:szCs w:val="24"/>
              </w:rPr>
            </w:pPr>
          </w:p>
        </w:tc>
        <w:tc>
          <w:tcPr>
            <w:tcW w:w="716" w:type="dxa"/>
            <w:noWrap/>
            <w:vAlign w:val="center"/>
          </w:tcPr>
          <w:p>
            <w:pPr>
              <w:widowControl/>
              <w:jc w:val="center"/>
              <w:rPr>
                <w:kern w:val="0"/>
                <w:sz w:val="24"/>
                <w:szCs w:val="24"/>
              </w:rPr>
            </w:pPr>
          </w:p>
        </w:tc>
        <w:tc>
          <w:tcPr>
            <w:tcW w:w="715" w:type="dxa"/>
            <w:noWrap/>
            <w:vAlign w:val="center"/>
          </w:tcPr>
          <w:p>
            <w:pPr>
              <w:widowControl/>
              <w:jc w:val="center"/>
              <w:rPr>
                <w:kern w:val="0"/>
                <w:sz w:val="24"/>
                <w:szCs w:val="24"/>
              </w:rPr>
            </w:pPr>
          </w:p>
        </w:tc>
        <w:tc>
          <w:tcPr>
            <w:tcW w:w="1230" w:type="dxa"/>
            <w:noWrap/>
            <w:vAlign w:val="center"/>
          </w:tcPr>
          <w:p>
            <w:pPr>
              <w:widowControl/>
              <w:jc w:val="center"/>
              <w:rPr>
                <w:kern w:val="0"/>
                <w:sz w:val="24"/>
                <w:szCs w:val="24"/>
              </w:rPr>
            </w:pPr>
          </w:p>
        </w:tc>
        <w:tc>
          <w:tcPr>
            <w:tcW w:w="715" w:type="dxa"/>
            <w:noWrap/>
            <w:vAlign w:val="center"/>
          </w:tcPr>
          <w:p>
            <w:pPr>
              <w:widowControl/>
              <w:jc w:val="center"/>
              <w:rPr>
                <w:kern w:val="0"/>
                <w:sz w:val="24"/>
                <w:szCs w:val="24"/>
              </w:rPr>
            </w:pPr>
          </w:p>
        </w:tc>
        <w:tc>
          <w:tcPr>
            <w:tcW w:w="1235" w:type="dxa"/>
            <w:noWrap/>
            <w:vAlign w:val="center"/>
          </w:tcPr>
          <w:p>
            <w:pPr>
              <w:widowControl/>
              <w:jc w:val="center"/>
              <w:rPr>
                <w:kern w:val="0"/>
                <w:sz w:val="24"/>
                <w:szCs w:val="24"/>
              </w:rPr>
            </w:pPr>
          </w:p>
        </w:tc>
        <w:tc>
          <w:tcPr>
            <w:tcW w:w="715" w:type="dxa"/>
            <w:noWrap/>
            <w:vAlign w:val="center"/>
          </w:tcPr>
          <w:p>
            <w:pPr>
              <w:widowControl/>
              <w:jc w:val="center"/>
              <w:rPr>
                <w:kern w:val="0"/>
                <w:sz w:val="24"/>
                <w:szCs w:val="24"/>
              </w:rPr>
            </w:pPr>
          </w:p>
        </w:tc>
        <w:tc>
          <w:tcPr>
            <w:tcW w:w="795" w:type="dxa"/>
            <w:noWrap/>
            <w:vAlign w:val="center"/>
          </w:tcPr>
          <w:p>
            <w:pPr>
              <w:widowControl/>
              <w:jc w:val="center"/>
              <w:rPr>
                <w:kern w:val="0"/>
                <w:sz w:val="24"/>
                <w:szCs w:val="24"/>
              </w:rPr>
            </w:pPr>
          </w:p>
        </w:tc>
        <w:tc>
          <w:tcPr>
            <w:tcW w:w="767" w:type="dxa"/>
            <w:noWrap/>
            <w:vAlign w:val="center"/>
          </w:tcPr>
          <w:p>
            <w:pPr>
              <w:widowControl/>
              <w:jc w:val="center"/>
              <w:rPr>
                <w:kern w:val="0"/>
                <w:sz w:val="24"/>
                <w:szCs w:val="24"/>
              </w:rPr>
            </w:pPr>
          </w:p>
        </w:tc>
        <w:tc>
          <w:tcPr>
            <w:tcW w:w="737" w:type="dxa"/>
            <w:noWrap/>
            <w:vAlign w:val="center"/>
          </w:tcPr>
          <w:p>
            <w:pPr>
              <w:widowControl/>
              <w:jc w:val="center"/>
              <w:rPr>
                <w:kern w:val="0"/>
                <w:sz w:val="24"/>
                <w:szCs w:val="24"/>
              </w:rPr>
            </w:pPr>
          </w:p>
        </w:tc>
      </w:tr>
    </w:tbl>
    <w:p>
      <w:pPr>
        <w:ind w:left="180"/>
        <w:rPr>
          <w:sz w:val="24"/>
        </w:rPr>
      </w:pPr>
    </w:p>
    <w:p>
      <w:pPr>
        <w:spacing w:line="360" w:lineRule="auto"/>
        <w:ind w:left="181"/>
        <w:rPr>
          <w:sz w:val="24"/>
          <w:szCs w:val="24"/>
        </w:rPr>
      </w:pPr>
      <w:r>
        <w:rPr>
          <w:rFonts w:hAnsiTheme="minorEastAsia"/>
          <w:sz w:val="24"/>
          <w:szCs w:val="24"/>
        </w:rPr>
        <w:t>注：</w:t>
      </w:r>
    </w:p>
    <w:p>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pPr>
        <w:spacing w:line="360" w:lineRule="auto"/>
        <w:ind w:left="181"/>
        <w:rPr>
          <w:sz w:val="24"/>
          <w:szCs w:val="24"/>
        </w:rPr>
      </w:pPr>
      <w:r>
        <w:rPr>
          <w:rFonts w:hint="eastAsia"/>
          <w:sz w:val="24"/>
          <w:szCs w:val="24"/>
        </w:rPr>
        <w:t xml:space="preserve">3. </w:t>
      </w:r>
      <w:r>
        <w:rPr>
          <w:rFonts w:hint="eastAsia" w:hAnsiTheme="minorEastAsia"/>
          <w:sz w:val="24"/>
          <w:szCs w:val="24"/>
        </w:rPr>
        <w:t>如国产产品，产地精确到省级行政区域。如进口产品，产地精确到国家。</w:t>
      </w:r>
    </w:p>
    <w:p>
      <w:pPr>
        <w:spacing w:line="360" w:lineRule="auto"/>
        <w:ind w:left="181"/>
        <w:rPr>
          <w:sz w:val="24"/>
          <w:szCs w:val="24"/>
        </w:rPr>
      </w:pPr>
    </w:p>
    <w:p>
      <w:pPr>
        <w:spacing w:line="360" w:lineRule="auto"/>
        <w:ind w:firstLine="3808" w:firstLineChars="1700"/>
        <w:rPr>
          <w:sz w:val="24"/>
        </w:rPr>
      </w:pPr>
      <w:r>
        <w:rPr>
          <w:rFonts w:hAnsiTheme="minorEastAsia"/>
          <w:sz w:val="24"/>
        </w:rPr>
        <w:t>投标人名称：</w:t>
      </w:r>
    </w:p>
    <w:p>
      <w:pPr>
        <w:spacing w:line="360" w:lineRule="auto"/>
        <w:ind w:firstLine="3808" w:firstLineChars="1700"/>
        <w:rPr>
          <w:sz w:val="24"/>
        </w:rPr>
      </w:pPr>
      <w:r>
        <w:rPr>
          <w:rFonts w:hAnsiTheme="minorEastAsia"/>
          <w:sz w:val="24"/>
        </w:rPr>
        <w:t>日期：年月日</w:t>
      </w:r>
    </w:p>
    <w:p>
      <w:pPr>
        <w:widowControl/>
        <w:jc w:val="left"/>
        <w:rPr>
          <w:sz w:val="24"/>
        </w:rPr>
      </w:pPr>
      <w:r>
        <w:rPr>
          <w:sz w:val="24"/>
        </w:rPr>
        <w:br w:type="page"/>
      </w:r>
    </w:p>
    <w:p>
      <w:pPr>
        <w:tabs>
          <w:tab w:val="left" w:pos="360"/>
        </w:tabs>
        <w:spacing w:afterLines="100" w:line="360" w:lineRule="auto"/>
        <w:ind w:firstLine="448" w:firstLineChars="200"/>
        <w:rPr>
          <w:sz w:val="24"/>
        </w:rPr>
      </w:pPr>
      <w:r>
        <w:rPr>
          <w:rFonts w:hAnsiTheme="minorEastAsia"/>
          <w:sz w:val="24"/>
        </w:rPr>
        <w:t>附件</w:t>
      </w:r>
      <w:r>
        <w:rPr>
          <w:rFonts w:hint="eastAsia"/>
          <w:sz w:val="24"/>
        </w:rPr>
        <w:t>6</w:t>
      </w:r>
      <w:r>
        <w:rPr>
          <w:sz w:val="24"/>
        </w:rPr>
        <w:t>-1</w:t>
      </w:r>
    </w:p>
    <w:p>
      <w:pPr>
        <w:autoSpaceDN w:val="0"/>
        <w:spacing w:line="360" w:lineRule="auto"/>
        <w:jc w:val="center"/>
        <w:rPr>
          <w:b/>
          <w:bCs/>
          <w:sz w:val="24"/>
        </w:rPr>
      </w:pPr>
      <w:r>
        <w:rPr>
          <w:rFonts w:hAnsiTheme="minorEastAsia"/>
          <w:b/>
          <w:bCs/>
          <w:sz w:val="24"/>
        </w:rPr>
        <w:t>商务要求点对点应答表</w:t>
      </w:r>
    </w:p>
    <w:p>
      <w:pPr>
        <w:spacing w:line="460" w:lineRule="exact"/>
        <w:rPr>
          <w:sz w:val="24"/>
        </w:rPr>
      </w:pPr>
    </w:p>
    <w:p>
      <w:pPr>
        <w:spacing w:line="460" w:lineRule="exact"/>
        <w:rPr>
          <w:sz w:val="24"/>
        </w:rPr>
      </w:pPr>
      <w:r>
        <w:rPr>
          <w:rFonts w:hAnsiTheme="minorEastAsia"/>
          <w:sz w:val="24"/>
        </w:rPr>
        <w:t>项目名称：</w:t>
      </w:r>
    </w:p>
    <w:p>
      <w:pPr>
        <w:spacing w:line="460" w:lineRule="exact"/>
        <w:rPr>
          <w:sz w:val="24"/>
        </w:rPr>
      </w:pPr>
      <w:r>
        <w:rPr>
          <w:rFonts w:hAnsiTheme="minorEastAsia"/>
          <w:sz w:val="24"/>
        </w:rPr>
        <w:t>项目编号：</w:t>
      </w:r>
    </w:p>
    <w:p>
      <w:pPr>
        <w:spacing w:line="460" w:lineRule="exact"/>
        <w:rPr>
          <w:sz w:val="24"/>
          <w:u w:val="single"/>
        </w:rPr>
      </w:pPr>
      <w:r>
        <w:rPr>
          <w:rFonts w:hAnsiTheme="minorEastAsia"/>
          <w:sz w:val="24"/>
        </w:rPr>
        <w:t>包号：</w:t>
      </w:r>
    </w:p>
    <w:p>
      <w:pPr>
        <w:spacing w:line="460" w:lineRule="exact"/>
        <w:rPr>
          <w:sz w:val="24"/>
          <w:u w:val="single"/>
        </w:rPr>
      </w:pPr>
    </w:p>
    <w:tbl>
      <w:tblPr>
        <w:tblStyle w:val="21"/>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pPr>
              <w:widowControl/>
              <w:snapToGrid w:val="0"/>
              <w:jc w:val="center"/>
              <w:rPr>
                <w:kern w:val="0"/>
                <w:sz w:val="24"/>
                <w:szCs w:val="21"/>
              </w:rPr>
            </w:pPr>
            <w:r>
              <w:rPr>
                <w:rFonts w:hAnsiTheme="minorEastAsia"/>
                <w:kern w:val="0"/>
                <w:sz w:val="24"/>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pPr>
              <w:widowControl/>
              <w:snapToGrid w:val="0"/>
              <w:jc w:val="left"/>
              <w:rPr>
                <w:kern w:val="0"/>
                <w:sz w:val="24"/>
                <w:szCs w:val="21"/>
              </w:rPr>
            </w:pPr>
            <w:r>
              <w:rPr>
                <w:rFonts w:hAnsiTheme="minorEastAsia"/>
                <w:kern w:val="0"/>
                <w:sz w:val="24"/>
                <w:szCs w:val="21"/>
              </w:rPr>
              <w:t>（</w:t>
            </w:r>
            <w:r>
              <w:rPr>
                <w:rFonts w:hint="eastAsia" w:hAnsiTheme="minorEastAsia"/>
                <w:kern w:val="0"/>
                <w:sz w:val="24"/>
                <w:szCs w:val="21"/>
              </w:rPr>
              <w:t>一</w:t>
            </w:r>
            <w:r>
              <w:rPr>
                <w:rFonts w:hAnsiTheme="minorEastAsia"/>
                <w:kern w:val="0"/>
                <w:sz w:val="24"/>
                <w:szCs w:val="21"/>
              </w:rPr>
              <w:t>）报价要求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pPr>
              <w:widowControl/>
              <w:snapToGrid w:val="0"/>
              <w:jc w:val="center"/>
              <w:rPr>
                <w:kern w:val="0"/>
                <w:sz w:val="24"/>
                <w:szCs w:val="21"/>
              </w:rPr>
            </w:pPr>
          </w:p>
        </w:tc>
        <w:tc>
          <w:tcPr>
            <w:tcW w:w="2500" w:type="dxa"/>
            <w:shd w:val="clear" w:color="auto" w:fill="auto"/>
            <w:vAlign w:val="center"/>
          </w:tcPr>
          <w:p>
            <w:pPr>
              <w:widowControl/>
              <w:snapToGrid w:val="0"/>
              <w:jc w:val="left"/>
              <w:rPr>
                <w:kern w:val="0"/>
                <w:sz w:val="24"/>
                <w:szCs w:val="21"/>
              </w:rPr>
            </w:pPr>
          </w:p>
        </w:tc>
        <w:tc>
          <w:tcPr>
            <w:tcW w:w="2680" w:type="dxa"/>
            <w:shd w:val="clear" w:color="auto" w:fill="auto"/>
            <w:vAlign w:val="center"/>
          </w:tcPr>
          <w:p>
            <w:pPr>
              <w:widowControl/>
              <w:snapToGrid w:val="0"/>
              <w:jc w:val="left"/>
              <w:rPr>
                <w:kern w:val="0"/>
                <w:sz w:val="24"/>
                <w:szCs w:val="21"/>
              </w:rPr>
            </w:pPr>
          </w:p>
        </w:tc>
        <w:tc>
          <w:tcPr>
            <w:tcW w:w="1979" w:type="dxa"/>
            <w:shd w:val="clear" w:color="auto" w:fill="auto"/>
            <w:vAlign w:val="center"/>
          </w:tcPr>
          <w:p>
            <w:pPr>
              <w:widowControl/>
              <w:snapToGrid w:val="0"/>
              <w:jc w:val="left"/>
              <w:rPr>
                <w:kern w:val="0"/>
                <w:sz w:val="24"/>
                <w:szCs w:val="21"/>
              </w:rPr>
            </w:pPr>
          </w:p>
        </w:tc>
        <w:tc>
          <w:tcPr>
            <w:tcW w:w="1241" w:type="dxa"/>
            <w:shd w:val="clear" w:color="auto" w:fill="auto"/>
            <w:vAlign w:val="center"/>
          </w:tcPr>
          <w:p>
            <w:pPr>
              <w:widowControl/>
              <w:snapToGrid w:val="0"/>
              <w:jc w:val="left"/>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pPr>
              <w:widowControl/>
              <w:snapToGrid w:val="0"/>
              <w:jc w:val="center"/>
              <w:rPr>
                <w:kern w:val="0"/>
                <w:sz w:val="24"/>
                <w:szCs w:val="21"/>
              </w:rPr>
            </w:pPr>
          </w:p>
        </w:tc>
        <w:tc>
          <w:tcPr>
            <w:tcW w:w="2500" w:type="dxa"/>
            <w:shd w:val="clear" w:color="auto" w:fill="auto"/>
            <w:vAlign w:val="center"/>
          </w:tcPr>
          <w:p>
            <w:pPr>
              <w:widowControl/>
              <w:snapToGrid w:val="0"/>
              <w:jc w:val="left"/>
              <w:rPr>
                <w:kern w:val="0"/>
                <w:sz w:val="24"/>
                <w:szCs w:val="21"/>
              </w:rPr>
            </w:pPr>
          </w:p>
        </w:tc>
        <w:tc>
          <w:tcPr>
            <w:tcW w:w="2680" w:type="dxa"/>
            <w:shd w:val="clear" w:color="auto" w:fill="auto"/>
            <w:vAlign w:val="center"/>
          </w:tcPr>
          <w:p>
            <w:pPr>
              <w:widowControl/>
              <w:snapToGrid w:val="0"/>
              <w:jc w:val="left"/>
              <w:rPr>
                <w:kern w:val="0"/>
                <w:sz w:val="24"/>
                <w:szCs w:val="21"/>
              </w:rPr>
            </w:pPr>
          </w:p>
        </w:tc>
        <w:tc>
          <w:tcPr>
            <w:tcW w:w="1979" w:type="dxa"/>
            <w:shd w:val="clear" w:color="auto" w:fill="auto"/>
            <w:vAlign w:val="center"/>
          </w:tcPr>
          <w:p>
            <w:pPr>
              <w:widowControl/>
              <w:snapToGrid w:val="0"/>
              <w:jc w:val="left"/>
              <w:rPr>
                <w:kern w:val="0"/>
                <w:sz w:val="24"/>
                <w:szCs w:val="21"/>
              </w:rPr>
            </w:pPr>
          </w:p>
        </w:tc>
        <w:tc>
          <w:tcPr>
            <w:tcW w:w="1241" w:type="dxa"/>
            <w:shd w:val="clear" w:color="auto" w:fill="auto"/>
            <w:vAlign w:val="center"/>
          </w:tcPr>
          <w:p>
            <w:pPr>
              <w:widowControl/>
              <w:snapToGrid w:val="0"/>
              <w:jc w:val="left"/>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pPr>
              <w:widowControl/>
              <w:snapToGrid w:val="0"/>
              <w:jc w:val="left"/>
              <w:rPr>
                <w:kern w:val="0"/>
                <w:sz w:val="24"/>
                <w:szCs w:val="21"/>
              </w:rPr>
            </w:pPr>
            <w:r>
              <w:rPr>
                <w:rFonts w:hint="eastAsia" w:hAnsiTheme="minorEastAsia"/>
                <w:kern w:val="0"/>
                <w:sz w:val="24"/>
                <w:szCs w:val="21"/>
              </w:rPr>
              <w:t>（二）服务要求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pPr>
              <w:widowControl/>
              <w:snapToGrid w:val="0"/>
              <w:jc w:val="center"/>
              <w:rPr>
                <w:kern w:val="0"/>
                <w:sz w:val="24"/>
                <w:szCs w:val="21"/>
              </w:rPr>
            </w:pPr>
          </w:p>
        </w:tc>
        <w:tc>
          <w:tcPr>
            <w:tcW w:w="2500" w:type="dxa"/>
            <w:shd w:val="clear" w:color="auto" w:fill="auto"/>
            <w:vAlign w:val="center"/>
          </w:tcPr>
          <w:p>
            <w:pPr>
              <w:widowControl/>
              <w:snapToGrid w:val="0"/>
              <w:jc w:val="left"/>
              <w:rPr>
                <w:kern w:val="0"/>
                <w:sz w:val="24"/>
                <w:szCs w:val="21"/>
              </w:rPr>
            </w:pPr>
          </w:p>
        </w:tc>
        <w:tc>
          <w:tcPr>
            <w:tcW w:w="2680" w:type="dxa"/>
            <w:shd w:val="clear" w:color="auto" w:fill="auto"/>
            <w:vAlign w:val="center"/>
          </w:tcPr>
          <w:p>
            <w:pPr>
              <w:widowControl/>
              <w:snapToGrid w:val="0"/>
              <w:jc w:val="left"/>
              <w:rPr>
                <w:kern w:val="0"/>
                <w:sz w:val="24"/>
                <w:szCs w:val="21"/>
              </w:rPr>
            </w:pPr>
          </w:p>
        </w:tc>
        <w:tc>
          <w:tcPr>
            <w:tcW w:w="1979" w:type="dxa"/>
            <w:shd w:val="clear" w:color="auto" w:fill="auto"/>
            <w:vAlign w:val="center"/>
          </w:tcPr>
          <w:p>
            <w:pPr>
              <w:widowControl/>
              <w:snapToGrid w:val="0"/>
              <w:jc w:val="left"/>
              <w:rPr>
                <w:kern w:val="0"/>
                <w:sz w:val="24"/>
                <w:szCs w:val="21"/>
              </w:rPr>
            </w:pPr>
          </w:p>
        </w:tc>
        <w:tc>
          <w:tcPr>
            <w:tcW w:w="1241" w:type="dxa"/>
            <w:shd w:val="clear" w:color="auto" w:fill="auto"/>
            <w:vAlign w:val="center"/>
          </w:tcPr>
          <w:p>
            <w:pPr>
              <w:widowControl/>
              <w:snapToGrid w:val="0"/>
              <w:jc w:val="left"/>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pPr>
              <w:widowControl/>
              <w:snapToGrid w:val="0"/>
              <w:jc w:val="center"/>
              <w:rPr>
                <w:kern w:val="0"/>
                <w:sz w:val="24"/>
                <w:szCs w:val="21"/>
              </w:rPr>
            </w:pPr>
          </w:p>
        </w:tc>
        <w:tc>
          <w:tcPr>
            <w:tcW w:w="2500" w:type="dxa"/>
            <w:shd w:val="clear" w:color="auto" w:fill="auto"/>
            <w:vAlign w:val="center"/>
          </w:tcPr>
          <w:p>
            <w:pPr>
              <w:widowControl/>
              <w:snapToGrid w:val="0"/>
              <w:jc w:val="left"/>
              <w:rPr>
                <w:kern w:val="0"/>
                <w:sz w:val="24"/>
                <w:szCs w:val="21"/>
              </w:rPr>
            </w:pPr>
          </w:p>
        </w:tc>
        <w:tc>
          <w:tcPr>
            <w:tcW w:w="2680" w:type="dxa"/>
            <w:shd w:val="clear" w:color="auto" w:fill="auto"/>
            <w:vAlign w:val="center"/>
          </w:tcPr>
          <w:p>
            <w:pPr>
              <w:widowControl/>
              <w:snapToGrid w:val="0"/>
              <w:jc w:val="left"/>
              <w:rPr>
                <w:kern w:val="0"/>
                <w:sz w:val="24"/>
                <w:szCs w:val="21"/>
              </w:rPr>
            </w:pPr>
          </w:p>
        </w:tc>
        <w:tc>
          <w:tcPr>
            <w:tcW w:w="1979" w:type="dxa"/>
            <w:shd w:val="clear" w:color="auto" w:fill="auto"/>
            <w:vAlign w:val="center"/>
          </w:tcPr>
          <w:p>
            <w:pPr>
              <w:widowControl/>
              <w:snapToGrid w:val="0"/>
              <w:jc w:val="left"/>
              <w:rPr>
                <w:kern w:val="0"/>
                <w:sz w:val="24"/>
                <w:szCs w:val="21"/>
              </w:rPr>
            </w:pPr>
          </w:p>
        </w:tc>
        <w:tc>
          <w:tcPr>
            <w:tcW w:w="1241" w:type="dxa"/>
            <w:shd w:val="clear" w:color="auto" w:fill="auto"/>
            <w:vAlign w:val="center"/>
          </w:tcPr>
          <w:p>
            <w:pPr>
              <w:widowControl/>
              <w:snapToGrid w:val="0"/>
              <w:jc w:val="left"/>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pPr>
              <w:widowControl/>
              <w:snapToGrid w:val="0"/>
              <w:jc w:val="left"/>
              <w:rPr>
                <w:kern w:val="0"/>
                <w:sz w:val="24"/>
                <w:szCs w:val="21"/>
              </w:rPr>
            </w:pPr>
            <w:r>
              <w:rPr>
                <w:rFonts w:hint="eastAsia" w:hAnsiTheme="minorEastAsia"/>
                <w:kern w:val="0"/>
                <w:sz w:val="24"/>
                <w:szCs w:val="21"/>
              </w:rPr>
              <w:t>（三）交货要求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pPr>
              <w:widowControl/>
              <w:snapToGrid w:val="0"/>
              <w:jc w:val="center"/>
              <w:rPr>
                <w:kern w:val="0"/>
                <w:sz w:val="24"/>
                <w:szCs w:val="21"/>
              </w:rPr>
            </w:pPr>
          </w:p>
        </w:tc>
        <w:tc>
          <w:tcPr>
            <w:tcW w:w="2500" w:type="dxa"/>
            <w:shd w:val="clear" w:color="auto" w:fill="auto"/>
            <w:vAlign w:val="center"/>
          </w:tcPr>
          <w:p>
            <w:pPr>
              <w:widowControl/>
              <w:snapToGrid w:val="0"/>
              <w:jc w:val="left"/>
              <w:rPr>
                <w:kern w:val="0"/>
                <w:sz w:val="24"/>
                <w:szCs w:val="21"/>
              </w:rPr>
            </w:pPr>
          </w:p>
        </w:tc>
        <w:tc>
          <w:tcPr>
            <w:tcW w:w="2680" w:type="dxa"/>
            <w:shd w:val="clear" w:color="auto" w:fill="auto"/>
            <w:vAlign w:val="center"/>
          </w:tcPr>
          <w:p>
            <w:pPr>
              <w:widowControl/>
              <w:snapToGrid w:val="0"/>
              <w:jc w:val="left"/>
              <w:rPr>
                <w:kern w:val="0"/>
                <w:sz w:val="24"/>
                <w:szCs w:val="21"/>
              </w:rPr>
            </w:pPr>
          </w:p>
        </w:tc>
        <w:tc>
          <w:tcPr>
            <w:tcW w:w="1979" w:type="dxa"/>
            <w:shd w:val="clear" w:color="auto" w:fill="auto"/>
            <w:vAlign w:val="center"/>
          </w:tcPr>
          <w:p>
            <w:pPr>
              <w:widowControl/>
              <w:snapToGrid w:val="0"/>
              <w:jc w:val="left"/>
              <w:rPr>
                <w:kern w:val="0"/>
                <w:sz w:val="24"/>
                <w:szCs w:val="21"/>
              </w:rPr>
            </w:pPr>
          </w:p>
        </w:tc>
        <w:tc>
          <w:tcPr>
            <w:tcW w:w="1241" w:type="dxa"/>
            <w:shd w:val="clear" w:color="auto" w:fill="auto"/>
            <w:vAlign w:val="center"/>
          </w:tcPr>
          <w:p>
            <w:pPr>
              <w:widowControl/>
              <w:snapToGrid w:val="0"/>
              <w:jc w:val="left"/>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pPr>
              <w:widowControl/>
              <w:snapToGrid w:val="0"/>
              <w:jc w:val="left"/>
              <w:rPr>
                <w:kern w:val="0"/>
                <w:sz w:val="24"/>
                <w:szCs w:val="21"/>
              </w:rPr>
            </w:pPr>
            <w:r>
              <w:rPr>
                <w:rFonts w:hAnsiTheme="minorEastAsia"/>
                <w:kern w:val="0"/>
                <w:sz w:val="24"/>
                <w:szCs w:val="21"/>
              </w:rPr>
              <w:t>（</w:t>
            </w:r>
            <w:r>
              <w:rPr>
                <w:rFonts w:hint="eastAsia" w:hAnsiTheme="minorEastAsia"/>
                <w:kern w:val="0"/>
                <w:sz w:val="24"/>
                <w:szCs w:val="21"/>
              </w:rPr>
              <w:t>四</w:t>
            </w:r>
            <w:r>
              <w:rPr>
                <w:rFonts w:hAnsiTheme="minorEastAsia"/>
                <w:kern w:val="0"/>
                <w:sz w:val="24"/>
                <w:szCs w:val="21"/>
              </w:rPr>
              <w:t>）付款方式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pPr>
              <w:widowControl/>
              <w:snapToGrid w:val="0"/>
              <w:jc w:val="center"/>
              <w:rPr>
                <w:kern w:val="0"/>
                <w:sz w:val="24"/>
                <w:szCs w:val="21"/>
              </w:rPr>
            </w:pPr>
          </w:p>
        </w:tc>
        <w:tc>
          <w:tcPr>
            <w:tcW w:w="2500" w:type="dxa"/>
            <w:shd w:val="clear" w:color="auto" w:fill="auto"/>
            <w:vAlign w:val="center"/>
          </w:tcPr>
          <w:p>
            <w:pPr>
              <w:widowControl/>
              <w:snapToGrid w:val="0"/>
              <w:jc w:val="left"/>
              <w:rPr>
                <w:kern w:val="0"/>
                <w:sz w:val="24"/>
                <w:szCs w:val="21"/>
              </w:rPr>
            </w:pPr>
          </w:p>
        </w:tc>
        <w:tc>
          <w:tcPr>
            <w:tcW w:w="2680" w:type="dxa"/>
            <w:shd w:val="clear" w:color="auto" w:fill="auto"/>
            <w:vAlign w:val="center"/>
          </w:tcPr>
          <w:p>
            <w:pPr>
              <w:widowControl/>
              <w:snapToGrid w:val="0"/>
              <w:jc w:val="left"/>
              <w:rPr>
                <w:kern w:val="0"/>
                <w:sz w:val="24"/>
                <w:szCs w:val="21"/>
              </w:rPr>
            </w:pPr>
          </w:p>
        </w:tc>
        <w:tc>
          <w:tcPr>
            <w:tcW w:w="1979" w:type="dxa"/>
            <w:shd w:val="clear" w:color="auto" w:fill="auto"/>
            <w:vAlign w:val="center"/>
          </w:tcPr>
          <w:p>
            <w:pPr>
              <w:widowControl/>
              <w:snapToGrid w:val="0"/>
              <w:jc w:val="left"/>
              <w:rPr>
                <w:kern w:val="0"/>
                <w:sz w:val="24"/>
                <w:szCs w:val="21"/>
              </w:rPr>
            </w:pPr>
          </w:p>
        </w:tc>
        <w:tc>
          <w:tcPr>
            <w:tcW w:w="1241" w:type="dxa"/>
            <w:shd w:val="clear" w:color="auto" w:fill="auto"/>
            <w:vAlign w:val="center"/>
          </w:tcPr>
          <w:p>
            <w:pPr>
              <w:widowControl/>
              <w:snapToGrid w:val="0"/>
              <w:jc w:val="left"/>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pPr>
              <w:widowControl/>
              <w:snapToGrid w:val="0"/>
              <w:jc w:val="left"/>
              <w:rPr>
                <w:kern w:val="0"/>
                <w:sz w:val="24"/>
                <w:szCs w:val="21"/>
              </w:rPr>
            </w:pPr>
            <w:r>
              <w:rPr>
                <w:rFonts w:hAnsiTheme="minorEastAsia"/>
                <w:kern w:val="0"/>
                <w:sz w:val="24"/>
                <w:szCs w:val="21"/>
              </w:rPr>
              <w:t>（</w:t>
            </w:r>
            <w:r>
              <w:rPr>
                <w:rFonts w:hint="eastAsia" w:hAnsiTheme="minorEastAsia"/>
                <w:kern w:val="0"/>
                <w:sz w:val="24"/>
                <w:szCs w:val="21"/>
              </w:rPr>
              <w:t>五</w:t>
            </w:r>
            <w:r>
              <w:rPr>
                <w:rFonts w:hAnsiTheme="minorEastAsia"/>
                <w:kern w:val="0"/>
                <w:sz w:val="24"/>
                <w:szCs w:val="21"/>
              </w:rPr>
              <w:t>）投标保证金和履约保证金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pPr>
              <w:widowControl/>
              <w:snapToGrid w:val="0"/>
              <w:jc w:val="center"/>
              <w:rPr>
                <w:kern w:val="0"/>
                <w:sz w:val="24"/>
                <w:szCs w:val="21"/>
              </w:rPr>
            </w:pPr>
          </w:p>
        </w:tc>
        <w:tc>
          <w:tcPr>
            <w:tcW w:w="2500" w:type="dxa"/>
            <w:shd w:val="clear" w:color="auto" w:fill="auto"/>
            <w:vAlign w:val="center"/>
          </w:tcPr>
          <w:p>
            <w:pPr>
              <w:widowControl/>
              <w:snapToGrid w:val="0"/>
              <w:jc w:val="left"/>
              <w:rPr>
                <w:kern w:val="0"/>
                <w:sz w:val="24"/>
                <w:szCs w:val="21"/>
              </w:rPr>
            </w:pPr>
          </w:p>
        </w:tc>
        <w:tc>
          <w:tcPr>
            <w:tcW w:w="2680" w:type="dxa"/>
            <w:shd w:val="clear" w:color="auto" w:fill="auto"/>
            <w:vAlign w:val="center"/>
          </w:tcPr>
          <w:p>
            <w:pPr>
              <w:widowControl/>
              <w:snapToGrid w:val="0"/>
              <w:jc w:val="left"/>
              <w:rPr>
                <w:kern w:val="0"/>
                <w:sz w:val="24"/>
                <w:szCs w:val="21"/>
              </w:rPr>
            </w:pPr>
          </w:p>
        </w:tc>
        <w:tc>
          <w:tcPr>
            <w:tcW w:w="1979" w:type="dxa"/>
            <w:shd w:val="clear" w:color="auto" w:fill="auto"/>
            <w:vAlign w:val="center"/>
          </w:tcPr>
          <w:p>
            <w:pPr>
              <w:widowControl/>
              <w:snapToGrid w:val="0"/>
              <w:jc w:val="left"/>
              <w:rPr>
                <w:kern w:val="0"/>
                <w:sz w:val="24"/>
                <w:szCs w:val="21"/>
              </w:rPr>
            </w:pPr>
          </w:p>
        </w:tc>
        <w:tc>
          <w:tcPr>
            <w:tcW w:w="1241" w:type="dxa"/>
            <w:shd w:val="clear" w:color="auto" w:fill="auto"/>
            <w:vAlign w:val="center"/>
          </w:tcPr>
          <w:p>
            <w:pPr>
              <w:widowControl/>
              <w:snapToGrid w:val="0"/>
              <w:jc w:val="left"/>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pPr>
              <w:widowControl/>
              <w:snapToGrid w:val="0"/>
              <w:jc w:val="left"/>
              <w:rPr>
                <w:kern w:val="0"/>
                <w:sz w:val="24"/>
                <w:szCs w:val="21"/>
              </w:rPr>
            </w:pPr>
            <w:r>
              <w:rPr>
                <w:rFonts w:hint="eastAsia" w:hAnsiTheme="minorEastAsia"/>
                <w:kern w:val="0"/>
                <w:sz w:val="24"/>
                <w:szCs w:val="21"/>
              </w:rPr>
              <w:t>（六）验收方法及标准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pPr>
              <w:widowControl/>
              <w:snapToGrid w:val="0"/>
              <w:jc w:val="center"/>
              <w:rPr>
                <w:kern w:val="0"/>
                <w:sz w:val="24"/>
                <w:szCs w:val="21"/>
              </w:rPr>
            </w:pPr>
          </w:p>
        </w:tc>
        <w:tc>
          <w:tcPr>
            <w:tcW w:w="2500" w:type="dxa"/>
            <w:shd w:val="clear" w:color="auto" w:fill="auto"/>
            <w:vAlign w:val="center"/>
          </w:tcPr>
          <w:p>
            <w:pPr>
              <w:widowControl/>
              <w:snapToGrid w:val="0"/>
              <w:jc w:val="left"/>
              <w:rPr>
                <w:kern w:val="0"/>
                <w:sz w:val="24"/>
                <w:szCs w:val="21"/>
              </w:rPr>
            </w:pPr>
          </w:p>
        </w:tc>
        <w:tc>
          <w:tcPr>
            <w:tcW w:w="2680" w:type="dxa"/>
            <w:shd w:val="clear" w:color="auto" w:fill="auto"/>
            <w:vAlign w:val="center"/>
          </w:tcPr>
          <w:p>
            <w:pPr>
              <w:widowControl/>
              <w:snapToGrid w:val="0"/>
              <w:jc w:val="left"/>
              <w:rPr>
                <w:kern w:val="0"/>
                <w:sz w:val="24"/>
                <w:szCs w:val="21"/>
              </w:rPr>
            </w:pPr>
          </w:p>
        </w:tc>
        <w:tc>
          <w:tcPr>
            <w:tcW w:w="1979" w:type="dxa"/>
            <w:shd w:val="clear" w:color="auto" w:fill="auto"/>
            <w:vAlign w:val="center"/>
          </w:tcPr>
          <w:p>
            <w:pPr>
              <w:widowControl/>
              <w:snapToGrid w:val="0"/>
              <w:jc w:val="left"/>
              <w:rPr>
                <w:kern w:val="0"/>
                <w:sz w:val="24"/>
                <w:szCs w:val="21"/>
              </w:rPr>
            </w:pPr>
          </w:p>
        </w:tc>
        <w:tc>
          <w:tcPr>
            <w:tcW w:w="1241" w:type="dxa"/>
            <w:shd w:val="clear" w:color="auto" w:fill="auto"/>
            <w:vAlign w:val="center"/>
          </w:tcPr>
          <w:p>
            <w:pPr>
              <w:widowControl/>
              <w:snapToGrid w:val="0"/>
              <w:jc w:val="left"/>
              <w:rPr>
                <w:kern w:val="0"/>
                <w:sz w:val="24"/>
                <w:szCs w:val="21"/>
              </w:rPr>
            </w:pPr>
          </w:p>
        </w:tc>
      </w:tr>
    </w:tbl>
    <w:p>
      <w:pPr>
        <w:spacing w:line="620" w:lineRule="exact"/>
        <w:rPr>
          <w:sz w:val="24"/>
        </w:rPr>
      </w:pPr>
      <w:r>
        <w:rPr>
          <w:rFonts w:hAnsiTheme="minorEastAsia"/>
          <w:sz w:val="24"/>
        </w:rPr>
        <w:t>注：</w:t>
      </w:r>
    </w:p>
    <w:p>
      <w:pPr>
        <w:spacing w:line="360" w:lineRule="auto"/>
        <w:rPr>
          <w:sz w:val="24"/>
        </w:rPr>
      </w:pPr>
      <w:r>
        <w:rPr>
          <w:sz w:val="24"/>
        </w:rPr>
        <w:t xml:space="preserve">1. </w:t>
      </w:r>
      <w:r>
        <w:rPr>
          <w:rFonts w:hAnsiTheme="minorEastAsia"/>
          <w:sz w:val="24"/>
        </w:rPr>
        <w:t>不如实填写偏离情况的投标文件将视为虚假材料。</w:t>
      </w:r>
    </w:p>
    <w:p>
      <w:pPr>
        <w:spacing w:line="360" w:lineRule="auto"/>
        <w:rPr>
          <w:sz w:val="24"/>
        </w:rPr>
      </w:pPr>
      <w:r>
        <w:rPr>
          <w:sz w:val="24"/>
        </w:rPr>
        <w:t xml:space="preserve">2. </w:t>
      </w:r>
      <w:r>
        <w:rPr>
          <w:rFonts w:hAnsiTheme="minorEastAsia"/>
          <w:sz w:val="24"/>
        </w:rPr>
        <w:t>招标要求指招标文件中规定的具体要求，投标应答指</w:t>
      </w:r>
      <w:r>
        <w:rPr>
          <w:rFonts w:hint="eastAsia" w:hAnsiTheme="minorEastAsia"/>
          <w:sz w:val="24"/>
        </w:rPr>
        <w:t>投标文件</w:t>
      </w:r>
      <w:r>
        <w:rPr>
          <w:rFonts w:hAnsiTheme="minorEastAsia"/>
          <w:sz w:val="24"/>
        </w:rPr>
        <w:t>的</w:t>
      </w:r>
      <w:r>
        <w:rPr>
          <w:rFonts w:hint="eastAsia" w:hAnsiTheme="minorEastAsia"/>
          <w:sz w:val="24"/>
        </w:rPr>
        <w:t>具体内容</w:t>
      </w:r>
      <w:r>
        <w:rPr>
          <w:rFonts w:hAnsiTheme="minorEastAsia"/>
          <w:sz w:val="24"/>
        </w:rPr>
        <w:t>。</w:t>
      </w:r>
    </w:p>
    <w:p>
      <w:pPr>
        <w:spacing w:line="360" w:lineRule="auto"/>
        <w:rPr>
          <w:sz w:val="24"/>
        </w:rPr>
      </w:pPr>
      <w:r>
        <w:rPr>
          <w:sz w:val="24"/>
        </w:rPr>
        <w:t xml:space="preserve">4. </w:t>
      </w:r>
      <w:r>
        <w:rPr>
          <w:rFonts w:hAnsiTheme="minorEastAsia"/>
          <w:sz w:val="24"/>
        </w:rPr>
        <w:t>偏离说明指招标要求与投标应答之间的不同之处。</w:t>
      </w:r>
    </w:p>
    <w:p>
      <w:pPr>
        <w:spacing w:line="360" w:lineRule="auto"/>
        <w:rPr>
          <w:sz w:val="24"/>
        </w:rPr>
      </w:pPr>
    </w:p>
    <w:p>
      <w:pPr>
        <w:spacing w:line="360" w:lineRule="auto"/>
        <w:ind w:firstLine="3808" w:firstLineChars="1700"/>
        <w:rPr>
          <w:sz w:val="24"/>
        </w:rPr>
      </w:pPr>
      <w:r>
        <w:rPr>
          <w:rFonts w:hAnsiTheme="minorEastAsia"/>
          <w:sz w:val="24"/>
        </w:rPr>
        <w:t>投标人名称：</w:t>
      </w:r>
    </w:p>
    <w:p>
      <w:pPr>
        <w:spacing w:line="360" w:lineRule="auto"/>
        <w:ind w:firstLine="3808" w:firstLineChars="1700"/>
        <w:rPr>
          <w:sz w:val="24"/>
        </w:rPr>
      </w:pPr>
      <w:r>
        <w:rPr>
          <w:rFonts w:hAnsiTheme="minorEastAsia"/>
          <w:sz w:val="24"/>
        </w:rPr>
        <w:t>日期：年月日</w:t>
      </w:r>
    </w:p>
    <w:p>
      <w:pPr>
        <w:tabs>
          <w:tab w:val="left" w:pos="360"/>
        </w:tabs>
        <w:spacing w:afterLines="100" w:line="360" w:lineRule="auto"/>
        <w:ind w:firstLine="448" w:firstLineChars="200"/>
        <w:rPr>
          <w:sz w:val="24"/>
        </w:rPr>
      </w:pPr>
      <w:r>
        <w:rPr>
          <w:sz w:val="24"/>
        </w:rPr>
        <w:br w:type="page"/>
      </w:r>
      <w:r>
        <w:rPr>
          <w:rFonts w:hAnsiTheme="minorEastAsia"/>
          <w:sz w:val="24"/>
        </w:rPr>
        <w:t>附件</w:t>
      </w:r>
      <w:r>
        <w:rPr>
          <w:rFonts w:hint="eastAsia"/>
          <w:sz w:val="24"/>
        </w:rPr>
        <w:t>6</w:t>
      </w:r>
      <w:r>
        <w:rPr>
          <w:sz w:val="24"/>
        </w:rPr>
        <w:t>-2</w:t>
      </w:r>
    </w:p>
    <w:p>
      <w:pPr>
        <w:autoSpaceDN w:val="0"/>
        <w:spacing w:line="360" w:lineRule="auto"/>
        <w:jc w:val="center"/>
        <w:rPr>
          <w:b/>
          <w:bCs/>
          <w:sz w:val="24"/>
        </w:rPr>
      </w:pPr>
      <w:r>
        <w:rPr>
          <w:rFonts w:hAnsiTheme="minorEastAsia"/>
          <w:b/>
          <w:bCs/>
          <w:sz w:val="24"/>
        </w:rPr>
        <w:t>技术要求点对点应答表</w:t>
      </w:r>
    </w:p>
    <w:p>
      <w:pPr>
        <w:spacing w:line="460" w:lineRule="exact"/>
        <w:rPr>
          <w:sz w:val="24"/>
        </w:rPr>
      </w:pPr>
      <w:r>
        <w:rPr>
          <w:rFonts w:hAnsiTheme="minorEastAsia"/>
          <w:sz w:val="24"/>
        </w:rPr>
        <w:t>项目名称：</w:t>
      </w:r>
    </w:p>
    <w:p>
      <w:pPr>
        <w:spacing w:line="460" w:lineRule="exact"/>
        <w:rPr>
          <w:sz w:val="24"/>
        </w:rPr>
      </w:pPr>
      <w:r>
        <w:rPr>
          <w:rFonts w:hAnsiTheme="minorEastAsia"/>
          <w:sz w:val="24"/>
        </w:rPr>
        <w:t>项目编号：</w:t>
      </w:r>
    </w:p>
    <w:p>
      <w:pPr>
        <w:spacing w:line="460" w:lineRule="exact"/>
        <w:rPr>
          <w:sz w:val="24"/>
          <w:u w:val="single"/>
        </w:rPr>
      </w:pPr>
      <w:r>
        <w:rPr>
          <w:rFonts w:hAnsiTheme="minorEastAsia"/>
          <w:sz w:val="24"/>
        </w:rPr>
        <w:t>包号：</w:t>
      </w:r>
    </w:p>
    <w:p>
      <w:pPr>
        <w:spacing w:line="460" w:lineRule="exact"/>
        <w:rPr>
          <w:sz w:val="24"/>
          <w:u w:val="single"/>
        </w:rPr>
      </w:pPr>
    </w:p>
    <w:tbl>
      <w:tblPr>
        <w:tblStyle w:val="21"/>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039"/>
        <w:gridCol w:w="851"/>
        <w:gridCol w:w="1790"/>
        <w:gridCol w:w="2680"/>
        <w:gridCol w:w="1289"/>
        <w:gridCol w:w="13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807" w:type="dxa"/>
            <w:gridSpan w:val="7"/>
            <w:shd w:val="clear" w:color="auto" w:fill="auto"/>
            <w:vAlign w:val="center"/>
          </w:tcPr>
          <w:p>
            <w:pPr>
              <w:widowControl/>
              <w:snapToGrid w:val="0"/>
              <w:rPr>
                <w:b/>
                <w:kern w:val="0"/>
                <w:sz w:val="24"/>
                <w:szCs w:val="21"/>
              </w:rPr>
            </w:pPr>
            <w:r>
              <w:rPr>
                <w:rFonts w:hint="eastAsia" w:hAnsiTheme="minorEastAsia"/>
                <w:b/>
                <w:kern w:val="0"/>
                <w:sz w:val="24"/>
                <w:szCs w:val="21"/>
              </w:rPr>
              <w:t>招标文件第二部分技术要求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pPr>
              <w:widowControl/>
              <w:snapToGrid w:val="0"/>
              <w:jc w:val="center"/>
              <w:rPr>
                <w:kern w:val="0"/>
                <w:sz w:val="24"/>
                <w:szCs w:val="21"/>
              </w:rPr>
            </w:pPr>
            <w:r>
              <w:rPr>
                <w:rFonts w:hAnsiTheme="minorEastAsia"/>
                <w:kern w:val="0"/>
                <w:sz w:val="24"/>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pPr>
              <w:widowControl/>
              <w:snapToGrid w:val="0"/>
              <w:jc w:val="center"/>
              <w:rPr>
                <w:kern w:val="0"/>
                <w:sz w:val="24"/>
                <w:szCs w:val="21"/>
              </w:rPr>
            </w:pPr>
          </w:p>
        </w:tc>
        <w:tc>
          <w:tcPr>
            <w:tcW w:w="2680" w:type="dxa"/>
            <w:shd w:val="clear" w:color="auto" w:fill="auto"/>
            <w:vAlign w:val="center"/>
          </w:tcPr>
          <w:p>
            <w:pPr>
              <w:widowControl/>
              <w:snapToGrid w:val="0"/>
              <w:jc w:val="center"/>
              <w:rPr>
                <w:kern w:val="0"/>
                <w:sz w:val="24"/>
                <w:szCs w:val="21"/>
              </w:rPr>
            </w:pPr>
          </w:p>
        </w:tc>
        <w:tc>
          <w:tcPr>
            <w:tcW w:w="1289" w:type="dxa"/>
            <w:shd w:val="clear" w:color="auto" w:fill="auto"/>
            <w:vAlign w:val="center"/>
          </w:tcPr>
          <w:p>
            <w:pPr>
              <w:widowControl/>
              <w:snapToGrid w:val="0"/>
              <w:jc w:val="center"/>
              <w:rPr>
                <w:kern w:val="0"/>
                <w:sz w:val="24"/>
                <w:szCs w:val="21"/>
              </w:rPr>
            </w:pPr>
          </w:p>
        </w:tc>
        <w:tc>
          <w:tcPr>
            <w:tcW w:w="1315" w:type="dxa"/>
            <w:shd w:val="clear" w:color="auto" w:fill="auto"/>
            <w:vAlign w:val="center"/>
          </w:tcPr>
          <w:p>
            <w:pPr>
              <w:widowControl/>
              <w:snapToGrid w:val="0"/>
              <w:jc w:val="center"/>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pPr>
              <w:widowControl/>
              <w:snapToGrid w:val="0"/>
              <w:jc w:val="center"/>
              <w:rPr>
                <w:kern w:val="0"/>
                <w:sz w:val="24"/>
                <w:szCs w:val="21"/>
              </w:rPr>
            </w:pPr>
          </w:p>
        </w:tc>
        <w:tc>
          <w:tcPr>
            <w:tcW w:w="2680" w:type="dxa"/>
            <w:shd w:val="clear" w:color="auto" w:fill="auto"/>
            <w:vAlign w:val="center"/>
          </w:tcPr>
          <w:p>
            <w:pPr>
              <w:widowControl/>
              <w:snapToGrid w:val="0"/>
              <w:jc w:val="center"/>
              <w:rPr>
                <w:kern w:val="0"/>
                <w:sz w:val="24"/>
                <w:szCs w:val="21"/>
              </w:rPr>
            </w:pPr>
          </w:p>
        </w:tc>
        <w:tc>
          <w:tcPr>
            <w:tcW w:w="1289" w:type="dxa"/>
            <w:shd w:val="clear" w:color="auto" w:fill="auto"/>
            <w:vAlign w:val="center"/>
          </w:tcPr>
          <w:p>
            <w:pPr>
              <w:widowControl/>
              <w:snapToGrid w:val="0"/>
              <w:jc w:val="center"/>
              <w:rPr>
                <w:kern w:val="0"/>
                <w:sz w:val="24"/>
                <w:szCs w:val="21"/>
              </w:rPr>
            </w:pPr>
          </w:p>
        </w:tc>
        <w:tc>
          <w:tcPr>
            <w:tcW w:w="1315" w:type="dxa"/>
            <w:shd w:val="clear" w:color="auto" w:fill="auto"/>
            <w:vAlign w:val="center"/>
          </w:tcPr>
          <w:p>
            <w:pPr>
              <w:widowControl/>
              <w:snapToGrid w:val="0"/>
              <w:jc w:val="center"/>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pPr>
              <w:widowControl/>
              <w:snapToGrid w:val="0"/>
              <w:jc w:val="center"/>
              <w:rPr>
                <w:kern w:val="0"/>
                <w:sz w:val="24"/>
                <w:szCs w:val="21"/>
              </w:rPr>
            </w:pPr>
          </w:p>
        </w:tc>
        <w:tc>
          <w:tcPr>
            <w:tcW w:w="2680" w:type="dxa"/>
            <w:shd w:val="clear" w:color="auto" w:fill="auto"/>
            <w:vAlign w:val="center"/>
          </w:tcPr>
          <w:p>
            <w:pPr>
              <w:widowControl/>
              <w:snapToGrid w:val="0"/>
              <w:jc w:val="center"/>
              <w:rPr>
                <w:kern w:val="0"/>
                <w:sz w:val="24"/>
                <w:szCs w:val="21"/>
              </w:rPr>
            </w:pPr>
          </w:p>
        </w:tc>
        <w:tc>
          <w:tcPr>
            <w:tcW w:w="1289" w:type="dxa"/>
            <w:shd w:val="clear" w:color="auto" w:fill="auto"/>
            <w:vAlign w:val="center"/>
          </w:tcPr>
          <w:p>
            <w:pPr>
              <w:widowControl/>
              <w:snapToGrid w:val="0"/>
              <w:jc w:val="center"/>
              <w:rPr>
                <w:kern w:val="0"/>
                <w:sz w:val="24"/>
                <w:szCs w:val="21"/>
              </w:rPr>
            </w:pPr>
          </w:p>
        </w:tc>
        <w:tc>
          <w:tcPr>
            <w:tcW w:w="1315" w:type="dxa"/>
            <w:shd w:val="clear" w:color="auto" w:fill="auto"/>
            <w:vAlign w:val="center"/>
          </w:tcPr>
          <w:p>
            <w:pPr>
              <w:widowControl/>
              <w:snapToGrid w:val="0"/>
              <w:jc w:val="center"/>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pPr>
              <w:widowControl/>
              <w:snapToGrid w:val="0"/>
              <w:jc w:val="center"/>
              <w:rPr>
                <w:kern w:val="0"/>
                <w:sz w:val="24"/>
                <w:szCs w:val="21"/>
              </w:rPr>
            </w:pPr>
          </w:p>
        </w:tc>
        <w:tc>
          <w:tcPr>
            <w:tcW w:w="2680" w:type="dxa"/>
            <w:shd w:val="clear" w:color="auto" w:fill="auto"/>
            <w:vAlign w:val="center"/>
          </w:tcPr>
          <w:p>
            <w:pPr>
              <w:widowControl/>
              <w:snapToGrid w:val="0"/>
              <w:jc w:val="center"/>
              <w:rPr>
                <w:kern w:val="0"/>
                <w:sz w:val="24"/>
                <w:szCs w:val="21"/>
              </w:rPr>
            </w:pPr>
          </w:p>
        </w:tc>
        <w:tc>
          <w:tcPr>
            <w:tcW w:w="1289" w:type="dxa"/>
            <w:shd w:val="clear" w:color="auto" w:fill="auto"/>
            <w:vAlign w:val="center"/>
          </w:tcPr>
          <w:p>
            <w:pPr>
              <w:widowControl/>
              <w:snapToGrid w:val="0"/>
              <w:jc w:val="center"/>
              <w:rPr>
                <w:kern w:val="0"/>
                <w:sz w:val="24"/>
                <w:szCs w:val="21"/>
              </w:rPr>
            </w:pPr>
          </w:p>
        </w:tc>
        <w:tc>
          <w:tcPr>
            <w:tcW w:w="1315" w:type="dxa"/>
            <w:shd w:val="clear" w:color="auto" w:fill="auto"/>
            <w:vAlign w:val="center"/>
          </w:tcPr>
          <w:p>
            <w:pPr>
              <w:widowControl/>
              <w:snapToGrid w:val="0"/>
              <w:jc w:val="center"/>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7"/>
            <w:shd w:val="clear" w:color="auto" w:fill="auto"/>
            <w:vAlign w:val="center"/>
          </w:tcPr>
          <w:p>
            <w:pPr>
              <w:widowControl/>
              <w:snapToGrid w:val="0"/>
              <w:rPr>
                <w:b/>
                <w:kern w:val="0"/>
                <w:sz w:val="24"/>
                <w:szCs w:val="21"/>
              </w:rPr>
            </w:pPr>
            <w:r>
              <w:rPr>
                <w:rFonts w:hAnsiTheme="minorEastAsia"/>
                <w:b/>
                <w:kern w:val="0"/>
                <w:sz w:val="24"/>
                <w:szCs w:val="21"/>
              </w:rPr>
              <w:t>项目需求书（项目需求书要求须逐条应答）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pPr>
              <w:widowControl/>
              <w:snapToGrid w:val="0"/>
              <w:jc w:val="center"/>
              <w:rPr>
                <w:kern w:val="0"/>
                <w:sz w:val="24"/>
                <w:szCs w:val="21"/>
              </w:rPr>
            </w:pPr>
            <w:r>
              <w:rPr>
                <w:rFonts w:hint="eastAsia" w:hAnsiTheme="minorEastAsia"/>
                <w:kern w:val="0"/>
                <w:sz w:val="24"/>
                <w:szCs w:val="21"/>
              </w:rPr>
              <w:t>采购项名称</w:t>
            </w:r>
          </w:p>
        </w:tc>
        <w:tc>
          <w:tcPr>
            <w:tcW w:w="851" w:type="dxa"/>
            <w:shd w:val="clear" w:color="auto" w:fill="auto"/>
            <w:vAlign w:val="center"/>
          </w:tcPr>
          <w:p>
            <w:pPr>
              <w:snapToGrid w:val="0"/>
              <w:jc w:val="center"/>
              <w:rPr>
                <w:rFonts w:cs="宋体"/>
                <w:kern w:val="0"/>
                <w:sz w:val="24"/>
              </w:rPr>
            </w:pPr>
            <w:r>
              <w:rPr>
                <w:rFonts w:hint="eastAsia" w:cs="宋体" w:hAnsiTheme="minorEastAsia"/>
                <w:kern w:val="0"/>
                <w:sz w:val="24"/>
              </w:rPr>
              <w:t>条款</w:t>
            </w:r>
          </w:p>
          <w:p>
            <w:pPr>
              <w:snapToGrid w:val="0"/>
              <w:jc w:val="center"/>
              <w:rPr>
                <w:kern w:val="0"/>
                <w:sz w:val="24"/>
                <w:szCs w:val="21"/>
              </w:rPr>
            </w:pPr>
            <w:r>
              <w:rPr>
                <w:rFonts w:hint="eastAsia" w:cs="宋体" w:hAnsiTheme="minorEastAsia"/>
                <w:kern w:val="0"/>
                <w:sz w:val="24"/>
              </w:rPr>
              <w:t>序号</w:t>
            </w:r>
          </w:p>
        </w:tc>
        <w:tc>
          <w:tcPr>
            <w:tcW w:w="1790" w:type="dxa"/>
            <w:shd w:val="clear" w:color="auto" w:fill="auto"/>
            <w:vAlign w:val="center"/>
          </w:tcPr>
          <w:p>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pPr>
              <w:widowControl/>
              <w:snapToGrid w:val="0"/>
              <w:jc w:val="center"/>
              <w:rPr>
                <w:kern w:val="0"/>
                <w:sz w:val="24"/>
                <w:szCs w:val="21"/>
              </w:rPr>
            </w:pPr>
            <w:r>
              <w:rPr>
                <w:rFonts w:hAnsiTheme="minorEastAsia"/>
                <w:kern w:val="0"/>
                <w:sz w:val="24"/>
                <w:szCs w:val="21"/>
              </w:rPr>
              <w:t>偏离</w:t>
            </w:r>
          </w:p>
          <w:p>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pPr>
              <w:widowControl/>
              <w:snapToGrid w:val="0"/>
              <w:jc w:val="center"/>
              <w:rPr>
                <w:kern w:val="0"/>
                <w:sz w:val="24"/>
                <w:szCs w:val="21"/>
              </w:rPr>
            </w:pPr>
            <w:r>
              <w:rPr>
                <w:rFonts w:hint="eastAsia" w:hAnsiTheme="minorEastAsia"/>
                <w:kern w:val="0"/>
                <w:sz w:val="24"/>
                <w:szCs w:val="21"/>
              </w:rPr>
              <w:t>技术支撑材料所在页码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p>
        </w:tc>
        <w:tc>
          <w:tcPr>
            <w:tcW w:w="1039" w:type="dxa"/>
            <w:shd w:val="clear" w:color="auto" w:fill="auto"/>
            <w:vAlign w:val="center"/>
          </w:tcPr>
          <w:p>
            <w:pPr>
              <w:widowControl/>
              <w:snapToGrid w:val="0"/>
              <w:jc w:val="center"/>
              <w:rPr>
                <w:kern w:val="0"/>
                <w:sz w:val="24"/>
                <w:szCs w:val="21"/>
              </w:rPr>
            </w:pPr>
          </w:p>
        </w:tc>
        <w:tc>
          <w:tcPr>
            <w:tcW w:w="851" w:type="dxa"/>
            <w:shd w:val="clear" w:color="auto" w:fill="auto"/>
            <w:vAlign w:val="center"/>
          </w:tcPr>
          <w:p>
            <w:pPr>
              <w:widowControl/>
              <w:snapToGrid w:val="0"/>
              <w:jc w:val="center"/>
              <w:rPr>
                <w:kern w:val="0"/>
                <w:sz w:val="24"/>
                <w:szCs w:val="21"/>
              </w:rPr>
            </w:pPr>
          </w:p>
        </w:tc>
        <w:tc>
          <w:tcPr>
            <w:tcW w:w="1790" w:type="dxa"/>
            <w:shd w:val="clear" w:color="auto" w:fill="auto"/>
            <w:vAlign w:val="center"/>
          </w:tcPr>
          <w:p>
            <w:pPr>
              <w:widowControl/>
              <w:snapToGrid w:val="0"/>
              <w:jc w:val="center"/>
              <w:rPr>
                <w:kern w:val="0"/>
                <w:sz w:val="24"/>
                <w:szCs w:val="21"/>
              </w:rPr>
            </w:pPr>
          </w:p>
        </w:tc>
        <w:tc>
          <w:tcPr>
            <w:tcW w:w="2680" w:type="dxa"/>
            <w:shd w:val="clear" w:color="auto" w:fill="auto"/>
            <w:vAlign w:val="center"/>
          </w:tcPr>
          <w:p>
            <w:pPr>
              <w:widowControl/>
              <w:snapToGrid w:val="0"/>
              <w:jc w:val="center"/>
              <w:rPr>
                <w:kern w:val="0"/>
                <w:sz w:val="24"/>
                <w:szCs w:val="21"/>
              </w:rPr>
            </w:pPr>
          </w:p>
        </w:tc>
        <w:tc>
          <w:tcPr>
            <w:tcW w:w="1289" w:type="dxa"/>
            <w:shd w:val="clear" w:color="auto" w:fill="auto"/>
            <w:vAlign w:val="center"/>
          </w:tcPr>
          <w:p>
            <w:pPr>
              <w:widowControl/>
              <w:snapToGrid w:val="0"/>
              <w:jc w:val="center"/>
              <w:rPr>
                <w:kern w:val="0"/>
                <w:sz w:val="24"/>
                <w:szCs w:val="21"/>
              </w:rPr>
            </w:pPr>
          </w:p>
        </w:tc>
        <w:tc>
          <w:tcPr>
            <w:tcW w:w="1315" w:type="dxa"/>
            <w:shd w:val="clear" w:color="auto" w:fill="auto"/>
            <w:vAlign w:val="center"/>
          </w:tcPr>
          <w:p>
            <w:pPr>
              <w:widowControl/>
              <w:snapToGrid w:val="0"/>
              <w:jc w:val="center"/>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p>
        </w:tc>
        <w:tc>
          <w:tcPr>
            <w:tcW w:w="1039" w:type="dxa"/>
            <w:shd w:val="clear" w:color="auto" w:fill="auto"/>
            <w:vAlign w:val="center"/>
          </w:tcPr>
          <w:p>
            <w:pPr>
              <w:widowControl/>
              <w:snapToGrid w:val="0"/>
              <w:jc w:val="center"/>
              <w:rPr>
                <w:kern w:val="0"/>
                <w:sz w:val="24"/>
                <w:szCs w:val="21"/>
              </w:rPr>
            </w:pPr>
          </w:p>
        </w:tc>
        <w:tc>
          <w:tcPr>
            <w:tcW w:w="851" w:type="dxa"/>
            <w:shd w:val="clear" w:color="auto" w:fill="auto"/>
            <w:vAlign w:val="center"/>
          </w:tcPr>
          <w:p>
            <w:pPr>
              <w:widowControl/>
              <w:snapToGrid w:val="0"/>
              <w:jc w:val="center"/>
              <w:rPr>
                <w:kern w:val="0"/>
                <w:sz w:val="24"/>
                <w:szCs w:val="21"/>
              </w:rPr>
            </w:pPr>
          </w:p>
        </w:tc>
        <w:tc>
          <w:tcPr>
            <w:tcW w:w="1790" w:type="dxa"/>
            <w:shd w:val="clear" w:color="auto" w:fill="auto"/>
            <w:vAlign w:val="center"/>
          </w:tcPr>
          <w:p>
            <w:pPr>
              <w:widowControl/>
              <w:snapToGrid w:val="0"/>
              <w:jc w:val="center"/>
              <w:rPr>
                <w:kern w:val="0"/>
                <w:sz w:val="24"/>
                <w:szCs w:val="21"/>
              </w:rPr>
            </w:pPr>
          </w:p>
        </w:tc>
        <w:tc>
          <w:tcPr>
            <w:tcW w:w="2680" w:type="dxa"/>
            <w:shd w:val="clear" w:color="auto" w:fill="auto"/>
            <w:vAlign w:val="center"/>
          </w:tcPr>
          <w:p>
            <w:pPr>
              <w:widowControl/>
              <w:snapToGrid w:val="0"/>
              <w:jc w:val="center"/>
              <w:rPr>
                <w:kern w:val="0"/>
                <w:sz w:val="24"/>
                <w:szCs w:val="21"/>
              </w:rPr>
            </w:pPr>
          </w:p>
        </w:tc>
        <w:tc>
          <w:tcPr>
            <w:tcW w:w="1289" w:type="dxa"/>
            <w:shd w:val="clear" w:color="auto" w:fill="auto"/>
            <w:vAlign w:val="center"/>
          </w:tcPr>
          <w:p>
            <w:pPr>
              <w:widowControl/>
              <w:snapToGrid w:val="0"/>
              <w:jc w:val="center"/>
              <w:rPr>
                <w:kern w:val="0"/>
                <w:sz w:val="24"/>
                <w:szCs w:val="21"/>
              </w:rPr>
            </w:pPr>
          </w:p>
        </w:tc>
        <w:tc>
          <w:tcPr>
            <w:tcW w:w="1315" w:type="dxa"/>
            <w:shd w:val="clear" w:color="auto" w:fill="auto"/>
            <w:vAlign w:val="center"/>
          </w:tcPr>
          <w:p>
            <w:pPr>
              <w:widowControl/>
              <w:snapToGrid w:val="0"/>
              <w:jc w:val="center"/>
              <w:rPr>
                <w:kern w:val="0"/>
                <w:sz w:val="24"/>
                <w:szCs w:val="21"/>
              </w:rPr>
            </w:pPr>
          </w:p>
        </w:tc>
      </w:tr>
    </w:tbl>
    <w:p>
      <w:pPr>
        <w:snapToGrid w:val="0"/>
        <w:spacing w:line="480" w:lineRule="exact"/>
        <w:rPr>
          <w:sz w:val="24"/>
        </w:rPr>
      </w:pPr>
      <w:r>
        <w:rPr>
          <w:rFonts w:hAnsiTheme="minorEastAsia"/>
          <w:sz w:val="24"/>
        </w:rPr>
        <w:t>注：</w:t>
      </w:r>
    </w:p>
    <w:p>
      <w:pPr>
        <w:snapToGrid w:val="0"/>
        <w:spacing w:line="480" w:lineRule="exact"/>
        <w:rPr>
          <w:sz w:val="24"/>
        </w:rPr>
      </w:pPr>
      <w:r>
        <w:rPr>
          <w:sz w:val="24"/>
        </w:rPr>
        <w:t>1. 不如实填写偏离情况的投标文件将视为虚假材料。</w:t>
      </w:r>
    </w:p>
    <w:p>
      <w:pPr>
        <w:snapToGrid w:val="0"/>
        <w:spacing w:line="480" w:lineRule="exact"/>
        <w:rPr>
          <w:sz w:val="24"/>
        </w:rPr>
      </w:pPr>
      <w:r>
        <w:rPr>
          <w:sz w:val="24"/>
        </w:rPr>
        <w:t>2. 招标要求指招标文件中规定的具体要求，投标应答指投标</w:t>
      </w:r>
      <w:r>
        <w:rPr>
          <w:rFonts w:hint="eastAsia"/>
          <w:sz w:val="24"/>
        </w:rPr>
        <w:t>文件</w:t>
      </w:r>
      <w:r>
        <w:rPr>
          <w:sz w:val="24"/>
        </w:rPr>
        <w:t>的</w:t>
      </w:r>
      <w:r>
        <w:rPr>
          <w:rFonts w:hint="eastAsia"/>
          <w:sz w:val="24"/>
        </w:rPr>
        <w:t>具体内容</w:t>
      </w:r>
      <w:r>
        <w:rPr>
          <w:sz w:val="24"/>
        </w:rPr>
        <w:t>。</w:t>
      </w:r>
    </w:p>
    <w:p>
      <w:pPr>
        <w:snapToGrid w:val="0"/>
        <w:spacing w:line="480" w:lineRule="exact"/>
        <w:rPr>
          <w:sz w:val="24"/>
        </w:rPr>
      </w:pPr>
      <w:r>
        <w:rPr>
          <w:rFonts w:hint="eastAsia"/>
          <w:sz w:val="24"/>
        </w:rPr>
        <w:t>3</w:t>
      </w:r>
      <w:r>
        <w:rPr>
          <w:sz w:val="24"/>
        </w:rPr>
        <w:t>. 偏离说明指招标要求与投标应答之间的不同之处。</w:t>
      </w:r>
    </w:p>
    <w:p>
      <w:pPr>
        <w:snapToGrid w:val="0"/>
        <w:spacing w:line="480" w:lineRule="exact"/>
        <w:rPr>
          <w:sz w:val="24"/>
        </w:rPr>
      </w:pPr>
      <w:r>
        <w:rPr>
          <w:rFonts w:hint="eastAsia"/>
          <w:sz w:val="24"/>
        </w:rPr>
        <w:t>4. 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pPr>
        <w:spacing w:line="360" w:lineRule="auto"/>
        <w:ind w:firstLine="3808" w:firstLineChars="1700"/>
        <w:rPr>
          <w:sz w:val="24"/>
        </w:rPr>
      </w:pPr>
    </w:p>
    <w:p>
      <w:pPr>
        <w:spacing w:line="360" w:lineRule="auto"/>
        <w:ind w:firstLine="3808" w:firstLineChars="1700"/>
        <w:rPr>
          <w:sz w:val="24"/>
        </w:rPr>
      </w:pPr>
      <w:r>
        <w:rPr>
          <w:sz w:val="24"/>
        </w:rPr>
        <w:t>投标人名称：</w:t>
      </w:r>
    </w:p>
    <w:p>
      <w:pPr>
        <w:spacing w:line="360" w:lineRule="auto"/>
        <w:ind w:firstLine="3808" w:firstLineChars="1700"/>
        <w:rPr>
          <w:sz w:val="24"/>
        </w:rPr>
      </w:pPr>
      <w:r>
        <w:rPr>
          <w:sz w:val="24"/>
        </w:rPr>
        <w:t>日期：年月日</w:t>
      </w:r>
    </w:p>
    <w:p>
      <w:pPr>
        <w:tabs>
          <w:tab w:val="left" w:pos="360"/>
        </w:tabs>
        <w:spacing w:afterLines="100" w:line="360" w:lineRule="auto"/>
        <w:ind w:firstLine="448" w:firstLineChars="200"/>
        <w:rPr>
          <w:sz w:val="24"/>
        </w:rPr>
      </w:pPr>
      <w:r>
        <w:rPr>
          <w:sz w:val="24"/>
        </w:rPr>
        <w:br w:type="page"/>
      </w:r>
      <w:r>
        <w:rPr>
          <w:rFonts w:hAnsiTheme="minorEastAsia"/>
          <w:sz w:val="24"/>
        </w:rPr>
        <w:t>附件</w:t>
      </w:r>
      <w:r>
        <w:rPr>
          <w:rFonts w:hint="eastAsia"/>
          <w:sz w:val="24"/>
        </w:rPr>
        <w:t>7</w:t>
      </w:r>
    </w:p>
    <w:p>
      <w:pPr>
        <w:autoSpaceDN w:val="0"/>
        <w:spacing w:line="360" w:lineRule="auto"/>
        <w:jc w:val="center"/>
        <w:rPr>
          <w:b/>
          <w:bCs/>
          <w:sz w:val="24"/>
        </w:rPr>
      </w:pPr>
      <w:r>
        <w:rPr>
          <w:rFonts w:hint="eastAsia" w:hAnsiTheme="minorEastAsia"/>
          <w:b/>
          <w:bCs/>
          <w:sz w:val="24"/>
        </w:rPr>
        <w:t>业绩</w:t>
      </w:r>
    </w:p>
    <w:p>
      <w:pPr>
        <w:spacing w:line="460" w:lineRule="exact"/>
        <w:ind w:left="192"/>
        <w:rPr>
          <w:sz w:val="24"/>
        </w:rPr>
      </w:pPr>
    </w:p>
    <w:p>
      <w:pPr>
        <w:spacing w:line="460" w:lineRule="exact"/>
        <w:rPr>
          <w:sz w:val="24"/>
        </w:rPr>
      </w:pPr>
      <w:r>
        <w:rPr>
          <w:rFonts w:hAnsiTheme="minorEastAsia"/>
          <w:sz w:val="24"/>
        </w:rPr>
        <w:t>项目名称：</w:t>
      </w:r>
    </w:p>
    <w:p>
      <w:pPr>
        <w:spacing w:line="460" w:lineRule="exact"/>
        <w:rPr>
          <w:sz w:val="24"/>
        </w:rPr>
      </w:pPr>
      <w:r>
        <w:rPr>
          <w:rFonts w:hAnsiTheme="minorEastAsia"/>
          <w:sz w:val="24"/>
        </w:rPr>
        <w:t>项目编号：</w:t>
      </w:r>
    </w:p>
    <w:p>
      <w:pPr>
        <w:spacing w:line="460" w:lineRule="exact"/>
        <w:rPr>
          <w:sz w:val="24"/>
          <w:u w:val="single"/>
        </w:rPr>
      </w:pPr>
      <w:r>
        <w:rPr>
          <w:rFonts w:hAnsiTheme="minorEastAsia"/>
          <w:sz w:val="24"/>
        </w:rPr>
        <w:t>包号：</w:t>
      </w:r>
    </w:p>
    <w:p>
      <w:pPr>
        <w:spacing w:line="460" w:lineRule="exact"/>
        <w:ind w:left="192"/>
        <w:rPr>
          <w:sz w:val="24"/>
        </w:rPr>
      </w:pPr>
    </w:p>
    <w:tbl>
      <w:tblPr>
        <w:tblStyle w:val="21"/>
        <w:tblW w:w="51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890"/>
        <w:gridCol w:w="699"/>
        <w:gridCol w:w="1122"/>
        <w:gridCol w:w="1316"/>
        <w:gridCol w:w="1025"/>
        <w:gridCol w:w="696"/>
        <w:gridCol w:w="22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rFonts w:hAnsiTheme="minorEastAsia"/>
                <w:sz w:val="24"/>
              </w:rPr>
              <w:t>序号</w:t>
            </w:r>
          </w:p>
        </w:tc>
        <w:tc>
          <w:tcPr>
            <w:tcW w:w="508"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rFonts w:hAnsiTheme="minorEastAsia"/>
                <w:sz w:val="24"/>
              </w:rPr>
              <w:t>用户单位名称</w:t>
            </w:r>
          </w:p>
        </w:tc>
        <w:tc>
          <w:tcPr>
            <w:tcW w:w="39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rFonts w:hAnsiTheme="minorEastAsia"/>
                <w:sz w:val="24"/>
              </w:rPr>
              <w:t>项目内容</w:t>
            </w:r>
          </w:p>
        </w:tc>
        <w:tc>
          <w:tcPr>
            <w:tcW w:w="640"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rFonts w:hAnsiTheme="minorEastAsia"/>
                <w:sz w:val="24"/>
              </w:rPr>
              <w:t>实施地点</w:t>
            </w:r>
          </w:p>
        </w:tc>
        <w:tc>
          <w:tcPr>
            <w:tcW w:w="751"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rFonts w:hint="eastAsia" w:hAnsiTheme="minorEastAsia"/>
                <w:sz w:val="24"/>
              </w:rPr>
              <w:t>用户</w:t>
            </w:r>
            <w:r>
              <w:rPr>
                <w:rFonts w:hAnsiTheme="minorEastAsia"/>
                <w:sz w:val="24"/>
              </w:rPr>
              <w:t>联系人及联系方式</w:t>
            </w:r>
          </w:p>
        </w:tc>
        <w:tc>
          <w:tcPr>
            <w:tcW w:w="585"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rFonts w:hAnsiTheme="minorEastAsia"/>
                <w:sz w:val="24"/>
              </w:rPr>
              <w:t>项目起止时间</w:t>
            </w:r>
          </w:p>
        </w:tc>
        <w:tc>
          <w:tcPr>
            <w:tcW w:w="397"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rFonts w:hAnsiTheme="minorEastAsia"/>
                <w:sz w:val="24"/>
              </w:rPr>
              <w:t>合同金额</w:t>
            </w:r>
          </w:p>
        </w:tc>
        <w:tc>
          <w:tcPr>
            <w:tcW w:w="1302"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rFonts w:hint="eastAsia" w:hAnsiTheme="minorEastAsia"/>
                <w:color w:val="000000"/>
                <w:sz w:val="24"/>
              </w:rPr>
              <w:t>用户盖章的成功履行合同的相关证明材料</w:t>
            </w:r>
            <w:r>
              <w:rPr>
                <w:rFonts w:hint="eastAsia" w:hAnsiTheme="minorEastAsia"/>
                <w:bCs/>
                <w:sz w:val="24"/>
              </w:rPr>
              <w:t>扫描件所在页码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bl>
    <w:p>
      <w:pPr>
        <w:spacing w:line="560" w:lineRule="exact"/>
        <w:jc w:val="center"/>
        <w:rPr>
          <w:sz w:val="24"/>
        </w:rPr>
      </w:pPr>
    </w:p>
    <w:p>
      <w:pPr>
        <w:spacing w:line="560" w:lineRule="exact"/>
        <w:rPr>
          <w:sz w:val="24"/>
        </w:rPr>
      </w:pPr>
      <w:r>
        <w:rPr>
          <w:rFonts w:hAnsiTheme="minorEastAsia"/>
          <w:sz w:val="24"/>
        </w:rPr>
        <w:t>备注：若</w:t>
      </w:r>
      <w:r>
        <w:rPr>
          <w:rFonts w:hint="eastAsia" w:hAnsiTheme="minorEastAsia"/>
          <w:sz w:val="24"/>
        </w:rPr>
        <w:t>招标文件第二部分评分因素及评标标准中</w:t>
      </w:r>
      <w:r>
        <w:rPr>
          <w:rFonts w:hAnsiTheme="minorEastAsia"/>
          <w:sz w:val="24"/>
        </w:rPr>
        <w:t>要求提供</w:t>
      </w:r>
      <w:r>
        <w:rPr>
          <w:rFonts w:hint="eastAsia" w:hAnsiTheme="minorEastAsia"/>
          <w:sz w:val="24"/>
        </w:rPr>
        <w:t>业绩</w:t>
      </w:r>
      <w:r>
        <w:rPr>
          <w:rFonts w:hAnsiTheme="minorEastAsia"/>
          <w:sz w:val="24"/>
        </w:rPr>
        <w:t>的，投标人所列业绩应按其要求将证明材料按顺序附后。</w:t>
      </w:r>
    </w:p>
    <w:p>
      <w:pPr>
        <w:spacing w:line="560" w:lineRule="exact"/>
        <w:rPr>
          <w:sz w:val="24"/>
        </w:rPr>
      </w:pPr>
    </w:p>
    <w:p>
      <w:pPr>
        <w:spacing w:line="360" w:lineRule="auto"/>
        <w:ind w:firstLine="3808" w:firstLineChars="1700"/>
        <w:rPr>
          <w:sz w:val="24"/>
        </w:rPr>
      </w:pPr>
      <w:r>
        <w:rPr>
          <w:rFonts w:hAnsiTheme="minorEastAsia"/>
          <w:sz w:val="24"/>
        </w:rPr>
        <w:t>投标人名称：</w:t>
      </w:r>
    </w:p>
    <w:p>
      <w:pPr>
        <w:spacing w:line="360" w:lineRule="auto"/>
        <w:ind w:firstLine="3808" w:firstLineChars="1700"/>
        <w:rPr>
          <w:sz w:val="24"/>
        </w:rPr>
      </w:pPr>
      <w:r>
        <w:rPr>
          <w:rFonts w:hAnsiTheme="minorEastAsia"/>
          <w:sz w:val="24"/>
        </w:rPr>
        <w:t>日期：年月日</w:t>
      </w:r>
    </w:p>
    <w:p>
      <w:pPr>
        <w:spacing w:line="460" w:lineRule="exact"/>
        <w:rPr>
          <w:sz w:val="24"/>
        </w:rPr>
      </w:pPr>
    </w:p>
    <w:p>
      <w:pPr>
        <w:widowControl/>
        <w:jc w:val="left"/>
        <w:rPr>
          <w:sz w:val="24"/>
        </w:rPr>
      </w:pPr>
      <w:r>
        <w:rPr>
          <w:sz w:val="24"/>
        </w:rPr>
        <w:br w:type="page"/>
      </w:r>
    </w:p>
    <w:p>
      <w:pPr>
        <w:tabs>
          <w:tab w:val="left" w:pos="360"/>
        </w:tabs>
        <w:spacing w:afterLines="100" w:line="360" w:lineRule="auto"/>
        <w:ind w:firstLine="448" w:firstLineChars="200"/>
        <w:rPr>
          <w:sz w:val="24"/>
        </w:rPr>
      </w:pPr>
      <w:r>
        <w:rPr>
          <w:rFonts w:hint="eastAsia" w:hAnsiTheme="minorEastAsia"/>
          <w:sz w:val="24"/>
        </w:rPr>
        <w:t>附件</w:t>
      </w:r>
      <w:r>
        <w:rPr>
          <w:rFonts w:hint="eastAsia"/>
          <w:sz w:val="24"/>
        </w:rPr>
        <w:t>8</w:t>
      </w:r>
    </w:p>
    <w:p>
      <w:pPr>
        <w:autoSpaceDN w:val="0"/>
        <w:spacing w:line="360" w:lineRule="auto"/>
        <w:jc w:val="center"/>
        <w:rPr>
          <w:b/>
          <w:bCs/>
          <w:sz w:val="24"/>
        </w:rPr>
      </w:pPr>
      <w:r>
        <w:rPr>
          <w:rFonts w:hint="eastAsia" w:hAnsiTheme="minorEastAsia"/>
          <w:b/>
          <w:bCs/>
          <w:sz w:val="24"/>
        </w:rPr>
        <w:t>制造商售后服务承诺</w:t>
      </w:r>
    </w:p>
    <w:p>
      <w:pPr>
        <w:autoSpaceDE w:val="0"/>
        <w:autoSpaceDN w:val="0"/>
        <w:adjustRightInd w:val="0"/>
        <w:spacing w:line="360" w:lineRule="auto"/>
        <w:ind w:firstLine="448" w:firstLineChars="200"/>
        <w:rPr>
          <w:color w:val="FF0000"/>
          <w:sz w:val="24"/>
        </w:rPr>
      </w:pPr>
    </w:p>
    <w:tbl>
      <w:tblPr>
        <w:tblStyle w:val="21"/>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pPr>
              <w:pStyle w:val="49"/>
              <w:spacing w:line="360" w:lineRule="auto"/>
              <w:jc w:val="center"/>
              <w:rPr>
                <w:rFonts w:cs="Arial"/>
                <w:sz w:val="24"/>
              </w:rPr>
            </w:pPr>
            <w:r>
              <w:rPr>
                <w:rFonts w:hint="eastAsia" w:cs="Arial" w:hAnsiTheme="minorEastAsia"/>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pPr>
              <w:pStyle w:val="49"/>
              <w:spacing w:line="360" w:lineRule="auto"/>
              <w:jc w:val="center"/>
              <w:rPr>
                <w:rFonts w:cs="Arial"/>
                <w:sz w:val="24"/>
              </w:rPr>
            </w:pPr>
            <w:r>
              <w:rPr>
                <w:rFonts w:hint="eastAsia" w:cs="Arial" w:hAnsiTheme="minorEastAsia"/>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pPr>
              <w:pStyle w:val="49"/>
              <w:spacing w:line="360" w:lineRule="auto"/>
              <w:jc w:val="center"/>
              <w:rPr>
                <w:rFonts w:cs="Arial"/>
                <w:sz w:val="24"/>
              </w:rPr>
            </w:pPr>
            <w:r>
              <w:rPr>
                <w:rFonts w:hint="eastAsia" w:cs="Arial" w:hAnsiTheme="minorEastAsia"/>
                <w:sz w:val="24"/>
              </w:rPr>
              <w:t>承诺内容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pPr>
              <w:pStyle w:val="49"/>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pPr>
              <w:pStyle w:val="49"/>
              <w:spacing w:line="360" w:lineRule="auto"/>
              <w:jc w:val="center"/>
              <w:rPr>
                <w:rFonts w:cs="Arial"/>
                <w:bCs/>
                <w:sz w:val="24"/>
              </w:rPr>
            </w:pPr>
            <w:r>
              <w:rPr>
                <w:rFonts w:hint="eastAsia" w:cs="Arial" w:hAnsiTheme="minorEastAsia"/>
                <w:bCs/>
                <w:sz w:val="24"/>
              </w:rPr>
              <w:t>保修期内</w:t>
            </w:r>
          </w:p>
        </w:tc>
        <w:tc>
          <w:tcPr>
            <w:tcW w:w="3812" w:type="pct"/>
            <w:tcBorders>
              <w:top w:val="single" w:color="auto" w:sz="4" w:space="0"/>
              <w:left w:val="single" w:color="auto" w:sz="4" w:space="0"/>
              <w:right w:val="single" w:color="auto" w:sz="4" w:space="0"/>
            </w:tcBorders>
            <w:vAlign w:val="center"/>
          </w:tcPr>
          <w:p>
            <w:pPr>
              <w:pStyle w:val="49"/>
              <w:spacing w:line="360" w:lineRule="auto"/>
              <w:rPr>
                <w:rFonts w:cs="Arial"/>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pPr>
              <w:pStyle w:val="49"/>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pPr>
              <w:pStyle w:val="49"/>
              <w:spacing w:line="360" w:lineRule="auto"/>
              <w:jc w:val="center"/>
              <w:rPr>
                <w:rFonts w:cs="Arial"/>
                <w:bCs/>
                <w:sz w:val="24"/>
              </w:rPr>
            </w:pPr>
            <w:r>
              <w:rPr>
                <w:rFonts w:hint="eastAsia" w:cs="Arial" w:hAnsiTheme="minorEastAsia"/>
                <w:bCs/>
                <w:sz w:val="24"/>
              </w:rPr>
              <w:t>保修期后</w:t>
            </w:r>
          </w:p>
        </w:tc>
        <w:tc>
          <w:tcPr>
            <w:tcW w:w="3812" w:type="pct"/>
            <w:tcBorders>
              <w:top w:val="single" w:color="auto" w:sz="4" w:space="0"/>
              <w:left w:val="single" w:color="auto" w:sz="4" w:space="0"/>
              <w:right w:val="single" w:color="auto" w:sz="4" w:space="0"/>
            </w:tcBorders>
            <w:vAlign w:val="center"/>
          </w:tcPr>
          <w:p>
            <w:pPr>
              <w:pStyle w:val="49"/>
              <w:spacing w:line="360" w:lineRule="auto"/>
              <w:rPr>
                <w:rFonts w:cs="Arial"/>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pPr>
              <w:pStyle w:val="49"/>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pPr>
              <w:pStyle w:val="49"/>
              <w:spacing w:line="360" w:lineRule="auto"/>
              <w:jc w:val="center"/>
              <w:rPr>
                <w:rFonts w:cs="Arial"/>
                <w:bCs/>
                <w:sz w:val="24"/>
              </w:rPr>
            </w:pPr>
            <w:r>
              <w:rPr>
                <w:rFonts w:hint="eastAsia" w:cs="Arial" w:hAnsiTheme="minorEastAsia"/>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pPr>
              <w:pStyle w:val="49"/>
              <w:spacing w:line="360" w:lineRule="auto"/>
              <w:rPr>
                <w:rFonts w:cs="Arial"/>
                <w:bCs/>
                <w:sz w:val="24"/>
              </w:rPr>
            </w:pPr>
          </w:p>
          <w:p>
            <w:pPr>
              <w:pStyle w:val="49"/>
              <w:spacing w:line="360" w:lineRule="auto"/>
              <w:rPr>
                <w:rFonts w:cs="Arial"/>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pPr>
              <w:pStyle w:val="49"/>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pPr>
              <w:pStyle w:val="49"/>
              <w:spacing w:line="360" w:lineRule="auto"/>
              <w:jc w:val="center"/>
              <w:rPr>
                <w:rFonts w:cs="Arial"/>
                <w:bCs/>
                <w:sz w:val="24"/>
              </w:rPr>
            </w:pPr>
            <w:r>
              <w:rPr>
                <w:rFonts w:hint="eastAsia" w:cs="Arial" w:hAnsiTheme="minorEastAsia"/>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pPr>
              <w:pStyle w:val="49"/>
              <w:spacing w:line="360" w:lineRule="auto"/>
              <w:rPr>
                <w:rFonts w:cs="Arial"/>
                <w:bCs/>
                <w:sz w:val="24"/>
              </w:rPr>
            </w:pPr>
          </w:p>
          <w:p>
            <w:pPr>
              <w:pStyle w:val="49"/>
              <w:spacing w:line="360" w:lineRule="auto"/>
              <w:rPr>
                <w:rFonts w:cs="Arial"/>
                <w:bCs/>
                <w:sz w:val="24"/>
              </w:rPr>
            </w:pPr>
          </w:p>
        </w:tc>
      </w:tr>
    </w:tbl>
    <w:p>
      <w:pPr>
        <w:spacing w:line="620" w:lineRule="exact"/>
        <w:rPr>
          <w:sz w:val="24"/>
        </w:rPr>
      </w:pPr>
    </w:p>
    <w:p>
      <w:pPr>
        <w:spacing w:line="360" w:lineRule="auto"/>
        <w:ind w:firstLine="3808" w:firstLineChars="1700"/>
        <w:rPr>
          <w:sz w:val="24"/>
        </w:rPr>
      </w:pPr>
      <w:r>
        <w:rPr>
          <w:rFonts w:hint="eastAsia" w:hAnsiTheme="minorEastAsia"/>
          <w:sz w:val="24"/>
        </w:rPr>
        <w:t>制造商（加盖制造商公章）：</w:t>
      </w:r>
    </w:p>
    <w:p>
      <w:pPr>
        <w:spacing w:line="360" w:lineRule="auto"/>
        <w:ind w:firstLine="3808" w:firstLineChars="1700"/>
        <w:rPr>
          <w:sz w:val="24"/>
        </w:rPr>
      </w:pPr>
      <w:r>
        <w:rPr>
          <w:rFonts w:hAnsiTheme="minorEastAsia"/>
          <w:sz w:val="24"/>
        </w:rPr>
        <w:t>日期：年月日</w:t>
      </w:r>
    </w:p>
    <w:p>
      <w:pPr>
        <w:snapToGrid w:val="0"/>
        <w:spacing w:line="360" w:lineRule="auto"/>
        <w:rPr>
          <w:color w:val="FF0000"/>
          <w:sz w:val="24"/>
          <w:szCs w:val="21"/>
        </w:rPr>
      </w:pPr>
    </w:p>
    <w:p>
      <w:pPr>
        <w:snapToGrid w:val="0"/>
        <w:spacing w:line="360" w:lineRule="auto"/>
        <w:rPr>
          <w:sz w:val="24"/>
          <w:szCs w:val="21"/>
        </w:rPr>
      </w:pPr>
      <w:r>
        <w:rPr>
          <w:rFonts w:hint="eastAsia" w:hAnsiTheme="minorEastAsia"/>
          <w:sz w:val="24"/>
          <w:szCs w:val="21"/>
        </w:rPr>
        <w:t>注：制造商售后服务承诺须加盖制造商公章原件扫描后放入电子投标文件，否则不予认定。</w:t>
      </w:r>
    </w:p>
    <w:p/>
    <w:p>
      <w:pPr>
        <w:widowControl/>
        <w:jc w:val="left"/>
        <w:rPr>
          <w:b/>
          <w:bCs/>
          <w:sz w:val="24"/>
        </w:rPr>
      </w:pPr>
      <w:r>
        <w:rPr>
          <w:b/>
          <w:bCs/>
          <w:sz w:val="24"/>
        </w:rPr>
        <w:br w:type="page"/>
      </w:r>
    </w:p>
    <w:p>
      <w:pPr>
        <w:tabs>
          <w:tab w:val="left" w:pos="360"/>
        </w:tabs>
        <w:spacing w:line="360" w:lineRule="auto"/>
        <w:rPr>
          <w:b/>
          <w:bCs/>
          <w:sz w:val="24"/>
        </w:rPr>
      </w:pPr>
      <w:r>
        <w:rPr>
          <w:rFonts w:hint="eastAsia"/>
          <w:b/>
          <w:sz w:val="24"/>
        </w:rPr>
        <w:t>附件9</w:t>
      </w:r>
    </w:p>
    <w:p>
      <w:pPr>
        <w:autoSpaceDN w:val="0"/>
        <w:spacing w:line="360" w:lineRule="auto"/>
        <w:jc w:val="center"/>
        <w:rPr>
          <w:b/>
          <w:bCs/>
          <w:sz w:val="24"/>
        </w:rPr>
      </w:pPr>
      <w:r>
        <w:rPr>
          <w:rFonts w:hint="eastAsia" w:hAnsiTheme="minorEastAsia"/>
          <w:b/>
          <w:bCs/>
          <w:sz w:val="24"/>
        </w:rPr>
        <w:t>投标人售后服务承诺</w:t>
      </w:r>
    </w:p>
    <w:p>
      <w:pPr>
        <w:autoSpaceDE w:val="0"/>
        <w:autoSpaceDN w:val="0"/>
        <w:adjustRightInd w:val="0"/>
        <w:spacing w:line="360" w:lineRule="auto"/>
        <w:ind w:firstLine="448" w:firstLineChars="200"/>
        <w:rPr>
          <w:color w:val="FF0000"/>
          <w:sz w:val="24"/>
        </w:rPr>
      </w:pPr>
    </w:p>
    <w:tbl>
      <w:tblPr>
        <w:tblStyle w:val="21"/>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pPr>
              <w:pStyle w:val="49"/>
              <w:spacing w:line="360" w:lineRule="auto"/>
              <w:jc w:val="center"/>
              <w:rPr>
                <w:rFonts w:cs="Arial"/>
                <w:sz w:val="24"/>
              </w:rPr>
            </w:pPr>
            <w:r>
              <w:rPr>
                <w:rFonts w:hint="eastAsia" w:cs="Arial" w:hAnsiTheme="minorEastAsia"/>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pPr>
              <w:pStyle w:val="49"/>
              <w:spacing w:line="360" w:lineRule="auto"/>
              <w:jc w:val="center"/>
              <w:rPr>
                <w:rFonts w:cs="Arial"/>
                <w:sz w:val="24"/>
              </w:rPr>
            </w:pPr>
            <w:r>
              <w:rPr>
                <w:rFonts w:hint="eastAsia" w:cs="Arial" w:hAnsiTheme="minorEastAsia"/>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pPr>
              <w:pStyle w:val="49"/>
              <w:spacing w:line="360" w:lineRule="auto"/>
              <w:jc w:val="center"/>
              <w:rPr>
                <w:rFonts w:cs="Arial"/>
                <w:sz w:val="24"/>
              </w:rPr>
            </w:pPr>
            <w:r>
              <w:rPr>
                <w:rFonts w:hint="eastAsia" w:cs="Arial" w:hAnsiTheme="minorEastAsia"/>
                <w:sz w:val="24"/>
              </w:rPr>
              <w:t>承诺内容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pPr>
              <w:pStyle w:val="49"/>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pPr>
              <w:pStyle w:val="49"/>
              <w:spacing w:line="360" w:lineRule="auto"/>
              <w:jc w:val="center"/>
              <w:rPr>
                <w:rFonts w:cs="Arial"/>
                <w:bCs/>
                <w:sz w:val="24"/>
              </w:rPr>
            </w:pPr>
            <w:r>
              <w:rPr>
                <w:rFonts w:hint="eastAsia" w:cs="Arial" w:hAnsiTheme="minorEastAsia"/>
                <w:bCs/>
                <w:sz w:val="24"/>
              </w:rPr>
              <w:t>保修期内</w:t>
            </w:r>
          </w:p>
        </w:tc>
        <w:tc>
          <w:tcPr>
            <w:tcW w:w="3812" w:type="pct"/>
            <w:tcBorders>
              <w:top w:val="single" w:color="auto" w:sz="4" w:space="0"/>
              <w:left w:val="single" w:color="auto" w:sz="4" w:space="0"/>
              <w:right w:val="single" w:color="auto" w:sz="4" w:space="0"/>
            </w:tcBorders>
            <w:vAlign w:val="center"/>
          </w:tcPr>
          <w:p>
            <w:pPr>
              <w:pStyle w:val="49"/>
              <w:spacing w:line="360" w:lineRule="auto"/>
              <w:rPr>
                <w:rFonts w:cs="Arial"/>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pPr>
              <w:pStyle w:val="49"/>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pPr>
              <w:pStyle w:val="49"/>
              <w:spacing w:line="360" w:lineRule="auto"/>
              <w:jc w:val="center"/>
              <w:rPr>
                <w:rFonts w:cs="Arial"/>
                <w:bCs/>
                <w:sz w:val="24"/>
              </w:rPr>
            </w:pPr>
            <w:r>
              <w:rPr>
                <w:rFonts w:hint="eastAsia" w:cs="Arial" w:hAnsiTheme="minorEastAsia"/>
                <w:bCs/>
                <w:sz w:val="24"/>
              </w:rPr>
              <w:t>保修期后</w:t>
            </w:r>
          </w:p>
        </w:tc>
        <w:tc>
          <w:tcPr>
            <w:tcW w:w="3812" w:type="pct"/>
            <w:tcBorders>
              <w:top w:val="single" w:color="auto" w:sz="4" w:space="0"/>
              <w:left w:val="single" w:color="auto" w:sz="4" w:space="0"/>
              <w:right w:val="single" w:color="auto" w:sz="4" w:space="0"/>
            </w:tcBorders>
            <w:vAlign w:val="center"/>
          </w:tcPr>
          <w:p>
            <w:pPr>
              <w:pStyle w:val="49"/>
              <w:spacing w:line="360" w:lineRule="auto"/>
              <w:rPr>
                <w:rFonts w:cs="Arial"/>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pPr>
              <w:pStyle w:val="49"/>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pPr>
              <w:pStyle w:val="49"/>
              <w:spacing w:line="360" w:lineRule="auto"/>
              <w:jc w:val="center"/>
              <w:rPr>
                <w:rFonts w:cs="Arial"/>
                <w:bCs/>
                <w:sz w:val="24"/>
              </w:rPr>
            </w:pPr>
            <w:r>
              <w:rPr>
                <w:rFonts w:hint="eastAsia" w:cs="Arial" w:hAnsiTheme="minorEastAsia"/>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pPr>
              <w:pStyle w:val="49"/>
              <w:spacing w:line="360" w:lineRule="auto"/>
              <w:rPr>
                <w:rFonts w:cs="Arial"/>
                <w:bCs/>
                <w:sz w:val="24"/>
              </w:rPr>
            </w:pPr>
          </w:p>
          <w:p>
            <w:pPr>
              <w:pStyle w:val="49"/>
              <w:spacing w:line="360" w:lineRule="auto"/>
              <w:rPr>
                <w:rFonts w:cs="Arial"/>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pPr>
              <w:pStyle w:val="49"/>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pPr>
              <w:pStyle w:val="49"/>
              <w:spacing w:line="360" w:lineRule="auto"/>
              <w:jc w:val="center"/>
              <w:rPr>
                <w:rFonts w:cs="Arial"/>
                <w:bCs/>
                <w:sz w:val="24"/>
              </w:rPr>
            </w:pPr>
            <w:r>
              <w:rPr>
                <w:rFonts w:hint="eastAsia" w:cs="Arial" w:hAnsiTheme="minorEastAsia"/>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pPr>
              <w:pStyle w:val="49"/>
              <w:spacing w:line="360" w:lineRule="auto"/>
              <w:rPr>
                <w:rFonts w:cs="Arial"/>
                <w:bCs/>
                <w:sz w:val="24"/>
              </w:rPr>
            </w:pPr>
          </w:p>
          <w:p>
            <w:pPr>
              <w:pStyle w:val="49"/>
              <w:spacing w:line="360" w:lineRule="auto"/>
              <w:rPr>
                <w:rFonts w:cs="Arial"/>
                <w:bCs/>
                <w:sz w:val="24"/>
              </w:rPr>
            </w:pPr>
          </w:p>
        </w:tc>
      </w:tr>
    </w:tbl>
    <w:p>
      <w:pPr>
        <w:spacing w:line="620" w:lineRule="exact"/>
        <w:rPr>
          <w:sz w:val="24"/>
        </w:rPr>
      </w:pPr>
    </w:p>
    <w:p>
      <w:pPr>
        <w:spacing w:line="360" w:lineRule="auto"/>
        <w:ind w:firstLine="3808" w:firstLineChars="1700"/>
        <w:rPr>
          <w:sz w:val="24"/>
        </w:rPr>
      </w:pPr>
      <w:r>
        <w:rPr>
          <w:rFonts w:hAnsiTheme="minorEastAsia"/>
          <w:sz w:val="24"/>
        </w:rPr>
        <w:t>投标人名称：</w:t>
      </w:r>
    </w:p>
    <w:p>
      <w:pPr>
        <w:spacing w:line="360" w:lineRule="auto"/>
        <w:ind w:firstLine="3808" w:firstLineChars="1700"/>
        <w:rPr>
          <w:sz w:val="24"/>
        </w:rPr>
      </w:pPr>
      <w:r>
        <w:rPr>
          <w:rFonts w:hAnsiTheme="minorEastAsia"/>
          <w:sz w:val="24"/>
        </w:rPr>
        <w:t>日期：年月日</w:t>
      </w:r>
    </w:p>
    <w:p>
      <w:pPr>
        <w:spacing w:line="620" w:lineRule="exact"/>
        <w:rPr>
          <w:sz w:val="24"/>
        </w:rPr>
      </w:pPr>
    </w:p>
    <w:p>
      <w:pPr>
        <w:widowControl/>
        <w:jc w:val="left"/>
        <w:rPr>
          <w:sz w:val="24"/>
        </w:rPr>
      </w:pPr>
      <w:r>
        <w:rPr>
          <w:sz w:val="24"/>
        </w:rPr>
        <w:br w:type="page"/>
      </w:r>
    </w:p>
    <w:p>
      <w:pPr>
        <w:tabs>
          <w:tab w:val="left" w:pos="360"/>
        </w:tabs>
        <w:spacing w:afterLines="100" w:line="360" w:lineRule="auto"/>
        <w:rPr>
          <w:b/>
          <w:sz w:val="24"/>
        </w:rPr>
      </w:pPr>
      <w:r>
        <w:rPr>
          <w:rFonts w:hint="eastAsia"/>
          <w:b/>
          <w:sz w:val="24"/>
        </w:rPr>
        <w:t>附件10</w:t>
      </w:r>
    </w:p>
    <w:p>
      <w:pPr>
        <w:autoSpaceDN w:val="0"/>
        <w:spacing w:line="360" w:lineRule="auto"/>
        <w:jc w:val="center"/>
        <w:rPr>
          <w:b/>
          <w:bCs/>
          <w:sz w:val="24"/>
        </w:rPr>
      </w:pPr>
      <w:r>
        <w:rPr>
          <w:rFonts w:hint="eastAsia"/>
          <w:b/>
          <w:bCs/>
          <w:sz w:val="24"/>
        </w:rPr>
        <w:t>政府采购政策情况表</w:t>
      </w:r>
    </w:p>
    <w:p>
      <w:pPr>
        <w:spacing w:line="460" w:lineRule="exact"/>
        <w:jc w:val="center"/>
        <w:rPr>
          <w:sz w:val="24"/>
        </w:rPr>
      </w:pPr>
    </w:p>
    <w:p>
      <w:pPr>
        <w:spacing w:line="460" w:lineRule="exact"/>
        <w:rPr>
          <w:sz w:val="24"/>
        </w:rPr>
      </w:pPr>
      <w:r>
        <w:rPr>
          <w:sz w:val="24"/>
        </w:rPr>
        <w:t>项目名称：</w:t>
      </w:r>
    </w:p>
    <w:p>
      <w:pPr>
        <w:spacing w:line="460" w:lineRule="exact"/>
        <w:rPr>
          <w:sz w:val="24"/>
        </w:rPr>
      </w:pPr>
      <w:r>
        <w:rPr>
          <w:sz w:val="24"/>
        </w:rPr>
        <w:t>项目编号：</w:t>
      </w:r>
    </w:p>
    <w:p>
      <w:pPr>
        <w:spacing w:line="460" w:lineRule="exact"/>
        <w:rPr>
          <w:sz w:val="24"/>
          <w:u w:val="single"/>
        </w:rPr>
      </w:pPr>
      <w:r>
        <w:rPr>
          <w:sz w:val="24"/>
        </w:rPr>
        <w:t>包号：</w:t>
      </w:r>
    </w:p>
    <w:p>
      <w:pPr>
        <w:spacing w:line="460" w:lineRule="exact"/>
        <w:rPr>
          <w:sz w:val="24"/>
          <w:szCs w:val="24"/>
        </w:rPr>
      </w:pPr>
      <w:r>
        <w:rPr>
          <w:sz w:val="24"/>
          <w:szCs w:val="24"/>
        </w:rPr>
        <w:t>填报要求：</w:t>
      </w:r>
    </w:p>
    <w:p>
      <w:pPr>
        <w:spacing w:line="460" w:lineRule="exact"/>
        <w:rPr>
          <w:sz w:val="24"/>
          <w:szCs w:val="24"/>
        </w:rPr>
      </w:pPr>
      <w:r>
        <w:rPr>
          <w:sz w:val="24"/>
          <w:szCs w:val="24"/>
        </w:rPr>
        <w:t>1.本表的产品名称、品牌型号、金额应与《开标分项一览表》一致。</w:t>
      </w:r>
    </w:p>
    <w:p>
      <w:pPr>
        <w:spacing w:line="460" w:lineRule="exact"/>
        <w:rPr>
          <w:sz w:val="24"/>
          <w:szCs w:val="24"/>
        </w:rPr>
      </w:pPr>
      <w:r>
        <w:rPr>
          <w:sz w:val="24"/>
          <w:szCs w:val="24"/>
        </w:rPr>
        <w:t>2.“制造商企业类型”栏填写内容为“微型”、“小型”、“监狱企业”或“残疾人福利性单位”。</w:t>
      </w:r>
    </w:p>
    <w:p>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pPr>
        <w:spacing w:line="460" w:lineRule="exact"/>
        <w:ind w:firstLine="6720" w:firstLineChars="3000"/>
        <w:rPr>
          <w:sz w:val="24"/>
          <w:szCs w:val="24"/>
        </w:rPr>
      </w:pPr>
      <w:r>
        <w:rPr>
          <w:sz w:val="24"/>
          <w:szCs w:val="24"/>
        </w:rPr>
        <w:t>单位：元</w:t>
      </w:r>
    </w:p>
    <w:tbl>
      <w:tblPr>
        <w:tblStyle w:val="21"/>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pPr>
              <w:pStyle w:val="46"/>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pPr>
              <w:pStyle w:val="46"/>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pPr>
              <w:pStyle w:val="46"/>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pPr>
              <w:pStyle w:val="46"/>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pPr>
              <w:pStyle w:val="46"/>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pPr>
              <w:pStyle w:val="46"/>
              <w:tabs>
                <w:tab w:val="left" w:pos="1260"/>
              </w:tabs>
              <w:adjustRightInd w:val="0"/>
              <w:snapToGrid w:val="0"/>
              <w:jc w:val="center"/>
              <w:rPr>
                <w:szCs w:val="21"/>
                <w:lang w:val="en-GB"/>
              </w:rPr>
            </w:pPr>
            <w:r>
              <w:rPr>
                <w:szCs w:val="21"/>
                <w:lang w:val="en-GB"/>
              </w:rPr>
              <w:t>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pPr>
              <w:pStyle w:val="46"/>
              <w:tabs>
                <w:tab w:val="left" w:pos="1260"/>
              </w:tabs>
              <w:adjustRightInd w:val="0"/>
              <w:snapToGrid w:val="0"/>
              <w:jc w:val="center"/>
              <w:rPr>
                <w:szCs w:val="21"/>
                <w:lang w:val="en-GB"/>
              </w:rPr>
            </w:pPr>
          </w:p>
        </w:tc>
        <w:tc>
          <w:tcPr>
            <w:tcW w:w="886" w:type="pct"/>
            <w:shd w:val="clear" w:color="auto" w:fill="auto"/>
            <w:vAlign w:val="center"/>
          </w:tcPr>
          <w:p>
            <w:pPr>
              <w:pStyle w:val="46"/>
              <w:tabs>
                <w:tab w:val="left" w:pos="1260"/>
              </w:tabs>
              <w:adjustRightInd w:val="0"/>
              <w:snapToGrid w:val="0"/>
              <w:jc w:val="center"/>
              <w:rPr>
                <w:szCs w:val="21"/>
                <w:lang w:val="en-GB"/>
              </w:rPr>
            </w:pPr>
          </w:p>
        </w:tc>
        <w:tc>
          <w:tcPr>
            <w:tcW w:w="929" w:type="pct"/>
            <w:shd w:val="clear" w:color="auto" w:fill="auto"/>
            <w:vAlign w:val="center"/>
          </w:tcPr>
          <w:p>
            <w:pPr>
              <w:pStyle w:val="46"/>
              <w:tabs>
                <w:tab w:val="left" w:pos="1260"/>
              </w:tabs>
              <w:adjustRightInd w:val="0"/>
              <w:snapToGrid w:val="0"/>
              <w:jc w:val="center"/>
              <w:rPr>
                <w:szCs w:val="21"/>
                <w:lang w:val="en-GB"/>
              </w:rPr>
            </w:pPr>
          </w:p>
        </w:tc>
        <w:tc>
          <w:tcPr>
            <w:tcW w:w="803" w:type="pct"/>
            <w:shd w:val="clear" w:color="auto" w:fill="auto"/>
            <w:vAlign w:val="center"/>
          </w:tcPr>
          <w:p>
            <w:pPr>
              <w:pStyle w:val="46"/>
              <w:tabs>
                <w:tab w:val="left" w:pos="1260"/>
              </w:tabs>
              <w:adjustRightInd w:val="0"/>
              <w:snapToGrid w:val="0"/>
              <w:jc w:val="center"/>
              <w:rPr>
                <w:szCs w:val="21"/>
                <w:lang w:val="en-GB"/>
              </w:rPr>
            </w:pPr>
          </w:p>
        </w:tc>
        <w:tc>
          <w:tcPr>
            <w:tcW w:w="963" w:type="pct"/>
            <w:shd w:val="clear" w:color="auto" w:fill="auto"/>
            <w:vAlign w:val="center"/>
          </w:tcPr>
          <w:p>
            <w:pPr>
              <w:pStyle w:val="46"/>
              <w:tabs>
                <w:tab w:val="left" w:pos="1260"/>
              </w:tabs>
              <w:adjustRightInd w:val="0"/>
              <w:snapToGrid w:val="0"/>
              <w:jc w:val="center"/>
              <w:rPr>
                <w:szCs w:val="21"/>
                <w:lang w:val="en-GB"/>
              </w:rPr>
            </w:pPr>
          </w:p>
        </w:tc>
        <w:tc>
          <w:tcPr>
            <w:tcW w:w="863" w:type="pct"/>
            <w:shd w:val="clear" w:color="auto" w:fill="auto"/>
            <w:vAlign w:val="center"/>
          </w:tcPr>
          <w:p>
            <w:pPr>
              <w:pStyle w:val="46"/>
              <w:tabs>
                <w:tab w:val="left" w:pos="1260"/>
              </w:tabs>
              <w:adjustRightInd w:val="0"/>
              <w:snapToGrid w:val="0"/>
              <w:jc w:val="center"/>
              <w:rPr>
                <w:szCs w:val="21"/>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pPr>
              <w:pStyle w:val="46"/>
              <w:tabs>
                <w:tab w:val="left" w:pos="1260"/>
              </w:tabs>
              <w:adjustRightInd w:val="0"/>
              <w:snapToGrid w:val="0"/>
              <w:jc w:val="center"/>
              <w:rPr>
                <w:szCs w:val="21"/>
                <w:lang w:val="en-GB"/>
              </w:rPr>
            </w:pPr>
          </w:p>
        </w:tc>
        <w:tc>
          <w:tcPr>
            <w:tcW w:w="886" w:type="pct"/>
            <w:shd w:val="clear" w:color="auto" w:fill="auto"/>
            <w:vAlign w:val="center"/>
          </w:tcPr>
          <w:p>
            <w:pPr>
              <w:pStyle w:val="46"/>
              <w:tabs>
                <w:tab w:val="left" w:pos="1260"/>
              </w:tabs>
              <w:adjustRightInd w:val="0"/>
              <w:snapToGrid w:val="0"/>
              <w:jc w:val="center"/>
              <w:rPr>
                <w:szCs w:val="21"/>
                <w:lang w:val="en-GB"/>
              </w:rPr>
            </w:pPr>
          </w:p>
        </w:tc>
        <w:tc>
          <w:tcPr>
            <w:tcW w:w="929" w:type="pct"/>
            <w:shd w:val="clear" w:color="auto" w:fill="auto"/>
            <w:vAlign w:val="center"/>
          </w:tcPr>
          <w:p>
            <w:pPr>
              <w:pStyle w:val="46"/>
              <w:tabs>
                <w:tab w:val="left" w:pos="1260"/>
              </w:tabs>
              <w:adjustRightInd w:val="0"/>
              <w:snapToGrid w:val="0"/>
              <w:jc w:val="center"/>
              <w:rPr>
                <w:szCs w:val="21"/>
                <w:lang w:val="en-GB"/>
              </w:rPr>
            </w:pPr>
          </w:p>
        </w:tc>
        <w:tc>
          <w:tcPr>
            <w:tcW w:w="803" w:type="pct"/>
            <w:shd w:val="clear" w:color="auto" w:fill="auto"/>
            <w:vAlign w:val="center"/>
          </w:tcPr>
          <w:p>
            <w:pPr>
              <w:pStyle w:val="46"/>
              <w:tabs>
                <w:tab w:val="left" w:pos="1260"/>
              </w:tabs>
              <w:adjustRightInd w:val="0"/>
              <w:snapToGrid w:val="0"/>
              <w:jc w:val="center"/>
              <w:rPr>
                <w:szCs w:val="21"/>
                <w:lang w:val="en-GB"/>
              </w:rPr>
            </w:pPr>
          </w:p>
        </w:tc>
        <w:tc>
          <w:tcPr>
            <w:tcW w:w="963" w:type="pct"/>
            <w:shd w:val="clear" w:color="auto" w:fill="auto"/>
            <w:vAlign w:val="center"/>
          </w:tcPr>
          <w:p>
            <w:pPr>
              <w:pStyle w:val="46"/>
              <w:tabs>
                <w:tab w:val="left" w:pos="1260"/>
              </w:tabs>
              <w:adjustRightInd w:val="0"/>
              <w:snapToGrid w:val="0"/>
              <w:jc w:val="center"/>
              <w:rPr>
                <w:szCs w:val="21"/>
                <w:lang w:val="en-GB"/>
              </w:rPr>
            </w:pPr>
          </w:p>
        </w:tc>
        <w:tc>
          <w:tcPr>
            <w:tcW w:w="863" w:type="pct"/>
            <w:shd w:val="clear" w:color="auto" w:fill="auto"/>
            <w:vAlign w:val="center"/>
          </w:tcPr>
          <w:p>
            <w:pPr>
              <w:pStyle w:val="46"/>
              <w:tabs>
                <w:tab w:val="left" w:pos="1260"/>
              </w:tabs>
              <w:adjustRightInd w:val="0"/>
              <w:snapToGrid w:val="0"/>
              <w:jc w:val="center"/>
              <w:rPr>
                <w:szCs w:val="21"/>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pPr>
              <w:pStyle w:val="46"/>
              <w:tabs>
                <w:tab w:val="left" w:pos="1260"/>
              </w:tabs>
              <w:adjustRightInd w:val="0"/>
              <w:snapToGrid w:val="0"/>
              <w:jc w:val="center"/>
              <w:rPr>
                <w:szCs w:val="21"/>
                <w:lang w:val="en-GB"/>
              </w:rPr>
            </w:pPr>
          </w:p>
        </w:tc>
        <w:tc>
          <w:tcPr>
            <w:tcW w:w="3581" w:type="pct"/>
            <w:gridSpan w:val="4"/>
            <w:shd w:val="clear" w:color="auto" w:fill="auto"/>
            <w:vAlign w:val="center"/>
          </w:tcPr>
          <w:p>
            <w:pPr>
              <w:pStyle w:val="46"/>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pPr>
              <w:pStyle w:val="46"/>
              <w:tabs>
                <w:tab w:val="left" w:pos="1260"/>
              </w:tabs>
              <w:adjustRightInd w:val="0"/>
              <w:snapToGrid w:val="0"/>
              <w:jc w:val="center"/>
              <w:rPr>
                <w:b/>
                <w:szCs w:val="21"/>
                <w:lang w:val="en-GB"/>
              </w:rPr>
            </w:pPr>
            <w:r>
              <w:rPr>
                <w:b/>
                <w:szCs w:val="21"/>
                <w:lang w:val="en-GB"/>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pPr>
              <w:pStyle w:val="46"/>
              <w:tabs>
                <w:tab w:val="left" w:pos="1260"/>
              </w:tabs>
              <w:adjustRightInd w:val="0"/>
              <w:snapToGrid w:val="0"/>
              <w:jc w:val="center"/>
              <w:rPr>
                <w:szCs w:val="21"/>
                <w:lang w:val="en-GB"/>
              </w:rPr>
            </w:pPr>
          </w:p>
        </w:tc>
        <w:tc>
          <w:tcPr>
            <w:tcW w:w="3581" w:type="pct"/>
            <w:gridSpan w:val="4"/>
            <w:shd w:val="clear" w:color="auto" w:fill="auto"/>
            <w:vAlign w:val="center"/>
          </w:tcPr>
          <w:p>
            <w:pPr>
              <w:pStyle w:val="46"/>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pPr>
              <w:pStyle w:val="46"/>
              <w:tabs>
                <w:tab w:val="left" w:pos="1260"/>
              </w:tabs>
              <w:adjustRightInd w:val="0"/>
              <w:snapToGrid w:val="0"/>
              <w:jc w:val="center"/>
              <w:rPr>
                <w:b/>
                <w:szCs w:val="21"/>
                <w:lang w:val="en-GB"/>
              </w:rPr>
            </w:pPr>
            <w:r>
              <w:rPr>
                <w:b/>
                <w:szCs w:val="21"/>
                <w:lang w:val="en-GB"/>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pPr>
              <w:pStyle w:val="46"/>
              <w:tabs>
                <w:tab w:val="left" w:pos="1260"/>
              </w:tabs>
              <w:adjustRightInd w:val="0"/>
              <w:snapToGrid w:val="0"/>
              <w:jc w:val="center"/>
              <w:rPr>
                <w:szCs w:val="21"/>
                <w:lang w:val="en-GB"/>
              </w:rPr>
            </w:pPr>
          </w:p>
        </w:tc>
        <w:tc>
          <w:tcPr>
            <w:tcW w:w="4444" w:type="pct"/>
            <w:gridSpan w:val="5"/>
            <w:shd w:val="clear" w:color="auto" w:fill="auto"/>
            <w:vAlign w:val="center"/>
          </w:tcPr>
          <w:p>
            <w:pPr>
              <w:pStyle w:val="46"/>
              <w:tabs>
                <w:tab w:val="left" w:pos="1260"/>
              </w:tabs>
              <w:adjustRightInd w:val="0"/>
              <w:snapToGrid w:val="0"/>
              <w:jc w:val="center"/>
              <w:rPr>
                <w:b/>
                <w:szCs w:val="21"/>
                <w:lang w:val="en-GB"/>
              </w:rPr>
            </w:pPr>
            <w:r>
              <w:rPr>
                <w:szCs w:val="21"/>
                <w:lang w:val="en-GB"/>
              </w:rPr>
              <w:t>环境标志产品</w:t>
            </w:r>
            <w:r>
              <w:rPr>
                <w:szCs w:val="21"/>
              </w:rPr>
              <w:t>证明材料见投标文件第至页。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pPr>
              <w:pStyle w:val="46"/>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pPr>
              <w:pStyle w:val="46"/>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pPr>
              <w:pStyle w:val="46"/>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pPr>
              <w:pStyle w:val="46"/>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pPr>
              <w:pStyle w:val="46"/>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pPr>
              <w:pStyle w:val="46"/>
              <w:tabs>
                <w:tab w:val="left" w:pos="1260"/>
              </w:tabs>
              <w:adjustRightInd w:val="0"/>
              <w:snapToGrid w:val="0"/>
              <w:jc w:val="center"/>
              <w:rPr>
                <w:szCs w:val="21"/>
                <w:lang w:val="en-GB"/>
              </w:rPr>
            </w:pPr>
            <w:r>
              <w:rPr>
                <w:szCs w:val="21"/>
                <w:lang w:val="en-GB"/>
              </w:rPr>
              <w:t>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pPr>
              <w:pStyle w:val="46"/>
              <w:tabs>
                <w:tab w:val="left" w:pos="1260"/>
              </w:tabs>
              <w:adjustRightInd w:val="0"/>
              <w:snapToGrid w:val="0"/>
              <w:jc w:val="center"/>
              <w:rPr>
                <w:szCs w:val="21"/>
                <w:lang w:val="en-GB"/>
              </w:rPr>
            </w:pPr>
          </w:p>
        </w:tc>
        <w:tc>
          <w:tcPr>
            <w:tcW w:w="886" w:type="pct"/>
            <w:shd w:val="clear" w:color="auto" w:fill="auto"/>
            <w:vAlign w:val="center"/>
          </w:tcPr>
          <w:p>
            <w:pPr>
              <w:pStyle w:val="46"/>
              <w:tabs>
                <w:tab w:val="left" w:pos="1260"/>
              </w:tabs>
              <w:adjustRightInd w:val="0"/>
              <w:snapToGrid w:val="0"/>
              <w:jc w:val="center"/>
              <w:rPr>
                <w:szCs w:val="21"/>
                <w:lang w:val="en-GB"/>
              </w:rPr>
            </w:pPr>
          </w:p>
        </w:tc>
        <w:tc>
          <w:tcPr>
            <w:tcW w:w="929" w:type="pct"/>
            <w:shd w:val="clear" w:color="auto" w:fill="auto"/>
            <w:vAlign w:val="center"/>
          </w:tcPr>
          <w:p>
            <w:pPr>
              <w:pStyle w:val="46"/>
              <w:tabs>
                <w:tab w:val="left" w:pos="1260"/>
              </w:tabs>
              <w:adjustRightInd w:val="0"/>
              <w:snapToGrid w:val="0"/>
              <w:jc w:val="center"/>
              <w:rPr>
                <w:szCs w:val="21"/>
                <w:lang w:val="en-GB"/>
              </w:rPr>
            </w:pPr>
          </w:p>
        </w:tc>
        <w:tc>
          <w:tcPr>
            <w:tcW w:w="803" w:type="pct"/>
            <w:shd w:val="clear" w:color="auto" w:fill="auto"/>
            <w:vAlign w:val="center"/>
          </w:tcPr>
          <w:p>
            <w:pPr>
              <w:pStyle w:val="46"/>
              <w:tabs>
                <w:tab w:val="left" w:pos="1260"/>
              </w:tabs>
              <w:adjustRightInd w:val="0"/>
              <w:snapToGrid w:val="0"/>
              <w:jc w:val="center"/>
              <w:rPr>
                <w:szCs w:val="21"/>
                <w:lang w:val="en-GB"/>
              </w:rPr>
            </w:pPr>
          </w:p>
        </w:tc>
        <w:tc>
          <w:tcPr>
            <w:tcW w:w="963" w:type="pct"/>
            <w:shd w:val="clear" w:color="auto" w:fill="auto"/>
            <w:vAlign w:val="center"/>
          </w:tcPr>
          <w:p>
            <w:pPr>
              <w:pStyle w:val="46"/>
              <w:tabs>
                <w:tab w:val="left" w:pos="1260"/>
              </w:tabs>
              <w:adjustRightInd w:val="0"/>
              <w:snapToGrid w:val="0"/>
              <w:jc w:val="center"/>
              <w:rPr>
                <w:szCs w:val="21"/>
                <w:lang w:val="en-GB"/>
              </w:rPr>
            </w:pPr>
          </w:p>
        </w:tc>
        <w:tc>
          <w:tcPr>
            <w:tcW w:w="863" w:type="pct"/>
            <w:shd w:val="clear" w:color="auto" w:fill="auto"/>
            <w:vAlign w:val="center"/>
          </w:tcPr>
          <w:p>
            <w:pPr>
              <w:pStyle w:val="46"/>
              <w:tabs>
                <w:tab w:val="left" w:pos="1260"/>
              </w:tabs>
              <w:adjustRightInd w:val="0"/>
              <w:snapToGrid w:val="0"/>
              <w:jc w:val="center"/>
              <w:rPr>
                <w:szCs w:val="21"/>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pPr>
              <w:pStyle w:val="46"/>
              <w:tabs>
                <w:tab w:val="left" w:pos="1260"/>
              </w:tabs>
              <w:adjustRightInd w:val="0"/>
              <w:snapToGrid w:val="0"/>
              <w:jc w:val="center"/>
              <w:rPr>
                <w:szCs w:val="21"/>
                <w:lang w:val="en-GB"/>
              </w:rPr>
            </w:pPr>
          </w:p>
        </w:tc>
        <w:tc>
          <w:tcPr>
            <w:tcW w:w="886" w:type="pct"/>
            <w:shd w:val="clear" w:color="auto" w:fill="auto"/>
            <w:vAlign w:val="center"/>
          </w:tcPr>
          <w:p>
            <w:pPr>
              <w:pStyle w:val="46"/>
              <w:tabs>
                <w:tab w:val="left" w:pos="1260"/>
              </w:tabs>
              <w:adjustRightInd w:val="0"/>
              <w:snapToGrid w:val="0"/>
              <w:jc w:val="center"/>
              <w:rPr>
                <w:szCs w:val="21"/>
                <w:lang w:val="en-GB"/>
              </w:rPr>
            </w:pPr>
          </w:p>
        </w:tc>
        <w:tc>
          <w:tcPr>
            <w:tcW w:w="929" w:type="pct"/>
            <w:shd w:val="clear" w:color="auto" w:fill="auto"/>
            <w:vAlign w:val="center"/>
          </w:tcPr>
          <w:p>
            <w:pPr>
              <w:pStyle w:val="46"/>
              <w:tabs>
                <w:tab w:val="left" w:pos="1260"/>
              </w:tabs>
              <w:adjustRightInd w:val="0"/>
              <w:snapToGrid w:val="0"/>
              <w:jc w:val="center"/>
              <w:rPr>
                <w:szCs w:val="21"/>
                <w:lang w:val="en-GB"/>
              </w:rPr>
            </w:pPr>
          </w:p>
        </w:tc>
        <w:tc>
          <w:tcPr>
            <w:tcW w:w="803" w:type="pct"/>
            <w:shd w:val="clear" w:color="auto" w:fill="auto"/>
            <w:vAlign w:val="center"/>
          </w:tcPr>
          <w:p>
            <w:pPr>
              <w:pStyle w:val="46"/>
              <w:tabs>
                <w:tab w:val="left" w:pos="1260"/>
              </w:tabs>
              <w:adjustRightInd w:val="0"/>
              <w:snapToGrid w:val="0"/>
              <w:jc w:val="center"/>
              <w:rPr>
                <w:szCs w:val="21"/>
                <w:lang w:val="en-GB"/>
              </w:rPr>
            </w:pPr>
          </w:p>
        </w:tc>
        <w:tc>
          <w:tcPr>
            <w:tcW w:w="963" w:type="pct"/>
            <w:shd w:val="clear" w:color="auto" w:fill="auto"/>
            <w:vAlign w:val="center"/>
          </w:tcPr>
          <w:p>
            <w:pPr>
              <w:pStyle w:val="46"/>
              <w:tabs>
                <w:tab w:val="left" w:pos="1260"/>
              </w:tabs>
              <w:adjustRightInd w:val="0"/>
              <w:snapToGrid w:val="0"/>
              <w:jc w:val="center"/>
              <w:rPr>
                <w:szCs w:val="21"/>
                <w:lang w:val="en-GB"/>
              </w:rPr>
            </w:pPr>
          </w:p>
        </w:tc>
        <w:tc>
          <w:tcPr>
            <w:tcW w:w="863" w:type="pct"/>
            <w:shd w:val="clear" w:color="auto" w:fill="auto"/>
            <w:vAlign w:val="center"/>
          </w:tcPr>
          <w:p>
            <w:pPr>
              <w:pStyle w:val="46"/>
              <w:tabs>
                <w:tab w:val="left" w:pos="1260"/>
              </w:tabs>
              <w:adjustRightInd w:val="0"/>
              <w:snapToGrid w:val="0"/>
              <w:jc w:val="center"/>
              <w:rPr>
                <w:szCs w:val="21"/>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pPr>
              <w:pStyle w:val="46"/>
              <w:tabs>
                <w:tab w:val="left" w:pos="1260"/>
              </w:tabs>
              <w:adjustRightInd w:val="0"/>
              <w:snapToGrid w:val="0"/>
              <w:jc w:val="center"/>
              <w:rPr>
                <w:szCs w:val="21"/>
                <w:lang w:val="en-GB"/>
              </w:rPr>
            </w:pPr>
          </w:p>
        </w:tc>
        <w:tc>
          <w:tcPr>
            <w:tcW w:w="3581" w:type="pct"/>
            <w:gridSpan w:val="4"/>
            <w:shd w:val="clear" w:color="auto" w:fill="auto"/>
            <w:vAlign w:val="center"/>
          </w:tcPr>
          <w:p>
            <w:pPr>
              <w:pStyle w:val="46"/>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pPr>
              <w:pStyle w:val="46"/>
              <w:tabs>
                <w:tab w:val="left" w:pos="1260"/>
              </w:tabs>
              <w:adjustRightInd w:val="0"/>
              <w:snapToGrid w:val="0"/>
              <w:jc w:val="center"/>
              <w:rPr>
                <w:b/>
                <w:szCs w:val="21"/>
                <w:lang w:val="en-GB"/>
              </w:rPr>
            </w:pPr>
            <w:r>
              <w:rPr>
                <w:b/>
                <w:szCs w:val="21"/>
                <w:lang w:val="en-GB"/>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pPr>
              <w:pStyle w:val="46"/>
              <w:tabs>
                <w:tab w:val="left" w:pos="1260"/>
              </w:tabs>
              <w:adjustRightInd w:val="0"/>
              <w:snapToGrid w:val="0"/>
              <w:jc w:val="center"/>
              <w:rPr>
                <w:szCs w:val="21"/>
                <w:lang w:val="en-GB"/>
              </w:rPr>
            </w:pPr>
          </w:p>
        </w:tc>
        <w:tc>
          <w:tcPr>
            <w:tcW w:w="3581" w:type="pct"/>
            <w:gridSpan w:val="4"/>
            <w:shd w:val="clear" w:color="auto" w:fill="auto"/>
            <w:vAlign w:val="center"/>
          </w:tcPr>
          <w:p>
            <w:pPr>
              <w:pStyle w:val="46"/>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pPr>
              <w:pStyle w:val="46"/>
              <w:tabs>
                <w:tab w:val="left" w:pos="1260"/>
              </w:tabs>
              <w:adjustRightInd w:val="0"/>
              <w:snapToGrid w:val="0"/>
              <w:jc w:val="center"/>
              <w:rPr>
                <w:b/>
                <w:szCs w:val="21"/>
                <w:lang w:val="en-GB"/>
              </w:rPr>
            </w:pPr>
            <w:r>
              <w:rPr>
                <w:b/>
                <w:szCs w:val="21"/>
                <w:lang w:val="en-GB"/>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pPr>
              <w:pStyle w:val="46"/>
              <w:tabs>
                <w:tab w:val="left" w:pos="1260"/>
              </w:tabs>
              <w:adjustRightInd w:val="0"/>
              <w:snapToGrid w:val="0"/>
              <w:jc w:val="center"/>
              <w:rPr>
                <w:szCs w:val="21"/>
                <w:lang w:val="en-GB"/>
              </w:rPr>
            </w:pPr>
          </w:p>
        </w:tc>
        <w:tc>
          <w:tcPr>
            <w:tcW w:w="4444" w:type="pct"/>
            <w:gridSpan w:val="5"/>
            <w:shd w:val="clear" w:color="auto" w:fill="auto"/>
            <w:vAlign w:val="center"/>
          </w:tcPr>
          <w:p>
            <w:pPr>
              <w:pStyle w:val="46"/>
              <w:tabs>
                <w:tab w:val="left" w:pos="1260"/>
              </w:tabs>
              <w:adjustRightInd w:val="0"/>
              <w:snapToGrid w:val="0"/>
              <w:jc w:val="center"/>
              <w:rPr>
                <w:b/>
                <w:szCs w:val="21"/>
                <w:lang w:val="en-GB"/>
              </w:rPr>
            </w:pPr>
            <w:r>
              <w:rPr>
                <w:szCs w:val="21"/>
                <w:lang w:val="en-GB"/>
              </w:rPr>
              <w:t>节能产品</w:t>
            </w:r>
            <w:r>
              <w:rPr>
                <w:szCs w:val="21"/>
              </w:rPr>
              <w:t>证明材料见投标文件第至页。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pPr>
              <w:pStyle w:val="46"/>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pPr>
              <w:pStyle w:val="46"/>
              <w:tabs>
                <w:tab w:val="left" w:pos="1260"/>
              </w:tabs>
              <w:adjustRightInd w:val="0"/>
              <w:snapToGrid w:val="0"/>
              <w:rPr>
                <w:b/>
                <w:szCs w:val="21"/>
              </w:rPr>
            </w:pPr>
            <w:r>
              <w:rPr>
                <w:b/>
                <w:szCs w:val="21"/>
              </w:rPr>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pPr>
              <w:pStyle w:val="46"/>
              <w:tabs>
                <w:tab w:val="left" w:pos="1260"/>
              </w:tabs>
              <w:adjustRightInd w:val="0"/>
              <w:snapToGrid w:val="0"/>
              <w:jc w:val="center"/>
              <w:rPr>
                <w:szCs w:val="21"/>
                <w:lang w:val="en-GB"/>
              </w:rPr>
            </w:pPr>
          </w:p>
        </w:tc>
        <w:tc>
          <w:tcPr>
            <w:tcW w:w="886" w:type="pct"/>
            <w:shd w:val="clear" w:color="auto" w:fill="auto"/>
            <w:vAlign w:val="center"/>
          </w:tcPr>
          <w:p>
            <w:pPr>
              <w:pStyle w:val="46"/>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pPr>
              <w:pStyle w:val="46"/>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pPr>
              <w:pStyle w:val="46"/>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pPr>
              <w:pStyle w:val="46"/>
              <w:tabs>
                <w:tab w:val="left" w:pos="1260"/>
              </w:tabs>
              <w:adjustRightInd w:val="0"/>
              <w:snapToGrid w:val="0"/>
              <w:jc w:val="center"/>
              <w:rPr>
                <w:szCs w:val="21"/>
                <w:lang w:val="en-GB"/>
              </w:rPr>
            </w:pPr>
            <w:r>
              <w:rPr>
                <w:szCs w:val="21"/>
                <w:lang w:val="en-GB"/>
              </w:rPr>
              <w:t>制造商</w:t>
            </w:r>
          </w:p>
          <w:p>
            <w:pPr>
              <w:pStyle w:val="46"/>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pPr>
              <w:pStyle w:val="46"/>
              <w:tabs>
                <w:tab w:val="left" w:pos="1260"/>
              </w:tabs>
              <w:adjustRightInd w:val="0"/>
              <w:snapToGrid w:val="0"/>
              <w:jc w:val="center"/>
              <w:rPr>
                <w:szCs w:val="21"/>
                <w:lang w:val="en-GB"/>
              </w:rPr>
            </w:pPr>
            <w:r>
              <w:rPr>
                <w:szCs w:val="21"/>
                <w:lang w:val="en-GB"/>
              </w:rPr>
              <w:t>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pPr>
              <w:pStyle w:val="46"/>
              <w:tabs>
                <w:tab w:val="left" w:pos="1260"/>
              </w:tabs>
              <w:adjustRightInd w:val="0"/>
              <w:snapToGrid w:val="0"/>
              <w:jc w:val="center"/>
              <w:rPr>
                <w:szCs w:val="21"/>
                <w:lang w:val="en-GB"/>
              </w:rPr>
            </w:pPr>
          </w:p>
        </w:tc>
        <w:tc>
          <w:tcPr>
            <w:tcW w:w="886" w:type="pct"/>
            <w:shd w:val="clear" w:color="auto" w:fill="auto"/>
            <w:vAlign w:val="center"/>
          </w:tcPr>
          <w:p>
            <w:pPr>
              <w:pStyle w:val="46"/>
              <w:tabs>
                <w:tab w:val="left" w:pos="1260"/>
              </w:tabs>
              <w:adjustRightInd w:val="0"/>
              <w:snapToGrid w:val="0"/>
              <w:jc w:val="center"/>
              <w:rPr>
                <w:szCs w:val="21"/>
                <w:lang w:val="en-GB"/>
              </w:rPr>
            </w:pPr>
          </w:p>
        </w:tc>
        <w:tc>
          <w:tcPr>
            <w:tcW w:w="929" w:type="pct"/>
            <w:shd w:val="clear" w:color="auto" w:fill="auto"/>
            <w:vAlign w:val="center"/>
          </w:tcPr>
          <w:p>
            <w:pPr>
              <w:pStyle w:val="46"/>
              <w:tabs>
                <w:tab w:val="left" w:pos="1260"/>
              </w:tabs>
              <w:adjustRightInd w:val="0"/>
              <w:snapToGrid w:val="0"/>
              <w:jc w:val="center"/>
              <w:rPr>
                <w:szCs w:val="21"/>
                <w:lang w:val="en-GB"/>
              </w:rPr>
            </w:pPr>
          </w:p>
        </w:tc>
        <w:tc>
          <w:tcPr>
            <w:tcW w:w="803" w:type="pct"/>
            <w:shd w:val="clear" w:color="auto" w:fill="auto"/>
            <w:vAlign w:val="center"/>
          </w:tcPr>
          <w:p>
            <w:pPr>
              <w:pStyle w:val="46"/>
              <w:tabs>
                <w:tab w:val="left" w:pos="1260"/>
              </w:tabs>
              <w:adjustRightInd w:val="0"/>
              <w:snapToGrid w:val="0"/>
              <w:jc w:val="center"/>
              <w:rPr>
                <w:szCs w:val="21"/>
                <w:lang w:val="en-GB"/>
              </w:rPr>
            </w:pPr>
          </w:p>
        </w:tc>
        <w:tc>
          <w:tcPr>
            <w:tcW w:w="963" w:type="pct"/>
            <w:shd w:val="clear" w:color="auto" w:fill="auto"/>
          </w:tcPr>
          <w:p>
            <w:pPr>
              <w:adjustRightInd w:val="0"/>
              <w:snapToGrid w:val="0"/>
              <w:rPr>
                <w:szCs w:val="21"/>
              </w:rPr>
            </w:pPr>
            <w:r>
              <w:rPr>
                <w:szCs w:val="21"/>
                <w:lang w:val="en-GB"/>
              </w:rPr>
              <w:t>只填写小型/微型/监狱/残疾人福利性单位</w:t>
            </w:r>
          </w:p>
        </w:tc>
        <w:tc>
          <w:tcPr>
            <w:tcW w:w="863" w:type="pct"/>
            <w:shd w:val="clear" w:color="auto" w:fill="auto"/>
            <w:vAlign w:val="center"/>
          </w:tcPr>
          <w:p>
            <w:pPr>
              <w:pStyle w:val="46"/>
              <w:tabs>
                <w:tab w:val="left" w:pos="1260"/>
              </w:tabs>
              <w:adjustRightInd w:val="0"/>
              <w:snapToGrid w:val="0"/>
              <w:jc w:val="center"/>
              <w:rPr>
                <w:szCs w:val="21"/>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pPr>
              <w:pStyle w:val="46"/>
              <w:tabs>
                <w:tab w:val="left" w:pos="1260"/>
              </w:tabs>
              <w:adjustRightInd w:val="0"/>
              <w:snapToGrid w:val="0"/>
              <w:jc w:val="center"/>
              <w:rPr>
                <w:szCs w:val="21"/>
                <w:lang w:val="en-GB"/>
              </w:rPr>
            </w:pPr>
          </w:p>
        </w:tc>
        <w:tc>
          <w:tcPr>
            <w:tcW w:w="886" w:type="pct"/>
            <w:shd w:val="clear" w:color="auto" w:fill="auto"/>
            <w:vAlign w:val="center"/>
          </w:tcPr>
          <w:p>
            <w:pPr>
              <w:pStyle w:val="46"/>
              <w:tabs>
                <w:tab w:val="left" w:pos="1260"/>
              </w:tabs>
              <w:adjustRightInd w:val="0"/>
              <w:snapToGrid w:val="0"/>
              <w:jc w:val="center"/>
              <w:rPr>
                <w:szCs w:val="21"/>
                <w:lang w:val="en-GB"/>
              </w:rPr>
            </w:pPr>
          </w:p>
        </w:tc>
        <w:tc>
          <w:tcPr>
            <w:tcW w:w="929" w:type="pct"/>
            <w:shd w:val="clear" w:color="auto" w:fill="auto"/>
            <w:vAlign w:val="center"/>
          </w:tcPr>
          <w:p>
            <w:pPr>
              <w:pStyle w:val="46"/>
              <w:tabs>
                <w:tab w:val="left" w:pos="1260"/>
              </w:tabs>
              <w:adjustRightInd w:val="0"/>
              <w:snapToGrid w:val="0"/>
              <w:jc w:val="center"/>
              <w:rPr>
                <w:szCs w:val="21"/>
                <w:lang w:val="en-GB"/>
              </w:rPr>
            </w:pPr>
          </w:p>
        </w:tc>
        <w:tc>
          <w:tcPr>
            <w:tcW w:w="803" w:type="pct"/>
            <w:shd w:val="clear" w:color="auto" w:fill="auto"/>
            <w:vAlign w:val="center"/>
          </w:tcPr>
          <w:p>
            <w:pPr>
              <w:pStyle w:val="46"/>
              <w:tabs>
                <w:tab w:val="left" w:pos="1260"/>
              </w:tabs>
              <w:adjustRightInd w:val="0"/>
              <w:snapToGrid w:val="0"/>
              <w:jc w:val="center"/>
              <w:rPr>
                <w:szCs w:val="21"/>
                <w:lang w:val="en-GB"/>
              </w:rPr>
            </w:pPr>
          </w:p>
        </w:tc>
        <w:tc>
          <w:tcPr>
            <w:tcW w:w="963" w:type="pct"/>
            <w:shd w:val="clear" w:color="auto" w:fill="auto"/>
          </w:tcPr>
          <w:p>
            <w:pPr>
              <w:adjustRightInd w:val="0"/>
              <w:snapToGrid w:val="0"/>
              <w:rPr>
                <w:szCs w:val="21"/>
              </w:rPr>
            </w:pPr>
            <w:r>
              <w:rPr>
                <w:szCs w:val="21"/>
                <w:lang w:val="en-GB"/>
              </w:rPr>
              <w:t>只填写小型/微型/监狱/残疾人福利性单位</w:t>
            </w:r>
          </w:p>
        </w:tc>
        <w:tc>
          <w:tcPr>
            <w:tcW w:w="863" w:type="pct"/>
            <w:shd w:val="clear" w:color="auto" w:fill="auto"/>
            <w:vAlign w:val="center"/>
          </w:tcPr>
          <w:p>
            <w:pPr>
              <w:pStyle w:val="46"/>
              <w:tabs>
                <w:tab w:val="left" w:pos="1260"/>
              </w:tabs>
              <w:adjustRightInd w:val="0"/>
              <w:snapToGrid w:val="0"/>
              <w:jc w:val="center"/>
              <w:rPr>
                <w:szCs w:val="21"/>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pPr>
              <w:pStyle w:val="46"/>
              <w:tabs>
                <w:tab w:val="left" w:pos="1260"/>
              </w:tabs>
              <w:adjustRightInd w:val="0"/>
              <w:snapToGrid w:val="0"/>
              <w:jc w:val="center"/>
              <w:rPr>
                <w:szCs w:val="21"/>
                <w:lang w:val="en-GB"/>
              </w:rPr>
            </w:pPr>
          </w:p>
        </w:tc>
        <w:tc>
          <w:tcPr>
            <w:tcW w:w="886" w:type="pct"/>
            <w:shd w:val="clear" w:color="auto" w:fill="auto"/>
            <w:vAlign w:val="center"/>
          </w:tcPr>
          <w:p>
            <w:pPr>
              <w:pStyle w:val="46"/>
              <w:tabs>
                <w:tab w:val="left" w:pos="1260"/>
              </w:tabs>
              <w:adjustRightInd w:val="0"/>
              <w:snapToGrid w:val="0"/>
              <w:jc w:val="center"/>
              <w:rPr>
                <w:szCs w:val="21"/>
                <w:lang w:val="en-GB"/>
              </w:rPr>
            </w:pPr>
          </w:p>
        </w:tc>
        <w:tc>
          <w:tcPr>
            <w:tcW w:w="929" w:type="pct"/>
            <w:shd w:val="clear" w:color="auto" w:fill="auto"/>
            <w:vAlign w:val="center"/>
          </w:tcPr>
          <w:p>
            <w:pPr>
              <w:pStyle w:val="46"/>
              <w:tabs>
                <w:tab w:val="left" w:pos="1260"/>
              </w:tabs>
              <w:adjustRightInd w:val="0"/>
              <w:snapToGrid w:val="0"/>
              <w:jc w:val="center"/>
              <w:rPr>
                <w:szCs w:val="21"/>
                <w:lang w:val="en-GB"/>
              </w:rPr>
            </w:pPr>
          </w:p>
        </w:tc>
        <w:tc>
          <w:tcPr>
            <w:tcW w:w="803" w:type="pct"/>
            <w:shd w:val="clear" w:color="auto" w:fill="auto"/>
            <w:vAlign w:val="center"/>
          </w:tcPr>
          <w:p>
            <w:pPr>
              <w:pStyle w:val="46"/>
              <w:tabs>
                <w:tab w:val="left" w:pos="1260"/>
              </w:tabs>
              <w:adjustRightInd w:val="0"/>
              <w:snapToGrid w:val="0"/>
              <w:jc w:val="center"/>
              <w:rPr>
                <w:szCs w:val="21"/>
                <w:lang w:val="en-GB"/>
              </w:rPr>
            </w:pPr>
          </w:p>
        </w:tc>
        <w:tc>
          <w:tcPr>
            <w:tcW w:w="963" w:type="pct"/>
            <w:shd w:val="clear" w:color="auto" w:fill="auto"/>
          </w:tcPr>
          <w:p>
            <w:pPr>
              <w:adjustRightInd w:val="0"/>
              <w:snapToGrid w:val="0"/>
              <w:rPr>
                <w:szCs w:val="21"/>
              </w:rPr>
            </w:pPr>
            <w:r>
              <w:rPr>
                <w:szCs w:val="21"/>
                <w:lang w:val="en-GB"/>
              </w:rPr>
              <w:t>只填写小型/微型/监狱/残疾人福利性单位</w:t>
            </w:r>
          </w:p>
        </w:tc>
        <w:tc>
          <w:tcPr>
            <w:tcW w:w="863" w:type="pct"/>
            <w:shd w:val="clear" w:color="auto" w:fill="auto"/>
            <w:vAlign w:val="center"/>
          </w:tcPr>
          <w:p>
            <w:pPr>
              <w:pStyle w:val="46"/>
              <w:tabs>
                <w:tab w:val="left" w:pos="1260"/>
              </w:tabs>
              <w:adjustRightInd w:val="0"/>
              <w:snapToGrid w:val="0"/>
              <w:jc w:val="center"/>
              <w:rPr>
                <w:szCs w:val="21"/>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pPr>
              <w:pStyle w:val="46"/>
              <w:tabs>
                <w:tab w:val="left" w:pos="1260"/>
              </w:tabs>
              <w:adjustRightInd w:val="0"/>
              <w:snapToGrid w:val="0"/>
              <w:jc w:val="center"/>
              <w:rPr>
                <w:szCs w:val="21"/>
                <w:lang w:val="en-GB"/>
              </w:rPr>
            </w:pPr>
          </w:p>
        </w:tc>
        <w:tc>
          <w:tcPr>
            <w:tcW w:w="886" w:type="pct"/>
            <w:shd w:val="clear" w:color="auto" w:fill="auto"/>
            <w:vAlign w:val="center"/>
          </w:tcPr>
          <w:p>
            <w:pPr>
              <w:pStyle w:val="46"/>
              <w:tabs>
                <w:tab w:val="left" w:pos="1260"/>
              </w:tabs>
              <w:adjustRightInd w:val="0"/>
              <w:snapToGrid w:val="0"/>
              <w:jc w:val="center"/>
              <w:rPr>
                <w:szCs w:val="21"/>
                <w:lang w:val="en-GB"/>
              </w:rPr>
            </w:pPr>
          </w:p>
        </w:tc>
        <w:tc>
          <w:tcPr>
            <w:tcW w:w="929" w:type="pct"/>
            <w:shd w:val="clear" w:color="auto" w:fill="auto"/>
            <w:vAlign w:val="center"/>
          </w:tcPr>
          <w:p>
            <w:pPr>
              <w:pStyle w:val="46"/>
              <w:tabs>
                <w:tab w:val="left" w:pos="1260"/>
              </w:tabs>
              <w:adjustRightInd w:val="0"/>
              <w:snapToGrid w:val="0"/>
              <w:jc w:val="center"/>
              <w:rPr>
                <w:szCs w:val="21"/>
                <w:lang w:val="en-GB"/>
              </w:rPr>
            </w:pPr>
          </w:p>
        </w:tc>
        <w:tc>
          <w:tcPr>
            <w:tcW w:w="803" w:type="pct"/>
            <w:shd w:val="clear" w:color="auto" w:fill="auto"/>
            <w:vAlign w:val="center"/>
          </w:tcPr>
          <w:p>
            <w:pPr>
              <w:pStyle w:val="46"/>
              <w:tabs>
                <w:tab w:val="left" w:pos="1260"/>
              </w:tabs>
              <w:adjustRightInd w:val="0"/>
              <w:snapToGrid w:val="0"/>
              <w:jc w:val="center"/>
              <w:rPr>
                <w:szCs w:val="21"/>
                <w:lang w:val="en-GB"/>
              </w:rPr>
            </w:pPr>
          </w:p>
        </w:tc>
        <w:tc>
          <w:tcPr>
            <w:tcW w:w="963" w:type="pct"/>
            <w:shd w:val="clear" w:color="auto" w:fill="auto"/>
          </w:tcPr>
          <w:p>
            <w:pPr>
              <w:adjustRightInd w:val="0"/>
              <w:snapToGrid w:val="0"/>
              <w:rPr>
                <w:szCs w:val="21"/>
              </w:rPr>
            </w:pPr>
            <w:r>
              <w:rPr>
                <w:szCs w:val="21"/>
                <w:lang w:val="en-GB"/>
              </w:rPr>
              <w:t>只填写小型/微型/监狱/残疾人福利性单位</w:t>
            </w:r>
          </w:p>
        </w:tc>
        <w:tc>
          <w:tcPr>
            <w:tcW w:w="863" w:type="pct"/>
            <w:shd w:val="clear" w:color="auto" w:fill="auto"/>
            <w:vAlign w:val="center"/>
          </w:tcPr>
          <w:p>
            <w:pPr>
              <w:pStyle w:val="46"/>
              <w:tabs>
                <w:tab w:val="left" w:pos="1260"/>
              </w:tabs>
              <w:adjustRightInd w:val="0"/>
              <w:snapToGrid w:val="0"/>
              <w:jc w:val="center"/>
              <w:rPr>
                <w:szCs w:val="21"/>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pPr>
              <w:pStyle w:val="46"/>
              <w:tabs>
                <w:tab w:val="left" w:pos="1260"/>
              </w:tabs>
              <w:adjustRightInd w:val="0"/>
              <w:snapToGrid w:val="0"/>
              <w:jc w:val="center"/>
              <w:rPr>
                <w:szCs w:val="21"/>
                <w:lang w:val="en-GB"/>
              </w:rPr>
            </w:pPr>
          </w:p>
        </w:tc>
        <w:tc>
          <w:tcPr>
            <w:tcW w:w="886" w:type="pct"/>
            <w:shd w:val="clear" w:color="auto" w:fill="auto"/>
            <w:vAlign w:val="center"/>
          </w:tcPr>
          <w:p>
            <w:pPr>
              <w:pStyle w:val="46"/>
              <w:tabs>
                <w:tab w:val="left" w:pos="1260"/>
              </w:tabs>
              <w:adjustRightInd w:val="0"/>
              <w:snapToGrid w:val="0"/>
              <w:jc w:val="center"/>
              <w:rPr>
                <w:szCs w:val="21"/>
                <w:lang w:val="en-GB"/>
              </w:rPr>
            </w:pPr>
          </w:p>
        </w:tc>
        <w:tc>
          <w:tcPr>
            <w:tcW w:w="929" w:type="pct"/>
            <w:shd w:val="clear" w:color="auto" w:fill="auto"/>
            <w:vAlign w:val="center"/>
          </w:tcPr>
          <w:p>
            <w:pPr>
              <w:pStyle w:val="46"/>
              <w:tabs>
                <w:tab w:val="left" w:pos="1260"/>
              </w:tabs>
              <w:adjustRightInd w:val="0"/>
              <w:snapToGrid w:val="0"/>
              <w:jc w:val="center"/>
              <w:rPr>
                <w:szCs w:val="21"/>
                <w:lang w:val="en-GB"/>
              </w:rPr>
            </w:pPr>
          </w:p>
        </w:tc>
        <w:tc>
          <w:tcPr>
            <w:tcW w:w="803" w:type="pct"/>
            <w:shd w:val="clear" w:color="auto" w:fill="auto"/>
            <w:vAlign w:val="center"/>
          </w:tcPr>
          <w:p>
            <w:pPr>
              <w:pStyle w:val="46"/>
              <w:tabs>
                <w:tab w:val="left" w:pos="1260"/>
              </w:tabs>
              <w:adjustRightInd w:val="0"/>
              <w:snapToGrid w:val="0"/>
              <w:jc w:val="center"/>
              <w:rPr>
                <w:szCs w:val="21"/>
                <w:lang w:val="en-GB"/>
              </w:rPr>
            </w:pPr>
          </w:p>
        </w:tc>
        <w:tc>
          <w:tcPr>
            <w:tcW w:w="963" w:type="pct"/>
            <w:shd w:val="clear" w:color="auto" w:fill="auto"/>
            <w:vAlign w:val="center"/>
          </w:tcPr>
          <w:p>
            <w:pPr>
              <w:pStyle w:val="46"/>
              <w:tabs>
                <w:tab w:val="left" w:pos="1260"/>
              </w:tabs>
              <w:adjustRightInd w:val="0"/>
              <w:snapToGrid w:val="0"/>
              <w:jc w:val="center"/>
              <w:rPr>
                <w:szCs w:val="21"/>
                <w:lang w:val="en-GB"/>
              </w:rPr>
            </w:pPr>
          </w:p>
        </w:tc>
        <w:tc>
          <w:tcPr>
            <w:tcW w:w="863" w:type="pct"/>
            <w:shd w:val="clear" w:color="auto" w:fill="auto"/>
            <w:vAlign w:val="center"/>
          </w:tcPr>
          <w:p>
            <w:pPr>
              <w:pStyle w:val="46"/>
              <w:tabs>
                <w:tab w:val="left" w:pos="1260"/>
              </w:tabs>
              <w:adjustRightInd w:val="0"/>
              <w:snapToGrid w:val="0"/>
              <w:jc w:val="center"/>
              <w:rPr>
                <w:szCs w:val="21"/>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pPr>
              <w:pStyle w:val="46"/>
              <w:tabs>
                <w:tab w:val="left" w:pos="1260"/>
              </w:tabs>
              <w:adjustRightInd w:val="0"/>
              <w:snapToGrid w:val="0"/>
              <w:jc w:val="center"/>
              <w:rPr>
                <w:szCs w:val="21"/>
                <w:lang w:val="en-GB"/>
              </w:rPr>
            </w:pPr>
          </w:p>
        </w:tc>
        <w:tc>
          <w:tcPr>
            <w:tcW w:w="886" w:type="pct"/>
            <w:shd w:val="clear" w:color="auto" w:fill="auto"/>
            <w:vAlign w:val="center"/>
          </w:tcPr>
          <w:p>
            <w:pPr>
              <w:pStyle w:val="46"/>
              <w:tabs>
                <w:tab w:val="left" w:pos="1260"/>
              </w:tabs>
              <w:adjustRightInd w:val="0"/>
              <w:snapToGrid w:val="0"/>
              <w:jc w:val="center"/>
              <w:rPr>
                <w:szCs w:val="21"/>
                <w:lang w:val="en-GB"/>
              </w:rPr>
            </w:pPr>
          </w:p>
        </w:tc>
        <w:tc>
          <w:tcPr>
            <w:tcW w:w="929" w:type="pct"/>
            <w:shd w:val="clear" w:color="auto" w:fill="auto"/>
            <w:vAlign w:val="center"/>
          </w:tcPr>
          <w:p>
            <w:pPr>
              <w:pStyle w:val="46"/>
              <w:tabs>
                <w:tab w:val="left" w:pos="1260"/>
              </w:tabs>
              <w:adjustRightInd w:val="0"/>
              <w:snapToGrid w:val="0"/>
              <w:jc w:val="center"/>
              <w:rPr>
                <w:szCs w:val="21"/>
                <w:lang w:val="en-GB"/>
              </w:rPr>
            </w:pPr>
          </w:p>
        </w:tc>
        <w:tc>
          <w:tcPr>
            <w:tcW w:w="803" w:type="pct"/>
            <w:shd w:val="clear" w:color="auto" w:fill="auto"/>
            <w:vAlign w:val="center"/>
          </w:tcPr>
          <w:p>
            <w:pPr>
              <w:pStyle w:val="46"/>
              <w:tabs>
                <w:tab w:val="left" w:pos="1260"/>
              </w:tabs>
              <w:adjustRightInd w:val="0"/>
              <w:snapToGrid w:val="0"/>
              <w:jc w:val="center"/>
              <w:rPr>
                <w:szCs w:val="21"/>
                <w:lang w:val="en-GB"/>
              </w:rPr>
            </w:pPr>
          </w:p>
        </w:tc>
        <w:tc>
          <w:tcPr>
            <w:tcW w:w="963" w:type="pct"/>
            <w:shd w:val="clear" w:color="auto" w:fill="auto"/>
            <w:vAlign w:val="center"/>
          </w:tcPr>
          <w:p>
            <w:pPr>
              <w:pStyle w:val="46"/>
              <w:tabs>
                <w:tab w:val="left" w:pos="1260"/>
              </w:tabs>
              <w:adjustRightInd w:val="0"/>
              <w:snapToGrid w:val="0"/>
              <w:jc w:val="center"/>
              <w:rPr>
                <w:szCs w:val="21"/>
                <w:lang w:val="en-GB"/>
              </w:rPr>
            </w:pPr>
          </w:p>
        </w:tc>
        <w:tc>
          <w:tcPr>
            <w:tcW w:w="863" w:type="pct"/>
            <w:shd w:val="clear" w:color="auto" w:fill="auto"/>
            <w:vAlign w:val="center"/>
          </w:tcPr>
          <w:p>
            <w:pPr>
              <w:pStyle w:val="46"/>
              <w:tabs>
                <w:tab w:val="left" w:pos="1260"/>
              </w:tabs>
              <w:adjustRightInd w:val="0"/>
              <w:snapToGrid w:val="0"/>
              <w:jc w:val="center"/>
              <w:rPr>
                <w:szCs w:val="21"/>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pPr>
              <w:pStyle w:val="46"/>
              <w:tabs>
                <w:tab w:val="left" w:pos="1260"/>
              </w:tabs>
              <w:adjustRightInd w:val="0"/>
              <w:snapToGrid w:val="0"/>
              <w:jc w:val="center"/>
              <w:rPr>
                <w:szCs w:val="21"/>
                <w:lang w:val="en-GB"/>
              </w:rPr>
            </w:pPr>
          </w:p>
        </w:tc>
        <w:tc>
          <w:tcPr>
            <w:tcW w:w="3581" w:type="pct"/>
            <w:gridSpan w:val="4"/>
            <w:shd w:val="clear" w:color="auto" w:fill="auto"/>
            <w:vAlign w:val="center"/>
          </w:tcPr>
          <w:p>
            <w:pPr>
              <w:pStyle w:val="46"/>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pPr>
              <w:pStyle w:val="46"/>
              <w:tabs>
                <w:tab w:val="left" w:pos="1260"/>
              </w:tabs>
              <w:adjustRightInd w:val="0"/>
              <w:snapToGrid w:val="0"/>
              <w:jc w:val="center"/>
              <w:rPr>
                <w:b/>
                <w:szCs w:val="21"/>
                <w:lang w:val="en-GB"/>
              </w:rPr>
            </w:pPr>
            <w:r>
              <w:rPr>
                <w:b/>
                <w:szCs w:val="21"/>
                <w:lang w:val="en-GB"/>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pPr>
              <w:pStyle w:val="46"/>
              <w:tabs>
                <w:tab w:val="left" w:pos="1260"/>
              </w:tabs>
              <w:adjustRightInd w:val="0"/>
              <w:snapToGrid w:val="0"/>
              <w:jc w:val="center"/>
              <w:rPr>
                <w:szCs w:val="21"/>
                <w:lang w:val="en-GB"/>
              </w:rPr>
            </w:pPr>
          </w:p>
        </w:tc>
        <w:tc>
          <w:tcPr>
            <w:tcW w:w="3581" w:type="pct"/>
            <w:gridSpan w:val="4"/>
            <w:shd w:val="clear" w:color="auto" w:fill="auto"/>
            <w:vAlign w:val="center"/>
          </w:tcPr>
          <w:p>
            <w:pPr>
              <w:pStyle w:val="46"/>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pPr>
              <w:pStyle w:val="46"/>
              <w:tabs>
                <w:tab w:val="left" w:pos="1260"/>
              </w:tabs>
              <w:adjustRightInd w:val="0"/>
              <w:snapToGrid w:val="0"/>
              <w:jc w:val="center"/>
              <w:rPr>
                <w:b/>
                <w:szCs w:val="21"/>
                <w:lang w:val="en-GB"/>
              </w:rPr>
            </w:pPr>
            <w:r>
              <w:rPr>
                <w:b/>
                <w:szCs w:val="21"/>
                <w:lang w:val="en-GB"/>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pPr>
              <w:pStyle w:val="46"/>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pPr>
              <w:pStyle w:val="46"/>
              <w:tabs>
                <w:tab w:val="left" w:pos="1260"/>
              </w:tabs>
              <w:adjustRightInd w:val="0"/>
              <w:snapToGrid w:val="0"/>
              <w:rPr>
                <w:szCs w:val="21"/>
              </w:rPr>
            </w:pPr>
            <w:r>
              <w:rPr>
                <w:szCs w:val="21"/>
              </w:rPr>
              <w:t>如属于中小企业，须提供《中小企业声明函》。</w:t>
            </w:r>
          </w:p>
          <w:p>
            <w:pPr>
              <w:pStyle w:val="46"/>
              <w:tabs>
                <w:tab w:val="left" w:pos="1260"/>
              </w:tabs>
              <w:adjustRightInd w:val="0"/>
              <w:snapToGrid w:val="0"/>
              <w:rPr>
                <w:szCs w:val="21"/>
                <w:lang w:val="en-GB"/>
              </w:rPr>
            </w:pPr>
            <w:r>
              <w:rPr>
                <w:szCs w:val="21"/>
              </w:rPr>
              <w:t>该声明函见投标文件第至页。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pPr>
              <w:pStyle w:val="46"/>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pPr>
              <w:pStyle w:val="46"/>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pPr>
              <w:pStyle w:val="46"/>
              <w:tabs>
                <w:tab w:val="left" w:pos="1260"/>
              </w:tabs>
              <w:adjustRightInd w:val="0"/>
              <w:snapToGrid w:val="0"/>
              <w:rPr>
                <w:szCs w:val="21"/>
                <w:lang w:val="en-GB"/>
              </w:rPr>
            </w:pPr>
            <w:r>
              <w:rPr>
                <w:szCs w:val="21"/>
              </w:rPr>
              <w:t>证明材料见投标文件第至页。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pPr>
              <w:pStyle w:val="46"/>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pPr>
              <w:pStyle w:val="46"/>
              <w:tabs>
                <w:tab w:val="left" w:pos="1260"/>
              </w:tabs>
              <w:adjustRightInd w:val="0"/>
              <w:snapToGrid w:val="0"/>
              <w:rPr>
                <w:szCs w:val="21"/>
              </w:rPr>
            </w:pPr>
            <w:r>
              <w:rPr>
                <w:szCs w:val="21"/>
              </w:rPr>
              <w:t>如属于残疾人福利性单位，须提供《残疾人福利性单位声明函》。</w:t>
            </w:r>
          </w:p>
          <w:p>
            <w:pPr>
              <w:pStyle w:val="46"/>
              <w:tabs>
                <w:tab w:val="left" w:pos="1260"/>
              </w:tabs>
              <w:adjustRightInd w:val="0"/>
              <w:snapToGrid w:val="0"/>
              <w:rPr>
                <w:szCs w:val="21"/>
                <w:lang w:val="en-GB"/>
              </w:rPr>
            </w:pPr>
            <w:r>
              <w:rPr>
                <w:szCs w:val="21"/>
              </w:rPr>
              <w:t>该声明函见投标文件第至页。</w:t>
            </w:r>
          </w:p>
        </w:tc>
      </w:tr>
    </w:tbl>
    <w:p>
      <w:pPr>
        <w:spacing w:line="360" w:lineRule="auto"/>
        <w:ind w:firstLine="448" w:firstLineChars="200"/>
        <w:outlineLvl w:val="0"/>
        <w:rPr>
          <w:sz w:val="24"/>
          <w:szCs w:val="24"/>
        </w:rPr>
      </w:pPr>
    </w:p>
    <w:p>
      <w:pPr>
        <w:spacing w:line="360" w:lineRule="auto"/>
        <w:ind w:firstLine="3808" w:firstLineChars="1700"/>
        <w:rPr>
          <w:sz w:val="24"/>
        </w:rPr>
      </w:pPr>
      <w:r>
        <w:rPr>
          <w:sz w:val="24"/>
        </w:rPr>
        <w:t>投标人名称：</w:t>
      </w:r>
    </w:p>
    <w:p>
      <w:pPr>
        <w:spacing w:line="360" w:lineRule="auto"/>
        <w:ind w:firstLine="3808" w:firstLineChars="1700"/>
        <w:rPr>
          <w:sz w:val="24"/>
        </w:rPr>
      </w:pPr>
    </w:p>
    <w:p>
      <w:pPr>
        <w:spacing w:line="360" w:lineRule="auto"/>
        <w:ind w:firstLine="3808" w:firstLineChars="1700"/>
        <w:rPr>
          <w:sz w:val="24"/>
        </w:rPr>
      </w:pPr>
      <w:r>
        <w:rPr>
          <w:sz w:val="24"/>
        </w:rPr>
        <w:t>日期：年月日</w:t>
      </w:r>
    </w:p>
    <w:p>
      <w:pPr>
        <w:spacing w:line="360" w:lineRule="auto"/>
        <w:ind w:firstLine="448" w:firstLineChars="200"/>
        <w:outlineLvl w:val="0"/>
        <w:rPr>
          <w:sz w:val="24"/>
        </w:rPr>
      </w:pPr>
    </w:p>
    <w:p>
      <w:pPr>
        <w:spacing w:line="560" w:lineRule="exact"/>
        <w:jc w:val="center"/>
        <w:rPr>
          <w:sz w:val="24"/>
        </w:rPr>
      </w:pPr>
    </w:p>
    <w:p>
      <w:pPr>
        <w:spacing w:line="560" w:lineRule="exact"/>
        <w:jc w:val="center"/>
        <w:rPr>
          <w:sz w:val="24"/>
        </w:rPr>
      </w:pPr>
    </w:p>
    <w:p>
      <w:pPr>
        <w:spacing w:line="560" w:lineRule="exact"/>
        <w:jc w:val="center"/>
        <w:rPr>
          <w:sz w:val="24"/>
        </w:rPr>
      </w:pPr>
      <w:r>
        <w:rPr>
          <w:sz w:val="24"/>
        </w:rPr>
        <w:br w:type="page"/>
      </w:r>
    </w:p>
    <w:p>
      <w:pPr>
        <w:tabs>
          <w:tab w:val="left" w:pos="360"/>
        </w:tabs>
        <w:spacing w:afterLines="100" w:line="360" w:lineRule="auto"/>
        <w:ind w:firstLine="448" w:firstLineChars="200"/>
        <w:rPr>
          <w:sz w:val="24"/>
        </w:rPr>
      </w:pPr>
      <w:r>
        <w:rPr>
          <w:rFonts w:hint="eastAsia" w:hAnsiTheme="minorEastAsia"/>
          <w:sz w:val="24"/>
        </w:rPr>
        <w:t>附件</w:t>
      </w:r>
      <w:r>
        <w:rPr>
          <w:rFonts w:hint="eastAsia"/>
          <w:sz w:val="24"/>
        </w:rPr>
        <w:t>11</w:t>
      </w:r>
    </w:p>
    <w:p>
      <w:pPr>
        <w:autoSpaceDN w:val="0"/>
        <w:spacing w:line="360" w:lineRule="auto"/>
        <w:jc w:val="center"/>
        <w:rPr>
          <w:b/>
          <w:bCs/>
          <w:sz w:val="24"/>
        </w:rPr>
      </w:pPr>
      <w:r>
        <w:rPr>
          <w:rFonts w:hAnsiTheme="minorEastAsia"/>
          <w:b/>
          <w:bCs/>
          <w:sz w:val="24"/>
        </w:rPr>
        <w:t>投标产品配置清单</w:t>
      </w:r>
    </w:p>
    <w:p>
      <w:pPr>
        <w:spacing w:line="460" w:lineRule="exact"/>
        <w:rPr>
          <w:sz w:val="24"/>
        </w:rPr>
      </w:pPr>
    </w:p>
    <w:p>
      <w:pPr>
        <w:spacing w:line="460" w:lineRule="exact"/>
        <w:rPr>
          <w:sz w:val="24"/>
        </w:rPr>
      </w:pPr>
      <w:r>
        <w:rPr>
          <w:rFonts w:hAnsiTheme="minorEastAsia"/>
          <w:sz w:val="24"/>
        </w:rPr>
        <w:t>项目名称：</w:t>
      </w:r>
    </w:p>
    <w:p>
      <w:pPr>
        <w:spacing w:line="460" w:lineRule="exact"/>
        <w:rPr>
          <w:sz w:val="24"/>
        </w:rPr>
      </w:pPr>
      <w:r>
        <w:rPr>
          <w:rFonts w:hAnsiTheme="minorEastAsia"/>
          <w:sz w:val="24"/>
        </w:rPr>
        <w:t>项目编号：</w:t>
      </w:r>
    </w:p>
    <w:p>
      <w:pPr>
        <w:spacing w:line="460" w:lineRule="exact"/>
        <w:rPr>
          <w:sz w:val="24"/>
          <w:u w:val="single"/>
        </w:rPr>
      </w:pPr>
      <w:r>
        <w:rPr>
          <w:rFonts w:hAnsiTheme="minorEastAsia"/>
          <w:sz w:val="24"/>
        </w:rPr>
        <w:t>包号：</w:t>
      </w:r>
    </w:p>
    <w:p>
      <w:pPr>
        <w:spacing w:line="460" w:lineRule="exact"/>
        <w:rPr>
          <w:sz w:val="24"/>
          <w:u w:val="single"/>
        </w:rPr>
      </w:pPr>
    </w:p>
    <w:tbl>
      <w:tblPr>
        <w:tblStyle w:val="2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pPr>
              <w:spacing w:line="560" w:lineRule="exact"/>
              <w:jc w:val="center"/>
              <w:rPr>
                <w:sz w:val="24"/>
              </w:rPr>
            </w:pPr>
            <w:r>
              <w:rPr>
                <w:rFonts w:hAnsiTheme="minorEastAsia"/>
                <w:sz w:val="24"/>
              </w:rPr>
              <w:t>序号</w:t>
            </w:r>
          </w:p>
        </w:tc>
        <w:tc>
          <w:tcPr>
            <w:tcW w:w="996" w:type="pct"/>
            <w:shd w:val="clear" w:color="auto" w:fill="auto"/>
            <w:vAlign w:val="center"/>
          </w:tcPr>
          <w:p>
            <w:pPr>
              <w:spacing w:line="560" w:lineRule="exact"/>
              <w:jc w:val="center"/>
              <w:rPr>
                <w:sz w:val="24"/>
              </w:rPr>
            </w:pPr>
            <w:r>
              <w:rPr>
                <w:rFonts w:hAnsiTheme="minorEastAsia"/>
                <w:sz w:val="24"/>
              </w:rPr>
              <w:t>设备名称</w:t>
            </w:r>
          </w:p>
        </w:tc>
        <w:tc>
          <w:tcPr>
            <w:tcW w:w="915" w:type="pct"/>
            <w:shd w:val="clear" w:color="auto" w:fill="auto"/>
            <w:vAlign w:val="center"/>
          </w:tcPr>
          <w:p>
            <w:pPr>
              <w:spacing w:line="560" w:lineRule="exact"/>
              <w:jc w:val="center"/>
              <w:rPr>
                <w:sz w:val="24"/>
              </w:rPr>
            </w:pPr>
            <w:r>
              <w:rPr>
                <w:rFonts w:hAnsiTheme="minorEastAsia"/>
                <w:sz w:val="24"/>
              </w:rPr>
              <w:t>规格型号</w:t>
            </w:r>
          </w:p>
        </w:tc>
        <w:tc>
          <w:tcPr>
            <w:tcW w:w="2525" w:type="pct"/>
            <w:shd w:val="clear" w:color="auto" w:fill="auto"/>
            <w:vAlign w:val="center"/>
          </w:tcPr>
          <w:p>
            <w:pPr>
              <w:spacing w:line="560" w:lineRule="exact"/>
              <w:jc w:val="center"/>
              <w:rPr>
                <w:sz w:val="24"/>
              </w:rPr>
            </w:pPr>
            <w:r>
              <w:rPr>
                <w:rFonts w:hAnsiTheme="minorEastAsia"/>
                <w:sz w:val="24"/>
              </w:rPr>
              <w:t>详细配置及技术标准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pPr>
              <w:spacing w:line="560" w:lineRule="exact"/>
              <w:jc w:val="center"/>
              <w:rPr>
                <w:sz w:val="24"/>
              </w:rPr>
            </w:pPr>
            <w:r>
              <w:rPr>
                <w:sz w:val="24"/>
              </w:rPr>
              <w:t>1</w:t>
            </w:r>
          </w:p>
        </w:tc>
        <w:tc>
          <w:tcPr>
            <w:tcW w:w="996" w:type="pct"/>
            <w:shd w:val="clear" w:color="auto" w:fill="auto"/>
            <w:vAlign w:val="center"/>
          </w:tcPr>
          <w:p>
            <w:pPr>
              <w:spacing w:line="560" w:lineRule="exact"/>
              <w:jc w:val="center"/>
              <w:rPr>
                <w:sz w:val="24"/>
              </w:rPr>
            </w:pPr>
          </w:p>
        </w:tc>
        <w:tc>
          <w:tcPr>
            <w:tcW w:w="915" w:type="pct"/>
            <w:shd w:val="clear" w:color="auto" w:fill="auto"/>
            <w:vAlign w:val="center"/>
          </w:tcPr>
          <w:p>
            <w:pPr>
              <w:spacing w:line="560" w:lineRule="exact"/>
              <w:jc w:val="center"/>
              <w:rPr>
                <w:sz w:val="24"/>
              </w:rPr>
            </w:pPr>
          </w:p>
        </w:tc>
        <w:tc>
          <w:tcPr>
            <w:tcW w:w="2525" w:type="pct"/>
            <w:shd w:val="clear" w:color="auto" w:fill="auto"/>
            <w:vAlign w:val="center"/>
          </w:tcPr>
          <w:p>
            <w:pPr>
              <w:spacing w:line="560" w:lineRule="exact"/>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pPr>
              <w:spacing w:line="560" w:lineRule="exact"/>
              <w:jc w:val="center"/>
              <w:rPr>
                <w:sz w:val="24"/>
              </w:rPr>
            </w:pPr>
            <w:r>
              <w:rPr>
                <w:sz w:val="24"/>
              </w:rPr>
              <w:t>2</w:t>
            </w:r>
          </w:p>
        </w:tc>
        <w:tc>
          <w:tcPr>
            <w:tcW w:w="996" w:type="pct"/>
            <w:shd w:val="clear" w:color="auto" w:fill="auto"/>
            <w:vAlign w:val="center"/>
          </w:tcPr>
          <w:p>
            <w:pPr>
              <w:spacing w:line="560" w:lineRule="exact"/>
              <w:jc w:val="center"/>
              <w:rPr>
                <w:sz w:val="24"/>
              </w:rPr>
            </w:pPr>
          </w:p>
        </w:tc>
        <w:tc>
          <w:tcPr>
            <w:tcW w:w="915" w:type="pct"/>
            <w:shd w:val="clear" w:color="auto" w:fill="auto"/>
            <w:vAlign w:val="center"/>
          </w:tcPr>
          <w:p>
            <w:pPr>
              <w:spacing w:line="560" w:lineRule="exact"/>
              <w:jc w:val="center"/>
              <w:rPr>
                <w:sz w:val="24"/>
              </w:rPr>
            </w:pPr>
          </w:p>
        </w:tc>
        <w:tc>
          <w:tcPr>
            <w:tcW w:w="2525" w:type="pct"/>
            <w:shd w:val="clear" w:color="auto" w:fill="auto"/>
            <w:vAlign w:val="center"/>
          </w:tcPr>
          <w:p>
            <w:pPr>
              <w:spacing w:line="560" w:lineRule="exact"/>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pPr>
              <w:spacing w:line="560" w:lineRule="exact"/>
              <w:jc w:val="center"/>
              <w:rPr>
                <w:sz w:val="24"/>
              </w:rPr>
            </w:pPr>
            <w:r>
              <w:rPr>
                <w:sz w:val="24"/>
              </w:rPr>
              <w:t>3</w:t>
            </w:r>
          </w:p>
        </w:tc>
        <w:tc>
          <w:tcPr>
            <w:tcW w:w="996" w:type="pct"/>
            <w:shd w:val="clear" w:color="auto" w:fill="auto"/>
            <w:vAlign w:val="center"/>
          </w:tcPr>
          <w:p>
            <w:pPr>
              <w:spacing w:line="560" w:lineRule="exact"/>
              <w:jc w:val="center"/>
              <w:rPr>
                <w:sz w:val="24"/>
              </w:rPr>
            </w:pPr>
          </w:p>
        </w:tc>
        <w:tc>
          <w:tcPr>
            <w:tcW w:w="915" w:type="pct"/>
            <w:shd w:val="clear" w:color="auto" w:fill="auto"/>
            <w:vAlign w:val="center"/>
          </w:tcPr>
          <w:p>
            <w:pPr>
              <w:spacing w:line="560" w:lineRule="exact"/>
              <w:jc w:val="center"/>
              <w:rPr>
                <w:sz w:val="24"/>
              </w:rPr>
            </w:pPr>
          </w:p>
        </w:tc>
        <w:tc>
          <w:tcPr>
            <w:tcW w:w="2525" w:type="pct"/>
            <w:shd w:val="clear" w:color="auto" w:fill="auto"/>
            <w:vAlign w:val="center"/>
          </w:tcPr>
          <w:p>
            <w:pPr>
              <w:spacing w:line="560" w:lineRule="exact"/>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pPr>
              <w:spacing w:line="560" w:lineRule="exact"/>
              <w:jc w:val="center"/>
              <w:rPr>
                <w:sz w:val="24"/>
              </w:rPr>
            </w:pPr>
            <w:r>
              <w:rPr>
                <w:sz w:val="24"/>
              </w:rPr>
              <w:t>…</w:t>
            </w:r>
          </w:p>
        </w:tc>
        <w:tc>
          <w:tcPr>
            <w:tcW w:w="996" w:type="pct"/>
            <w:shd w:val="clear" w:color="auto" w:fill="auto"/>
            <w:vAlign w:val="center"/>
          </w:tcPr>
          <w:p>
            <w:pPr>
              <w:spacing w:line="560" w:lineRule="exact"/>
              <w:jc w:val="center"/>
              <w:rPr>
                <w:sz w:val="24"/>
              </w:rPr>
            </w:pPr>
          </w:p>
        </w:tc>
        <w:tc>
          <w:tcPr>
            <w:tcW w:w="915" w:type="pct"/>
            <w:shd w:val="clear" w:color="auto" w:fill="auto"/>
            <w:vAlign w:val="center"/>
          </w:tcPr>
          <w:p>
            <w:pPr>
              <w:spacing w:line="560" w:lineRule="exact"/>
              <w:jc w:val="center"/>
              <w:rPr>
                <w:sz w:val="24"/>
              </w:rPr>
            </w:pPr>
          </w:p>
        </w:tc>
        <w:tc>
          <w:tcPr>
            <w:tcW w:w="2525" w:type="pct"/>
            <w:shd w:val="clear" w:color="auto" w:fill="auto"/>
            <w:vAlign w:val="center"/>
          </w:tcPr>
          <w:p>
            <w:pPr>
              <w:spacing w:line="560" w:lineRule="exact"/>
              <w:jc w:val="center"/>
              <w:rPr>
                <w:sz w:val="24"/>
              </w:rPr>
            </w:pPr>
          </w:p>
        </w:tc>
      </w:tr>
    </w:tbl>
    <w:p>
      <w:pPr>
        <w:spacing w:line="560" w:lineRule="exact"/>
        <w:jc w:val="left"/>
        <w:rPr>
          <w:sz w:val="24"/>
        </w:rPr>
      </w:pPr>
    </w:p>
    <w:p>
      <w:pPr>
        <w:spacing w:line="560" w:lineRule="exact"/>
        <w:jc w:val="left"/>
        <w:rPr>
          <w:sz w:val="24"/>
        </w:rPr>
      </w:pPr>
    </w:p>
    <w:p>
      <w:pPr>
        <w:spacing w:line="560" w:lineRule="exact"/>
        <w:jc w:val="left"/>
        <w:rPr>
          <w:sz w:val="24"/>
        </w:rPr>
      </w:pPr>
    </w:p>
    <w:p>
      <w:pPr>
        <w:spacing w:line="560" w:lineRule="exact"/>
        <w:jc w:val="left"/>
        <w:rPr>
          <w:sz w:val="24"/>
        </w:rPr>
      </w:pPr>
    </w:p>
    <w:p>
      <w:pPr>
        <w:spacing w:line="560" w:lineRule="exact"/>
        <w:jc w:val="left"/>
        <w:rPr>
          <w:sz w:val="24"/>
        </w:rPr>
      </w:pPr>
    </w:p>
    <w:p>
      <w:pPr>
        <w:spacing w:line="360" w:lineRule="auto"/>
        <w:ind w:firstLine="3808" w:firstLineChars="1700"/>
        <w:rPr>
          <w:sz w:val="24"/>
        </w:rPr>
      </w:pPr>
      <w:r>
        <w:rPr>
          <w:rFonts w:hAnsiTheme="minorEastAsia"/>
          <w:sz w:val="24"/>
        </w:rPr>
        <w:t>投标人名称：</w:t>
      </w:r>
    </w:p>
    <w:p>
      <w:pPr>
        <w:spacing w:line="360" w:lineRule="auto"/>
        <w:ind w:firstLine="3808" w:firstLineChars="1700"/>
        <w:rPr>
          <w:sz w:val="24"/>
        </w:rPr>
      </w:pPr>
      <w:r>
        <w:rPr>
          <w:rFonts w:hAnsiTheme="minorEastAsia"/>
          <w:sz w:val="24"/>
        </w:rPr>
        <w:t>日期：年月日</w:t>
      </w:r>
    </w:p>
    <w:p>
      <w:pPr>
        <w:tabs>
          <w:tab w:val="left" w:pos="210"/>
        </w:tabs>
        <w:autoSpaceDE w:val="0"/>
        <w:autoSpaceDN w:val="0"/>
        <w:adjustRightInd w:val="0"/>
        <w:spacing w:line="460" w:lineRule="exact"/>
        <w:ind w:firstLine="448" w:firstLineChars="200"/>
        <w:rPr>
          <w:color w:val="000000"/>
          <w:sz w:val="24"/>
        </w:rPr>
      </w:pPr>
      <w:r>
        <w:rPr>
          <w:color w:val="FF0000"/>
          <w:sz w:val="24"/>
        </w:rPr>
        <w:br w:type="page"/>
      </w:r>
    </w:p>
    <w:p>
      <w:pPr>
        <w:tabs>
          <w:tab w:val="left" w:pos="360"/>
        </w:tabs>
        <w:spacing w:afterLines="100" w:line="360" w:lineRule="auto"/>
        <w:ind w:firstLine="448" w:firstLineChars="200"/>
        <w:rPr>
          <w:sz w:val="24"/>
        </w:rPr>
      </w:pPr>
      <w:r>
        <w:rPr>
          <w:rFonts w:hAnsiTheme="minorEastAsia"/>
          <w:sz w:val="24"/>
        </w:rPr>
        <w:t>附件</w:t>
      </w:r>
      <w:r>
        <w:rPr>
          <w:rFonts w:hint="eastAsia"/>
          <w:sz w:val="24"/>
        </w:rPr>
        <w:t>12</w:t>
      </w:r>
    </w:p>
    <w:p>
      <w:pPr>
        <w:autoSpaceDE w:val="0"/>
        <w:autoSpaceDN w:val="0"/>
        <w:spacing w:line="480" w:lineRule="auto"/>
        <w:jc w:val="center"/>
        <w:rPr>
          <w:b/>
          <w:sz w:val="24"/>
          <w:szCs w:val="24"/>
        </w:rPr>
      </w:pPr>
      <w:r>
        <w:rPr>
          <w:rFonts w:hint="eastAsia" w:hAnsiTheme="minorEastAsia"/>
          <w:b/>
          <w:sz w:val="24"/>
          <w:szCs w:val="24"/>
        </w:rPr>
        <w:t>中小企业声明函（货物）</w:t>
      </w:r>
    </w:p>
    <w:p>
      <w:pPr>
        <w:widowControl/>
        <w:spacing w:line="500" w:lineRule="exact"/>
        <w:ind w:firstLine="448" w:firstLineChars="200"/>
        <w:jc w:val="left"/>
        <w:rPr>
          <w:sz w:val="24"/>
          <w:szCs w:val="24"/>
        </w:rPr>
      </w:pPr>
      <w:r>
        <w:rPr>
          <w:rFonts w:hint="eastAsia" w:hAnsiTheme="minorEastAsia"/>
          <w:sz w:val="24"/>
          <w:szCs w:val="24"/>
        </w:rPr>
        <w:t>本公司（联合体）郑重声明，针对本项目提供的货物</w:t>
      </w:r>
      <w:r>
        <w:rPr>
          <w:rFonts w:hint="eastAsia" w:hAnsiTheme="minorEastAsia"/>
          <w:sz w:val="24"/>
          <w:szCs w:val="24"/>
          <w:u w:val="single"/>
        </w:rPr>
        <w:t>（</w:t>
      </w:r>
      <w:r>
        <w:rPr>
          <w:rFonts w:hint="eastAsia" w:hAnsiTheme="minorEastAsia"/>
          <w:b/>
          <w:sz w:val="24"/>
          <w:szCs w:val="24"/>
        </w:rPr>
        <w:t>请填写有</w:t>
      </w:r>
      <w:r>
        <w:rPr>
          <w:b/>
          <w:sz w:val="24"/>
          <w:szCs w:val="24"/>
        </w:rPr>
        <w:t>/</w:t>
      </w:r>
      <w:r>
        <w:rPr>
          <w:rFonts w:hint="eastAsia" w:hAnsiTheme="minorEastAsia"/>
          <w:b/>
          <w:sz w:val="24"/>
          <w:szCs w:val="24"/>
        </w:rPr>
        <w:t>无）</w:t>
      </w:r>
      <w:r>
        <w:rPr>
          <w:rFonts w:hint="eastAsia" w:hAnsiTheme="minorEastAsia"/>
          <w:sz w:val="24"/>
          <w:szCs w:val="24"/>
        </w:rPr>
        <w:t>大型企业制造的货物。</w:t>
      </w:r>
      <w:r>
        <w:rPr>
          <w:rFonts w:hint="eastAsia" w:hAnsiTheme="minorEastAsia"/>
          <w:b/>
          <w:sz w:val="24"/>
          <w:szCs w:val="24"/>
        </w:rPr>
        <w:t>（若有大型企业制造的货物，则无需填写以下内容；若无大型企业制造的货物，则继续填写以下内容）</w:t>
      </w:r>
    </w:p>
    <w:p>
      <w:pPr>
        <w:widowControl/>
        <w:spacing w:line="500" w:lineRule="exact"/>
        <w:ind w:firstLine="448" w:firstLineChars="200"/>
        <w:jc w:val="left"/>
        <w:rPr>
          <w:sz w:val="24"/>
          <w:szCs w:val="24"/>
        </w:rPr>
      </w:pPr>
      <w:r>
        <w:rPr>
          <w:rFonts w:hint="eastAsia" w:hAnsiTheme="minorEastAsia"/>
          <w:sz w:val="24"/>
          <w:szCs w:val="24"/>
        </w:rPr>
        <w:t>本公司（联合体）郑重声明，根据《政府采购促进中小企业发展管理办法》（财库﹝</w:t>
      </w:r>
      <w:r>
        <w:rPr>
          <w:sz w:val="24"/>
          <w:szCs w:val="24"/>
        </w:rPr>
        <w:t>2020</w:t>
      </w:r>
      <w:r>
        <w:rPr>
          <w:rFonts w:hint="eastAsia" w:hAnsiTheme="minorEastAsia"/>
          <w:sz w:val="24"/>
          <w:szCs w:val="24"/>
        </w:rPr>
        <w:t>﹞</w:t>
      </w:r>
      <w:r>
        <w:rPr>
          <w:sz w:val="24"/>
          <w:szCs w:val="24"/>
        </w:rPr>
        <w:t>46</w:t>
      </w:r>
      <w:r>
        <w:rPr>
          <w:rFonts w:hint="eastAsia" w:hAnsiTheme="minorEastAsia"/>
          <w:sz w:val="24"/>
          <w:szCs w:val="24"/>
        </w:rPr>
        <w:t>号）的规定，本公司（联合体）参加</w:t>
      </w:r>
      <w:r>
        <w:rPr>
          <w:rFonts w:hint="eastAsia" w:hAnsiTheme="minorEastAsia"/>
          <w:sz w:val="24"/>
          <w:szCs w:val="24"/>
          <w:u w:val="single"/>
        </w:rPr>
        <w:t>（</w:t>
      </w:r>
      <w:r>
        <w:rPr>
          <w:rFonts w:hint="eastAsia" w:hAnsiTheme="minorEastAsia"/>
          <w:b/>
          <w:sz w:val="24"/>
          <w:szCs w:val="24"/>
        </w:rPr>
        <w:t>请填写项目名称）</w:t>
      </w:r>
      <w:r>
        <w:rPr>
          <w:rFonts w:hint="eastAsia" w:hAnsiTheme="minorEastAsia"/>
          <w:sz w:val="24"/>
          <w:szCs w:val="24"/>
        </w:rPr>
        <w:t>采购活动，提供的货物全部由符合政策要求的中小企业制造。相关企业（含联合体中的中小企业、签订分包意向协议的中小企业）的具体情况如下：</w:t>
      </w:r>
    </w:p>
    <w:p>
      <w:pPr>
        <w:autoSpaceDE w:val="0"/>
        <w:autoSpaceDN w:val="0"/>
        <w:spacing w:line="500" w:lineRule="exact"/>
        <w:ind w:firstLine="448" w:firstLineChars="200"/>
        <w:jc w:val="left"/>
        <w:rPr>
          <w:sz w:val="24"/>
          <w:szCs w:val="24"/>
        </w:rPr>
      </w:pPr>
      <w:r>
        <w:rPr>
          <w:sz w:val="24"/>
          <w:szCs w:val="24"/>
        </w:rPr>
        <w:t>1.</w:t>
      </w:r>
      <w:r>
        <w:rPr>
          <w:rFonts w:hint="eastAsia" w:hAnsiTheme="minorEastAsia"/>
          <w:sz w:val="24"/>
          <w:szCs w:val="24"/>
          <w:u w:val="single"/>
        </w:rPr>
        <w:t>（</w:t>
      </w:r>
      <w:r>
        <w:rPr>
          <w:rFonts w:hint="eastAsia" w:hAnsiTheme="minorEastAsia"/>
          <w:b/>
          <w:sz w:val="24"/>
          <w:szCs w:val="24"/>
        </w:rPr>
        <w:t>请填写标的名称</w:t>
      </w:r>
      <w:r>
        <w:rPr>
          <w:rFonts w:hint="eastAsia" w:hAnsiTheme="minorEastAsia"/>
          <w:sz w:val="24"/>
          <w:szCs w:val="24"/>
        </w:rPr>
        <w:t>），属于</w:t>
      </w:r>
      <w:r>
        <w:rPr>
          <w:rFonts w:hint="eastAsia" w:hAnsiTheme="minorEastAsia"/>
          <w:b/>
          <w:sz w:val="24"/>
          <w:szCs w:val="24"/>
        </w:rPr>
        <w:t>（请填写本项目采购文件中明确的所属行业）</w:t>
      </w:r>
      <w:r>
        <w:rPr>
          <w:rFonts w:hint="eastAsia" w:hAnsiTheme="minorEastAsia"/>
          <w:sz w:val="24"/>
          <w:szCs w:val="24"/>
        </w:rPr>
        <w:t>行业；制造商为</w:t>
      </w:r>
      <w:r>
        <w:rPr>
          <w:rFonts w:hint="eastAsia" w:hAnsiTheme="minorEastAsia"/>
          <w:sz w:val="24"/>
          <w:szCs w:val="24"/>
          <w:u w:val="single"/>
        </w:rPr>
        <w:t>（</w:t>
      </w:r>
      <w:r>
        <w:rPr>
          <w:rFonts w:hint="eastAsia" w:hAnsiTheme="minorEastAsia"/>
          <w:b/>
          <w:sz w:val="24"/>
          <w:szCs w:val="24"/>
        </w:rPr>
        <w:t>请填写该标的制造商的企业名称</w:t>
      </w:r>
      <w:r>
        <w:rPr>
          <w:rFonts w:hint="eastAsia" w:hAnsiTheme="minorEastAsia"/>
          <w:sz w:val="24"/>
          <w:szCs w:val="24"/>
        </w:rPr>
        <w:t>），从业人员人，营业收入为万元，资产总额为万元，属于</w:t>
      </w:r>
      <w:r>
        <w:rPr>
          <w:rFonts w:hint="eastAsia" w:hAnsiTheme="minorEastAsia"/>
          <w:sz w:val="24"/>
          <w:szCs w:val="24"/>
          <w:u w:val="single"/>
        </w:rPr>
        <w:t>（</w:t>
      </w:r>
      <w:r>
        <w:rPr>
          <w:rFonts w:hint="eastAsia" w:hAnsiTheme="minorEastAsia"/>
          <w:b/>
          <w:sz w:val="24"/>
          <w:szCs w:val="24"/>
        </w:rPr>
        <w:t>请根据中小企业划分标准填写中型企业</w:t>
      </w:r>
      <w:r>
        <w:rPr>
          <w:b/>
          <w:sz w:val="24"/>
          <w:szCs w:val="24"/>
        </w:rPr>
        <w:t>/</w:t>
      </w:r>
      <w:r>
        <w:rPr>
          <w:rFonts w:hint="eastAsia" w:hAnsiTheme="minorEastAsia"/>
          <w:b/>
          <w:sz w:val="24"/>
          <w:szCs w:val="24"/>
        </w:rPr>
        <w:t>小型企业</w:t>
      </w:r>
      <w:r>
        <w:rPr>
          <w:b/>
          <w:sz w:val="24"/>
          <w:szCs w:val="24"/>
        </w:rPr>
        <w:t>/</w:t>
      </w:r>
      <w:r>
        <w:rPr>
          <w:rFonts w:hint="eastAsia" w:hAnsiTheme="minorEastAsia"/>
          <w:b/>
          <w:sz w:val="24"/>
          <w:szCs w:val="24"/>
        </w:rPr>
        <w:t>微型企业</w:t>
      </w:r>
      <w:r>
        <w:rPr>
          <w:rFonts w:hint="eastAsia" w:hAnsiTheme="minorEastAsia"/>
          <w:sz w:val="24"/>
          <w:szCs w:val="24"/>
        </w:rPr>
        <w:t>）；</w:t>
      </w:r>
    </w:p>
    <w:p>
      <w:pPr>
        <w:autoSpaceDE w:val="0"/>
        <w:autoSpaceDN w:val="0"/>
        <w:spacing w:line="500" w:lineRule="exact"/>
        <w:ind w:firstLine="448" w:firstLineChars="200"/>
        <w:jc w:val="left"/>
        <w:rPr>
          <w:sz w:val="24"/>
          <w:szCs w:val="24"/>
        </w:rPr>
      </w:pPr>
      <w:r>
        <w:rPr>
          <w:sz w:val="24"/>
          <w:szCs w:val="24"/>
        </w:rPr>
        <w:t>2.</w:t>
      </w:r>
      <w:r>
        <w:rPr>
          <w:rFonts w:hint="eastAsia" w:hAnsiTheme="minorEastAsia"/>
          <w:sz w:val="24"/>
          <w:szCs w:val="24"/>
          <w:u w:val="single"/>
        </w:rPr>
        <w:t>（</w:t>
      </w:r>
      <w:r>
        <w:rPr>
          <w:rFonts w:hint="eastAsia" w:hAnsiTheme="minorEastAsia"/>
          <w:b/>
          <w:sz w:val="24"/>
          <w:szCs w:val="24"/>
        </w:rPr>
        <w:t>请填写标的名称</w:t>
      </w:r>
      <w:r>
        <w:rPr>
          <w:rFonts w:hint="eastAsia" w:hAnsiTheme="minorEastAsia"/>
          <w:sz w:val="24"/>
          <w:szCs w:val="24"/>
        </w:rPr>
        <w:t>），属于</w:t>
      </w:r>
      <w:r>
        <w:rPr>
          <w:rFonts w:hint="eastAsia" w:hAnsiTheme="minorEastAsia"/>
          <w:b/>
          <w:sz w:val="24"/>
          <w:szCs w:val="24"/>
        </w:rPr>
        <w:t>（请填写本项目采购文件中明确的所属行业）</w:t>
      </w:r>
      <w:r>
        <w:rPr>
          <w:rFonts w:hint="eastAsia" w:hAnsiTheme="minorEastAsia"/>
          <w:sz w:val="24"/>
          <w:szCs w:val="24"/>
        </w:rPr>
        <w:t>行业；制造商为</w:t>
      </w:r>
      <w:r>
        <w:rPr>
          <w:rFonts w:hint="eastAsia" w:hAnsiTheme="minorEastAsia"/>
          <w:sz w:val="24"/>
          <w:szCs w:val="24"/>
          <w:u w:val="single"/>
        </w:rPr>
        <w:t>（</w:t>
      </w:r>
      <w:r>
        <w:rPr>
          <w:rFonts w:hint="eastAsia" w:hAnsiTheme="minorEastAsia"/>
          <w:b/>
          <w:sz w:val="24"/>
          <w:szCs w:val="24"/>
        </w:rPr>
        <w:t>请填写该标的制造商的企业名称</w:t>
      </w:r>
      <w:r>
        <w:rPr>
          <w:rFonts w:hint="eastAsia" w:hAnsiTheme="minorEastAsia"/>
          <w:sz w:val="24"/>
          <w:szCs w:val="24"/>
        </w:rPr>
        <w:t>），从业人员人，营业收入为万元，资产总额为万元，属于</w:t>
      </w:r>
      <w:r>
        <w:rPr>
          <w:rFonts w:hint="eastAsia" w:hAnsiTheme="minorEastAsia"/>
          <w:sz w:val="24"/>
          <w:szCs w:val="24"/>
          <w:u w:val="single"/>
        </w:rPr>
        <w:t>（</w:t>
      </w:r>
      <w:r>
        <w:rPr>
          <w:rFonts w:hint="eastAsia" w:hAnsiTheme="minorEastAsia"/>
          <w:b/>
          <w:sz w:val="24"/>
          <w:szCs w:val="24"/>
        </w:rPr>
        <w:t>请根据中小企业划分标准填写中型企业</w:t>
      </w:r>
      <w:r>
        <w:rPr>
          <w:b/>
          <w:sz w:val="24"/>
          <w:szCs w:val="24"/>
        </w:rPr>
        <w:t>/</w:t>
      </w:r>
      <w:r>
        <w:rPr>
          <w:rFonts w:hint="eastAsia" w:hAnsiTheme="minorEastAsia"/>
          <w:b/>
          <w:sz w:val="24"/>
          <w:szCs w:val="24"/>
        </w:rPr>
        <w:t>小型企业</w:t>
      </w:r>
      <w:r>
        <w:rPr>
          <w:b/>
          <w:sz w:val="24"/>
          <w:szCs w:val="24"/>
        </w:rPr>
        <w:t>/</w:t>
      </w:r>
      <w:r>
        <w:rPr>
          <w:rFonts w:hint="eastAsia" w:hAnsiTheme="minorEastAsia"/>
          <w:b/>
          <w:sz w:val="24"/>
          <w:szCs w:val="24"/>
        </w:rPr>
        <w:t>微型企业</w:t>
      </w:r>
      <w:r>
        <w:rPr>
          <w:rFonts w:hint="eastAsia" w:hAnsiTheme="minorEastAsia"/>
          <w:sz w:val="24"/>
          <w:szCs w:val="24"/>
        </w:rPr>
        <w:t>）；</w:t>
      </w:r>
    </w:p>
    <w:p>
      <w:pPr>
        <w:autoSpaceDE w:val="0"/>
        <w:autoSpaceDN w:val="0"/>
        <w:spacing w:line="500" w:lineRule="exact"/>
        <w:ind w:left="641"/>
        <w:jc w:val="left"/>
        <w:rPr>
          <w:sz w:val="24"/>
          <w:szCs w:val="24"/>
        </w:rPr>
      </w:pPr>
      <w:r>
        <w:rPr>
          <w:sz w:val="24"/>
          <w:szCs w:val="24"/>
        </w:rPr>
        <w:t>……</w:t>
      </w:r>
    </w:p>
    <w:p>
      <w:pPr>
        <w:autoSpaceDE w:val="0"/>
        <w:autoSpaceDN w:val="0"/>
        <w:spacing w:line="500" w:lineRule="exact"/>
        <w:ind w:firstLine="448" w:firstLineChars="200"/>
        <w:jc w:val="left"/>
        <w:rPr>
          <w:sz w:val="24"/>
          <w:szCs w:val="24"/>
        </w:rPr>
      </w:pPr>
      <w:r>
        <w:rPr>
          <w:rFonts w:hint="eastAsia" w:hAnsiTheme="minorEastAsia"/>
          <w:sz w:val="24"/>
          <w:szCs w:val="24"/>
        </w:rPr>
        <w:t>以上企业，不属于大型企业的分支机构，不存在控股股东为大型企业的情形，也不存在与大型企业的负责人为同一人的情形。</w:t>
      </w:r>
    </w:p>
    <w:p>
      <w:pPr>
        <w:autoSpaceDE w:val="0"/>
        <w:autoSpaceDN w:val="0"/>
        <w:spacing w:line="500" w:lineRule="exact"/>
        <w:ind w:firstLine="448" w:firstLineChars="200"/>
        <w:jc w:val="left"/>
        <w:rPr>
          <w:sz w:val="24"/>
          <w:szCs w:val="24"/>
        </w:rPr>
      </w:pPr>
      <w:r>
        <w:rPr>
          <w:rFonts w:hint="eastAsia" w:hAnsiTheme="minorEastAsia"/>
          <w:sz w:val="24"/>
          <w:szCs w:val="24"/>
        </w:rPr>
        <w:t>本企业对上述声明内容的真实性负责。如有虚假，将依法承担相应责任。</w:t>
      </w:r>
    </w:p>
    <w:p>
      <w:pPr>
        <w:autoSpaceDE w:val="0"/>
        <w:autoSpaceDN w:val="0"/>
        <w:spacing w:line="500" w:lineRule="exact"/>
        <w:ind w:left="3840"/>
        <w:jc w:val="left"/>
        <w:rPr>
          <w:sz w:val="24"/>
          <w:szCs w:val="24"/>
        </w:rPr>
      </w:pPr>
      <w:r>
        <w:rPr>
          <w:rFonts w:hint="eastAsia" w:hAnsiTheme="minorEastAsia"/>
          <w:sz w:val="24"/>
          <w:szCs w:val="24"/>
        </w:rPr>
        <w:t>投标人名称：</w:t>
      </w:r>
    </w:p>
    <w:p>
      <w:pPr>
        <w:autoSpaceDE w:val="0"/>
        <w:autoSpaceDN w:val="0"/>
        <w:spacing w:line="500" w:lineRule="exact"/>
        <w:ind w:left="3840"/>
        <w:jc w:val="left"/>
        <w:rPr>
          <w:b/>
          <w:sz w:val="24"/>
          <w:szCs w:val="24"/>
        </w:rPr>
      </w:pPr>
      <w:r>
        <w:rPr>
          <w:rFonts w:hint="eastAsia" w:hAnsiTheme="minorEastAsia"/>
          <w:sz w:val="24"/>
          <w:szCs w:val="24"/>
        </w:rPr>
        <w:t>日期：</w:t>
      </w:r>
    </w:p>
    <w:p>
      <w:pPr>
        <w:spacing w:line="360" w:lineRule="auto"/>
        <w:ind w:right="84" w:firstLine="224" w:firstLineChars="100"/>
        <w:rPr>
          <w:b/>
          <w:sz w:val="24"/>
          <w:szCs w:val="24"/>
        </w:rPr>
      </w:pPr>
      <w:r>
        <w:rPr>
          <w:rFonts w:hint="eastAsia" w:hAnsiTheme="minorEastAsia"/>
          <w:b/>
          <w:sz w:val="24"/>
          <w:szCs w:val="24"/>
        </w:rPr>
        <w:t>注：</w:t>
      </w:r>
    </w:p>
    <w:p>
      <w:pPr>
        <w:spacing w:line="360" w:lineRule="auto"/>
        <w:ind w:right="84" w:firstLine="224" w:firstLineChars="100"/>
        <w:rPr>
          <w:b/>
          <w:sz w:val="24"/>
          <w:szCs w:val="24"/>
        </w:rPr>
      </w:pPr>
      <w:r>
        <w:rPr>
          <w:b/>
          <w:sz w:val="24"/>
          <w:szCs w:val="24"/>
        </w:rPr>
        <w:t>1.</w:t>
      </w:r>
      <w:r>
        <w:rPr>
          <w:rFonts w:hint="eastAsia" w:hAnsiTheme="minorEastAsia"/>
          <w:b/>
          <w:sz w:val="24"/>
          <w:szCs w:val="24"/>
        </w:rPr>
        <w:t>标的名称须按照采购文件</w:t>
      </w:r>
      <w:r>
        <w:rPr>
          <w:b/>
          <w:sz w:val="24"/>
          <w:szCs w:val="24"/>
        </w:rPr>
        <w:t>“</w:t>
      </w:r>
      <w:r>
        <w:rPr>
          <w:rFonts w:hint="eastAsia" w:hAnsiTheme="minorEastAsia"/>
          <w:b/>
          <w:sz w:val="24"/>
          <w:szCs w:val="24"/>
        </w:rPr>
        <w:t>项目需求书</w:t>
      </w:r>
      <w:r>
        <w:rPr>
          <w:b/>
          <w:sz w:val="24"/>
          <w:szCs w:val="24"/>
        </w:rPr>
        <w:t>”</w:t>
      </w:r>
      <w:r>
        <w:rPr>
          <w:rFonts w:hint="eastAsia" w:hAnsiTheme="minorEastAsia"/>
          <w:b/>
          <w:sz w:val="24"/>
          <w:szCs w:val="24"/>
        </w:rPr>
        <w:t>中明确的标的名称进行填写；所属行业须按照采购文件中明确的所属行业进行填写，否则不享受中小企业扶持政策。</w:t>
      </w:r>
    </w:p>
    <w:p>
      <w:pPr>
        <w:spacing w:line="360" w:lineRule="auto"/>
        <w:ind w:right="84" w:firstLine="224" w:firstLineChars="100"/>
        <w:rPr>
          <w:b/>
          <w:sz w:val="24"/>
          <w:szCs w:val="24"/>
        </w:rPr>
      </w:pPr>
      <w:r>
        <w:rPr>
          <w:b/>
          <w:sz w:val="24"/>
          <w:szCs w:val="24"/>
        </w:rPr>
        <w:t>2.</w:t>
      </w:r>
      <w:r>
        <w:rPr>
          <w:rFonts w:hint="eastAsia" w:hAnsiTheme="minorEastAsia"/>
          <w:b/>
          <w:sz w:val="24"/>
          <w:szCs w:val="24"/>
        </w:rPr>
        <w:t>从业人员、营业收入、资产总额填报上一年度数据，无上一年度数据的新成立企业可不填报。除新成立企业外，上表填写不全的，不享受中小企业扶持政策。</w:t>
      </w:r>
    </w:p>
    <w:p>
      <w:pPr>
        <w:spacing w:line="360" w:lineRule="auto"/>
        <w:ind w:right="84" w:firstLine="224" w:firstLineChars="100"/>
        <w:rPr>
          <w:b/>
          <w:sz w:val="24"/>
          <w:szCs w:val="21"/>
        </w:rPr>
      </w:pPr>
      <w:r>
        <w:rPr>
          <w:b/>
          <w:sz w:val="24"/>
          <w:szCs w:val="21"/>
        </w:rPr>
        <w:t>3.</w:t>
      </w:r>
      <w:r>
        <w:rPr>
          <w:rFonts w:hint="eastAsia" w:hAnsiTheme="minorEastAsia"/>
          <w:b/>
          <w:sz w:val="24"/>
          <w:szCs w:val="21"/>
        </w:rPr>
        <w:t>中标（成交）供应商享受中小企业扶持政策的，将随中标（成交）结果同时公告其《中小企业声明函》，接受社会监督。</w:t>
      </w:r>
    </w:p>
    <w:p>
      <w:pPr>
        <w:snapToGrid w:val="0"/>
        <w:spacing w:line="360" w:lineRule="auto"/>
        <w:rPr>
          <w:sz w:val="24"/>
          <w:szCs w:val="21"/>
        </w:rPr>
      </w:pPr>
    </w:p>
    <w:p>
      <w:pPr>
        <w:widowControl/>
        <w:jc w:val="left"/>
        <w:rPr>
          <w:color w:val="FF0000"/>
          <w:sz w:val="24"/>
          <w:szCs w:val="21"/>
        </w:rPr>
      </w:pPr>
      <w:r>
        <w:rPr>
          <w:color w:val="FF0000"/>
          <w:sz w:val="24"/>
          <w:szCs w:val="21"/>
        </w:rPr>
        <w:br w:type="page"/>
      </w:r>
    </w:p>
    <w:p>
      <w:pPr>
        <w:autoSpaceDN w:val="0"/>
        <w:spacing w:line="360" w:lineRule="auto"/>
        <w:rPr>
          <w:b/>
          <w:bCs/>
          <w:sz w:val="24"/>
        </w:rPr>
      </w:pPr>
      <w:bookmarkStart w:id="7" w:name="OLE_LINK13"/>
      <w:bookmarkStart w:id="8" w:name="OLE_LINK14"/>
      <w:r>
        <w:rPr>
          <w:rFonts w:hint="eastAsia" w:hAnsiTheme="minorEastAsia"/>
          <w:b/>
          <w:kern w:val="0"/>
          <w:sz w:val="24"/>
          <w:szCs w:val="21"/>
        </w:rPr>
        <w:t>若投标人不是残疾人福利性单位，投标文件中可不提供此声明函</w:t>
      </w:r>
    </w:p>
    <w:p>
      <w:pPr>
        <w:autoSpaceDN w:val="0"/>
        <w:spacing w:line="360" w:lineRule="auto"/>
        <w:jc w:val="center"/>
        <w:rPr>
          <w:b/>
          <w:bCs/>
          <w:sz w:val="24"/>
        </w:rPr>
      </w:pPr>
    </w:p>
    <w:p>
      <w:pPr>
        <w:autoSpaceDN w:val="0"/>
        <w:spacing w:line="360" w:lineRule="auto"/>
        <w:jc w:val="center"/>
        <w:rPr>
          <w:b/>
          <w:bCs/>
          <w:sz w:val="24"/>
        </w:rPr>
      </w:pPr>
      <w:r>
        <w:rPr>
          <w:rFonts w:hint="eastAsia" w:hAnsiTheme="minorEastAsia"/>
          <w:b/>
          <w:bCs/>
          <w:sz w:val="24"/>
        </w:rPr>
        <w:t>残疾人福利性单位声明函</w:t>
      </w:r>
    </w:p>
    <w:bookmarkEnd w:id="7"/>
    <w:bookmarkEnd w:id="8"/>
    <w:p>
      <w:pPr>
        <w:spacing w:line="588" w:lineRule="exact"/>
        <w:rPr>
          <w:b/>
          <w:spacing w:val="6"/>
          <w:sz w:val="30"/>
          <w:szCs w:val="30"/>
        </w:rPr>
      </w:pPr>
    </w:p>
    <w:p>
      <w:pPr>
        <w:snapToGrid w:val="0"/>
        <w:spacing w:line="360" w:lineRule="auto"/>
        <w:ind w:firstLine="448" w:firstLineChars="200"/>
        <w:rPr>
          <w:sz w:val="24"/>
          <w:szCs w:val="21"/>
        </w:rPr>
      </w:pPr>
      <w:r>
        <w:rPr>
          <w:rFonts w:hint="eastAsia" w:hAnsiTheme="minorEastAsia"/>
          <w:sz w:val="24"/>
          <w:szCs w:val="21"/>
        </w:rPr>
        <w:t>本单位郑重声明，根据《财政部民政部中国残疾人联合会关于促进残疾人就业政府采购政策的通知》（财库〔</w:t>
      </w:r>
      <w:r>
        <w:rPr>
          <w:rFonts w:hint="eastAsia"/>
          <w:sz w:val="24"/>
          <w:szCs w:val="21"/>
        </w:rPr>
        <w:t>2017</w:t>
      </w:r>
      <w:r>
        <w:rPr>
          <w:rFonts w:hint="eastAsia" w:hAnsiTheme="minorEastAsia"/>
          <w:sz w:val="24"/>
          <w:szCs w:val="21"/>
        </w:rPr>
        <w:t>〕</w:t>
      </w:r>
      <w:r>
        <w:rPr>
          <w:rFonts w:hint="eastAsia"/>
          <w:sz w:val="24"/>
          <w:szCs w:val="21"/>
        </w:rPr>
        <w:t>141</w:t>
      </w:r>
      <w:r>
        <w:rPr>
          <w:rFonts w:hint="eastAsia" w:hAnsiTheme="minorEastAsia"/>
          <w:sz w:val="24"/>
          <w:szCs w:val="21"/>
        </w:rPr>
        <w:t>号）的规定，本单位为符合条件的残疾人福利性单位，且本单位参加</w:t>
      </w:r>
      <w:r>
        <w:rPr>
          <w:rFonts w:hint="eastAsia"/>
          <w:sz w:val="24"/>
          <w:szCs w:val="21"/>
        </w:rPr>
        <w:t>______</w:t>
      </w:r>
      <w:r>
        <w:rPr>
          <w:rFonts w:hint="eastAsia" w:hAnsiTheme="minorEastAsia"/>
          <w:sz w:val="24"/>
          <w:szCs w:val="21"/>
        </w:rPr>
        <w:t>单位的</w:t>
      </w:r>
      <w:r>
        <w:rPr>
          <w:rFonts w:hint="eastAsia"/>
          <w:sz w:val="24"/>
          <w:szCs w:val="21"/>
        </w:rPr>
        <w:t>______</w:t>
      </w:r>
      <w:r>
        <w:rPr>
          <w:rFonts w:hint="eastAsia" w:hAnsiTheme="minorEastAsia"/>
          <w:sz w:val="24"/>
          <w:szCs w:val="21"/>
        </w:rPr>
        <w:t>项目采购活动提供本单位制造的货物（由本单位承担工程</w:t>
      </w:r>
      <w:r>
        <w:rPr>
          <w:rFonts w:hint="eastAsia"/>
          <w:sz w:val="24"/>
          <w:szCs w:val="21"/>
        </w:rPr>
        <w:t>/</w:t>
      </w:r>
      <w:r>
        <w:rPr>
          <w:rFonts w:hint="eastAsia" w:hAnsiTheme="minorEastAsia"/>
          <w:sz w:val="24"/>
          <w:szCs w:val="21"/>
        </w:rPr>
        <w:t>提供服务），或者提供其他残疾人福利性单位制造的货物（不包括使用非残疾人福利性单位注册商标的货物）。</w:t>
      </w:r>
    </w:p>
    <w:p>
      <w:pPr>
        <w:snapToGrid w:val="0"/>
        <w:spacing w:line="360" w:lineRule="auto"/>
        <w:ind w:firstLine="448" w:firstLineChars="200"/>
        <w:rPr>
          <w:sz w:val="24"/>
          <w:szCs w:val="21"/>
        </w:rPr>
      </w:pPr>
      <w:r>
        <w:rPr>
          <w:rFonts w:hint="eastAsia" w:hAnsiTheme="minorEastAsia"/>
          <w:sz w:val="24"/>
          <w:szCs w:val="21"/>
        </w:rPr>
        <w:t>本单位对上述声明的真实性负责。如有虚假，将依法承担相应责任。</w:t>
      </w:r>
    </w:p>
    <w:p>
      <w:pPr>
        <w:snapToGrid w:val="0"/>
        <w:spacing w:line="360" w:lineRule="auto"/>
        <w:ind w:firstLine="448" w:firstLineChars="200"/>
        <w:rPr>
          <w:sz w:val="24"/>
          <w:szCs w:val="21"/>
        </w:rPr>
      </w:pPr>
      <w:r>
        <w:rPr>
          <w:rFonts w:hint="eastAsia" w:hAnsiTheme="minorEastAsia"/>
          <w:sz w:val="24"/>
          <w:szCs w:val="21"/>
        </w:rPr>
        <w:t>中标供应商为残疾人福利性单位的，将随中标结果同时公告其《残疾人福利性单位声明函》，接受社会监督。</w:t>
      </w:r>
    </w:p>
    <w:p>
      <w:pPr>
        <w:snapToGrid w:val="0"/>
        <w:spacing w:line="360" w:lineRule="auto"/>
        <w:ind w:firstLine="448" w:firstLineChars="200"/>
        <w:rPr>
          <w:sz w:val="24"/>
          <w:szCs w:val="21"/>
        </w:rPr>
      </w:pPr>
    </w:p>
    <w:p>
      <w:pPr>
        <w:snapToGrid w:val="0"/>
        <w:spacing w:line="360" w:lineRule="auto"/>
        <w:ind w:firstLine="448" w:firstLineChars="200"/>
        <w:rPr>
          <w:sz w:val="24"/>
          <w:szCs w:val="21"/>
        </w:rPr>
      </w:pPr>
    </w:p>
    <w:p>
      <w:pPr>
        <w:snapToGrid w:val="0"/>
        <w:spacing w:line="360" w:lineRule="auto"/>
        <w:ind w:firstLine="448" w:firstLineChars="200"/>
        <w:rPr>
          <w:sz w:val="24"/>
          <w:szCs w:val="21"/>
        </w:rPr>
      </w:pPr>
    </w:p>
    <w:p>
      <w:pPr>
        <w:snapToGrid w:val="0"/>
        <w:spacing w:line="360" w:lineRule="auto"/>
        <w:ind w:firstLine="4704" w:firstLineChars="2100"/>
        <w:rPr>
          <w:sz w:val="24"/>
          <w:szCs w:val="21"/>
        </w:rPr>
      </w:pPr>
      <w:r>
        <w:rPr>
          <w:rFonts w:hint="eastAsia" w:hAnsiTheme="minorEastAsia"/>
          <w:sz w:val="24"/>
          <w:szCs w:val="21"/>
        </w:rPr>
        <w:t>投标人名称：</w:t>
      </w:r>
    </w:p>
    <w:p>
      <w:pPr>
        <w:snapToGrid w:val="0"/>
        <w:spacing w:line="360" w:lineRule="auto"/>
        <w:ind w:firstLine="4704" w:firstLineChars="2100"/>
        <w:rPr>
          <w:sz w:val="24"/>
          <w:szCs w:val="21"/>
        </w:rPr>
      </w:pPr>
    </w:p>
    <w:p>
      <w:pPr>
        <w:snapToGrid w:val="0"/>
        <w:spacing w:line="360" w:lineRule="auto"/>
        <w:ind w:firstLine="4704" w:firstLineChars="2100"/>
        <w:rPr>
          <w:sz w:val="24"/>
          <w:szCs w:val="21"/>
        </w:rPr>
      </w:pPr>
      <w:r>
        <w:rPr>
          <w:rFonts w:hint="eastAsia" w:hAnsiTheme="minorEastAsia"/>
          <w:sz w:val="24"/>
          <w:szCs w:val="21"/>
        </w:rPr>
        <w:t>日期：</w:t>
      </w:r>
      <w:r>
        <w:rPr>
          <w:rFonts w:hint="eastAsia"/>
          <w:sz w:val="24"/>
          <w:szCs w:val="21"/>
        </w:rPr>
        <w:t xml:space="preserve">20  </w:t>
      </w:r>
      <w:r>
        <w:rPr>
          <w:rFonts w:hint="eastAsia" w:hAnsiTheme="minorEastAsia"/>
          <w:sz w:val="24"/>
          <w:szCs w:val="21"/>
        </w:rPr>
        <w:t>年月日</w:t>
      </w:r>
    </w:p>
    <w:p>
      <w:pPr>
        <w:snapToGrid w:val="0"/>
        <w:spacing w:line="360" w:lineRule="auto"/>
        <w:ind w:firstLine="448" w:firstLineChars="200"/>
        <w:rPr>
          <w:sz w:val="24"/>
          <w:szCs w:val="21"/>
        </w:rPr>
      </w:pPr>
      <w:r>
        <w:rPr>
          <w:rFonts w:hint="eastAsia" w:hAnsiTheme="minorEastAsia"/>
          <w:sz w:val="24"/>
          <w:szCs w:val="21"/>
        </w:rPr>
        <w:t>注：</w:t>
      </w:r>
    </w:p>
    <w:p>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pPr>
        <w:snapToGrid w:val="0"/>
        <w:spacing w:line="360" w:lineRule="auto"/>
        <w:ind w:firstLine="448" w:firstLineChars="200"/>
        <w:rPr>
          <w:b/>
          <w:sz w:val="24"/>
          <w:szCs w:val="21"/>
        </w:rPr>
      </w:pPr>
      <w:r>
        <w:rPr>
          <w:b/>
          <w:kern w:val="0"/>
          <w:sz w:val="24"/>
          <w:szCs w:val="21"/>
        </w:rPr>
        <w:t>若不是残疾人福利性单位，投标文件中可不提供此声明函。</w:t>
      </w:r>
    </w:p>
    <w:p>
      <w:pPr>
        <w:autoSpaceDN w:val="0"/>
        <w:spacing w:line="360" w:lineRule="auto"/>
        <w:jc w:val="center"/>
        <w:rPr>
          <w:b/>
          <w:bCs/>
          <w:sz w:val="24"/>
        </w:rPr>
      </w:pPr>
    </w:p>
    <w:p>
      <w:pPr>
        <w:snapToGrid w:val="0"/>
        <w:spacing w:line="360" w:lineRule="auto"/>
        <w:ind w:firstLine="448" w:firstLineChars="200"/>
        <w:rPr>
          <w:color w:val="FF0000"/>
          <w:sz w:val="24"/>
          <w:szCs w:val="21"/>
        </w:rPr>
      </w:pPr>
    </w:p>
    <w:p>
      <w:pPr>
        <w:widowControl/>
        <w:jc w:val="left"/>
        <w:rPr>
          <w:color w:val="FF0000"/>
          <w:sz w:val="24"/>
          <w:szCs w:val="21"/>
        </w:rPr>
      </w:pPr>
      <w:r>
        <w:rPr>
          <w:color w:val="FF0000"/>
          <w:sz w:val="24"/>
          <w:szCs w:val="21"/>
        </w:rPr>
        <w:br w:type="page"/>
      </w:r>
    </w:p>
    <w:p>
      <w:pPr>
        <w:tabs>
          <w:tab w:val="left" w:pos="360"/>
        </w:tabs>
        <w:spacing w:line="360" w:lineRule="auto"/>
        <w:rPr>
          <w:b/>
          <w:sz w:val="24"/>
        </w:rPr>
      </w:pPr>
      <w:r>
        <w:rPr>
          <w:b/>
          <w:sz w:val="24"/>
        </w:rPr>
        <w:t>附件1</w:t>
      </w:r>
      <w:r>
        <w:rPr>
          <w:rFonts w:hint="eastAsia"/>
          <w:b/>
          <w:sz w:val="24"/>
        </w:rPr>
        <w:t>3</w:t>
      </w:r>
    </w:p>
    <w:p>
      <w:pPr>
        <w:tabs>
          <w:tab w:val="left" w:pos="360"/>
        </w:tabs>
        <w:spacing w:line="360" w:lineRule="auto"/>
        <w:jc w:val="center"/>
        <w:rPr>
          <w:b/>
          <w:bCs/>
          <w:sz w:val="24"/>
        </w:rPr>
      </w:pPr>
      <w:r>
        <w:rPr>
          <w:rFonts w:hint="eastAsia"/>
          <w:b/>
          <w:bCs/>
          <w:sz w:val="24"/>
        </w:rPr>
        <w:t>书面</w:t>
      </w:r>
      <w:r>
        <w:rPr>
          <w:b/>
          <w:bCs/>
          <w:sz w:val="24"/>
        </w:rPr>
        <w:t>声明</w:t>
      </w:r>
    </w:p>
    <w:p>
      <w:pPr>
        <w:pStyle w:val="38"/>
        <w:tabs>
          <w:tab w:val="left" w:pos="360"/>
        </w:tabs>
        <w:spacing w:line="360" w:lineRule="auto"/>
        <w:ind w:firstLine="446"/>
        <w:rPr>
          <w:sz w:val="24"/>
        </w:rPr>
      </w:pPr>
    </w:p>
    <w:p>
      <w:pPr>
        <w:pStyle w:val="38"/>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pPr>
        <w:pStyle w:val="38"/>
        <w:tabs>
          <w:tab w:val="left" w:pos="360"/>
        </w:tabs>
        <w:spacing w:line="360" w:lineRule="auto"/>
        <w:ind w:firstLine="446"/>
        <w:rPr>
          <w:sz w:val="24"/>
        </w:rPr>
      </w:pPr>
      <w:r>
        <w:rPr>
          <w:rFonts w:hint="eastAsia"/>
          <w:sz w:val="24"/>
        </w:rPr>
        <w:t>我单位具备良好的商业信誉和健全的财务会计制度，依法缴纳税收和社会保障资金。</w:t>
      </w:r>
    </w:p>
    <w:p>
      <w:pPr>
        <w:pStyle w:val="38"/>
        <w:tabs>
          <w:tab w:val="left" w:pos="360"/>
        </w:tabs>
        <w:spacing w:line="360" w:lineRule="auto"/>
        <w:ind w:firstLine="446"/>
        <w:rPr>
          <w:sz w:val="24"/>
        </w:rPr>
      </w:pPr>
    </w:p>
    <w:p>
      <w:pPr>
        <w:pStyle w:val="38"/>
        <w:tabs>
          <w:tab w:val="left" w:pos="360"/>
        </w:tabs>
        <w:spacing w:line="360" w:lineRule="auto"/>
        <w:ind w:firstLine="446"/>
        <w:rPr>
          <w:sz w:val="24"/>
        </w:rPr>
      </w:pPr>
    </w:p>
    <w:p>
      <w:pPr>
        <w:autoSpaceDE w:val="0"/>
        <w:autoSpaceDN w:val="0"/>
        <w:spacing w:line="500" w:lineRule="exact"/>
        <w:ind w:left="3840"/>
        <w:jc w:val="left"/>
        <w:rPr>
          <w:sz w:val="24"/>
          <w:szCs w:val="24"/>
        </w:rPr>
      </w:pPr>
      <w:r>
        <w:rPr>
          <w:sz w:val="24"/>
          <w:szCs w:val="24"/>
        </w:rPr>
        <w:t>投标人名称：</w:t>
      </w:r>
    </w:p>
    <w:p>
      <w:pPr>
        <w:autoSpaceDE w:val="0"/>
        <w:autoSpaceDN w:val="0"/>
        <w:spacing w:line="500" w:lineRule="exact"/>
        <w:ind w:left="3840"/>
        <w:jc w:val="left"/>
        <w:rPr>
          <w:sz w:val="24"/>
          <w:szCs w:val="24"/>
        </w:rPr>
      </w:pPr>
    </w:p>
    <w:p>
      <w:pPr>
        <w:autoSpaceDE w:val="0"/>
        <w:autoSpaceDN w:val="0"/>
        <w:spacing w:line="500" w:lineRule="exact"/>
        <w:ind w:left="3840"/>
        <w:jc w:val="left"/>
        <w:rPr>
          <w:sz w:val="24"/>
          <w:szCs w:val="24"/>
        </w:rPr>
      </w:pPr>
      <w:r>
        <w:rPr>
          <w:sz w:val="24"/>
          <w:szCs w:val="24"/>
        </w:rPr>
        <w:t>日期：</w:t>
      </w:r>
    </w:p>
    <w:p>
      <w:pPr>
        <w:autoSpaceDE w:val="0"/>
        <w:autoSpaceDN w:val="0"/>
        <w:spacing w:line="500" w:lineRule="exact"/>
        <w:ind w:left="3840"/>
        <w:jc w:val="left"/>
        <w:rPr>
          <w:sz w:val="24"/>
          <w:szCs w:val="24"/>
        </w:rPr>
      </w:pPr>
    </w:p>
    <w:p>
      <w:pPr>
        <w:pStyle w:val="38"/>
        <w:tabs>
          <w:tab w:val="left" w:pos="360"/>
        </w:tabs>
        <w:spacing w:line="360" w:lineRule="auto"/>
        <w:ind w:firstLine="0" w:firstLineChars="0"/>
        <w:rPr>
          <w:sz w:val="24"/>
          <w:u w:val="single"/>
        </w:rPr>
      </w:pPr>
    </w:p>
    <w:p>
      <w:pPr>
        <w:pStyle w:val="38"/>
        <w:tabs>
          <w:tab w:val="left" w:pos="360"/>
        </w:tabs>
        <w:spacing w:line="360" w:lineRule="auto"/>
        <w:ind w:firstLine="446"/>
        <w:rPr>
          <w:sz w:val="24"/>
        </w:rPr>
      </w:pPr>
    </w:p>
    <w:p>
      <w:pPr>
        <w:pStyle w:val="38"/>
        <w:spacing w:line="360" w:lineRule="auto"/>
        <w:ind w:firstLine="0" w:firstLineChars="0"/>
        <w:jc w:val="center"/>
        <w:rPr>
          <w:b/>
          <w:sz w:val="24"/>
        </w:rPr>
      </w:pPr>
    </w:p>
    <w:p>
      <w:pPr>
        <w:pStyle w:val="38"/>
        <w:spacing w:line="360" w:lineRule="auto"/>
        <w:ind w:firstLine="0" w:firstLineChars="0"/>
        <w:jc w:val="center"/>
        <w:rPr>
          <w:b/>
          <w:sz w:val="24"/>
        </w:rPr>
      </w:pPr>
    </w:p>
    <w:p>
      <w:pPr>
        <w:pStyle w:val="38"/>
        <w:spacing w:line="360" w:lineRule="auto"/>
        <w:ind w:firstLine="0" w:firstLineChars="0"/>
        <w:jc w:val="center"/>
        <w:rPr>
          <w:b/>
          <w:sz w:val="24"/>
        </w:rPr>
      </w:pPr>
      <w:r>
        <w:rPr>
          <w:rFonts w:hint="eastAsia"/>
          <w:b/>
          <w:sz w:val="24"/>
        </w:rPr>
        <w:t>证明材料</w:t>
      </w:r>
    </w:p>
    <w:p>
      <w:pPr>
        <w:pStyle w:val="38"/>
        <w:tabs>
          <w:tab w:val="left" w:pos="360"/>
        </w:tabs>
        <w:spacing w:line="360" w:lineRule="auto"/>
        <w:ind w:firstLine="446"/>
        <w:rPr>
          <w:sz w:val="24"/>
        </w:rPr>
      </w:pPr>
    </w:p>
    <w:p>
      <w:pPr>
        <w:pStyle w:val="38"/>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pPr>
        <w:pStyle w:val="38"/>
        <w:tabs>
          <w:tab w:val="left" w:pos="360"/>
        </w:tabs>
        <w:spacing w:line="360" w:lineRule="auto"/>
        <w:ind w:firstLine="446"/>
        <w:rPr>
          <w:sz w:val="24"/>
        </w:rPr>
      </w:pPr>
    </w:p>
    <w:p>
      <w:pPr>
        <w:pStyle w:val="38"/>
        <w:tabs>
          <w:tab w:val="left" w:pos="360"/>
        </w:tabs>
        <w:spacing w:line="360" w:lineRule="auto"/>
        <w:ind w:firstLine="446"/>
        <w:rPr>
          <w:sz w:val="24"/>
        </w:rPr>
      </w:pPr>
    </w:p>
    <w:p>
      <w:pPr>
        <w:autoSpaceDE w:val="0"/>
        <w:autoSpaceDN w:val="0"/>
        <w:spacing w:line="500" w:lineRule="exact"/>
        <w:ind w:left="3840"/>
        <w:jc w:val="left"/>
        <w:rPr>
          <w:sz w:val="24"/>
          <w:szCs w:val="24"/>
        </w:rPr>
      </w:pPr>
    </w:p>
    <w:p>
      <w:pPr>
        <w:autoSpaceDE w:val="0"/>
        <w:autoSpaceDN w:val="0"/>
        <w:spacing w:line="500" w:lineRule="exact"/>
        <w:ind w:left="3840"/>
        <w:jc w:val="left"/>
        <w:rPr>
          <w:sz w:val="24"/>
          <w:szCs w:val="24"/>
        </w:rPr>
      </w:pPr>
    </w:p>
    <w:p>
      <w:pPr>
        <w:autoSpaceDE w:val="0"/>
        <w:autoSpaceDN w:val="0"/>
        <w:spacing w:line="500" w:lineRule="exact"/>
        <w:ind w:left="3840"/>
        <w:jc w:val="left"/>
        <w:rPr>
          <w:sz w:val="24"/>
          <w:szCs w:val="24"/>
        </w:rPr>
      </w:pPr>
      <w:r>
        <w:rPr>
          <w:sz w:val="24"/>
          <w:szCs w:val="24"/>
        </w:rPr>
        <w:t>投标人名称：</w:t>
      </w:r>
    </w:p>
    <w:p>
      <w:pPr>
        <w:autoSpaceDE w:val="0"/>
        <w:autoSpaceDN w:val="0"/>
        <w:spacing w:line="500" w:lineRule="exact"/>
        <w:ind w:left="3840"/>
        <w:jc w:val="left"/>
        <w:rPr>
          <w:sz w:val="24"/>
          <w:szCs w:val="24"/>
        </w:rPr>
      </w:pPr>
    </w:p>
    <w:p>
      <w:pPr>
        <w:autoSpaceDE w:val="0"/>
        <w:autoSpaceDN w:val="0"/>
        <w:spacing w:line="500" w:lineRule="exact"/>
        <w:ind w:left="3840"/>
        <w:jc w:val="left"/>
        <w:rPr>
          <w:b/>
          <w:sz w:val="24"/>
        </w:rPr>
      </w:pPr>
      <w:r>
        <w:rPr>
          <w:sz w:val="24"/>
          <w:szCs w:val="24"/>
        </w:rPr>
        <w:t>日期：</w:t>
      </w:r>
    </w:p>
    <w:p>
      <w:pPr>
        <w:widowControl/>
        <w:jc w:val="left"/>
        <w:rPr>
          <w:b/>
          <w:bCs/>
          <w:sz w:val="24"/>
        </w:rPr>
      </w:pPr>
    </w:p>
    <w:p>
      <w:pPr>
        <w:widowControl/>
        <w:jc w:val="left"/>
        <w:rPr>
          <w:b/>
          <w:bCs/>
          <w:sz w:val="24"/>
        </w:rPr>
      </w:pPr>
      <w:r>
        <w:rPr>
          <w:b/>
          <w:bCs/>
          <w:sz w:val="24"/>
        </w:rPr>
        <w:br w:type="page"/>
      </w:r>
    </w:p>
    <w:p>
      <w:pPr>
        <w:autoSpaceDN w:val="0"/>
        <w:spacing w:line="360" w:lineRule="auto"/>
        <w:rPr>
          <w:b/>
          <w:bCs/>
          <w:sz w:val="24"/>
        </w:rPr>
      </w:pPr>
      <w:r>
        <w:rPr>
          <w:rFonts w:hint="eastAsia"/>
          <w:b/>
          <w:bCs/>
          <w:sz w:val="24"/>
        </w:rPr>
        <w:t>附件14</w:t>
      </w:r>
    </w:p>
    <w:p>
      <w:pPr>
        <w:autoSpaceDN w:val="0"/>
        <w:spacing w:line="360" w:lineRule="auto"/>
        <w:jc w:val="center"/>
        <w:rPr>
          <w:b/>
          <w:bCs/>
          <w:sz w:val="24"/>
        </w:rPr>
      </w:pPr>
      <w:r>
        <w:rPr>
          <w:b/>
          <w:bCs/>
          <w:sz w:val="24"/>
        </w:rPr>
        <w:t>投标人认为需要提供的其他资料</w:t>
      </w:r>
    </w:p>
    <w:p>
      <w:pPr>
        <w:tabs>
          <w:tab w:val="left" w:pos="360"/>
        </w:tabs>
        <w:spacing w:line="360" w:lineRule="auto"/>
        <w:ind w:firstLine="448" w:firstLineChars="200"/>
        <w:rPr>
          <w:b/>
          <w:bCs/>
          <w:sz w:val="24"/>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Consolas">
    <w:panose1 w:val="020B0609020204030204"/>
    <w:charset w:val="00"/>
    <w:family w:val="modern"/>
    <w:pitch w:val="default"/>
    <w:sig w:usb0="E10002FF" w:usb1="4000FCFF" w:usb2="00000009" w:usb3="00000000" w:csb0="6000019F" w:csb1="DFD70000"/>
  </w:font>
  <w:font w:name=".......">
    <w:altName w:val="宋体"/>
    <w:panose1 w:val="00000000000000000000"/>
    <w:charset w:val="86"/>
    <w:family w:val="roman"/>
    <w:pitch w:val="default"/>
    <w:sig w:usb0="00000000" w:usb1="00000000" w:usb2="00000010" w:usb3="00000000" w:csb0="00040000" w:csb1="00000000"/>
  </w:font>
  <w:font w:name="����">
    <w:altName w:val="微软雅黑"/>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14"/>
                            <w:jc w:val="center"/>
                          </w:pPr>
                          <w:r>
                            <w:rPr>
                              <w:b/>
                            </w:rPr>
                            <w:fldChar w:fldCharType="begin"/>
                          </w:r>
                          <w:r>
                            <w:rPr>
                              <w:b/>
                            </w:rPr>
                            <w:instrText xml:space="preserve">PAGE  \* Arabic  \* MERGEFORMAT</w:instrText>
                          </w:r>
                          <w:r>
                            <w:rPr>
                              <w:b/>
                            </w:rPr>
                            <w:fldChar w:fldCharType="separate"/>
                          </w:r>
                          <w:r>
                            <w:rPr>
                              <w:b/>
                              <w:lang w:val="zh-CN"/>
                            </w:rPr>
                            <w:t>10</w:t>
                          </w:r>
                          <w:r>
                            <w:rPr>
                              <w:b/>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mMenDDgCAABvBAAADgAAAAAAAAABACAAAAAfAQAAZHJzL2Uyb0RvYy54&#10;bWxQSwUGAAAAAAYABgBZAQAAyQUAAAAA&#10;">
              <v:fill on="f" focussize="0,0"/>
              <v:stroke on="f" weight="0.5pt"/>
              <v:imagedata o:title=""/>
              <o:lock v:ext="edit" aspectratio="f"/>
              <v:textbox inset="0mm,0mm,0mm,0mm" style="mso-fit-shape-to-text:t;">
                <w:txbxContent>
                  <w:p>
                    <w:pPr>
                      <w:pStyle w:val="14"/>
                      <w:jc w:val="center"/>
                    </w:pPr>
                    <w:r>
                      <w:rPr>
                        <w:b/>
                      </w:rPr>
                      <w:fldChar w:fldCharType="begin"/>
                    </w:r>
                    <w:r>
                      <w:rPr>
                        <w:b/>
                      </w:rPr>
                      <w:instrText xml:space="preserve">PAGE  \* Arabic  \* MERGEFORMAT</w:instrText>
                    </w:r>
                    <w:r>
                      <w:rPr>
                        <w:b/>
                      </w:rPr>
                      <w:fldChar w:fldCharType="separate"/>
                    </w:r>
                    <w:r>
                      <w:rPr>
                        <w:b/>
                        <w:lang w:val="zh-CN"/>
                      </w:rPr>
                      <w:t>10</w:t>
                    </w:r>
                    <w:r>
                      <w:rPr>
                        <w:b/>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D00215"/>
    <w:multiLevelType w:val="singleLevel"/>
    <w:tmpl w:val="9BD00215"/>
    <w:lvl w:ilvl="0" w:tentative="0">
      <w:start w:val="1"/>
      <w:numFmt w:val="decimal"/>
      <w:suff w:val="nothing"/>
      <w:lvlText w:val="%1、"/>
      <w:lvlJc w:val="left"/>
    </w:lvl>
  </w:abstractNum>
  <w:abstractNum w:abstractNumId="1">
    <w:nsid w:val="BCF5A594"/>
    <w:multiLevelType w:val="singleLevel"/>
    <w:tmpl w:val="BCF5A594"/>
    <w:lvl w:ilvl="0" w:tentative="0">
      <w:start w:val="2"/>
      <w:numFmt w:val="decimal"/>
      <w:suff w:val="nothing"/>
      <w:lvlText w:val="%1、"/>
      <w:lvlJc w:val="left"/>
    </w:lvl>
  </w:abstractNum>
  <w:abstractNum w:abstractNumId="2">
    <w:nsid w:val="DB4A9401"/>
    <w:multiLevelType w:val="singleLevel"/>
    <w:tmpl w:val="DB4A9401"/>
    <w:lvl w:ilvl="0" w:tentative="0">
      <w:start w:val="1"/>
      <w:numFmt w:val="decimal"/>
      <w:suff w:val="nothing"/>
      <w:lvlText w:val="%1、"/>
      <w:lvlJc w:val="left"/>
    </w:lvl>
  </w:abstractNum>
  <w:abstractNum w:abstractNumId="3">
    <w:nsid w:val="DF1D2495"/>
    <w:multiLevelType w:val="singleLevel"/>
    <w:tmpl w:val="DF1D2495"/>
    <w:lvl w:ilvl="0" w:tentative="0">
      <w:start w:val="1"/>
      <w:numFmt w:val="decimal"/>
      <w:suff w:val="nothing"/>
      <w:lvlText w:val="%1、"/>
      <w:lvlJc w:val="left"/>
    </w:lvl>
  </w:abstractNum>
  <w:abstractNum w:abstractNumId="4">
    <w:nsid w:val="1036AAC0"/>
    <w:multiLevelType w:val="singleLevel"/>
    <w:tmpl w:val="1036AAC0"/>
    <w:lvl w:ilvl="0" w:tentative="0">
      <w:start w:val="2"/>
      <w:numFmt w:val="decimal"/>
      <w:suff w:val="space"/>
      <w:lvlText w:val="%1."/>
      <w:lvlJc w:val="left"/>
    </w:lvl>
  </w:abstractNum>
  <w:abstractNum w:abstractNumId="5">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6">
    <w:nsid w:val="2E4CA392"/>
    <w:multiLevelType w:val="singleLevel"/>
    <w:tmpl w:val="2E4CA392"/>
    <w:lvl w:ilvl="0" w:tentative="0">
      <w:start w:val="1"/>
      <w:numFmt w:val="decimal"/>
      <w:suff w:val="nothing"/>
      <w:lvlText w:val="%1、"/>
      <w:lvlJc w:val="left"/>
    </w:lvl>
  </w:abstractNum>
  <w:abstractNum w:abstractNumId="7">
    <w:nsid w:val="367F6A45"/>
    <w:multiLevelType w:val="multilevel"/>
    <w:tmpl w:val="367F6A45"/>
    <w:lvl w:ilvl="0" w:tentative="0">
      <w:start w:val="1"/>
      <w:numFmt w:val="decimal"/>
      <w:pStyle w:val="5"/>
      <w:lvlText w:val="%1."/>
      <w:lvlJc w:val="left"/>
      <w:pPr>
        <w:ind w:left="360" w:hanging="360"/>
      </w:pPr>
      <w:rPr>
        <w:rFonts w:hint="default"/>
      </w:rPr>
    </w:lvl>
    <w:lvl w:ilvl="1" w:tentative="0">
      <w:start w:val="1"/>
      <w:numFmt w:val="decimal"/>
      <w:pStyle w:val="4"/>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7"/>
  </w:num>
  <w:num w:numId="2">
    <w:abstractNumId w:val="4"/>
  </w:num>
  <w:num w:numId="3">
    <w:abstractNumId w:val="0"/>
  </w:num>
  <w:num w:numId="4">
    <w:abstractNumId w:val="6"/>
  </w:num>
  <w:num w:numId="5">
    <w:abstractNumId w:val="2"/>
  </w:num>
  <w:num w:numId="6">
    <w:abstractNumId w:val="1"/>
  </w:num>
  <w:num w:numId="7">
    <w:abstractNumId w:val="3"/>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drawingGridVerticalSpacing w:val="143"/>
  <w:displayVerticalDrawingGridEvery w:val="2"/>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6A0"/>
    <w:rsid w:val="00075BCB"/>
    <w:rsid w:val="00075C85"/>
    <w:rsid w:val="00076BA5"/>
    <w:rsid w:val="000775F5"/>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8B"/>
    <w:rsid w:val="0010775A"/>
    <w:rsid w:val="001106F6"/>
    <w:rsid w:val="001165C6"/>
    <w:rsid w:val="001171AB"/>
    <w:rsid w:val="00121CDE"/>
    <w:rsid w:val="001256ED"/>
    <w:rsid w:val="00134C0A"/>
    <w:rsid w:val="001351F5"/>
    <w:rsid w:val="00136F51"/>
    <w:rsid w:val="001411F4"/>
    <w:rsid w:val="00141664"/>
    <w:rsid w:val="00141B0C"/>
    <w:rsid w:val="00141BC7"/>
    <w:rsid w:val="00143B4D"/>
    <w:rsid w:val="00145E32"/>
    <w:rsid w:val="0014634C"/>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86E27"/>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5BEA"/>
    <w:rsid w:val="001C0E64"/>
    <w:rsid w:val="001C1366"/>
    <w:rsid w:val="001C1981"/>
    <w:rsid w:val="001C50CC"/>
    <w:rsid w:val="001C5152"/>
    <w:rsid w:val="001C7255"/>
    <w:rsid w:val="001D1850"/>
    <w:rsid w:val="001E3CB7"/>
    <w:rsid w:val="001F2B50"/>
    <w:rsid w:val="001F3072"/>
    <w:rsid w:val="001F345B"/>
    <w:rsid w:val="001F65EF"/>
    <w:rsid w:val="002005E8"/>
    <w:rsid w:val="00200E3F"/>
    <w:rsid w:val="002027E3"/>
    <w:rsid w:val="00204D75"/>
    <w:rsid w:val="00210D0A"/>
    <w:rsid w:val="002113A2"/>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31086D"/>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53D6"/>
    <w:rsid w:val="00415D1E"/>
    <w:rsid w:val="00415D39"/>
    <w:rsid w:val="00416AFE"/>
    <w:rsid w:val="0041737D"/>
    <w:rsid w:val="004176FC"/>
    <w:rsid w:val="00417F8F"/>
    <w:rsid w:val="00421497"/>
    <w:rsid w:val="00424D37"/>
    <w:rsid w:val="004267C9"/>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C82"/>
    <w:rsid w:val="00472F16"/>
    <w:rsid w:val="004826E0"/>
    <w:rsid w:val="0048533D"/>
    <w:rsid w:val="00491AAD"/>
    <w:rsid w:val="00495B68"/>
    <w:rsid w:val="00495ECD"/>
    <w:rsid w:val="004A0E64"/>
    <w:rsid w:val="004A0F57"/>
    <w:rsid w:val="004A155E"/>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6CD1"/>
    <w:rsid w:val="00513A4E"/>
    <w:rsid w:val="005201BE"/>
    <w:rsid w:val="00524604"/>
    <w:rsid w:val="00525EE9"/>
    <w:rsid w:val="00526AE5"/>
    <w:rsid w:val="0053021A"/>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32A6"/>
    <w:rsid w:val="00663FEC"/>
    <w:rsid w:val="00665F3D"/>
    <w:rsid w:val="0066632A"/>
    <w:rsid w:val="00670BE5"/>
    <w:rsid w:val="00673DD7"/>
    <w:rsid w:val="006741E5"/>
    <w:rsid w:val="00674887"/>
    <w:rsid w:val="00676812"/>
    <w:rsid w:val="006802EF"/>
    <w:rsid w:val="00681C7D"/>
    <w:rsid w:val="00693947"/>
    <w:rsid w:val="006A1C8A"/>
    <w:rsid w:val="006A4BDB"/>
    <w:rsid w:val="006A6F51"/>
    <w:rsid w:val="006A75E7"/>
    <w:rsid w:val="006B0EC3"/>
    <w:rsid w:val="006B52A7"/>
    <w:rsid w:val="006B5C7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173C0"/>
    <w:rsid w:val="007220DB"/>
    <w:rsid w:val="007236BA"/>
    <w:rsid w:val="007238DD"/>
    <w:rsid w:val="00723D02"/>
    <w:rsid w:val="00723D84"/>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A0BCD"/>
    <w:rsid w:val="007A4BB5"/>
    <w:rsid w:val="007A4FB6"/>
    <w:rsid w:val="007A5636"/>
    <w:rsid w:val="007A5AEB"/>
    <w:rsid w:val="007A6EBE"/>
    <w:rsid w:val="007B1550"/>
    <w:rsid w:val="007B1B3A"/>
    <w:rsid w:val="007B2FEC"/>
    <w:rsid w:val="007B4071"/>
    <w:rsid w:val="007B4E82"/>
    <w:rsid w:val="007B7C1E"/>
    <w:rsid w:val="007C1D1B"/>
    <w:rsid w:val="007C422C"/>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29E8"/>
    <w:rsid w:val="00814C9A"/>
    <w:rsid w:val="008150C7"/>
    <w:rsid w:val="00815E04"/>
    <w:rsid w:val="00817270"/>
    <w:rsid w:val="008204E3"/>
    <w:rsid w:val="008252B9"/>
    <w:rsid w:val="00837228"/>
    <w:rsid w:val="0084084A"/>
    <w:rsid w:val="00846B20"/>
    <w:rsid w:val="008506B2"/>
    <w:rsid w:val="00851179"/>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656D"/>
    <w:rsid w:val="009C019D"/>
    <w:rsid w:val="009C04EE"/>
    <w:rsid w:val="009C513D"/>
    <w:rsid w:val="009C5544"/>
    <w:rsid w:val="009C69C7"/>
    <w:rsid w:val="009D10B3"/>
    <w:rsid w:val="009D187B"/>
    <w:rsid w:val="009D2385"/>
    <w:rsid w:val="009D3012"/>
    <w:rsid w:val="009D5ACD"/>
    <w:rsid w:val="009D5C8E"/>
    <w:rsid w:val="009E0499"/>
    <w:rsid w:val="009E0B0E"/>
    <w:rsid w:val="009E193C"/>
    <w:rsid w:val="009E255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6EF2"/>
    <w:rsid w:val="00A90811"/>
    <w:rsid w:val="00A90E13"/>
    <w:rsid w:val="00A92667"/>
    <w:rsid w:val="00A92A1A"/>
    <w:rsid w:val="00A936E7"/>
    <w:rsid w:val="00A947C9"/>
    <w:rsid w:val="00A95C55"/>
    <w:rsid w:val="00A97408"/>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43BE"/>
    <w:rsid w:val="00B25107"/>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C1"/>
    <w:rsid w:val="00C373B1"/>
    <w:rsid w:val="00C4022E"/>
    <w:rsid w:val="00C4294A"/>
    <w:rsid w:val="00C46949"/>
    <w:rsid w:val="00C47A30"/>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934E9"/>
    <w:rsid w:val="00C960AB"/>
    <w:rsid w:val="00CA0D71"/>
    <w:rsid w:val="00CA262C"/>
    <w:rsid w:val="00CA793B"/>
    <w:rsid w:val="00CB1696"/>
    <w:rsid w:val="00CB40AA"/>
    <w:rsid w:val="00CB539D"/>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4653"/>
    <w:rsid w:val="00CF6EAD"/>
    <w:rsid w:val="00D06931"/>
    <w:rsid w:val="00D1043B"/>
    <w:rsid w:val="00D12C83"/>
    <w:rsid w:val="00D12CAF"/>
    <w:rsid w:val="00D13280"/>
    <w:rsid w:val="00D15BBF"/>
    <w:rsid w:val="00D16799"/>
    <w:rsid w:val="00D214A0"/>
    <w:rsid w:val="00D23AEA"/>
    <w:rsid w:val="00D23CDE"/>
    <w:rsid w:val="00D260FE"/>
    <w:rsid w:val="00D271B3"/>
    <w:rsid w:val="00D35751"/>
    <w:rsid w:val="00D43D4D"/>
    <w:rsid w:val="00D44078"/>
    <w:rsid w:val="00D529AD"/>
    <w:rsid w:val="00D52ECC"/>
    <w:rsid w:val="00D5488C"/>
    <w:rsid w:val="00D55D73"/>
    <w:rsid w:val="00D57E7B"/>
    <w:rsid w:val="00D616C1"/>
    <w:rsid w:val="00D61F06"/>
    <w:rsid w:val="00D63D99"/>
    <w:rsid w:val="00D63E4B"/>
    <w:rsid w:val="00D646D7"/>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211C"/>
    <w:rsid w:val="00F040D8"/>
    <w:rsid w:val="00F041C4"/>
    <w:rsid w:val="00F04FF1"/>
    <w:rsid w:val="00F0691A"/>
    <w:rsid w:val="00F06D90"/>
    <w:rsid w:val="00F070E8"/>
    <w:rsid w:val="00F11609"/>
    <w:rsid w:val="00F14E51"/>
    <w:rsid w:val="00F17102"/>
    <w:rsid w:val="00F172BC"/>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4299"/>
    <w:rsid w:val="00F86DB5"/>
    <w:rsid w:val="00F86E3C"/>
    <w:rsid w:val="00F86E7B"/>
    <w:rsid w:val="00F9117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02727F00"/>
    <w:rsid w:val="03E2554B"/>
    <w:rsid w:val="05687CD1"/>
    <w:rsid w:val="0754675F"/>
    <w:rsid w:val="07AF3996"/>
    <w:rsid w:val="090C5552"/>
    <w:rsid w:val="0A176056"/>
    <w:rsid w:val="0B4B1CF9"/>
    <w:rsid w:val="0CEA4780"/>
    <w:rsid w:val="0EF600FC"/>
    <w:rsid w:val="10FE14EA"/>
    <w:rsid w:val="17F21371"/>
    <w:rsid w:val="1A142732"/>
    <w:rsid w:val="1A3A06B8"/>
    <w:rsid w:val="1B794807"/>
    <w:rsid w:val="1BC53330"/>
    <w:rsid w:val="1BD113A2"/>
    <w:rsid w:val="1D996D39"/>
    <w:rsid w:val="1DC87107"/>
    <w:rsid w:val="1DFF1362"/>
    <w:rsid w:val="1F6D7F66"/>
    <w:rsid w:val="1FDA4FD1"/>
    <w:rsid w:val="21546707"/>
    <w:rsid w:val="22317999"/>
    <w:rsid w:val="22443B73"/>
    <w:rsid w:val="22D36C7A"/>
    <w:rsid w:val="233C494A"/>
    <w:rsid w:val="23706277"/>
    <w:rsid w:val="24A106B2"/>
    <w:rsid w:val="26D703BB"/>
    <w:rsid w:val="270D202F"/>
    <w:rsid w:val="294247EF"/>
    <w:rsid w:val="29811DB4"/>
    <w:rsid w:val="2BD56F9D"/>
    <w:rsid w:val="2F573B27"/>
    <w:rsid w:val="303D5733"/>
    <w:rsid w:val="309F1F4A"/>
    <w:rsid w:val="317B6F87"/>
    <w:rsid w:val="317C04DD"/>
    <w:rsid w:val="31F02C96"/>
    <w:rsid w:val="33B21B11"/>
    <w:rsid w:val="34963664"/>
    <w:rsid w:val="35B77D36"/>
    <w:rsid w:val="375D0702"/>
    <w:rsid w:val="382F0A43"/>
    <w:rsid w:val="38E17B53"/>
    <w:rsid w:val="3A3E4582"/>
    <w:rsid w:val="3A405F2A"/>
    <w:rsid w:val="3AC01AD7"/>
    <w:rsid w:val="3B3D2A8B"/>
    <w:rsid w:val="3BAC40E1"/>
    <w:rsid w:val="3BC941E5"/>
    <w:rsid w:val="3C29300F"/>
    <w:rsid w:val="3D1912D6"/>
    <w:rsid w:val="3E171CB9"/>
    <w:rsid w:val="3F0430D4"/>
    <w:rsid w:val="402E61D2"/>
    <w:rsid w:val="41DE664A"/>
    <w:rsid w:val="42562756"/>
    <w:rsid w:val="42E3216A"/>
    <w:rsid w:val="43302ED5"/>
    <w:rsid w:val="46C202E8"/>
    <w:rsid w:val="4799373F"/>
    <w:rsid w:val="49453A38"/>
    <w:rsid w:val="4A544C51"/>
    <w:rsid w:val="4B2652EA"/>
    <w:rsid w:val="4B58121B"/>
    <w:rsid w:val="4C3B4DC5"/>
    <w:rsid w:val="4D6C1936"/>
    <w:rsid w:val="4EF306D4"/>
    <w:rsid w:val="4F700283"/>
    <w:rsid w:val="4FBA7A8E"/>
    <w:rsid w:val="51431EB7"/>
    <w:rsid w:val="5470139E"/>
    <w:rsid w:val="553D2D3F"/>
    <w:rsid w:val="554A6079"/>
    <w:rsid w:val="56A81507"/>
    <w:rsid w:val="56E20B7B"/>
    <w:rsid w:val="594C6863"/>
    <w:rsid w:val="5BCD4A28"/>
    <w:rsid w:val="5BF40AEC"/>
    <w:rsid w:val="5DCC4CCE"/>
    <w:rsid w:val="5DF1410B"/>
    <w:rsid w:val="5F08183A"/>
    <w:rsid w:val="60121E89"/>
    <w:rsid w:val="6017124D"/>
    <w:rsid w:val="60A56859"/>
    <w:rsid w:val="631844E8"/>
    <w:rsid w:val="65877FBB"/>
    <w:rsid w:val="6861575B"/>
    <w:rsid w:val="695A0B28"/>
    <w:rsid w:val="69E77EE2"/>
    <w:rsid w:val="6A21549A"/>
    <w:rsid w:val="6B5C045C"/>
    <w:rsid w:val="6C154F17"/>
    <w:rsid w:val="6C847C6A"/>
    <w:rsid w:val="6E573888"/>
    <w:rsid w:val="6E790521"/>
    <w:rsid w:val="6F885124"/>
    <w:rsid w:val="7075449A"/>
    <w:rsid w:val="714E1C4C"/>
    <w:rsid w:val="729118D9"/>
    <w:rsid w:val="72A921D9"/>
    <w:rsid w:val="72BD7A32"/>
    <w:rsid w:val="762A6205"/>
    <w:rsid w:val="76D0109C"/>
    <w:rsid w:val="76D90BB3"/>
    <w:rsid w:val="781507D0"/>
    <w:rsid w:val="783A38D3"/>
    <w:rsid w:val="79A11F13"/>
    <w:rsid w:val="79FD2E0A"/>
    <w:rsid w:val="7B815A28"/>
    <w:rsid w:val="7F343772"/>
    <w:rsid w:val="7F82180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3"/>
    <w:basedOn w:val="1"/>
    <w:next w:val="1"/>
    <w:link w:val="40"/>
    <w:qFormat/>
    <w:uiPriority w:val="0"/>
    <w:pPr>
      <w:keepNext/>
      <w:keepLines/>
      <w:spacing w:before="260" w:after="260" w:line="416" w:lineRule="auto"/>
      <w:outlineLvl w:val="2"/>
    </w:pPr>
    <w:rPr>
      <w:b/>
      <w:bCs/>
      <w:sz w:val="32"/>
      <w:szCs w:val="32"/>
    </w:rPr>
  </w:style>
  <w:style w:type="character" w:default="1" w:styleId="23">
    <w:name w:val="Default Paragraph Font"/>
    <w:semiHidden/>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0"/>
    <w:pPr>
      <w:ind w:firstLine="420"/>
    </w:pPr>
  </w:style>
  <w:style w:type="paragraph" w:styleId="4">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Body Text"/>
    <w:basedOn w:val="1"/>
    <w:next w:val="1"/>
    <w:qFormat/>
    <w:uiPriority w:val="0"/>
    <w:rPr>
      <w:sz w:val="32"/>
    </w:rPr>
  </w:style>
  <w:style w:type="paragraph" w:styleId="7">
    <w:name w:val="Body Text Indent"/>
    <w:basedOn w:val="1"/>
    <w:link w:val="32"/>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4"/>
    <w:qFormat/>
    <w:uiPriority w:val="0"/>
    <w:rPr>
      <w:rFonts w:ascii="宋体" w:hAnsi="Courier New"/>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7"/>
    <w:qFormat/>
    <w:uiPriority w:val="0"/>
    <w:pPr>
      <w:adjustRightInd w:val="0"/>
      <w:spacing w:line="360" w:lineRule="atLeast"/>
      <w:textAlignment w:val="baseline"/>
    </w:pPr>
    <w:rPr>
      <w:sz w:val="32"/>
    </w:rPr>
  </w:style>
  <w:style w:type="paragraph" w:styleId="12">
    <w:name w:val="Body Text Indent 2"/>
    <w:basedOn w:val="1"/>
    <w:link w:val="39"/>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6"/>
    <w:unhideWhenUsed/>
    <w:qFormat/>
    <w:uiPriority w:val="99"/>
    <w:pPr>
      <w:tabs>
        <w:tab w:val="center" w:pos="4153"/>
        <w:tab w:val="right" w:pos="8306"/>
      </w:tabs>
      <w:snapToGrid w:val="0"/>
      <w:jc w:val="left"/>
    </w:pPr>
    <w:rPr>
      <w:sz w:val="18"/>
      <w:szCs w:val="18"/>
    </w:rPr>
  </w:style>
  <w:style w:type="paragraph" w:styleId="15">
    <w:name w:val="header"/>
    <w:basedOn w:val="1"/>
    <w:link w:val="35"/>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4"/>
    <w:qFormat/>
    <w:uiPriority w:val="0"/>
    <w:pPr>
      <w:spacing w:before="240" w:after="60" w:line="312" w:lineRule="auto"/>
      <w:jc w:val="center"/>
      <w:outlineLvl w:val="1"/>
    </w:pPr>
    <w:rPr>
      <w:rFonts w:ascii="Cambria" w:hAnsi="Cambria"/>
      <w:b/>
      <w:bCs/>
      <w:kern w:val="28"/>
      <w:sz w:val="32"/>
      <w:szCs w:val="32"/>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5"/>
    <w:semiHidden/>
    <w:unhideWhenUsed/>
    <w:qFormat/>
    <w:uiPriority w:val="99"/>
    <w:pPr>
      <w:spacing w:after="120"/>
      <w:ind w:left="420" w:leftChars="200"/>
    </w:pPr>
    <w:rPr>
      <w:sz w:val="16"/>
      <w:szCs w:val="16"/>
    </w:rPr>
  </w:style>
  <w:style w:type="paragraph" w:styleId="19">
    <w:name w:val="Body Text 2"/>
    <w:basedOn w:val="1"/>
    <w:link w:val="41"/>
    <w:semiHidden/>
    <w:unhideWhenUsed/>
    <w:qFormat/>
    <w:uiPriority w:val="99"/>
    <w:pPr>
      <w:spacing w:after="120" w:line="480" w:lineRule="auto"/>
    </w:pPr>
  </w:style>
  <w:style w:type="paragraph" w:styleId="20">
    <w:name w:val="Title"/>
    <w:basedOn w:val="1"/>
    <w:next w:val="1"/>
    <w:qFormat/>
    <w:uiPriority w:val="10"/>
    <w:pPr>
      <w:spacing w:before="240" w:after="60"/>
      <w:jc w:val="center"/>
      <w:outlineLvl w:val="0"/>
    </w:pPr>
    <w:rPr>
      <w:rFonts w:ascii="Cambria" w:hAnsi="Cambria"/>
      <w:b/>
      <w:bCs/>
      <w:sz w:val="32"/>
      <w:szCs w:val="32"/>
    </w:rPr>
  </w:style>
  <w:style w:type="table" w:styleId="22">
    <w:name w:val="Table Grid"/>
    <w:basedOn w:val="21"/>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4">
    <w:name w:val="Strong"/>
    <w:basedOn w:val="23"/>
    <w:qFormat/>
    <w:uiPriority w:val="22"/>
    <w:rPr>
      <w:b/>
      <w:bCs/>
    </w:rPr>
  </w:style>
  <w:style w:type="character" w:styleId="25">
    <w:name w:val="FollowedHyperlink"/>
    <w:basedOn w:val="23"/>
    <w:semiHidden/>
    <w:unhideWhenUsed/>
    <w:qFormat/>
    <w:uiPriority w:val="99"/>
    <w:rPr>
      <w:color w:val="800080" w:themeColor="followedHyperlink"/>
      <w:u w:val="single"/>
      <w14:textFill>
        <w14:solidFill>
          <w14:schemeClr w14:val="folHlink"/>
        </w14:solidFill>
      </w14:textFill>
    </w:rPr>
  </w:style>
  <w:style w:type="character" w:styleId="26">
    <w:name w:val="HTML Definition"/>
    <w:basedOn w:val="23"/>
    <w:semiHidden/>
    <w:unhideWhenUsed/>
    <w:qFormat/>
    <w:uiPriority w:val="99"/>
    <w:rPr>
      <w:i/>
      <w:iCs/>
    </w:rPr>
  </w:style>
  <w:style w:type="character" w:styleId="27">
    <w:name w:val="Hyperlink"/>
    <w:basedOn w:val="23"/>
    <w:unhideWhenUsed/>
    <w:qFormat/>
    <w:uiPriority w:val="99"/>
    <w:rPr>
      <w:color w:val="0000FF" w:themeColor="hyperlink"/>
      <w:u w:val="single"/>
      <w14:textFill>
        <w14:solidFill>
          <w14:schemeClr w14:val="hlink"/>
        </w14:solidFill>
      </w14:textFill>
    </w:rPr>
  </w:style>
  <w:style w:type="character" w:styleId="28">
    <w:name w:val="HTML Code"/>
    <w:basedOn w:val="23"/>
    <w:semiHidden/>
    <w:unhideWhenUsed/>
    <w:qFormat/>
    <w:uiPriority w:val="99"/>
    <w:rPr>
      <w:rFonts w:hint="default" w:ascii="Consolas" w:hAnsi="Consolas" w:eastAsia="Consolas" w:cs="Consolas"/>
      <w:color w:val="C7254E"/>
      <w:sz w:val="21"/>
      <w:szCs w:val="21"/>
      <w:shd w:val="clear" w:color="auto" w:fill="F9F2F4"/>
    </w:rPr>
  </w:style>
  <w:style w:type="character" w:styleId="29">
    <w:name w:val="HTML Cite"/>
    <w:basedOn w:val="23"/>
    <w:semiHidden/>
    <w:unhideWhenUsed/>
    <w:qFormat/>
    <w:uiPriority w:val="99"/>
  </w:style>
  <w:style w:type="character" w:styleId="30">
    <w:name w:val="HTML Keyboard"/>
    <w:basedOn w:val="23"/>
    <w:semiHidden/>
    <w:unhideWhenUsed/>
    <w:qFormat/>
    <w:uiPriority w:val="99"/>
    <w:rPr>
      <w:rFonts w:ascii="Consolas" w:hAnsi="Consolas" w:eastAsia="Consolas" w:cs="Consolas"/>
      <w:sz w:val="21"/>
      <w:szCs w:val="21"/>
    </w:rPr>
  </w:style>
  <w:style w:type="character" w:styleId="31">
    <w:name w:val="HTML Sample"/>
    <w:basedOn w:val="23"/>
    <w:semiHidden/>
    <w:unhideWhenUsed/>
    <w:qFormat/>
    <w:uiPriority w:val="99"/>
    <w:rPr>
      <w:rFonts w:hint="default" w:ascii="Consolas" w:hAnsi="Consolas" w:eastAsia="Consolas" w:cs="Consolas"/>
      <w:sz w:val="21"/>
      <w:szCs w:val="21"/>
    </w:rPr>
  </w:style>
  <w:style w:type="character" w:customStyle="1" w:styleId="32">
    <w:name w:val="正文文本缩进 Char"/>
    <w:basedOn w:val="23"/>
    <w:link w:val="7"/>
    <w:qFormat/>
    <w:uiPriority w:val="0"/>
    <w:rPr>
      <w:rFonts w:ascii="宋体" w:hAnsi="宋体" w:eastAsia="宋体" w:cs="Times New Roman"/>
      <w:sz w:val="24"/>
      <w:szCs w:val="20"/>
    </w:rPr>
  </w:style>
  <w:style w:type="paragraph" w:customStyle="1" w:styleId="33">
    <w:name w:val="Default"/>
    <w:link w:val="51"/>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34">
    <w:name w:val="副标题 Char"/>
    <w:basedOn w:val="23"/>
    <w:link w:val="16"/>
    <w:qFormat/>
    <w:uiPriority w:val="0"/>
    <w:rPr>
      <w:rFonts w:ascii="Cambria" w:hAnsi="Cambria" w:eastAsia="宋体" w:cs="Times New Roman"/>
      <w:b/>
      <w:bCs/>
      <w:kern w:val="28"/>
      <w:sz w:val="32"/>
      <w:szCs w:val="32"/>
    </w:rPr>
  </w:style>
  <w:style w:type="character" w:customStyle="1" w:styleId="35">
    <w:name w:val="页眉 Char"/>
    <w:basedOn w:val="23"/>
    <w:link w:val="15"/>
    <w:qFormat/>
    <w:uiPriority w:val="99"/>
    <w:rPr>
      <w:rFonts w:ascii="Times New Roman" w:hAnsi="Times New Roman" w:eastAsia="宋体" w:cs="Times New Roman"/>
      <w:sz w:val="18"/>
      <w:szCs w:val="18"/>
    </w:rPr>
  </w:style>
  <w:style w:type="character" w:customStyle="1" w:styleId="36">
    <w:name w:val="页脚 Char"/>
    <w:basedOn w:val="23"/>
    <w:link w:val="14"/>
    <w:qFormat/>
    <w:uiPriority w:val="99"/>
    <w:rPr>
      <w:rFonts w:ascii="Times New Roman" w:hAnsi="Times New Roman" w:eastAsia="宋体" w:cs="Times New Roman"/>
      <w:sz w:val="18"/>
      <w:szCs w:val="18"/>
    </w:rPr>
  </w:style>
  <w:style w:type="character" w:customStyle="1" w:styleId="37">
    <w:name w:val="日期 Char"/>
    <w:basedOn w:val="23"/>
    <w:link w:val="11"/>
    <w:qFormat/>
    <w:uiPriority w:val="0"/>
    <w:rPr>
      <w:rFonts w:ascii="Times New Roman" w:hAnsi="Times New Roman" w:eastAsia="宋体" w:cs="Times New Roman"/>
      <w:sz w:val="32"/>
      <w:szCs w:val="20"/>
    </w:rPr>
  </w:style>
  <w:style w:type="paragraph" w:styleId="38">
    <w:name w:val="List Paragraph"/>
    <w:basedOn w:val="1"/>
    <w:link w:val="52"/>
    <w:qFormat/>
    <w:uiPriority w:val="34"/>
    <w:pPr>
      <w:ind w:firstLine="420" w:firstLineChars="200"/>
    </w:pPr>
  </w:style>
  <w:style w:type="character" w:customStyle="1" w:styleId="39">
    <w:name w:val="正文文本缩进 2 Char"/>
    <w:basedOn w:val="23"/>
    <w:link w:val="12"/>
    <w:semiHidden/>
    <w:qFormat/>
    <w:uiPriority w:val="99"/>
    <w:rPr>
      <w:rFonts w:ascii="Times New Roman" w:hAnsi="Times New Roman" w:eastAsia="宋体" w:cs="Times New Roman"/>
      <w:szCs w:val="20"/>
    </w:rPr>
  </w:style>
  <w:style w:type="character" w:customStyle="1" w:styleId="40">
    <w:name w:val="标题 3 Char"/>
    <w:basedOn w:val="23"/>
    <w:link w:val="3"/>
    <w:qFormat/>
    <w:uiPriority w:val="0"/>
    <w:rPr>
      <w:rFonts w:ascii="Times New Roman" w:hAnsi="Times New Roman" w:eastAsia="宋体" w:cs="Times New Roman"/>
      <w:b/>
      <w:bCs/>
      <w:sz w:val="32"/>
      <w:szCs w:val="32"/>
    </w:rPr>
  </w:style>
  <w:style w:type="character" w:customStyle="1" w:styleId="41">
    <w:name w:val="正文文本 2 Char"/>
    <w:basedOn w:val="23"/>
    <w:link w:val="19"/>
    <w:semiHidden/>
    <w:qFormat/>
    <w:uiPriority w:val="99"/>
    <w:rPr>
      <w:rFonts w:ascii="Times New Roman" w:hAnsi="Times New Roman" w:eastAsia="宋体" w:cs="Times New Roman"/>
      <w:szCs w:val="20"/>
    </w:rPr>
  </w:style>
  <w:style w:type="paragraph" w:customStyle="1" w:styleId="42">
    <w:name w:val="Char"/>
    <w:basedOn w:val="1"/>
    <w:qFormat/>
    <w:uiPriority w:val="0"/>
    <w:pPr>
      <w:tabs>
        <w:tab w:val="left" w:pos="360"/>
      </w:tabs>
    </w:pPr>
    <w:rPr>
      <w:sz w:val="24"/>
      <w:szCs w:val="24"/>
    </w:rPr>
  </w:style>
  <w:style w:type="character" w:customStyle="1" w:styleId="43">
    <w:name w:val="纯文本 Char"/>
    <w:basedOn w:val="23"/>
    <w:semiHidden/>
    <w:qFormat/>
    <w:uiPriority w:val="99"/>
    <w:rPr>
      <w:rFonts w:ascii="宋体" w:hAnsi="Courier New" w:eastAsia="宋体" w:cs="Courier New"/>
      <w:szCs w:val="21"/>
    </w:rPr>
  </w:style>
  <w:style w:type="character" w:customStyle="1" w:styleId="44">
    <w:name w:val="纯文本 Char1"/>
    <w:link w:val="9"/>
    <w:qFormat/>
    <w:locked/>
    <w:uiPriority w:val="0"/>
    <w:rPr>
      <w:rFonts w:ascii="宋体" w:hAnsi="Courier New" w:eastAsia="宋体" w:cs="Times New Roman"/>
      <w:szCs w:val="20"/>
    </w:rPr>
  </w:style>
  <w:style w:type="character" w:customStyle="1" w:styleId="45">
    <w:name w:val="正文文本缩进 3 Char"/>
    <w:basedOn w:val="23"/>
    <w:link w:val="18"/>
    <w:semiHidden/>
    <w:qFormat/>
    <w:uiPriority w:val="99"/>
    <w:rPr>
      <w:rFonts w:ascii="Times New Roman" w:hAnsi="Times New Roman" w:eastAsia="宋体" w:cs="Times New Roman"/>
      <w:sz w:val="16"/>
      <w:szCs w:val="16"/>
    </w:rPr>
  </w:style>
  <w:style w:type="paragraph" w:customStyle="1" w:styleId="46">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8">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9">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50">
    <w:name w:val="批注框文本 Char"/>
    <w:basedOn w:val="23"/>
    <w:link w:val="13"/>
    <w:semiHidden/>
    <w:qFormat/>
    <w:uiPriority w:val="99"/>
    <w:rPr>
      <w:rFonts w:ascii="Times New Roman" w:hAnsi="Times New Roman" w:eastAsia="宋体" w:cs="Times New Roman"/>
      <w:sz w:val="18"/>
      <w:szCs w:val="18"/>
    </w:rPr>
  </w:style>
  <w:style w:type="character" w:customStyle="1" w:styleId="51">
    <w:name w:val="Default Char"/>
    <w:link w:val="33"/>
    <w:qFormat/>
    <w:locked/>
    <w:uiPriority w:val="0"/>
    <w:rPr>
      <w:rFonts w:ascii="......." w:hAnsi="Calibri" w:eastAsia="......." w:cs="......."/>
      <w:color w:val="000000"/>
      <w:kern w:val="0"/>
      <w:sz w:val="24"/>
      <w:szCs w:val="24"/>
    </w:rPr>
  </w:style>
  <w:style w:type="character" w:customStyle="1" w:styleId="52">
    <w:name w:val="列出段落 Char"/>
    <w:link w:val="38"/>
    <w:qFormat/>
    <w:uiPriority w:val="34"/>
    <w:rPr>
      <w:rFonts w:ascii="Times New Roman" w:hAnsi="Times New Roman" w:eastAsia="宋体" w:cs="Times New Roman"/>
      <w:szCs w:val="20"/>
    </w:rPr>
  </w:style>
  <w:style w:type="character" w:customStyle="1" w:styleId="53">
    <w:name w:val="fielderror"/>
    <w:basedOn w:val="23"/>
    <w:qFormat/>
    <w:uiPriority w:val="0"/>
    <w:rPr>
      <w:color w:val="800000"/>
    </w:rPr>
  </w:style>
  <w:style w:type="character" w:customStyle="1" w:styleId="54">
    <w:name w:val="hilite6"/>
    <w:basedOn w:val="23"/>
    <w:qFormat/>
    <w:uiPriority w:val="0"/>
    <w:rPr>
      <w:color w:val="000000"/>
    </w:rPr>
  </w:style>
  <w:style w:type="character" w:customStyle="1" w:styleId="55">
    <w:name w:val="active6"/>
    <w:basedOn w:val="23"/>
    <w:qFormat/>
    <w:uiPriority w:val="0"/>
    <w:rPr>
      <w:color w:val="FFFFFF"/>
    </w:rPr>
  </w:style>
  <w:style w:type="character" w:customStyle="1" w:styleId="56">
    <w:name w:val="required"/>
    <w:basedOn w:val="23"/>
    <w:qFormat/>
    <w:uiPriority w:val="0"/>
    <w:rPr>
      <w:color w:val="FF0000"/>
    </w:rPr>
  </w:style>
  <w:style w:type="character" w:customStyle="1" w:styleId="57">
    <w:name w:val="layui-this"/>
    <w:basedOn w:val="23"/>
    <w:qFormat/>
    <w:uiPriority w:val="0"/>
    <w:rPr>
      <w:bdr w:val="single" w:color="EEEEEE" w:sz="6" w:space="0"/>
      <w:shd w:val="clear" w:color="auto" w:fill="FFFFFF"/>
    </w:rPr>
  </w:style>
  <w:style w:type="character" w:customStyle="1" w:styleId="58">
    <w:name w:val="first-child"/>
    <w:basedOn w:val="23"/>
    <w:qFormat/>
    <w:uiPriority w:val="0"/>
  </w:style>
  <w:style w:type="character" w:customStyle="1" w:styleId="59">
    <w:name w:val="tab1"/>
    <w:basedOn w:val="23"/>
    <w:qFormat/>
    <w:uiPriority w:val="0"/>
  </w:style>
  <w:style w:type="character" w:customStyle="1" w:styleId="60">
    <w:name w:val="tab2"/>
    <w:basedOn w:val="23"/>
    <w:qFormat/>
    <w:uiPriority w:val="0"/>
    <w:rPr>
      <w:color w:val="333366"/>
    </w:rPr>
  </w:style>
  <w:style w:type="character" w:customStyle="1" w:styleId="61">
    <w:name w:val="hilite"/>
    <w:basedOn w:val="23"/>
    <w:qFormat/>
    <w:uiPriority w:val="0"/>
    <w:rPr>
      <w:color w:val="000000"/>
    </w:rPr>
  </w:style>
  <w:style w:type="character" w:customStyle="1" w:styleId="62">
    <w:name w:val="active1"/>
    <w:basedOn w:val="23"/>
    <w:qFormat/>
    <w:uiPriority w:val="0"/>
    <w:rPr>
      <w:color w:val="FFFFFF"/>
    </w:rPr>
  </w:style>
  <w:style w:type="character" w:customStyle="1" w:styleId="63">
    <w:name w:val="active"/>
    <w:basedOn w:val="23"/>
    <w:qFormat/>
    <w:uiPriority w:val="0"/>
    <w:rPr>
      <w:color w:val="FFFFFF"/>
    </w:rPr>
  </w:style>
  <w:style w:type="character" w:customStyle="1" w:styleId="64">
    <w:name w:val="active7"/>
    <w:basedOn w:val="23"/>
    <w:qFormat/>
    <w:uiPriority w:val="0"/>
    <w:rPr>
      <w:color w:val="FFFFFF"/>
    </w:rPr>
  </w:style>
  <w:style w:type="character" w:customStyle="1" w:styleId="65">
    <w:name w:val="hilite4"/>
    <w:basedOn w:val="23"/>
    <w:qFormat/>
    <w:uiPriority w:val="0"/>
    <w:rPr>
      <w:color w:val="000000"/>
    </w:rPr>
  </w:style>
  <w:style w:type="character" w:customStyle="1" w:styleId="66">
    <w:name w:val="l-btn-left"/>
    <w:basedOn w:val="23"/>
    <w:qFormat/>
    <w:uiPriority w:val="0"/>
  </w:style>
  <w:style w:type="character" w:customStyle="1" w:styleId="67">
    <w:name w:val="l-btn-left1"/>
    <w:basedOn w:val="23"/>
    <w:qFormat/>
    <w:uiPriority w:val="0"/>
  </w:style>
  <w:style w:type="character" w:customStyle="1" w:styleId="68">
    <w:name w:val="l-btn-left2"/>
    <w:basedOn w:val="23"/>
    <w:qFormat/>
    <w:uiPriority w:val="0"/>
  </w:style>
  <w:style w:type="character" w:customStyle="1" w:styleId="69">
    <w:name w:val="old"/>
    <w:basedOn w:val="23"/>
    <w:qFormat/>
    <w:uiPriority w:val="0"/>
    <w:rPr>
      <w:color w:val="999999"/>
    </w:rPr>
  </w:style>
  <w:style w:type="character" w:customStyle="1" w:styleId="70">
    <w:name w:val="hover"/>
    <w:basedOn w:val="23"/>
    <w:qFormat/>
    <w:uiPriority w:val="0"/>
    <w:rPr>
      <w:shd w:val="clear" w:color="auto" w:fill="EEEEEE"/>
    </w:rPr>
  </w:style>
  <w:style w:type="character" w:customStyle="1" w:styleId="71">
    <w:name w:val="l-btn-text"/>
    <w:basedOn w:val="23"/>
    <w:qFormat/>
    <w:uiPriority w:val="0"/>
  </w:style>
  <w:style w:type="character" w:customStyle="1" w:styleId="72">
    <w:name w:val="hour_am"/>
    <w:basedOn w:val="23"/>
    <w:qFormat/>
    <w:uiPriority w:val="0"/>
  </w:style>
  <w:style w:type="character" w:customStyle="1" w:styleId="73">
    <w:name w:val="hour_pm"/>
    <w:basedOn w:val="23"/>
    <w:qFormat/>
    <w:uiPriority w:val="0"/>
  </w:style>
  <w:style w:type="character" w:customStyle="1" w:styleId="74">
    <w:name w:val="checked"/>
    <w:basedOn w:val="23"/>
    <w:qFormat/>
    <w:uiPriority w:val="0"/>
  </w:style>
  <w:style w:type="character" w:customStyle="1" w:styleId="75">
    <w:name w:val="checked1"/>
    <w:basedOn w:val="23"/>
    <w:qFormat/>
    <w:uiPriority w:val="0"/>
  </w:style>
  <w:style w:type="character" w:customStyle="1" w:styleId="76">
    <w:name w:val="l-btn-empty"/>
    <w:basedOn w:val="23"/>
    <w:qFormat/>
    <w:uiPriority w:val="0"/>
  </w:style>
  <w:style w:type="character" w:customStyle="1" w:styleId="77">
    <w:name w:val="filename"/>
    <w:basedOn w:val="23"/>
    <w:qFormat/>
    <w:uiPriority w:val="0"/>
    <w:rPr>
      <w:color w:val="777777"/>
      <w:sz w:val="16"/>
      <w:szCs w:val="16"/>
    </w:rPr>
  </w:style>
  <w:style w:type="character" w:customStyle="1" w:styleId="78">
    <w:name w:val="l-btn-icon-left"/>
    <w:basedOn w:val="23"/>
    <w:qFormat/>
    <w:uiPriority w:val="0"/>
    <w:rPr>
      <w:sz w:val="18"/>
      <w:szCs w:val="18"/>
    </w:rPr>
  </w:style>
  <w:style w:type="character" w:customStyle="1" w:styleId="79">
    <w:name w:val="action"/>
    <w:basedOn w:val="23"/>
    <w:qFormat/>
    <w:uiPriority w:val="0"/>
    <w:rPr>
      <w:b/>
      <w:bCs/>
      <w:sz w:val="16"/>
      <w:szCs w:val="16"/>
      <w:shd w:val="clear" w:color="auto" w:fill="FFFFFF"/>
    </w:rPr>
  </w:style>
  <w:style w:type="character" w:customStyle="1" w:styleId="80">
    <w:name w:val="l-btn-icon-right"/>
    <w:basedOn w:val="23"/>
    <w:qFormat/>
    <w:uiPriority w:val="0"/>
  </w:style>
  <w:style w:type="paragraph" w:customStyle="1" w:styleId="81">
    <w:name w:val="_Style 80"/>
    <w:basedOn w:val="1"/>
    <w:next w:val="1"/>
    <w:qFormat/>
    <w:uiPriority w:val="0"/>
    <w:pPr>
      <w:pBdr>
        <w:bottom w:val="single" w:color="auto" w:sz="6" w:space="1"/>
      </w:pBdr>
      <w:jc w:val="center"/>
    </w:pPr>
    <w:rPr>
      <w:rFonts w:ascii="Arial"/>
      <w:vanish/>
      <w:sz w:val="16"/>
    </w:rPr>
  </w:style>
  <w:style w:type="paragraph" w:customStyle="1" w:styleId="82">
    <w:name w:val="_Style 81"/>
    <w:basedOn w:val="1"/>
    <w:next w:val="1"/>
    <w:qFormat/>
    <w:uiPriority w:val="0"/>
    <w:pPr>
      <w:pBdr>
        <w:top w:val="single" w:color="auto" w:sz="6" w:space="1"/>
      </w:pBdr>
      <w:jc w:val="center"/>
    </w:pPr>
    <w:rPr>
      <w:rFonts w:ascii="Arial"/>
      <w:vanish/>
      <w:sz w:val="16"/>
    </w:rPr>
  </w:style>
  <w:style w:type="character" w:customStyle="1" w:styleId="83">
    <w:name w:val="control-label8"/>
    <w:basedOn w:val="23"/>
    <w:qFormat/>
    <w:uiPriority w:val="0"/>
  </w:style>
  <w:style w:type="character" w:customStyle="1" w:styleId="84">
    <w:name w:val="hover3"/>
    <w:basedOn w:val="23"/>
    <w:qFormat/>
    <w:uiPriority w:val="0"/>
    <w:rPr>
      <w:shd w:val="clear" w:color="auto" w:fill="EEEEEE"/>
    </w:rPr>
  </w:style>
  <w:style w:type="character" w:customStyle="1" w:styleId="85">
    <w:name w:val="l-btn-text1"/>
    <w:basedOn w:val="23"/>
    <w:qFormat/>
    <w:uiPriority w:val="0"/>
  </w:style>
  <w:style w:type="character" w:customStyle="1" w:styleId="86">
    <w:name w:val="control-label5"/>
    <w:basedOn w:val="23"/>
    <w:qFormat/>
    <w:uiPriority w:val="0"/>
  </w:style>
  <w:style w:type="character" w:customStyle="1" w:styleId="87">
    <w:name w:val="control-label9"/>
    <w:basedOn w:val="23"/>
    <w:qFormat/>
    <w:uiPriority w:val="0"/>
  </w:style>
  <w:style w:type="character" w:customStyle="1" w:styleId="88">
    <w:name w:val="hover2"/>
    <w:basedOn w:val="23"/>
    <w:qFormat/>
    <w:uiPriority w:val="0"/>
    <w:rPr>
      <w:shd w:val="clear" w:color="auto" w:fill="EEEEE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68</Pages>
  <Words>31834</Words>
  <Characters>34152</Characters>
  <Lines>262</Lines>
  <Paragraphs>73</Paragraphs>
  <TotalTime>297</TotalTime>
  <ScaleCrop>false</ScaleCrop>
  <LinksUpToDate>false</LinksUpToDate>
  <CharactersWithSpaces>34427</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2017-09-13T09:35:00Z</dcterms:created>
  <dc:creator>未定义</dc:creator>
  <cp:lastModifiedBy>未定义</cp:lastModifiedBy>
  <cp:lastPrinted>2017-09-13T07:55:00Z</cp:lastPrinted>
  <dcterms:modified xsi:type="dcterms:W3CDTF">2024-07-01T08:00:44Z</dcterms:modified>
  <cp:revision>160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6C4DF364183F4766932A2DB293929663_13</vt:lpwstr>
  </property>
</Properties>
</file>