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482" w:firstLineChars="200"/>
        <w:rPr>
          <w:rFonts w:ascii="宋体" w:hAnsi="宋体"/>
          <w:sz w:val="24"/>
        </w:rPr>
      </w:pPr>
      <w:r>
        <w:rPr>
          <w:rFonts w:hint="eastAsia" w:ascii="宋体" w:hAnsi="宋体"/>
          <w:b/>
          <w:sz w:val="24"/>
        </w:rPr>
        <w:t>技术要求</w:t>
      </w:r>
    </w:p>
    <w:tbl>
      <w:tblPr>
        <w:tblStyle w:val="8"/>
        <w:tblW w:w="943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9"/>
        <w:gridCol w:w="1652"/>
        <w:gridCol w:w="691"/>
        <w:gridCol w:w="689"/>
        <w:gridCol w:w="4829"/>
        <w:gridCol w:w="7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14:textFill>
                  <w14:solidFill>
                    <w14:schemeClr w14:val="tx1"/>
                  </w14:solidFill>
                </w14:textFill>
              </w:rPr>
            </w:pPr>
            <w:r>
              <w:rPr>
                <w:rFonts w:hint="eastAsia" w:cs="宋体"/>
                <w:color w:val="000000" w:themeColor="text1"/>
                <w:kern w:val="0"/>
                <w:sz w:val="24"/>
                <w14:textFill>
                  <w14:solidFill>
                    <w14:schemeClr w14:val="tx1"/>
                  </w14:solidFill>
                </w14:textFill>
              </w:rPr>
              <w:t>序号</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14:textFill>
                  <w14:solidFill>
                    <w14:schemeClr w14:val="tx1"/>
                  </w14:solidFill>
                </w14:textFill>
              </w:rPr>
            </w:pPr>
            <w:r>
              <w:rPr>
                <w:rFonts w:hint="eastAsia" w:cs="宋体"/>
                <w:color w:val="000000" w:themeColor="text1"/>
                <w:kern w:val="0"/>
                <w:sz w:val="24"/>
                <w14:textFill>
                  <w14:solidFill>
                    <w14:schemeClr w14:val="tx1"/>
                  </w14:solidFill>
                </w14:textFill>
              </w:rPr>
              <w:t>标的名称</w:t>
            </w:r>
          </w:p>
        </w:tc>
        <w:tc>
          <w:tcPr>
            <w:tcW w:w="691"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14:textFill>
                  <w14:solidFill>
                    <w14:schemeClr w14:val="tx1"/>
                  </w14:solidFill>
                </w14:textFill>
              </w:rPr>
            </w:pPr>
            <w:r>
              <w:rPr>
                <w:rFonts w:hint="eastAsia" w:cs="宋体"/>
                <w:color w:val="000000" w:themeColor="text1"/>
                <w:kern w:val="0"/>
                <w:sz w:val="24"/>
                <w14:textFill>
                  <w14:solidFill>
                    <w14:schemeClr w14:val="tx1"/>
                  </w14:solidFill>
                </w14:textFill>
              </w:rPr>
              <w:t>数量</w:t>
            </w:r>
          </w:p>
        </w:tc>
        <w:tc>
          <w:tcPr>
            <w:tcW w:w="68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14:textFill>
                  <w14:solidFill>
                    <w14:schemeClr w14:val="tx1"/>
                  </w14:solidFill>
                </w14:textFill>
              </w:rPr>
            </w:pPr>
            <w:r>
              <w:rPr>
                <w:rFonts w:hint="eastAsia" w:cs="宋体"/>
                <w:color w:val="000000" w:themeColor="text1"/>
                <w:kern w:val="0"/>
                <w:sz w:val="24"/>
                <w14:textFill>
                  <w14:solidFill>
                    <w14:schemeClr w14:val="tx1"/>
                  </w14:solidFill>
                </w14:textFill>
              </w:rPr>
              <w:t>单位</w:t>
            </w:r>
          </w:p>
        </w:tc>
        <w:tc>
          <w:tcPr>
            <w:tcW w:w="482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14:textFill>
                  <w14:solidFill>
                    <w14:schemeClr w14:val="tx1"/>
                  </w14:solidFill>
                </w14:textFill>
              </w:rPr>
            </w:pPr>
            <w:r>
              <w:rPr>
                <w:rFonts w:hint="eastAsia" w:cs="宋体"/>
                <w:color w:val="000000" w:themeColor="text1"/>
                <w:kern w:val="0"/>
                <w:sz w:val="24"/>
                <w14:textFill>
                  <w14:solidFill>
                    <w14:schemeClr w14:val="tx1"/>
                  </w14:solidFill>
                </w14:textFill>
              </w:rPr>
              <w:t>需求条款</w:t>
            </w:r>
          </w:p>
        </w:tc>
        <w:tc>
          <w:tcPr>
            <w:tcW w:w="75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14:textFill>
                  <w14:solidFill>
                    <w14:schemeClr w14:val="tx1"/>
                  </w14:solidFill>
                </w14:textFill>
              </w:rPr>
            </w:pPr>
            <w:r>
              <w:rPr>
                <w:rFonts w:cs="宋体"/>
                <w:color w:val="000000" w:themeColor="text1"/>
                <w:kern w:val="0"/>
                <w:sz w:val="24"/>
                <w14:textFill>
                  <w14:solidFill>
                    <w14:schemeClr w14:val="tx1"/>
                  </w14:solidFill>
                </w14:textFill>
              </w:rPr>
              <w:t>集采内外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▲LED显示屏</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15</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 xml:space="preserve">1、像素点间距≤1.25mm；含LED开关电源（为保证系统稳定性，电源需与显示屏为同一品牌），SMD表贴三合一；像素密度≥640000点/m2；显示屏净显示尺寸不小于5.12m×2.88 m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2、白平衡亮度：500~800cd/m² (6500K，校正后)0~100%任意可调；亮度均匀性：≥99.6%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3、色度均匀性：±0.001Cx，Cy之内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4、发光点中心距偏差＜0.8%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★5、LED显示屏要求水平视角以及垂直视角需≥175。</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6、对比度：12500:1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7、模组表面绝缘电阻≥6000MΩ；泄漏电流≤0.4 mA/㎡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8、灯珠机械抗拉强度≥1.6kg；灯珠通过侧向推力测试，随机选择LED灯珠，在灯珠四侧以水平夹角45°的方向施加推力15N，灯珠未破碎或脱落；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9、显示单元漏光度：＜0.006 CD/m2；像素失控率出厂时为0，点亮2500小时情况下≤1ppm，无连续失控点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10、平整度≤0.05mm；拼接缝≤0.05mm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11、显示屏能效等级≥一级；支持动态节能、智能熄屏等功能，开启动态节电功能比没有开启节能60%以上，能实现低转折节能,多档可调拐点电压；</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12、低灰高亮显示：100%全亮时，灰度级别16bit；70%亮度时，灰度级别15bit；50%亮度时，灰度级别14bit；20%亮度时，灰度级别12bit；支持软件实现不同亮度情况下，灰度10~16bit任意设置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13、连续工作时间≥7×24小时不间断；平均无故障运行时间（MTBF)≥20000小时；故障平均修复时间（MTTR）＜5分钟；正常工作条件下，连续工作时间≥168小时不应出现电、机械或操作系统的故障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14、抗震等级：10级 ；防护等级：IP6x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15、支持单点颜色校正，支持单点亮度校正，支持单点色度校正，校正后亮度损失＜5%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16、最大功耗≤480W/㎡；平均功耗≤160W/㎡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17、接地电阻按GB4943.1-2011测试接地电阻，接地电阻小于0.1欧姆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18、无“鬼影”和“拖影”现象，红、绿、蓝三基色色彩还原度值低于2；具备去消影保护电路；色度基色色度坐标检测功能；基色色度坐标在CIE1931色空间中体现，具备色度校正功能，可调整色域为PAL制式色域；色域范围≥120%NTSC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19、具有图像降噪、图像增强、运动补偿、色坐标变换、钝化处理等图像处理功能，无几何失真和非线性失真现象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20、单纯模组通电，不考虑电源噪音，模组工作噪音应为0db(A),无电流声。模组等低压器件多次带电热插拔后应能正常工作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21、符合盐雾10级要求，样品放置在(5±0.1）%盐溶液，空间温度35℃，PH值: 6.5-7.2的试验空间内48h，样品表面无起泡、裂纹、毛刺、锈蚀等现象,仍能正常工作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22、通过光生物安全及蓝光危害评估检测，不存在蓝光视网膜危害，蓝光危害安全系数达到0类，无风险等级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23、电磁兼容（EMC）测试：符合GB/T 9254-2008要求达到 CLASS B级标准，电源端子骚扰电压限值、电信端口的传导共模（非对称）骚扰电压限值、电信端口的传导共模（非对称）骚扰电流限值、辐射骚扰限值均符合 Class B级限值要求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24、视觉舒适度(VICO指数)范围在0-1级，满足CSA035.2-2017标准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25、水平/垂直相对错位等级均符合SJ/T11141-2017符合C级≤5%标准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26、支持 LED 单点自检、通讯检测、电源检测、温度监控等功能，支持故障智能自查诊断及排查功能，可实现远程监督控制，对可能发生的潜在故障记录日志，并向操作员发出警报信息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27、LED显示屏图像质量主观评价整体符合为优级要求。</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2</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接收卡</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40</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张</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1.单卡最大支持24组数据输出。</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2.为保证接收卡工作稳定性，减少接插连接件，减少故障点，接收卡不得使用转接板连接。</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3.为保证接收卡带载冗余，接收卡可最高带载不得低于1024，最宽带载不得低于512。</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4.为减少电压波动对显示屏的影响，接收卡需支持宽电压输入。</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5.为保证显示屏的画质一致性，接收卡需支持逐点校正功能。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6.为解决因箱体及模组拼接造成的显示屏亮暗线问题，接收卡需支持修缝功能。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7.为方便显示屏后期维护，接收卡需支持测试屏幕连接功能。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8.为保证产品使用安全，产品需具备抗电击及能量危险防护特性。</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9.为延长使用周期，接收卡需标配原厂品牌绝缘阻燃材料卡托。</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10.为便于显示屏维护，在不改变网线连接的情况下，支持对指定接收卡参数单独调整，同时不影响其他接收卡参数和显示。</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3</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视频拼接服务器</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套</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1、采用标准 19 英寸金属结构机箱，机箱为后挂耳结构，上盖无螺钉安装:外壳防护等级符合GBIT 4280-2017中IP20的要求;采用纯硬件 FPGA 架构设计、运行稳定、可靠、高效。</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2、输入接口至少包含2路 HDMI2.0,1路 DP1.2+HDMI 2.0二选一,4路 HDMI13,1路USB3.0,支持选配1路 3G-SDI(IN+LOOP)，最大支持3路4096*2160@60HZ信号同时输入。</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3、视频输出支持可达24路千兆网口输出，4路10G-OPT光口，最大带载可达1560万像素，最宽支持16384,最高8192。</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4、音频输入支持视频口伴随音频输入及独立输入两种模式，音频输出支持网口扩展输出及3.5mm独立音频口输出；</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5、支持输入源备份功能，主源丢失下，无需人为操作可自动切换至备源显示，切换过程无黑屏；</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6、可支持144HZ高帧率输入输出，输出支持插帧、抽帧、倍频（2倍频、3倍频、4倍频）功能，可将30HZ信号，倍频至120HZ输出；</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7、图层能力：支持不少于12个2K图层或6个4K*1K图层或3个4K*2K图层，全部图层大小和位置可单独调节。4K接口输入2K信号，按2K图层计算图层资源；</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支持通过上位机软件实现对显示屏的连接，控制，包括：输入源切换，窗口位置及大小调节，分辨率自定义等；软件端支持可视化呈现设备各接口实时状态，包括视频输入状态及分辨率、网口带载利用率、监控界面支持接收卡温度、电压、误码率、通讯状态等的检测；</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支持U盘即插即播功能，最大支持4K级（3840*2160@60fps）图片和视频的流畅播放，播放列表计切换效果支持自定义编排，最多支持20余种图片切换特效，如：水波涟漪、镜头拉近、直接推出、立体翻转、百叶窗、左右擦除、上下擦除、立方体旋转、溶解转场、网格转场、扇扫转场、画卷转场、淡入淡出、旋转扭曲、心形转场、拉帘推出、透视三角、圆形消失、矩形弹跳、星形旋转等；</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10、设备标配全彩液晶，搭配实体按键，方便对设备整体状态的监控及设备功能的控制:设备功能按键及丝印信息采用全中文提示；</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11、支持不少于2种用户模式设置，满足不同角色对显示屏的分权管理，使用更加放心；</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12、支持微信小程序快捷控制，包括但不限于亮度调节、输出画质调节、待机模式、画面冻结、场景切换、U盘播放等功能；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13、支持平板对控制器进行快捷控制，包括但不限于亮度调节、图层布局调节、画面冻结、黑屏、场景切换、音量大小、OSD开关等功能；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14、支持创建设备还原点，将当前设备的相关参数存储为还原点，当系统工作异常时，可根据还原点一键快速还原；</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15、支持控制设备白名单，可通过MAC地址限制控制设备，非白名单内设备无法控制设备，不允许对设备进行操作；</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16、MTBF≥150000小时，MTTR平均修复小于10分钟 可用度大于 99%，整机寿命不小于150000小时。产品稳定性高、性能卓越、纯硬件结构，上电即可正常工作，无需做任何其它设置。</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17、设备控制支持BS架构，可兼容多种操作系统包括但不限于：Windows、MAC OS、深度 Linux、银河麒麟、统信 UOS中标麒麟(NeoKylin)、优麒麟(UbuntuKylin)、凝思磐石、红旗 Linux 等;</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4</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LED屏幕结构及四周包边装饰</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套</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1.根据现场情况设计，不能影响原有装饰，安装牢固，满足承重要求，符合国家相关技术标准和要求。屏体安装后，保持LED前面从上到下为一个平面，确保屏幕的平整度，包含钛金不锈钢包边。</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w:t>
            </w:r>
            <w:r>
              <w:rPr>
                <w:rFonts w:hint="eastAsia"/>
                <w:color w:val="000000" w:themeColor="text1"/>
                <w14:textFill>
                  <w14:solidFill>
                    <w14:schemeClr w14:val="tx1"/>
                  </w14:solidFill>
                </w14:textFill>
              </w:rPr>
              <w:t xml:space="preserve"> </w:t>
            </w:r>
            <w:r>
              <w:rPr>
                <w:rFonts w:hint="eastAsia"/>
                <w:color w:val="000000" w:themeColor="text1"/>
                <w:sz w:val="24"/>
                <w:szCs w:val="21"/>
                <w14:textFill>
                  <w14:solidFill>
                    <w14:schemeClr w14:val="tx1"/>
                  </w14:solidFill>
                </w14:textFill>
              </w:rPr>
              <w:t>整体墙面结构加固，屏幕四周区域封边装饰，需确保和原有装饰板颜色一致，不允许出现色差。</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3.供应商需充分考虑各项因素，后期不做增补项。</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5</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配电箱</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20KW配电箱，满足大屏功率需求，满足过流、短路、断路、过压、欠压等保护措施；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配电柜给大屏设备供电需按照标准网络机房供电标准设计安装供电，为考虑峰值电流影响，需考虑分路供电，时序控制。</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防护功能：具有防静电、抗震动、防电磁干扰等功能，具有电源过压、过流、断电保护、分布上电措施。</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6</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bookmarkStart w:id="0" w:name="OLE_LINK10"/>
            <w:r>
              <w:rPr>
                <w:rFonts w:cs="宋体"/>
                <w:color w:val="000000" w:themeColor="text1"/>
                <w:kern w:val="0"/>
                <w:sz w:val="24"/>
                <w:szCs w:val="21"/>
                <w14:textFill>
                  <w14:solidFill>
                    <w14:schemeClr w14:val="tx1"/>
                  </w14:solidFill>
                </w14:textFill>
              </w:rPr>
              <w:t>■</w:t>
            </w:r>
            <w:bookmarkEnd w:id="0"/>
            <w:r>
              <w:rPr>
                <w:rFonts w:hint="eastAsia" w:cs="宋体"/>
                <w:color w:val="000000" w:themeColor="text1"/>
                <w:kern w:val="0"/>
                <w:sz w:val="24"/>
                <w:szCs w:val="21"/>
                <w14:textFill>
                  <w14:solidFill>
                    <w14:schemeClr w14:val="tx1"/>
                  </w14:solidFill>
                </w14:textFill>
              </w:rPr>
              <w:t>台式电脑</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CPU≥六核心CPU，主频≥2.5GHZ,内存 ≥</w:t>
            </w:r>
            <w:r>
              <w:rPr>
                <w:color w:val="000000" w:themeColor="text1"/>
                <w:sz w:val="24"/>
                <w:szCs w:val="21"/>
                <w14:textFill>
                  <w14:solidFill>
                    <w14:schemeClr w14:val="tx1"/>
                  </w14:solidFill>
                </w14:textFill>
              </w:rPr>
              <w:t>8</w:t>
            </w:r>
            <w:r>
              <w:rPr>
                <w:rFonts w:hint="eastAsia"/>
                <w:color w:val="000000" w:themeColor="text1"/>
                <w:sz w:val="24"/>
                <w:szCs w:val="21"/>
                <w14:textFill>
                  <w14:solidFill>
                    <w14:schemeClr w14:val="tx1"/>
                  </w14:solidFill>
                </w14:textFill>
              </w:rPr>
              <w:t>G 独立显卡显存≥2</w:t>
            </w:r>
            <w:r>
              <w:rPr>
                <w:color w:val="000000" w:themeColor="text1"/>
                <w:sz w:val="24"/>
                <w:szCs w:val="21"/>
                <w14:textFill>
                  <w14:solidFill>
                    <w14:schemeClr w14:val="tx1"/>
                  </w14:solidFill>
                </w14:textFill>
              </w:rPr>
              <w:t>G</w:t>
            </w:r>
            <w:r>
              <w:rPr>
                <w:rFonts w:hint="eastAsia"/>
                <w:color w:val="000000" w:themeColor="text1"/>
                <w:sz w:val="24"/>
                <w:szCs w:val="21"/>
                <w14:textFill>
                  <w14:solidFill>
                    <w14:schemeClr w14:val="tx1"/>
                  </w14:solidFill>
                </w14:textFill>
              </w:rPr>
              <w:t>，硬盘≥</w:t>
            </w:r>
            <w:r>
              <w:rPr>
                <w:color w:val="000000" w:themeColor="text1"/>
                <w:sz w:val="24"/>
                <w:szCs w:val="21"/>
                <w14:textFill>
                  <w14:solidFill>
                    <w14:schemeClr w14:val="tx1"/>
                  </w14:solidFill>
                </w14:textFill>
              </w:rPr>
              <w:t>512G SSD,</w:t>
            </w:r>
            <w:r>
              <w:rPr>
                <w:rFonts w:hint="eastAsia"/>
                <w:color w:val="000000" w:themeColor="text1"/>
                <w:sz w:val="24"/>
                <w:szCs w:val="21"/>
                <w14:textFill>
                  <w14:solidFill>
                    <w14:schemeClr w14:val="tx1"/>
                  </w14:solidFill>
                </w14:textFill>
              </w:rPr>
              <w:t>≥27寸显示器</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7</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智能控制系统</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套</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1、系统可以在节目内可以将图片、视频、文字、PPT这些素材设置不同的播放时长后，播放时每个素材按照时长主动有序播放。</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2.具有PAD和平板及手机、电脑无线投屏显示功能，支持PC、Mac、IOS及安卓、鸿蒙移动端通过网络实现无线投屏显示功能。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3.用电脑投屏时不需要安装任何软件，运行U盘的绿色软件就可以实现投屏功能。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4.终端控制器的当前任务、当前节目、状态、地址、设备ID、总空间、剩余空间都可以显示。</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5.可以查询到终端控制器的播放日志，包括节目日志与任务日志，开始时间、结束时间、播放节目，并且可以设置查询时间进行日志的查询。</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6.可以发送任务表，不同的时间段播放不同的的节目，每个任务之间的时间间隔最小到60秒。</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7.整个系统支持一键恢复功能，在受到外部条件影响下系统不能正常使用时，系统物理启动后只要点击一个按键就能恢复到出厂时的初始状态，系统仍然可正常使用。</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8.为了方便操作员管理所有的屏幕，终端控制器在屏幕上的播放画面可以被监控到。</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移动操作端支持任意窗口功能模块：单画面播放切换、画中画播放及画中画任意拖动和任意缩放。移动操作端可预设多种窗口模式且每种窗口可以大小不一，各种窗口模式可以大小不一，各种窗口模式可一键式切换且每种窗口模式都有记忆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10.基本节目制作方式具备简单节目、组合节目、互动触摸节目三种方式可供选择制作。简单节目制作：画面任意切割，即元素框直接能通过鼠标拖动设置大小或具体数字输入设置，支持横屏和竖屏的版面，各个播放区域可自由组合、可分层排列；各种素材可以混合播放、叠加，节目编辑所见即所得，方便编辑；组合节目制作：能实现简单节目自由组合，实现各子节目链接播放。互动触摸节目制作：支持触摸页面无限极链接；互动按钮采取人性化设计，能够根据客户要求自由编辑。</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11.操作员分层分级安全管理：实现不同类型操作员有账户有效期、账户使用时间段、账户操作权限、账户终端管理等，彻底消除任何隐私隐患。系统可以创建的用户个数无限制，能够由上一级别的管理员分配下一级别的管理员，并且给每一个管理员分配不同的管理权限，权限管理必须分配到模块下的子功能；通过管理员给每个用户分配管理的终端数量。</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12.多用户间对素材文件共享、节目共享、节目模板共享、播出任务单共享。</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★13.支持二次设计自定义屏幕画面，可设计成椭圆形、三角形、五角形、六边形等风格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14. 每个操作员可以设定不同的互动区域，并且在指定区域设计图片、视频、文字、ppt。</w:t>
            </w:r>
          </w:p>
          <w:p>
            <w:pPr>
              <w:rPr>
                <w:color w:val="000000" w:themeColor="text1"/>
                <w:sz w:val="24"/>
                <w:szCs w:val="21"/>
                <w14:textFill>
                  <w14:solidFill>
                    <w14:schemeClr w14:val="tx1"/>
                  </w14:solidFill>
                </w14:textFill>
              </w:rPr>
            </w:pP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8</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ascii="Arial" w:hAnsi="Arial" w:cs="Arial"/>
                <w:color w:val="000000" w:themeColor="text1"/>
                <w:sz w:val="20"/>
                <w:shd w:val="clear" w:color="auto" w:fill="FFFFFF"/>
                <w14:textFill>
                  <w14:solidFill>
                    <w14:schemeClr w14:val="tx1"/>
                  </w14:solidFill>
                </w14:textFill>
              </w:rPr>
              <w:t>■</w:t>
            </w:r>
            <w:r>
              <w:rPr>
                <w:rFonts w:hint="eastAsia" w:cs="宋体"/>
                <w:color w:val="000000" w:themeColor="text1"/>
                <w:kern w:val="0"/>
                <w:sz w:val="24"/>
                <w:szCs w:val="21"/>
                <w14:textFill>
                  <w14:solidFill>
                    <w14:schemeClr w14:val="tx1"/>
                  </w14:solidFill>
                </w14:textFill>
              </w:rPr>
              <w:t>液晶电视机</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2</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pStyle w:val="21"/>
              <w:numPr>
                <w:ilvl w:val="0"/>
                <w:numId w:val="1"/>
              </w:numPr>
              <w:ind w:firstLineChars="0"/>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≥75英寸4K超高清全面屏</w:t>
            </w:r>
          </w:p>
          <w:p>
            <w:pPr>
              <w:pStyle w:val="21"/>
              <w:numPr>
                <w:ilvl w:val="0"/>
                <w:numId w:val="1"/>
              </w:numPr>
              <w:ind w:firstLineChars="0"/>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能效等级1级</w:t>
            </w:r>
          </w:p>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3</w:t>
            </w:r>
            <w:r>
              <w:rPr>
                <w:rFonts w:hint="eastAsia"/>
                <w:color w:val="000000" w:themeColor="text1"/>
                <w:sz w:val="24"/>
                <w:szCs w:val="21"/>
                <w14:textFill>
                  <w14:solidFill>
                    <w14:schemeClr w14:val="tx1"/>
                  </w14:solidFill>
                </w14:textFill>
              </w:rPr>
              <w:t>.屏幕刷新率≥120hz</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w:t>
            </w:r>
            <w:r>
              <w:rPr>
                <w:color w:val="000000" w:themeColor="text1"/>
                <w:sz w:val="24"/>
                <w:szCs w:val="21"/>
                <w14:textFill>
                  <w14:solidFill>
                    <w14:schemeClr w14:val="tx1"/>
                  </w14:solidFill>
                </w14:textFill>
              </w:rPr>
              <w:t>USB</w:t>
            </w:r>
            <w:r>
              <w:rPr>
                <w:rFonts w:hint="eastAsia"/>
                <w:color w:val="000000" w:themeColor="text1"/>
                <w:sz w:val="24"/>
                <w:szCs w:val="21"/>
                <w14:textFill>
                  <w14:solidFill>
                    <w14:schemeClr w14:val="tx1"/>
                  </w14:solidFill>
                </w14:textFill>
              </w:rPr>
              <w:t>接口≥2，H</w:t>
            </w:r>
            <w:r>
              <w:rPr>
                <w:color w:val="000000" w:themeColor="text1"/>
                <w:sz w:val="24"/>
                <w:szCs w:val="21"/>
                <w14:textFill>
                  <w14:solidFill>
                    <w14:schemeClr w14:val="tx1"/>
                  </w14:solidFill>
                </w14:textFill>
              </w:rPr>
              <w:t>DMI</w:t>
            </w:r>
            <w:r>
              <w:rPr>
                <w:rFonts w:hint="eastAsia"/>
                <w:color w:val="000000" w:themeColor="text1"/>
                <w:sz w:val="24"/>
                <w:szCs w:val="21"/>
                <w14:textFill>
                  <w14:solidFill>
                    <w14:schemeClr w14:val="tx1"/>
                  </w14:solidFill>
                </w14:textFill>
              </w:rPr>
              <w:t>接口≥3</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5.运行内存：</w:t>
            </w:r>
            <w:bookmarkStart w:id="1" w:name="OLE_LINK7"/>
            <w:r>
              <w:rPr>
                <w:rFonts w:hint="eastAsia"/>
                <w:color w:val="000000" w:themeColor="text1"/>
                <w:sz w:val="24"/>
                <w:szCs w:val="21"/>
                <w14:textFill>
                  <w14:solidFill>
                    <w14:schemeClr w14:val="tx1"/>
                  </w14:solidFill>
                </w14:textFill>
              </w:rPr>
              <w:t>≥</w:t>
            </w:r>
            <w:bookmarkEnd w:id="1"/>
            <w:r>
              <w:rPr>
                <w:color w:val="000000" w:themeColor="text1"/>
                <w:sz w:val="24"/>
                <w:szCs w:val="21"/>
                <w14:textFill>
                  <w14:solidFill>
                    <w14:schemeClr w14:val="tx1"/>
                  </w14:solidFill>
                </w14:textFill>
              </w:rPr>
              <w:t>4</w:t>
            </w:r>
            <w:r>
              <w:rPr>
                <w:rFonts w:hint="eastAsia"/>
                <w:color w:val="000000" w:themeColor="text1"/>
                <w:sz w:val="24"/>
                <w:szCs w:val="21"/>
                <w14:textFill>
                  <w14:solidFill>
                    <w14:schemeClr w14:val="tx1"/>
                  </w14:solidFill>
                </w14:textFill>
              </w:rPr>
              <w:t>G</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6.存储内存：≥</w:t>
            </w:r>
            <w:r>
              <w:rPr>
                <w:color w:val="000000" w:themeColor="text1"/>
                <w:sz w:val="24"/>
                <w:szCs w:val="21"/>
                <w14:textFill>
                  <w14:solidFill>
                    <w14:schemeClr w14:val="tx1"/>
                  </w14:solidFill>
                </w14:textFill>
              </w:rPr>
              <w:t>64</w:t>
            </w:r>
            <w:r>
              <w:rPr>
                <w:rFonts w:hint="eastAsia"/>
                <w:color w:val="000000" w:themeColor="text1"/>
                <w:sz w:val="24"/>
                <w:szCs w:val="21"/>
                <w14:textFill>
                  <w14:solidFill>
                    <w14:schemeClr w14:val="tx1"/>
                  </w14:solidFill>
                </w14:textFill>
              </w:rPr>
              <w:t>G</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包含安装挂架</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9</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主扩专业音箱（含支架）</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2</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只</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1.阻抗≤8Ω</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2.频响等同或优于50Hz~20KHz</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3.额定功率≥350W</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4.灵敏度≥99dB/W/M</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5.水平覆盖角≥80°，垂直覆盖角≥60°</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6.高音≥1.7"压缩高音单元×1</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7.低音≥12"低音×1</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10</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专业功放1</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2</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1.标准≤1U机柜式设计；采用PFC+开关电源+D类数字功放设计方案；输出功率：立体声@8Ω：≥500W×2；立体声@4Ω：≥850W×2；桥接@8Ω：≥1700W。</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2.开关电源采用LLC谐振电源短路保护电路和D类数字功放一体模块化设计，保证半桥LLC开关电源稳定性和可靠性。</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3.支持开机软启动功能，软启动过程中电源需求缓慢上升，减少对电网和其他电子设备的电流冲击。</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4.开关电源内置EMI电路，有效的抑制电源谐波，达到欧盟绿色电源标准。</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5.数字功放核心的调制和匹配电路技术，让功放还原真实原声。</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6.整机转换效率达到85%以上。</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 xml:space="preserve">7.数字功放电源自适应音频调整节能功能，实现智能削峰限幅器，控制功率模块及扬声器系统在安全范围内工作。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8.MONO /STEREO/BRIDGE三种模式可选择切换。</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9.开机软启动，防止开机时向电网吸收大电流，干扰其它用电设备。</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10.内置六大保护电路模块，为功放的可靠性保驾护航，具有：过压保护，欠压保护，过流保护，直流保护，输出短路保护，温控风扇等功能。</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11</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辅助专业音箱</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2</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只</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1.阻抗≤8Ω</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2.频响等同或优于55Hz~20KHz</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3.额定功率≥300W</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4.灵敏度≥98dB/W/M</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5.水平覆盖角≥80°，垂直覆盖角≥60°</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6.高音≥1.4"压缩高音单元×1</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7.低音≥10"低音×1</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12</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专业功放2</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1.标准≤1U机箱设计，采用D类数字功放设计方案。</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2.标准XLR输入接口，和LINK输出口。</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3.电源采用开关电源技术，效率高，有效的抑制电源谐波。</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 xml:space="preserve">4.内置智能削峰限幅器，支持开机软启动，防止开机时向电网吸收大电流，干扰其它用电设备。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5.具有：过压保护，欠压保护，过流保护，直流保护，输出短路保护，温控风扇等功能。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6.输出功率：立体声@8Ω：≥350W×2；立体声@4Ω：≥600W×2。</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13</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返听音箱</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2</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只</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1.阻抗≤8Ω</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2.频响等同或优于60Hz-20KHz</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3.额定功率≥300W</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4.灵敏度≥98dB/W/M</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5.水平覆盖角≥80°，垂直覆盖角≥60°</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6.高音≤1.4"压缩高音单元×1；低音：10"低音×1</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14</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台唇音箱</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2</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只</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1.阻抗≤8Ω</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2.频响等同或优于65Hz~20KHz</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3.额定功率≥150W</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4.灵敏度≥95dB/W/M</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5.水平覆盖角≥80°，垂直覆盖角≥60°</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6.高音≥3"锥形高音单元×1</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7.低音≥8"低音×1</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15</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专业功放3</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1.标准≤1U机箱设计，采用D类数字功放设计方案。</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2.标准XLR输入接口，和LINK输出口。</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3.电源采用开关电源技术，效率高，有效的抑制电源谐波。</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 xml:space="preserve">4.内置智能削峰限幅器，支持开机软启动，防止开机时向电网吸收大电流，干扰其它用电设备。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5.具有：过压保护，欠压保护，过流保护，直流保护，输出短路保护，温控风扇等功能。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6.输出功率：立体声@8Ω：≥200W×2；立体声@4Ω：≥400W×2。</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16</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无线手持话筒</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2</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套</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1.基于数字U段的传输技术，pi/4-DQPSK调制方式，传输距离≥80米，接收机具有≥2路平衡输出、≥1路非平衡混音输出；具有混响、均衡、智能静音、音频加密、功率调节功能。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2.具有≥1台接收主机、≥2只手持发射机；频率范围等同或优于470MHz-510MHz、540MHz-590MHz、640MHz-690MHz、807MHz-830MHz四个频段使用。</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接收机前面板具有≥2个显示屏、≥2个编码旋钮、≥2个频率扫描实体按键、≥2个红外对频实体按键、≥1个电源开关按键、≥1个二合一指示灯（红外发射管+对频指示灯）；后面板具有≥1个LINE-OUT接口、≥2个XLR-OUT接口、≥2个BNC接口、≥1个DC接口。发射机具有≥1个OLED 显示屏、≥1个开关机/静音按键、≥2个工作状态指示灯。</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4.具有自动静音功能，麦克风跌落、抛掷时，毫秒级自动静音，避免冲击声；实时监测设备姿态，静置≥5秒静音，≥8分钟关机，无需手动干预。</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5.具有多档位混响调节功能，混响效果≥15625个，效果占比、回响延时、混响幅度调节，三种音效各具有≥25档调节方式。</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6.具有多频段均衡调节功能，均衡调节≥2197种，麦克风均衡器调节功能，具有高、中、低音三种调节档位，每种效果支持≥13档调节。</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7.具有长时间续航，发射机使用时长≥10小时。</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8.具有ID码防串扰功能，采用32位唯一ID码，用于接收和发射配对，收发ID码必须相同才能对码，能够有效防止相同频率的信号相互串台。</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9.接收机具有≥2个2.2英寸的TFT-LCD显示屏；发射机具有≥0.96英寸OLED显示屏，能够显示频率信息、音频加密状态、功率挡位、静音状态、电量格数信息。</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17</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无线头戴式话筒</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套</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1.基于数字U段的传输技术，pi/4-DQPSK调制方式，传输距离≥80米，接收机具有≥2路平衡输出、≥1路非平衡混音输出；具有混响、均衡、智能静音、音频加密、功率调节功能。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2.具有≥1台接收主机、≥2只头戴腰包；频率范围等同或优于470MHz-510MHz、540MHz-590MHz、640MHz-690MHz、807MHz-830MHz四个频段使用。</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接收机前面板具有≥2个TFT-LCD显示屏、≥2个编码旋钮、≥2个频率扫描实体按键、≥2个红外对频实体按键、≥1个电源开关按键、≥1个二合一指示灯（红外发射管+对频指示灯）；后面板具有≥1个LINE-OUT接口、≥2个XLR-OUT接口、≥2个BNC接口、≥1个DC接口。发射机具有≥1个显示屏、≥4个实体按键（包括≥1个静音键、≥1个音量减少键、≥1个音量增加键、≥1个电源开关键）、≥1个电源状态指示灯、≥1个静音指示灯。</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4.具有多档位混响调节功能，混响效果≥15625个，效果占比、回响延时、混响幅度调节，三种音效各具有≥25档调节方式。</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5.具有多频段均衡调节功能，均衡调节≥2197种，麦克风均衡器调节功能，具有高、中、低音三种调节档位，每种效果支持≥13档调节。</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6.具有长时间续航，发射机连续使用时长≥10小时。</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7.具有ID码防串扰功能，采用32位唯一ID码，用于接收和发射配对，收发ID码必须相同才能对码，能够有效防止相同频率的信号相互串台。</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8.接收机具有≥2个2.2英寸的TFT-LCD显示屏；发射机具有≥0.96英寸OLED显示屏，能够显示频率信息、音频加密状态、功率挡位、静音状态、电量格数信息。</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18</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天线分配器</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套</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1.具备≥2个天线输入接口，支持接收天线信号，实现分配多路射频信号的效果。</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2.具备放大射频信号，补偿因信号功率被分配至多个输出而造成的插入损耗。</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3.具备≥2个天线级联接口，支持无限制级联分配器，可实现扩展无线话筒的目的。</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4.具备≥4个直流电源输出接口，支持给≥4台接收机供电，减少适配器数量和免去繁琐布线。</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19</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话筒天线</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套</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1.射频频率范围等同或优于470～950MHz</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2.驻波比：≤2.0</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3.输入阻抗：≤50Ω</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4.指向性：≥180度指向</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20</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双咪杆演讲话筒</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 xml:space="preserve">1.换能方式：电容式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2.咪杆数量：双咪杆</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3.频率响应等同或优于50Hz-18kHz</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 xml:space="preserve">4.指向性：超心型指向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5.输出阻抗（欧姆）：≤1200Ω平衡</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6.供电电压：≥幻象48V</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21</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数字调音台</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1.具有≥14路平衡XLR输入接口、≥16路TRS输入接口、≥1路OPTICAL接口、≥1路S/PDIF接口、≥1路USB2.0输入声卡。</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2.具有≥100组场景预设功能，可导出、导入USB存储器，便于数据备份；≥32个PEQ模式存储。</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3.具有≥8个推子编组、≥3个快速静音组按键。</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4.具有≥2个内置效果器，设备自带有经典混响、大房间混响等效果模块。</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5.具有≥1个10.1英寸高清触摸屏，支持≥1280×800分辨率。</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6.具有≥13个100mm电动推子，电动推子可操控所有的通道和主输出:≥1个LR主声道推子、≥12个通道推子以及≥2个推子层。</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7.具有面板锁定按键，防止误操作。</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8.支持中英文界面切换，且无需重启。</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9.每个输入通道具有≥4段参数均衡、噪声门、高低通、压缩、反相。</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10.每个输出通道具有≥8段参数均衡、高低通、压缩、反相、1800亳秒延时器。</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11.输入带有独立的反馈抑制器，支持增益共享型自动混音，带有≥2个DCA编组。</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22</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音频处理器</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后面板具有≥8路线路音频凤凰端子平衡输入接口（具有48V幻象供电）、≥8路线路音频凤凰端子平衡输出接口、≥1个拨码开关、≥1个RJ45接口、≥1个RS232接口、≥1个RS485接口、≥8个可编程GPIO控制接口、≥1个接地柱；前面板具有≥2.0英寸 IPS 真彩显示屏、≥1个编码旋钮、≥1个USB存储设备接口。</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输入通道支持前级放大、信号发生器、扩展器、压缩器、均衡器（≥12段参量均衡、可选10/15/31段图示均衡器可调，图示均衡器可用于单独调节带宽）、闪避器、AGC自动增益、AM自动混音功能（门限式、增益共享式）、AFC自适应反馈消除、AEC回声消除、ANC噪声消除、音频矩阵；输出通道支持均衡器（≥12段参量均衡、可选10/15/31段图示均衡器可调，图示均衡器可用于单独调节带宽）、延时器、分频器、高低通滤波器、限幅器；基于啸叫检测门限更新法，具有移频+陷波组合反馈抑制，可以使用≥24个可编程陷波点，可自由分配动态/静态点，自动/手动切换。</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3.具有矩阵增益调节功能，每个输入通道参与混音的增益可调，增益调节范围等同或优于-72db到12db。</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★4.音频处理器具有跨平台软件，可运行的操作系统版本≥8种，包括Windows7/10/11、银河麒麟桌面操作系统（兆芯版）、银河麒麟桌面操作系统（飞腾版）、macOS系统、统信UOS、Ubuntu桌面版操作系统。</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5.产品具有PC客户端、手机移动端、安卓平板端不同控制方式，可以通同时登入APP软件、PC客户端同时连接设备，并实现多端数据的同步。</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6.设备具有编码旋钮和IPS屏幕，可用于控制和配置设备静音，增益，场景；IPS屏幕能够显示IP地址，输入和输出通道的实时电平。</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7.具有设备定位功能，客户端一键定位局域网内同类设备，被定位的设备会显示定位信息。</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8.设备具有统一集中控制功能，支持≥65535台设备通过软件集中控制。</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音频处理器软件可融入会议音频综合管理平台实现音频设备统一管理，平台可扫描数字会议主机、音频处理器、混音器、抑制器、功放类产品在线情况，同款产品多台在线设备也可扫描，并显示设备硬件名称、硬件IP地址、在线、离线状态信息；具备一键上传配置信息至云端或保存本地进行备份和一键还原配置信息功能。</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23</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监听音箱</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套</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1.有源音箱内置高保真扬声器，额定输出功率支持≥2×25W，支持4-8Ω输出阻抗。</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2.支持≥1路话筒和≥1路立体声线路输入接口、≥1路立体声线路输出接口，带默音功能，话筒优先于线路输入。具有≥1个麦克风音量调节，≥1个线路输入音量调节，≥2个高低音调节。</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3.支持≥100V广播输入接口。4.具有输出过载、过压、短路保护。</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5.信噪比≥70dB，频率响应等同或优于40Hz~20KHz(≤±3dB)，谐波失真≤1%。</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24</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电源管理器</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4</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1.支持≥8通道电源时序打开/关闭，每路动作延时时间：≤1秒，支持远程控制（上电+24V直流信号）8通道电源时序打开/关闭—当电源开关处于off位置时有效。支持配置CH1和CH2通道为受控或不受控状态。</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2.当远程控制有效时同时控制后板ALARM（报警）端口导通以起到级联控制ALARM（报警）功能。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3.单个通道最大负载功率≥2200W，所有通道负载总功率≥6000W。输出连接器：多用途电源插座。</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4.具有一路及以上USB输出接口。</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25</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▲全数字会议系统主机</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1.支持≥4096台有线会议单元和≥300台无线会议单元同时接入管理使用；支持≥4396台会议单元同时参与会议议程（签到、表决、服务）以及发言控制。</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2.主机兼容同时连接有线与无线会议单元，二者可并行使用；采用跨域音频同步技术，有线与无线会议单元音频的音频无缝混音输出。</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3.设备采用分段压缩混音处理技术和时钟同步传输技术，会议单元拾音到主机输出延时≤5ms。</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设备具有≥1个USB接口；后面板具有≥2路RS-232接口、≥1路RS-485接口、≥4路RJ45通讯接口；具有≥1路RCA输入、≥1路卡侬输入、≥2路凤凰端子输入接口；≥1路RCA输出、≥1路卡侬输出、≥16路凤凰端子输出接口；≥1个拨码开关、≥1个接地柱。</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前面板具有≥5个状态指示灯，可显示有线无线会议单元使用状态；其中≥4个有线会议发言单元通讯指示灯，有线会议单元正常通讯使用为闪烁状态；其中≥1个为无线会议发言单元通讯指示灯，接上无线收发器正常使用进入闪烁状态；未接入设备时不亮，可快速检测链路使用状态。</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具有≥16路音频输出通道，通过扩展可实现≥272个音频输出通道，音频输出通道可配置为有线角色分离输出模式、无线角色分离输出模式、同传输出模式；每个音频输出通道都能独立调节音频参数，包括≥30级音量调节、≥10段均衡器调节、≥100级延时器调节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7.主机具有≥16通道音频分组输出接口；采用会议分区相控技术，可拆分≥16个独立的会议系统使用，也可以组成一个大型的会议系统使用，实现多种方式的会议室合并/拆分。</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8.支持主机U盘和客户端软件两种录音方式；搭配会议话筒和录音盒可以录制单个会议单元发言音频和录制所有会议单元混音发言音频。</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具有C/S、B/S管控架构，包括客户端、WEB端、本机全彩触摸屏、安卓手机/平板控制方式；通过客户端、WEB端可调节音频矩阵参数（包括EQ、音量、延时器、会议单元灵敏度）、≥16通道输出模式切换、开关会议单元、中英俄法四种语言切换、控制角色分离主机功能；使用本机全彩触摸屏可调节会议模式、有线/无线会议单元开麦数量、编ID、主机/从机设置、中英俄法四种语言切换、显示亮度/输出音量调节、显示剩余使用天数、输入注册码进行主机注册功能；使用安卓手机/平板可控制会议单元开关、开启签到、投票、表决、接收会议服务信息、一键关闭无线会议单元功能，免PC操作。</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10.WEB管理端具有切换个性化主题风格功能，可切换≥4种风格，可选简约主题、政务主题、时尚主题、活力主题，不同主题提供不同UI界面背景颜色。</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11.超大数据处理能力：系统支持≥24台会议单元同时发言，其中支持≥16台有线会议单元和≥8台无线会议单元同时发言；具有自定义会议单元发言人数功能，有线会议单元发言人数范围可设置为等同或优于1至16之间的任意数量；无线会议单元发言人数范围可设置为等同或优于1至8之间的任意数量。</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12.具有≥3种备份机制；支持主机双机热备功能，可设置一台设备为主机，另一台设置为从机，当主机出现故障时，可自动切换至从机运行，实现双备份功能；支持环形双链路功能，确保在其中的一条网线断开或者单元出问题时，会议能继续正常进行；支持T型链路备份功能，链路中即使多台会议单元出现故障，其他会议单元不受影响，保障会议正常进行。</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13.采用会议系统多环路检测及网络补给技术，实现会议单元手拉手链路出现故障时快速恢复，环路恢复时间≤5ms。</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14.具有C/S、B/S架构管理软件，客户端、WEB端软件均可运行的操作系统版本≥8种，包括Windows7/10/11、银河麒麟桌面操作系统（兆芯版）、银河麒麟桌面操作系统（飞腾版）、macOS系统、统信UOS、Ubuntu桌面版操作系统。</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15.支持搭配会议话筒处理器使用，主机与话筒处理器之间通过网线连接方式传输音频，可以同时传输≥16路有线会议单元和≥8路无线会议单元发言的音频信号，并提供反馈抑制、智能混音以及自动增益音频调节处理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16.会议主机软件融入音频综合管理平台实现音频设备统一管理，平台可扫描数字会议主机、音频处理器、混音器、抑制器、功放类产品在线情况，同款产品多台在线设备也可扫描，并显示设备硬件名称、硬件IP地址、在线、离线状态信息；具备一键上传配置信息至云端或保存本地进行备份功能和一键还原配置信息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17.会议主机可受全数字会议系统综合控制软件的控制，实现会议室布局（至少包括添加、扫描和管理多台单元；EQ调节；自动增益、自动混音参数配置；灵敏度设置）、话筒管理（至少包括查看会议单元发言最大数量；自定义单元发言人数；设置话筒模式；签到；自定义表决形式；摄像、语言跟踪）、会议室可视化布局管理（至少包括模拟排位；自动排位；在线编辑单元编号）、会议议程（至少包括投票参数设置、投票结果实时投屏展示；译员机语种选择和设置；电子铭牌设置）等功能。</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26</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会议话筒处理器</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具有智能混音、语音检测功能，可以实现≥16个有线会议单元+≥8个无线会议单元同时开启并实时检测会议单元dB值；当发言人讲话时，会议单元自动调整为发言状态，并联动摄像机自动跟踪发言人；当发言人停止讲话时，会议单元自动调整为静音状态，并联动摄像机自动切换到全景画面。</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2.具有≥1个RS485、≥1个RS232接口，可对接摄像机实现摄像跟踪功能；内置≥64个话筒预置位，满足大型会议室摄像跟踪需求。</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3.后面板具有≥1个船形开关、≥4个RJ45、≥1个RS485、≥2个RS232、≥1个TYPE-C接口、≥1个拨码开关、≥1路卡侬输出接口和≥2路RCA输出接口；前面板具有≥1个AFC电容触摸开关；≥4个状态指示灯（包括≥1个AFC 功能状态指示灯、≥1个音频信号灯、≥1个处理器工作状态指示灯、≥1个工作电源指示灯）。</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处理器与数字会议主机通过网络传输链路传输会议单元音频信号，只需要通过网线即可以接收数字会议单元音频信号，并提供自动增益、自动混音、AFC反馈抑制（≥24个可编程陷波点）、EQ调节（≥31段图示均衡器调节）音频处理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5.采用啸叫检测门限更新法，移频+陷波组合反馈抑制方式，具有≥24个可编程陷波点，可自由分配动态/静态点，自动/手动切换。</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产品软件与数字会议主机软件集成，可以实现使用同一软件配置数字会议主机和会议话筒处理器；支持搭配音频综合管理平台集中管控各种音频设备，包含数字会议系统软件模块、电子桌牌软件模块、反馈抑制器软件模块、智能混音器软件模块、数字音频处理器软件模块、智控数字专业功放软件模块，各模块打开呈现在状态栏窗口，可快速管理和调用。</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27</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主席会议话筒</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1.话筒采用数字传输链路；具有≥2个网口，可用于手拉手级联。</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2.内置高保真扬声器，并具有音量调节旋钮，可调节扬声器输出音量大小；具有抑制啸叫功能，当话筒打开时，内置的扬声器会自动关闭。</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3.主席话筒具备关闭代表话筒发言的优先权限。</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4.具有≥3.5mm立体声输出插座，可做录音及连接耳机用。</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5.具有独立的 web 控制页面，支持调节话筒ID号、话筒灵敏度、话筒EQ参数。</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6.支持WEB页面固件升级功能。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7.话筒内置数字功放芯片；芯片具备自动增益AGC和压限功能，能够通过数字功放芯片处理数字音频信号，使话筒内置喇叭输出的音频清晰洪亮。</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8.话筒内置≥1个4Ω 2W喇叭，可通过内置喇叭输出其他话筒发言的音频，实现本地扩声。</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28</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代表会议话筒</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5</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1.话筒采用数字传输链路；具有≥2个网口，可用于手拉手级联。</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2.内置高保真扬声器，并具有音量调节旋钮，可调节扬声器输出音量大小；具有抑制啸叫功能，当话筒打开时，内置的扬声器会自动关闭。</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3.具有≥3.5mm立体声输出插座，可做录音及连接耳机用。</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4.具有独立的 web 控制页面，支持调节话筒ID号、话筒灵敏度、话筒EQ参数。</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5.支持WEB页面固件升级功能。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6.话筒内置数字功放芯片；芯片具备自动增益AGC和压限功能，能够通过数字功放芯片处理数字音频信号，使话筒内置喇叭输出的音频清晰洪亮。</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7.话筒内置≥1个4Ω 2W喇叭，可通过内置喇叭输出其他话筒发言的音频，实现本地扩声。</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29</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网络中控主机</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1.支持红外控制、RS-232、RS-422、RS-485、UDP、TCP、telnet、http、MQTT以及SNMP等多种协议，兼容性强，可对接第三方设备。</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2.主机具备≥4.3英寸触摸彩屏、≥8路独立可编程串口、≥8路独立可编程IR红外发射口、≥8路数字I/0控制口、≥8路弱电继电器控制接口、≥1个NET网络控制接口、≥1路TF卡接口。</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3.支持双机热备份。当中控主机出现故障时，备用中控主机自动承担服务，从而保证系统在不需要人工干预的情况下能正常运行。</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4.支持互联网控制。中控主机在连接互联网的情况下，用户可操作手机或平板等移动端通过互联网实现对中控主机远程控制。</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5.支持扫二维码控制。中控主机在连接互联网的情况下会在云平台自动生成二维码，通过微信或者浏览器扫一扫二维码，即可进入控制界面，实现对中控主机控制。支持密码权限设置。</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6.支持视频矩阵可视化控制。用户可通过控制端实时预览、拖动并切换矩阵视频信号，支持设置触碰和投放触发切换方式。</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7.支持拼接矩阵可视化控制。用户可通过控制端实时预览、放大、缩小、拖动并切换拼接矩阵视频信号，可对输入信号源进行置底、置顶以及一键清屏等操作，支持设置触碰和投放触发切换方式。</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8.支持≥2种局域网远程桌面方式，无需连接外部网络或使用第三方软件，支持多用户远程协同控制，便于现场运维。</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9.对接云会务系统。用户通过手机APP或WEB端预约会议室时，可设置情景类型以及开始/结束时间。会议开始前，系统会自动调用场景，场景内所有设备联动启动或切换；会议结束后设备自动关闭。</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10.产品具有≥2种编程方式，包括图形化编程方式及语句式编程方式供用户选择；图形化编程方式具有拖拽式操作界面，用户可通过图形化编程软件内的模块使用信号连接方式构建程序逻辑；语句式编程方式提供功能函数进行自定义编程，用户可以通过编程界面编写控制代码。</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30</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控制器</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1.具有≥8路自动、手动电源控制器，内置≥8个20A继电器，负载能力≥4400W/单路；配合中控主机使用，用于控制灯光、电动投影幕、电动窗帘等会议室周边设备。</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2.每路继电器都有三连接点的接线柱,具有常开与常闭的功能。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3.具有复位按键，支持恢复到出厂的默认设置。具有1路网络接口，支持通过网络实现远程控制。</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4.具有设备运行状态指示灯及≥8个继电器的开关状态指示灯。</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5.具有键盘锁（LOCK）功能。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6.机器具备ID识别，通过中控主机网络控制多台时，可通过ID识别。</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31</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平板电脑</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处理器：≥8核</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内存：8G+128G</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系统：HarmonyOS</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 xml:space="preserve">屏幕尺寸：10.95英寸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电池容量：7250mAh</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32</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无线路由器</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≥1500M高速双频wifi路由器，支持全千兆网口</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33</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无缝高清矩阵切换器</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widowControl/>
              <w:tabs>
                <w:tab w:val="left" w:pos="312"/>
              </w:tabs>
              <w:textAlignment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w:t>
            </w:r>
            <w:r>
              <w:rPr>
                <w:color w:val="000000" w:themeColor="text1"/>
                <w:sz w:val="24"/>
                <w:szCs w:val="21"/>
                <w14:textFill>
                  <w14:solidFill>
                    <w14:schemeClr w14:val="tx1"/>
                  </w14:solidFill>
                </w14:textFill>
              </w:rPr>
              <w:t>.</w:t>
            </w:r>
            <w:r>
              <w:rPr>
                <w:rFonts w:hint="eastAsia"/>
                <w:color w:val="000000" w:themeColor="text1"/>
                <w:sz w:val="24"/>
                <w:szCs w:val="21"/>
                <w14:textFill>
                  <w14:solidFill>
                    <w14:schemeClr w14:val="tx1"/>
                  </w14:solidFill>
                </w14:textFill>
              </w:rPr>
              <w:t>矩阵采用纯硬件标准化机箱设计，支持配置≥16×16路信号切换，支持HDMI、DVI、VGA、SDI、HDBaseT、光纤的任意输入/输出信号卡，其中DVI输入卡兼容CVBS，YUV,VGA信号，VGA输入/输出卡均兼容CVBS，YUV,VGA信号。</w:t>
            </w:r>
          </w:p>
          <w:p>
            <w:pPr>
              <w:widowControl/>
              <w:tabs>
                <w:tab w:val="left" w:pos="312"/>
              </w:tabs>
              <w:textAlignment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2.采用板卡模块化设计，支持接入≥4块输入卡、≥4块输出卡、≥1块控制卡；通过定制配置各类相同或不同的输入输出卡可以组成单一接口类型或多接口类型的矩阵，如HDMI矩阵，DVI矩阵，VGA矩阵，YUV矩阵。</w:t>
            </w:r>
          </w:p>
          <w:p>
            <w:pPr>
              <w:widowControl/>
              <w:tabs>
                <w:tab w:val="left" w:pos="312"/>
              </w:tabs>
              <w:textAlignment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3.支持无缝切换功能，切换过程无黑屏信号。</w:t>
            </w:r>
            <w:r>
              <w:rPr>
                <w:rFonts w:hint="eastAsia"/>
                <w:color w:val="000000" w:themeColor="text1"/>
                <w:sz w:val="24"/>
                <w:szCs w:val="21"/>
                <w14:textFill>
                  <w14:solidFill>
                    <w14:schemeClr w14:val="tx1"/>
                  </w14:solidFill>
                </w14:textFill>
              </w:rPr>
              <w:br w:type="textWrapping"/>
            </w:r>
            <w:r>
              <w:rPr>
                <w:rFonts w:hint="eastAsia"/>
                <w:color w:val="000000" w:themeColor="text1"/>
                <w:sz w:val="24"/>
                <w:szCs w:val="21"/>
                <w14:textFill>
                  <w14:solidFill>
                    <w14:schemeClr w14:val="tx1"/>
                  </w14:solidFill>
                </w14:textFill>
              </w:rPr>
              <w:t>4.输入输出分辨率支持≥4K@60Hz；支持断电记忆功能；系统内可存储多组预切换指令，调用时可以一键切换。</w:t>
            </w:r>
          </w:p>
          <w:p>
            <w:pPr>
              <w:widowControl/>
              <w:tabs>
                <w:tab w:val="left" w:pos="312"/>
              </w:tabs>
              <w:textAlignment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5.支持模拟音频与HDMI内嵌音频选择输入、支持模拟音频与HDMI内嵌音频同时输出。</w:t>
            </w:r>
          </w:p>
          <w:p>
            <w:pPr>
              <w:widowControl/>
              <w:tabs>
                <w:tab w:val="left" w:pos="312"/>
              </w:tabs>
              <w:textAlignment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6.采用多线程通信技术，支持接入≥1块控制板卡，具有≥1路RS-232接口,≥1路RS-485接口,≥1路TCP/IP端口，支持扩展延长触控屏控制。</w:t>
            </w:r>
          </w:p>
          <w:p>
            <w:pPr>
              <w:widowControl/>
              <w:tabs>
                <w:tab w:val="left" w:pos="312"/>
              </w:tabs>
              <w:textAlignment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7.HDBaseT输入输出信号支持双向RS-232和双向IR 信号传输，可对RS-232和IR信号选择随视频信号切换，或分离切换模式。</w:t>
            </w:r>
          </w:p>
          <w:p>
            <w:pPr>
              <w:widowControl/>
              <w:tabs>
                <w:tab w:val="left" w:pos="312"/>
              </w:tabs>
              <w:textAlignment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机箱前面板内置≥7英寸全彩触摸屏，可通过前面板触控屏进行通道切换、场景调用、切换、保存操作，具备自定义设置场景名称功能，可查看设备IP地址、通道信息、切换状态，可进行IP地址设置、重置，具备通道切换状态显示，支持输出分辨率显示，支持板卡接入状态显示，具备中英文双语切换功能。</w:t>
            </w:r>
          </w:p>
          <w:p>
            <w:pPr>
              <w:widowControl/>
              <w:tabs>
                <w:tab w:val="left" w:pos="312"/>
              </w:tabs>
              <w:textAlignment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9.采用无极缩放算法与视频编解码处理技术，支持画面色度、亮度、对比度、色温、伽马值等调节，支持HDR画质增强功能。</w:t>
            </w:r>
          </w:p>
          <w:p>
            <w:pPr>
              <w:widowControl/>
              <w:tabs>
                <w:tab w:val="left" w:pos="312"/>
              </w:tabs>
              <w:textAlignment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w:t>
            </w:r>
            <w:r>
              <w:rPr>
                <w:color w:val="000000" w:themeColor="text1"/>
                <w:sz w:val="24"/>
                <w:szCs w:val="21"/>
                <w14:textFill>
                  <w14:solidFill>
                    <w14:schemeClr w14:val="tx1"/>
                  </w14:solidFill>
                </w14:textFill>
              </w:rPr>
              <w:t>0</w:t>
            </w:r>
            <w:r>
              <w:rPr>
                <w:rFonts w:hint="eastAsia"/>
                <w:color w:val="000000" w:themeColor="text1"/>
                <w:sz w:val="24"/>
                <w:szCs w:val="21"/>
                <w14:textFill>
                  <w14:solidFill>
                    <w14:schemeClr w14:val="tx1"/>
                  </w14:solidFill>
                </w14:textFill>
              </w:rPr>
              <w:t>实际配置2块H</w:t>
            </w:r>
            <w:r>
              <w:rPr>
                <w:color w:val="000000" w:themeColor="text1"/>
                <w:sz w:val="24"/>
                <w:szCs w:val="21"/>
                <w14:textFill>
                  <w14:solidFill>
                    <w14:schemeClr w14:val="tx1"/>
                  </w14:solidFill>
                </w14:textFill>
              </w:rPr>
              <w:t>DMI</w:t>
            </w:r>
            <w:r>
              <w:rPr>
                <w:rFonts w:hint="eastAsia"/>
                <w:color w:val="000000" w:themeColor="text1"/>
                <w:sz w:val="24"/>
                <w:szCs w:val="21"/>
                <w14:textFill>
                  <w14:solidFill>
                    <w14:schemeClr w14:val="tx1"/>
                  </w14:solidFill>
                </w14:textFill>
              </w:rPr>
              <w:t>无缝高清输入卡。高清输入卡功能如下：支持≥4路HDMI-A母接口和3.5mm音频座，支持模拟音频与HDMI内嵌音频选择输入；支持热插拔。</w:t>
            </w:r>
          </w:p>
          <w:p>
            <w:pPr>
              <w:widowControl/>
              <w:textAlignment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w:t>
            </w:r>
            <w:r>
              <w:rPr>
                <w:color w:val="000000" w:themeColor="text1"/>
                <w:sz w:val="24"/>
                <w:szCs w:val="21"/>
                <w14:textFill>
                  <w14:solidFill>
                    <w14:schemeClr w14:val="tx1"/>
                  </w14:solidFill>
                </w14:textFill>
              </w:rPr>
              <w:t>1</w:t>
            </w:r>
            <w:r>
              <w:rPr>
                <w:rFonts w:hint="eastAsia"/>
                <w:color w:val="000000" w:themeColor="text1"/>
                <w:sz w:val="24"/>
                <w:szCs w:val="21"/>
                <w14:textFill>
                  <w14:solidFill>
                    <w14:schemeClr w14:val="tx1"/>
                  </w14:solidFill>
                </w14:textFill>
              </w:rPr>
              <w:t>.支持快速无缝切换，无闪烁，无黑屏。</w:t>
            </w:r>
          </w:p>
          <w:p>
            <w:pPr>
              <w:widowControl/>
              <w:textAlignment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w:t>
            </w:r>
            <w:r>
              <w:rPr>
                <w:color w:val="000000" w:themeColor="text1"/>
                <w:sz w:val="24"/>
                <w:szCs w:val="21"/>
                <w14:textFill>
                  <w14:solidFill>
                    <w14:schemeClr w14:val="tx1"/>
                  </w14:solidFill>
                </w14:textFill>
              </w:rPr>
              <w:t>2</w:t>
            </w:r>
            <w:r>
              <w:rPr>
                <w:rFonts w:hint="eastAsia"/>
                <w:color w:val="000000" w:themeColor="text1"/>
                <w:sz w:val="24"/>
                <w:szCs w:val="21"/>
                <w14:textFill>
                  <w14:solidFill>
                    <w14:schemeClr w14:val="tx1"/>
                  </w14:solidFill>
                </w14:textFill>
              </w:rPr>
              <w:t>.支持断电现场切换记忆保护功能，特有ESD静电保护功能。</w:t>
            </w:r>
          </w:p>
          <w:p>
            <w:pPr>
              <w:widowControl/>
              <w:textAlignment w:val="cente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w:t>
            </w:r>
            <w:r>
              <w:rPr>
                <w:color w:val="000000" w:themeColor="text1"/>
                <w:sz w:val="24"/>
                <w:szCs w:val="21"/>
                <w14:textFill>
                  <w14:solidFill>
                    <w14:schemeClr w14:val="tx1"/>
                  </w14:solidFill>
                </w14:textFill>
              </w:rPr>
              <w:t>3</w:t>
            </w:r>
            <w:r>
              <w:rPr>
                <w:rFonts w:hint="eastAsia"/>
                <w:color w:val="000000" w:themeColor="text1"/>
                <w:sz w:val="24"/>
                <w:szCs w:val="21"/>
                <w14:textFill>
                  <w14:solidFill>
                    <w14:schemeClr w14:val="tx1"/>
                  </w14:solidFill>
                </w14:textFill>
              </w:rPr>
              <w:t xml:space="preserve">.兼容HDMI1.3a的标准，HDCP1.3协议，DVI1.0协议。支持分辨率≥1920X1200P@60。 </w:t>
            </w:r>
          </w:p>
          <w:p>
            <w:pPr>
              <w:widowControl/>
              <w:textAlignment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14</w:t>
            </w:r>
            <w:r>
              <w:rPr>
                <w:rFonts w:hint="eastAsia"/>
                <w:color w:val="000000" w:themeColor="text1"/>
                <w:sz w:val="24"/>
                <w:szCs w:val="21"/>
                <w14:textFill>
                  <w14:solidFill>
                    <w14:schemeClr w14:val="tx1"/>
                  </w14:solidFill>
                </w14:textFill>
              </w:rPr>
              <w:t>.配置</w:t>
            </w:r>
            <w:r>
              <w:rPr>
                <w:color w:val="000000" w:themeColor="text1"/>
                <w:sz w:val="24"/>
                <w:szCs w:val="21"/>
                <w14:textFill>
                  <w14:solidFill>
                    <w14:schemeClr w14:val="tx1"/>
                  </w14:solidFill>
                </w14:textFill>
              </w:rPr>
              <w:t>1</w:t>
            </w:r>
            <w:r>
              <w:rPr>
                <w:rFonts w:hint="eastAsia"/>
                <w:color w:val="000000" w:themeColor="text1"/>
                <w:sz w:val="24"/>
                <w:szCs w:val="21"/>
                <w14:textFill>
                  <w14:solidFill>
                    <w14:schemeClr w14:val="tx1"/>
                  </w14:solidFill>
                </w14:textFill>
              </w:rPr>
              <w:t>块SDI无缝高清输入卡，功能如下：支持≥4路SDI视频信号输入，支持热插拔。</w:t>
            </w:r>
          </w:p>
          <w:p>
            <w:pPr>
              <w:widowControl/>
              <w:textAlignment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15</w:t>
            </w:r>
            <w:r>
              <w:rPr>
                <w:rFonts w:hint="eastAsia"/>
                <w:color w:val="000000" w:themeColor="text1"/>
                <w:sz w:val="24"/>
                <w:szCs w:val="21"/>
                <w14:textFill>
                  <w14:solidFill>
                    <w14:schemeClr w14:val="tx1"/>
                  </w14:solidFill>
                </w14:textFill>
              </w:rPr>
              <w:t>.带宽支持19Mbps至2.97Gbps，支持分辨率≥1080P，兼容HDTV。</w:t>
            </w:r>
          </w:p>
          <w:p>
            <w:pPr>
              <w:widowControl/>
              <w:textAlignment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16</w:t>
            </w:r>
            <w:r>
              <w:rPr>
                <w:rFonts w:hint="eastAsia"/>
                <w:color w:val="000000" w:themeColor="text1"/>
                <w:sz w:val="24"/>
                <w:szCs w:val="21"/>
                <w14:textFill>
                  <w14:solidFill>
                    <w14:schemeClr w14:val="tx1"/>
                  </w14:solidFill>
                </w14:textFill>
              </w:rPr>
              <w:t>.支持快速无缝切换，无闪烁，无黑屏。</w:t>
            </w:r>
          </w:p>
          <w:p>
            <w:pPr>
              <w:widowControl/>
              <w:textAlignment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17</w:t>
            </w:r>
            <w:r>
              <w:rPr>
                <w:rFonts w:hint="eastAsia"/>
                <w:color w:val="000000" w:themeColor="text1"/>
                <w:sz w:val="24"/>
                <w:szCs w:val="21"/>
                <w14:textFill>
                  <w14:solidFill>
                    <w14:schemeClr w14:val="tx1"/>
                  </w14:solidFill>
                </w14:textFill>
              </w:rPr>
              <w:t>.支持断电现场切换记忆保护功能。</w:t>
            </w:r>
          </w:p>
          <w:p>
            <w:pPr>
              <w:widowControl/>
              <w:textAlignment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18</w:t>
            </w:r>
            <w:r>
              <w:rPr>
                <w:rFonts w:hint="eastAsia"/>
                <w:color w:val="000000" w:themeColor="text1"/>
                <w:sz w:val="24"/>
                <w:szCs w:val="21"/>
                <w14:textFill>
                  <w14:solidFill>
                    <w14:schemeClr w14:val="tx1"/>
                  </w14:solidFill>
                </w14:textFill>
              </w:rPr>
              <w:t>.兼容各种格式的SDI信号，包括：SD/HD/3G-SDI(自适应)。</w:t>
            </w:r>
          </w:p>
          <w:p>
            <w:pPr>
              <w:widowControl/>
              <w:textAlignment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19.</w:t>
            </w:r>
            <w:r>
              <w:rPr>
                <w:rFonts w:hint="eastAsia"/>
                <w:color w:val="000000" w:themeColor="text1"/>
                <w:sz w:val="24"/>
                <w:szCs w:val="21"/>
                <w14:textFill>
                  <w14:solidFill>
                    <w14:schemeClr w14:val="tx1"/>
                  </w14:solidFill>
                </w14:textFill>
              </w:rPr>
              <w:t>配置2块H</w:t>
            </w:r>
            <w:r>
              <w:rPr>
                <w:color w:val="000000" w:themeColor="text1"/>
                <w:sz w:val="24"/>
                <w:szCs w:val="21"/>
                <w14:textFill>
                  <w14:solidFill>
                    <w14:schemeClr w14:val="tx1"/>
                  </w14:solidFill>
                </w14:textFill>
              </w:rPr>
              <w:t>DMI</w:t>
            </w:r>
            <w:r>
              <w:rPr>
                <w:rFonts w:hint="eastAsia"/>
                <w:color w:val="000000" w:themeColor="text1"/>
                <w:sz w:val="24"/>
                <w:szCs w:val="21"/>
                <w14:textFill>
                  <w14:solidFill>
                    <w14:schemeClr w14:val="tx1"/>
                  </w14:solidFill>
                </w14:textFill>
              </w:rPr>
              <w:t>无缝高清输出卡，功能如下：支持≥4路HDMI-A母接口和3.5mm音频座，支持模拟音频与HDMI内嵌音频同时输出。支持热插拔。</w:t>
            </w:r>
          </w:p>
          <w:p>
            <w:pPr>
              <w:widowControl/>
              <w:textAlignment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20</w:t>
            </w:r>
            <w:r>
              <w:rPr>
                <w:rFonts w:hint="eastAsia"/>
                <w:color w:val="000000" w:themeColor="text1"/>
                <w:sz w:val="24"/>
                <w:szCs w:val="21"/>
                <w14:textFill>
                  <w14:solidFill>
                    <w14:schemeClr w14:val="tx1"/>
                  </w14:solidFill>
                </w14:textFill>
              </w:rPr>
              <w:t>.支持快速无缝切换，无闪烁，无黑屏。</w:t>
            </w:r>
          </w:p>
          <w:p>
            <w:pPr>
              <w:widowControl/>
              <w:textAlignment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21</w:t>
            </w:r>
            <w:r>
              <w:rPr>
                <w:rFonts w:hint="eastAsia"/>
                <w:color w:val="000000" w:themeColor="text1"/>
                <w:sz w:val="24"/>
                <w:szCs w:val="21"/>
                <w14:textFill>
                  <w14:solidFill>
                    <w14:schemeClr w14:val="tx1"/>
                  </w14:solidFill>
                </w14:textFill>
              </w:rPr>
              <w:t>.支持断电现场切换记忆保护功能，特有ESD静电保护功能。</w:t>
            </w:r>
          </w:p>
          <w:p>
            <w:pPr>
              <w:widowControl/>
              <w:textAlignment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22</w:t>
            </w:r>
            <w:r>
              <w:rPr>
                <w:rFonts w:hint="eastAsia"/>
                <w:color w:val="000000" w:themeColor="text1"/>
                <w:sz w:val="24"/>
                <w:szCs w:val="21"/>
                <w14:textFill>
                  <w14:solidFill>
                    <w14:schemeClr w14:val="tx1"/>
                  </w14:solidFill>
                </w14:textFill>
              </w:rPr>
              <w:t>.兼容HDMI1.3a的标准，HDCP1.3协议，DVI1.0协议。支持倍线功能，分辨率支持≥1080P。</w:t>
            </w:r>
          </w:p>
          <w:p>
            <w:pPr>
              <w:widowControl/>
              <w:textAlignment w:val="center"/>
              <w:rPr>
                <w:color w:val="000000" w:themeColor="text1"/>
                <w:sz w:val="24"/>
                <w:szCs w:val="21"/>
                <w14:textFill>
                  <w14:solidFill>
                    <w14:schemeClr w14:val="tx1"/>
                  </w14:solidFill>
                </w14:textFill>
              </w:rPr>
            </w:pP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34</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视频会议主机</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w:t>
            </w:r>
            <w:r>
              <w:rPr>
                <w:rFonts w:hint="eastAsia"/>
                <w:color w:val="000000" w:themeColor="text1"/>
                <w14:textFill>
                  <w14:solidFill>
                    <w14:schemeClr w14:val="tx1"/>
                  </w14:solidFill>
                </w14:textFill>
              </w:rPr>
              <w:t xml:space="preserve"> </w:t>
            </w:r>
            <w:r>
              <w:rPr>
                <w:rFonts w:hint="eastAsia"/>
                <w:color w:val="000000" w:themeColor="text1"/>
                <w:sz w:val="24"/>
                <w:szCs w:val="21"/>
                <w14:textFill>
                  <w14:solidFill>
                    <w14:schemeClr w14:val="tx1"/>
                  </w14:solidFill>
                </w14:textFill>
              </w:rPr>
              <w:t>标准机柜式结构，采用视频编解码芯片、电信级插卡式设计。</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支持数据以图表形式按日、周、月、年等时间长度显示服务器的CPU使用率和内存使用率，支持以图表形式实时统计和展示终端设备在线数、会议详情（包括会议数量、会议名称、会议状态、会议时长），对服务器的资源数据一目了然。</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单机支持≥4组物理会议，支持≥8路1080P并发用户，支持并发≥20个虚拟会议。支持MCU级联功能，级联模式可支持≥1000以上用户入会；支持MCU组成资源池、形成MCU分布式架构，实现MCU资源的统一管理、动态分配MCU资源、相互备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4.内置GK模块，支持终端注册E.164分机号，并使用E.164分机号互相呼叫。支持NAT、H.460等技术，可穿越防火墙。</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5.单台设备支持≥8路HDMI视频输出，内置电视墙输出功能，可输出不同会议的合成画面，也可选择输出不同会议的任意会场单画面。</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6.支持所有终端同时发送辅流，支持主流辅流混合画面。</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7.支持≥19种多画面布局，每屏≥64画面，支持自动分屏功能；辅流画面可合成在多画面中，画面窗口支持自动填充、语音激励、视频轮询、辅流显示功能，并可在同界面直接观看会议实时视频。</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8.支持多画面轮询功能，支持≥4个1080P会议同时64分屏多画面轮询能力；可指定轮询窗口、轮询会场、轮询时间间隔。</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9.设备具备有双网口；服务器标配有等同或优于200G存储空间，用于存储视频会议的投票、签到、点名、共享文件、录制视频、拍照图片等数据文件；支持扩展存储容量到4TB。</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10.支持视频点名功能，可设置点名主题、画面布局、主会场、主会场显示窗口、被点名会场显示窗口，点名结束后可生成完整点名结果的excel表格下载保存。</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11.支持RTSP视频码流对接设备，支持监控IP摄像机通过RTSP视频流对接方式直接入会，可以与监控平台对接。</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12.支持在后台web管理界面上进行网络ping测试、路由跟踪测试、网络带宽测试；支持音频、主流、辅流网络状态实时显示，包括丢包率、码流、帧率、延时参数。</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13.支持FEC向前纠错功能，30%网络丢包时，声音清晰连续，视频清晰流畅，无卡顿、无马赛克；80%网络丢包时，声音清晰流畅。</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14.内置会议录制模块，可对多个会议视频、音频进行实时录制存储；支持≥4个1080P会议同时64分屏多画面录制能力；支持直播功能，支持RTMP、HLS直播方式；支持≥4个1080P会议同时64分屏多画面直播能力，可任意选择会议中一个会场或者合成媒体流作为直播源，并可随时切换直播源。</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15.支持电子白板、电子投票、会议签到、文件共享数据会议功能；支持中英文字幕、横幅、滚动消息、显示会场名称，满足会议辅助显示功能。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16.支持融合语音转写系统，可传输会议音频到语音转写系统转写成文字，语音转写系统再把转写的文字回传到MCU，MCU可把回传的文字叠加到合成画面上进行显示。</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35</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高清视频终端</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1.采用分体式结构，内置硬件视频处理单元，采用嵌入式Linux操作系统，非Windows/安卓操作系统。</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2.支持ITU-T H.323、SIP准协议；支持H.239、BFCP双流协议，主辅流皆可达到优于或等同于1080P60fps。</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3.支持本地≥ 2路4K HDMI信号合成为1路4K信号作为主流发送远端，支持≥10种合成布局；支持三屏三显功能。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支持辅流批注功能，发送辅流和接收辅流时都可在辅流画面上进行实时批注；可设置三种不同粗细的画笔，设置五种画笔颜色，设置圆形、方形、箭头、线条等批注图形；发送辅流时可设置是否开放批注权限给与会成员共同批注。</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5.支持无线辅流功能，电脑只需安装一个软件，通过网络连接到终端即可实现无线共享辅流功能，无需外接硬件设备。</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6.支持接入USB存储设备；支持会议录制功能，可以直接录制会议过程中的视频和音频。</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7.支持通过2.4G遥控器、web、触控、鼠标键盘等方式来操控终端。</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支持终端申请主席对会议中的其他参会终端从直播模式转到会议模式或者从会议模式转到直播模式，支持终端主动向主席申请从直播模式转到会议模式，会议模式支持电子白板、文件共享、电子投票、会议签到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9.支持在终端上预约会议，可选择成员、设置会议密码、主席密码、直播密码、会议时间等，提交后MCU根据会议时间自动召开会议，会议支持电子白板、文件共享、电子投票、会议签到功能。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10.支持回声消除、噪声抑制、静音检测、自动增益功能，支持20KHz以上宽频语音。</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11.支持IPV4和IPV6协议，支持NAT穿越，具备跨越路由器及防火墙的能力。</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12.无需注册，只需输入会议号码即可加入相应的会议，并可选择以会议互动模式加入或直播模式加入。</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13.支持在终端上一键召开立即会议即可在MCU上快速创建一个虚拟会议并自动加入会议，可在终端上邀请会场入会，会议支持电子白板、文件共享、电子投票、会议签到功能。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14.支持web交互电子白板功能，可在终端控制web上进行电子白板操作，可设置三种不同粗细的画笔，设置五种画笔颜色，设置圆形、方形、箭头、线条等批注图形；设置纯色背景或图片背景；web操作电子白板时，终端输出画面同步跟随显示电子白板内容；终端输出界面操作电子白板时，web同步跟随显示电子白板内容。电子白板支持分页，支持≥5页。</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15.支持查看音频、主流视频、辅流视频的媒体信息，可查看协议、格式、码率、收发包数量、收发包数据量、丢包率、丢包数、抖动、延时、收发地址、是否加密等信息。</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16.视频输入接口:4*HDMI、1*SDI、1*DVI、1*VGA，视频输出接口：3*HDMI、1*DVI、1*VGA，可选配增加1路HDBaseT视频输入和1路HDBaseT视频输出；音频输入接口：1*XLR、1*RCA、4*HDMI，音频输出接口1*RCA、3*HDMI；控制接口：1*RS-232、2*COM。</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17.支持 IP 网络丢包时修复机制，30%网络丢包时，声音清晰连续，视频清晰流畅，无卡顿、无马赛克；80%网络丢包时，声音清晰流畅，可准确理解。</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18.支持拓展红外透传功能，支持红外遥控器通过摄像机为终端传输红外信号，从而实现红外遥控器远程控制终端的效果。</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19.支持CIF、4CIF、720P、1080P、4K视频分辨率。</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36</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摄像机（含支架）</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3</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1.高清摄像机具备≥20倍光学变倍镜头，并支持≥16倍数字变焦；采用1/2.8英寸、≥207万有效像素的高品质HD CMOS传感器。</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2.镜头焦距f4.42mm ~ 88.5mm, 光圈系数F1.8 ~ F2.8 。</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3.支持1080P60，1080P59.94，1080P50，1080I60，1080I59.94，1080I50，1080P30，1080P29.97，1080P25，720P60，720P59.94，720P50分辨率，支持输出帧率≥60帧/秒。</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4.支持HDMI、SDI、USB、网络四路视频同时输出。</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5.支持RS232和RS485串口，可对摄像机进行控制；支持预置位数量≥255个，预置位精度：≤0.1°。</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6.水平视场角：60.7°～3.36°；支持水平转动范围：-170°～+170°，垂直转动范围：-30°～+90°，水平转动速度范围：水平：1.7° ~ 100°/s，俯仰：1.7° ~ 69.9°/s。</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7.支持先进的2D、3D降噪技术。</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8.内置AI技术和行人重识别技术，实现自动识别目标人形并跟踪、自动框选功能。</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9.支持AAC音频编码，音质更佳，带宽占用更小。</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10.支持PoE供电。</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11.具备≥1路HDMI输出接口、≥1路3G-SDI输出接口、≥1路USB3.0输出接口，具备≥1路3.5mm音频输入接口和≥1路3.5mm音频输出接口。</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37</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交换机</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二层交换机（24口全千兆）24个10/100/1000Base-T以太网端口；2个复用10/100/1000Base-T以太网端口Combo；4个千兆SFP</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cs="宋体"/>
                <w:color w:val="000000" w:themeColor="text1"/>
                <w:kern w:val="0"/>
                <w:sz w:val="24"/>
                <w:szCs w:val="21"/>
                <w14:textFill>
                  <w14:solidFill>
                    <w14:schemeClr w14:val="tx1"/>
                  </w14:solidFill>
                </w14:textFill>
              </w:rPr>
              <w:t>38</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录播主机</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台</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1.内置LCD屏，显示设备运行状态、参数信息、硬盘容量、音频状态、资源通道录制状态、文件拷贝进度。设备具备≥4个物理按键，具备一键录制、停止、直播以及一键拷贝录制文件的能力。</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2.主机具备≥4路SDI信号输入接口，支持≥1080P分辨率画面采集，≥2路HDMI信号输入接口，支持≥4K分辨率画面采集，≥1路Type-C接口采集画面，≥支持1080P分辨率画面采集。具备≥4路HDMI信号输出接口，其中≥1路4K分辨率以及音频同时输出；其他≥2路HDMI输出口具备自定义通道画面输出。具备≥1路3.5mm音频接口以及≥2路凤凰端子采集音频；≥1路3.5mm音频接口以及≥2路凤凰端子输出音频。</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3.具备≥3路RS-232凤凰端子接口和≥1路RS-485凤凰端子接口，其中≥1路RS232和≥1路RS485带12V电压供电，可对接各种串口协议设备并对该设备进行供电；具备≥5路USB接口，用于接U盘拷贝文件或者键盘鼠标操作内嵌导播台；具备≥1路802.3ab 1000Base-T千兆RJ45网络接口，≥1路光纤接口，支持IPv4地址和IPv6地址。</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4.设备可实现≥8路4K网络摄像头同时接入解码，具备≥6路资源画面合成输出≥4K分辨率PGM画面。</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5.具备嵌入式导播控制台，可实时预览≥9路画面，≥1路PGM画面预览和≥8路资源通道预览，≥9路视频流同时录制，录制的文件格式支持MP4、AVI、MOV、FLV、TS和MKV格式。具备独立录制功能，各路录制可自由绑定音频通道，可独立录制控制。</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6.异常修复：具备供电异常导致的损坏的视频文件可进行文件修复，修复的文件格式包括但不限于MP4、AVI、MOV、FLV和MKV视频封装格式。</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7.支持对接语音转写服务器，实现语音转写功能，将语音转写成文本并自动生成字幕文件。</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8.具备软件中控，在录播管理界面填写好中控指令，即可通过界面进行中控操作，对接其它设备进行一键控制；支持录播安卓APP对接和控制；支持对接私有云平台服务器。对接成功后，云平台可对设备进行统一的管控，方便对多台录播设备进行管理。</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9.音视频互动模式下，可实现HDMI输出主会场和分会场的画面，当主会场开启辅流共享时，主会场和分会场的HDMI接口都输出主会场的电脑课件内容；主会场不开启辅流共享时，主会场的HDMI接口输出主会场的电脑课件内容，分会场的HDMI接口输出分会场的电脑课件内容。</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10.加密录制：可实现对录制文件加密录制，≥2种加密方式；可实现对录制视频进行加密操作或通过可配置多个加密狗对录制文件进行加密；加密视频需使用解密播放器进行播放，需使用U盾或密码对加密视频进行授权播放。</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11.具备用户模式和高级模式设置。用户设置：支持一键设置超高清、高清，标清，流畅四个等级；高级设置：可自定义分辨率、码率、帧率。码率支持256kbps~20Mbps，支持动态编码以及静态编码选择；支持自定义分辨率，不同分辨率比例设置，包括9:16、16:9、32:9设置，支持≥4K分辨率。</w:t>
            </w:r>
          </w:p>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12.音频编码支持多种格式，支持AAC、PCM、G.711A、G.711U、ADPCM格式，音频采样率支持48K、44.1K、8K。提供音频管理功能，支持音频混音管理，对≥5路音频输入混音设置以及每路通道音量大小单独控制。</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3</w:t>
            </w:r>
            <w:r>
              <w:rPr>
                <w:rFonts w:cs="宋体"/>
                <w:color w:val="000000" w:themeColor="text1"/>
                <w:kern w:val="0"/>
                <w:sz w:val="24"/>
                <w:szCs w:val="21"/>
                <w14:textFill>
                  <w14:solidFill>
                    <w14:schemeClr w14:val="tx1"/>
                  </w14:solidFill>
                </w14:textFill>
              </w:rPr>
              <w:t>9</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机柜</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套</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42U，≥600*800*2000mm</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19"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4</w:t>
            </w:r>
            <w:r>
              <w:rPr>
                <w:rFonts w:cs="宋体"/>
                <w:color w:val="000000" w:themeColor="text1"/>
                <w:kern w:val="0"/>
                <w:sz w:val="24"/>
                <w:szCs w:val="21"/>
                <w14:textFill>
                  <w14:solidFill>
                    <w14:schemeClr w14:val="tx1"/>
                  </w14:solidFill>
                </w14:textFill>
              </w:rPr>
              <w:t>0</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安装实施</w:t>
            </w:r>
          </w:p>
        </w:tc>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cs="宋体"/>
                <w:color w:val="000000" w:themeColor="text1"/>
                <w:kern w:val="0"/>
                <w:sz w:val="24"/>
                <w:szCs w:val="21"/>
                <w14:textFill>
                  <w14:solidFill>
                    <w14:schemeClr w14:val="tx1"/>
                  </w14:solidFill>
                </w14:textFill>
              </w:rPr>
            </w:pPr>
            <w:r>
              <w:rPr>
                <w:rFonts w:hint="eastAsia" w:cs="宋体"/>
                <w:color w:val="000000" w:themeColor="text1"/>
                <w:kern w:val="0"/>
                <w:sz w:val="24"/>
                <w:szCs w:val="21"/>
                <w14:textFill>
                  <w14:solidFill>
                    <w14:schemeClr w14:val="tx1"/>
                  </w14:solidFill>
                </w14:textFill>
              </w:rPr>
              <w:t>1</w:t>
            </w:r>
          </w:p>
        </w:tc>
        <w:tc>
          <w:tcPr>
            <w:tcW w:w="6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套</w:t>
            </w:r>
          </w:p>
        </w:tc>
        <w:tc>
          <w:tcPr>
            <w:tcW w:w="482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包含L</w:t>
            </w:r>
            <w:r>
              <w:rPr>
                <w:color w:val="000000" w:themeColor="text1"/>
                <w:sz w:val="24"/>
                <w:szCs w:val="21"/>
                <w14:textFill>
                  <w14:solidFill>
                    <w14:schemeClr w14:val="tx1"/>
                  </w14:solidFill>
                </w14:textFill>
              </w:rPr>
              <w:t>ED</w:t>
            </w:r>
            <w:r>
              <w:rPr>
                <w:rFonts w:hint="eastAsia"/>
                <w:color w:val="000000" w:themeColor="text1"/>
                <w:sz w:val="24"/>
                <w:szCs w:val="21"/>
                <w14:textFill>
                  <w14:solidFill>
                    <w14:schemeClr w14:val="tx1"/>
                  </w14:solidFill>
                </w14:textFill>
              </w:rPr>
              <w:t>大屏实施安装，需包含各种主电缆线，信号线，弱电线缆等，包含扩声系统、数字会议系统、中控系统、矩阵系统、视频会议系统、录播系统等设备安装调试以及线缆购置、综合布线，包含3年维保。</w:t>
            </w:r>
            <w:r>
              <w:rPr>
                <w:color w:val="000000" w:themeColor="text1"/>
                <w:sz w:val="24"/>
                <w:szCs w:val="21"/>
                <w14:textFill>
                  <w14:solidFill>
                    <w14:schemeClr w14:val="tx1"/>
                  </w14:solidFill>
                </w14:textFill>
              </w:rPr>
              <w:t xml:space="preserve"> </w:t>
            </w:r>
            <w:r>
              <w:rPr>
                <w:rFonts w:hint="eastAsia"/>
                <w:color w:val="000000" w:themeColor="text1"/>
                <w:sz w:val="24"/>
                <w:szCs w:val="21"/>
                <w14:textFill>
                  <w14:solidFill>
                    <w14:schemeClr w14:val="tx1"/>
                  </w14:solidFill>
                </w14:textFill>
              </w:rPr>
              <w:t>包含项目所需所有管材、线缆、连接线、辅件、机柜、地插等配套设施</w:t>
            </w:r>
          </w:p>
        </w:tc>
        <w:tc>
          <w:tcPr>
            <w:tcW w:w="759" w:type="dxa"/>
            <w:tcBorders>
              <w:top w:val="single" w:color="auto" w:sz="4" w:space="0"/>
              <w:left w:val="single" w:color="auto" w:sz="4" w:space="0"/>
              <w:bottom w:val="single" w:color="auto" w:sz="4" w:space="0"/>
              <w:right w:val="single" w:color="auto" w:sz="4" w:space="0"/>
            </w:tcBorders>
            <w:vAlign w:val="center"/>
          </w:tcPr>
          <w:p>
            <w:pPr>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外</w:t>
            </w:r>
          </w:p>
        </w:tc>
      </w:tr>
    </w:tbl>
    <w:p>
      <w:pPr>
        <w:spacing w:line="360" w:lineRule="auto"/>
        <w:ind w:firstLine="480" w:firstLineChars="200"/>
        <w:outlineLvl w:val="0"/>
        <w:rPr>
          <w:sz w:val="24"/>
        </w:rPr>
      </w:pPr>
      <w:r>
        <w:rPr>
          <w:rFonts w:hint="eastAsia"/>
          <w:sz w:val="24"/>
        </w:rPr>
        <w:t>注：</w:t>
      </w:r>
    </w:p>
    <w:p>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pPr>
        <w:spacing w:line="360" w:lineRule="auto"/>
        <w:ind w:firstLine="480" w:firstLineChars="200"/>
        <w:outlineLvl w:val="0"/>
        <w:rPr>
          <w:sz w:val="24"/>
        </w:rPr>
      </w:pPr>
      <w:r>
        <w:rPr>
          <w:rFonts w:hint="eastAsia"/>
          <w:sz w:val="24"/>
        </w:rPr>
        <w:t>加注“</w:t>
      </w:r>
      <w:bookmarkStart w:id="2" w:name="OLE_LINK4"/>
      <w:r>
        <w:rPr>
          <w:rFonts w:hint="eastAsia"/>
          <w:sz w:val="24"/>
        </w:rPr>
        <w:t>▲</w:t>
      </w:r>
      <w:bookmarkEnd w:id="2"/>
      <w:r>
        <w:rPr>
          <w:rFonts w:hint="eastAsia"/>
          <w:sz w:val="24"/>
        </w:rPr>
        <w:t>”号的产品为核心产品（如项目需求书中未明确核心产品，则视为全部产品均为核心产品）。</w:t>
      </w:r>
    </w:p>
    <w:p>
      <w:pPr>
        <w:spacing w:line="360" w:lineRule="auto"/>
        <w:ind w:firstLine="480" w:firstLineChars="200"/>
        <w:outlineLvl w:val="0"/>
        <w:rPr>
          <w:sz w:val="24"/>
        </w:rPr>
      </w:pPr>
    </w:p>
    <w:p>
      <w:pPr>
        <w:spacing w:line="360" w:lineRule="auto"/>
        <w:ind w:firstLine="482" w:firstLineChars="200"/>
        <w:rPr>
          <w:rFonts w:ascii="宋体" w:hAnsi="宋体"/>
          <w:b/>
          <w:sz w:val="24"/>
        </w:rPr>
      </w:pPr>
      <w:r>
        <w:rPr>
          <w:rFonts w:hint="eastAsia" w:ascii="宋体" w:hAnsi="宋体"/>
          <w:b/>
          <w:sz w:val="24"/>
        </w:rPr>
        <w:t>商务要求</w:t>
      </w:r>
    </w:p>
    <w:p>
      <w:pPr>
        <w:spacing w:line="360" w:lineRule="auto"/>
        <w:ind w:firstLine="480" w:firstLineChars="200"/>
        <w:outlineLvl w:val="0"/>
        <w:rPr>
          <w:sz w:val="24"/>
        </w:rPr>
      </w:pPr>
      <w:r>
        <w:rPr>
          <w:rFonts w:hint="eastAsia"/>
          <w:sz w:val="24"/>
        </w:rPr>
        <w:t>1. 提供所投产品</w:t>
      </w:r>
      <w:r>
        <w:rPr>
          <w:sz w:val="24"/>
        </w:rPr>
        <w:t>3</w:t>
      </w:r>
      <w:r>
        <w:rPr>
          <w:rFonts w:hint="eastAsia"/>
          <w:sz w:val="24"/>
        </w:rPr>
        <w:t>年的免费上门保修。</w:t>
      </w:r>
    </w:p>
    <w:p>
      <w:pPr>
        <w:spacing w:line="360" w:lineRule="auto"/>
        <w:ind w:firstLine="480" w:firstLineChars="200"/>
        <w:outlineLvl w:val="0"/>
        <w:rPr>
          <w:sz w:val="24"/>
        </w:rPr>
      </w:pPr>
      <w:r>
        <w:rPr>
          <w:rFonts w:hint="eastAsia"/>
          <w:sz w:val="24"/>
        </w:rPr>
        <w:t>2. 货到：签订合同之日起</w:t>
      </w:r>
      <w:r>
        <w:rPr>
          <w:sz w:val="24"/>
        </w:rPr>
        <w:t>30</w:t>
      </w:r>
      <w:r>
        <w:rPr>
          <w:rFonts w:hint="eastAsia"/>
          <w:sz w:val="24"/>
        </w:rPr>
        <w:t>日内供货完成（特殊情况以合同为准）。</w:t>
      </w:r>
    </w:p>
    <w:p>
      <w:pPr>
        <w:spacing w:line="360" w:lineRule="auto"/>
        <w:ind w:firstLine="480" w:firstLineChars="200"/>
        <w:outlineLvl w:val="0"/>
        <w:rPr>
          <w:sz w:val="24"/>
        </w:rPr>
      </w:pPr>
      <w:r>
        <w:rPr>
          <w:rFonts w:hint="eastAsia"/>
          <w:sz w:val="24"/>
        </w:rPr>
        <w:t>安装（施工）完成：货到之日起</w:t>
      </w:r>
      <w:r>
        <w:rPr>
          <w:sz w:val="24"/>
        </w:rPr>
        <w:t>30</w:t>
      </w:r>
      <w:r>
        <w:rPr>
          <w:rFonts w:hint="eastAsia"/>
          <w:sz w:val="24"/>
        </w:rPr>
        <w:t>日内施工完成（特殊情况以合同为准）。</w:t>
      </w:r>
    </w:p>
    <w:p>
      <w:pPr>
        <w:spacing w:line="360" w:lineRule="auto"/>
        <w:ind w:firstLine="480" w:firstLineChars="200"/>
        <w:outlineLvl w:val="0"/>
        <w:rPr>
          <w:sz w:val="24"/>
        </w:rPr>
      </w:pPr>
      <w:r>
        <w:rPr>
          <w:rFonts w:hint="eastAsia"/>
          <w:sz w:val="24"/>
        </w:rPr>
        <w:t>3.付款方式：签订合同之日起</w:t>
      </w:r>
      <w:r>
        <w:rPr>
          <w:sz w:val="24"/>
        </w:rPr>
        <w:t>30</w:t>
      </w:r>
      <w:r>
        <w:rPr>
          <w:rFonts w:hint="eastAsia"/>
          <w:sz w:val="24"/>
        </w:rPr>
        <w:t>日内支付合同总额的30%，货到安装调试完成验收合格之日起</w:t>
      </w:r>
      <w:r>
        <w:rPr>
          <w:sz w:val="24"/>
        </w:rPr>
        <w:t>30</w:t>
      </w:r>
      <w:r>
        <w:rPr>
          <w:rFonts w:hint="eastAsia"/>
          <w:sz w:val="24"/>
        </w:rPr>
        <w:t>日内支付合同总额的70%。</w:t>
      </w:r>
    </w:p>
    <w:p>
      <w:pPr>
        <w:spacing w:line="360" w:lineRule="auto"/>
        <w:rPr>
          <w:rFonts w:ascii="宋体" w:hAnsi="宋体"/>
          <w:sz w:val="24"/>
        </w:rPr>
      </w:pPr>
      <w:bookmarkStart w:id="3" w:name="_GoBack"/>
      <w:bookmarkEnd w:id="3"/>
    </w:p>
    <w:p>
      <w:pPr>
        <w:widowControl/>
        <w:jc w:val="left"/>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
    <w:altName w:val="宋体"/>
    <w:panose1 w:val="00000000000000000000"/>
    <w:charset w:val="86"/>
    <w:family w:val="roma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E6304"/>
    <w:multiLevelType w:val="multilevel"/>
    <w:tmpl w:val="22CE6304"/>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0650"/>
    <w:rsid w:val="000427FD"/>
    <w:rsid w:val="00056788"/>
    <w:rsid w:val="00093BEC"/>
    <w:rsid w:val="000967C3"/>
    <w:rsid w:val="000A0F07"/>
    <w:rsid w:val="000B3477"/>
    <w:rsid w:val="000B570D"/>
    <w:rsid w:val="000B70F0"/>
    <w:rsid w:val="000C023D"/>
    <w:rsid w:val="000D53A3"/>
    <w:rsid w:val="001038B1"/>
    <w:rsid w:val="0010427E"/>
    <w:rsid w:val="0011346B"/>
    <w:rsid w:val="00133874"/>
    <w:rsid w:val="00142925"/>
    <w:rsid w:val="00145270"/>
    <w:rsid w:val="001765BF"/>
    <w:rsid w:val="001B3E8D"/>
    <w:rsid w:val="001B6F87"/>
    <w:rsid w:val="001E08DB"/>
    <w:rsid w:val="001F0D62"/>
    <w:rsid w:val="001F3B29"/>
    <w:rsid w:val="001F44D0"/>
    <w:rsid w:val="00203561"/>
    <w:rsid w:val="00215268"/>
    <w:rsid w:val="00232D23"/>
    <w:rsid w:val="00234E40"/>
    <w:rsid w:val="002558A3"/>
    <w:rsid w:val="002575B0"/>
    <w:rsid w:val="00262729"/>
    <w:rsid w:val="00277D45"/>
    <w:rsid w:val="00282B54"/>
    <w:rsid w:val="0029151D"/>
    <w:rsid w:val="00294249"/>
    <w:rsid w:val="002B5DF4"/>
    <w:rsid w:val="002C0180"/>
    <w:rsid w:val="002C2947"/>
    <w:rsid w:val="002C510E"/>
    <w:rsid w:val="002C52A9"/>
    <w:rsid w:val="002D32A4"/>
    <w:rsid w:val="00317932"/>
    <w:rsid w:val="00334D5A"/>
    <w:rsid w:val="003532D3"/>
    <w:rsid w:val="00364982"/>
    <w:rsid w:val="003844F2"/>
    <w:rsid w:val="00386D1F"/>
    <w:rsid w:val="0039291B"/>
    <w:rsid w:val="00397CDC"/>
    <w:rsid w:val="003B51D7"/>
    <w:rsid w:val="003C05C8"/>
    <w:rsid w:val="003D7C9D"/>
    <w:rsid w:val="003F5251"/>
    <w:rsid w:val="00401486"/>
    <w:rsid w:val="004018F8"/>
    <w:rsid w:val="0040624E"/>
    <w:rsid w:val="00411FB9"/>
    <w:rsid w:val="0041200A"/>
    <w:rsid w:val="004138DE"/>
    <w:rsid w:val="0042151F"/>
    <w:rsid w:val="00426AD6"/>
    <w:rsid w:val="0043009F"/>
    <w:rsid w:val="00430804"/>
    <w:rsid w:val="00441948"/>
    <w:rsid w:val="0044659F"/>
    <w:rsid w:val="0045387D"/>
    <w:rsid w:val="00471A67"/>
    <w:rsid w:val="00485224"/>
    <w:rsid w:val="00496A39"/>
    <w:rsid w:val="004A69BA"/>
    <w:rsid w:val="004B2BAD"/>
    <w:rsid w:val="004B675B"/>
    <w:rsid w:val="004E5413"/>
    <w:rsid w:val="004F7C8E"/>
    <w:rsid w:val="005020AD"/>
    <w:rsid w:val="0051713E"/>
    <w:rsid w:val="00536935"/>
    <w:rsid w:val="00553EEB"/>
    <w:rsid w:val="00574C30"/>
    <w:rsid w:val="00576290"/>
    <w:rsid w:val="005C082E"/>
    <w:rsid w:val="005C2606"/>
    <w:rsid w:val="005C5CF7"/>
    <w:rsid w:val="005D55B9"/>
    <w:rsid w:val="005E0420"/>
    <w:rsid w:val="005E6D6B"/>
    <w:rsid w:val="006266B0"/>
    <w:rsid w:val="00633F62"/>
    <w:rsid w:val="0064321E"/>
    <w:rsid w:val="0065512B"/>
    <w:rsid w:val="0066672C"/>
    <w:rsid w:val="006701F1"/>
    <w:rsid w:val="0067699D"/>
    <w:rsid w:val="00696EEC"/>
    <w:rsid w:val="006A0D92"/>
    <w:rsid w:val="006A51DA"/>
    <w:rsid w:val="006B28EF"/>
    <w:rsid w:val="006C48BA"/>
    <w:rsid w:val="006D13A9"/>
    <w:rsid w:val="006E5013"/>
    <w:rsid w:val="006F2512"/>
    <w:rsid w:val="006F6996"/>
    <w:rsid w:val="00700D7E"/>
    <w:rsid w:val="00720FBD"/>
    <w:rsid w:val="00722DFB"/>
    <w:rsid w:val="007474B4"/>
    <w:rsid w:val="00750EF5"/>
    <w:rsid w:val="0076174C"/>
    <w:rsid w:val="00775731"/>
    <w:rsid w:val="00783ABC"/>
    <w:rsid w:val="00785C9A"/>
    <w:rsid w:val="007937F4"/>
    <w:rsid w:val="007B7E2B"/>
    <w:rsid w:val="007D29EC"/>
    <w:rsid w:val="007D7776"/>
    <w:rsid w:val="007E0F64"/>
    <w:rsid w:val="007F3527"/>
    <w:rsid w:val="007F5ED2"/>
    <w:rsid w:val="00802288"/>
    <w:rsid w:val="00821A95"/>
    <w:rsid w:val="00836EE3"/>
    <w:rsid w:val="00851A03"/>
    <w:rsid w:val="00876966"/>
    <w:rsid w:val="008A58BB"/>
    <w:rsid w:val="008D4938"/>
    <w:rsid w:val="008E7AA3"/>
    <w:rsid w:val="009245CF"/>
    <w:rsid w:val="009342A0"/>
    <w:rsid w:val="00941A5F"/>
    <w:rsid w:val="009462D0"/>
    <w:rsid w:val="0095362D"/>
    <w:rsid w:val="00954AB8"/>
    <w:rsid w:val="00962826"/>
    <w:rsid w:val="00962F91"/>
    <w:rsid w:val="00977138"/>
    <w:rsid w:val="0098135C"/>
    <w:rsid w:val="00982C6A"/>
    <w:rsid w:val="0099767D"/>
    <w:rsid w:val="009A5585"/>
    <w:rsid w:val="009B68C5"/>
    <w:rsid w:val="009B6E04"/>
    <w:rsid w:val="00A05A10"/>
    <w:rsid w:val="00A05E4E"/>
    <w:rsid w:val="00A249FB"/>
    <w:rsid w:val="00A35914"/>
    <w:rsid w:val="00A372EA"/>
    <w:rsid w:val="00A50FD2"/>
    <w:rsid w:val="00A55377"/>
    <w:rsid w:val="00A579C2"/>
    <w:rsid w:val="00A6312D"/>
    <w:rsid w:val="00A664B1"/>
    <w:rsid w:val="00A70DFF"/>
    <w:rsid w:val="00A7186F"/>
    <w:rsid w:val="00A75B8E"/>
    <w:rsid w:val="00A92C78"/>
    <w:rsid w:val="00AA016E"/>
    <w:rsid w:val="00AA37B2"/>
    <w:rsid w:val="00AA4CF7"/>
    <w:rsid w:val="00AB5C63"/>
    <w:rsid w:val="00AD58C8"/>
    <w:rsid w:val="00AE29C2"/>
    <w:rsid w:val="00AE42DE"/>
    <w:rsid w:val="00AF3322"/>
    <w:rsid w:val="00B02D8A"/>
    <w:rsid w:val="00B04AC9"/>
    <w:rsid w:val="00B11908"/>
    <w:rsid w:val="00B13CEA"/>
    <w:rsid w:val="00B32E93"/>
    <w:rsid w:val="00B373B1"/>
    <w:rsid w:val="00B440AD"/>
    <w:rsid w:val="00B648CB"/>
    <w:rsid w:val="00B93927"/>
    <w:rsid w:val="00BA0D37"/>
    <w:rsid w:val="00BB681B"/>
    <w:rsid w:val="00BD0650"/>
    <w:rsid w:val="00BD7E0C"/>
    <w:rsid w:val="00BE77E9"/>
    <w:rsid w:val="00C07FB1"/>
    <w:rsid w:val="00C16554"/>
    <w:rsid w:val="00C2002D"/>
    <w:rsid w:val="00C33F29"/>
    <w:rsid w:val="00C35F16"/>
    <w:rsid w:val="00C44B0B"/>
    <w:rsid w:val="00C44EE9"/>
    <w:rsid w:val="00C469CD"/>
    <w:rsid w:val="00C64A9F"/>
    <w:rsid w:val="00C67FC5"/>
    <w:rsid w:val="00C705A4"/>
    <w:rsid w:val="00CA2AAC"/>
    <w:rsid w:val="00CA48E6"/>
    <w:rsid w:val="00CB2A13"/>
    <w:rsid w:val="00CB63B9"/>
    <w:rsid w:val="00CC41B6"/>
    <w:rsid w:val="00CF73D4"/>
    <w:rsid w:val="00D005BF"/>
    <w:rsid w:val="00D0060A"/>
    <w:rsid w:val="00D43D39"/>
    <w:rsid w:val="00D5143D"/>
    <w:rsid w:val="00D52235"/>
    <w:rsid w:val="00DA516B"/>
    <w:rsid w:val="00DB22CE"/>
    <w:rsid w:val="00DB361D"/>
    <w:rsid w:val="00DB75DD"/>
    <w:rsid w:val="00DD28FF"/>
    <w:rsid w:val="00DE1E67"/>
    <w:rsid w:val="00DE2348"/>
    <w:rsid w:val="00DE40D7"/>
    <w:rsid w:val="00E077DC"/>
    <w:rsid w:val="00E13FBB"/>
    <w:rsid w:val="00E20E1A"/>
    <w:rsid w:val="00E26308"/>
    <w:rsid w:val="00E544F7"/>
    <w:rsid w:val="00E602D2"/>
    <w:rsid w:val="00E871B9"/>
    <w:rsid w:val="00EA01B1"/>
    <w:rsid w:val="00EA0A76"/>
    <w:rsid w:val="00EA117B"/>
    <w:rsid w:val="00EA215C"/>
    <w:rsid w:val="00EA3E7D"/>
    <w:rsid w:val="00EB4413"/>
    <w:rsid w:val="00EF022B"/>
    <w:rsid w:val="00F10F05"/>
    <w:rsid w:val="00F12F34"/>
    <w:rsid w:val="00F22A86"/>
    <w:rsid w:val="00F244BA"/>
    <w:rsid w:val="00F26183"/>
    <w:rsid w:val="00F41E44"/>
    <w:rsid w:val="00F428D5"/>
    <w:rsid w:val="00F45855"/>
    <w:rsid w:val="00F5270D"/>
    <w:rsid w:val="00F54973"/>
    <w:rsid w:val="00F54D38"/>
    <w:rsid w:val="00F66456"/>
    <w:rsid w:val="00F771B7"/>
    <w:rsid w:val="00F824FB"/>
    <w:rsid w:val="00F84EFD"/>
    <w:rsid w:val="00F90F04"/>
    <w:rsid w:val="00F946FC"/>
    <w:rsid w:val="00F96EE9"/>
    <w:rsid w:val="00F97FEC"/>
    <w:rsid w:val="00FB40D2"/>
    <w:rsid w:val="00FB7B50"/>
    <w:rsid w:val="00FD4C14"/>
    <w:rsid w:val="00FE6413"/>
    <w:rsid w:val="00FF1ED0"/>
    <w:rsid w:val="15C86CB2"/>
    <w:rsid w:val="27781BD7"/>
    <w:rsid w:val="285F5B25"/>
    <w:rsid w:val="2F9F1AAF"/>
    <w:rsid w:val="6B0F45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8">
    <w:name w:val="Normal Table"/>
    <w:semiHidden/>
    <w:unhideWhenUsed/>
    <w:uiPriority w:val="99"/>
    <w:tblPr>
      <w:tblLayout w:type="fixed"/>
      <w:tblCellMar>
        <w:top w:w="0" w:type="dxa"/>
        <w:left w:w="108" w:type="dxa"/>
        <w:bottom w:w="0" w:type="dxa"/>
        <w:right w:w="108" w:type="dxa"/>
      </w:tblCellMar>
    </w:tblPr>
  </w:style>
  <w:style w:type="paragraph" w:styleId="2">
    <w:name w:val="Body Text"/>
    <w:basedOn w:val="1"/>
    <w:qFormat/>
    <w:uiPriority w:val="0"/>
    <w:pPr>
      <w:spacing w:after="120"/>
    </w:pPr>
    <w:rPr>
      <w:rFonts w:ascii="Calibri" w:hAnsi="Calibri"/>
      <w:kern w:val="0"/>
      <w:sz w:val="20"/>
      <w:szCs w:val="20"/>
    </w:rPr>
  </w:style>
  <w:style w:type="paragraph" w:styleId="3">
    <w:name w:val="Balloon Text"/>
    <w:basedOn w:val="1"/>
    <w:link w:val="22"/>
    <w:semiHidden/>
    <w:unhideWhenUsed/>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6">
    <w:name w:val="Title"/>
    <w:basedOn w:val="1"/>
    <w:next w:val="1"/>
    <w:link w:val="13"/>
    <w:qFormat/>
    <w:uiPriority w:val="10"/>
    <w:pPr>
      <w:spacing w:before="240" w:after="60"/>
      <w:jc w:val="center"/>
      <w:outlineLvl w:val="0"/>
    </w:pPr>
    <w:rPr>
      <w:rFonts w:ascii="Cambria" w:hAnsi="Cambria"/>
      <w:b/>
      <w:bCs/>
      <w:sz w:val="32"/>
      <w:szCs w:val="32"/>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0">
    <w:name w:val="页眉 字符"/>
    <w:basedOn w:val="7"/>
    <w:link w:val="5"/>
    <w:qFormat/>
    <w:uiPriority w:val="99"/>
    <w:rPr>
      <w:sz w:val="18"/>
      <w:szCs w:val="18"/>
    </w:rPr>
  </w:style>
  <w:style w:type="character" w:customStyle="1" w:styleId="11">
    <w:name w:val="页脚 字符"/>
    <w:basedOn w:val="7"/>
    <w:link w:val="4"/>
    <w:qFormat/>
    <w:uiPriority w:val="99"/>
    <w:rPr>
      <w:sz w:val="18"/>
      <w:szCs w:val="18"/>
    </w:rPr>
  </w:style>
  <w:style w:type="character" w:customStyle="1" w:styleId="12">
    <w:name w:val="标题 字符"/>
    <w:basedOn w:val="7"/>
    <w:qFormat/>
    <w:uiPriority w:val="10"/>
    <w:rPr>
      <w:rFonts w:asciiTheme="majorHAnsi" w:hAnsiTheme="majorHAnsi" w:eastAsiaTheme="majorEastAsia" w:cstheme="majorBidi"/>
      <w:b/>
      <w:bCs/>
      <w:sz w:val="32"/>
      <w:szCs w:val="32"/>
    </w:rPr>
  </w:style>
  <w:style w:type="character" w:customStyle="1" w:styleId="13">
    <w:name w:val="标题 字符2"/>
    <w:link w:val="6"/>
    <w:qFormat/>
    <w:uiPriority w:val="10"/>
    <w:rPr>
      <w:rFonts w:ascii="Cambria" w:hAnsi="Cambria" w:eastAsia="宋体" w:cs="Times New Roman"/>
      <w:b/>
      <w:bCs/>
      <w:sz w:val="32"/>
      <w:szCs w:val="32"/>
    </w:rPr>
  </w:style>
  <w:style w:type="character" w:customStyle="1" w:styleId="14">
    <w:name w:val="Default Char"/>
    <w:link w:val="15"/>
    <w:qFormat/>
    <w:locked/>
    <w:uiPriority w:val="0"/>
    <w:rPr>
      <w:rFonts w:ascii="......." w:hAnsi="......." w:eastAsia="......." w:cs="......."/>
      <w:color w:val="000000"/>
      <w:sz w:val="24"/>
      <w:szCs w:val="24"/>
    </w:rPr>
  </w:style>
  <w:style w:type="paragraph" w:customStyle="1" w:styleId="15">
    <w:name w:val="Default"/>
    <w:link w:val="14"/>
    <w:qFormat/>
    <w:uiPriority w:val="0"/>
    <w:pPr>
      <w:widowControl w:val="0"/>
      <w:autoSpaceDE w:val="0"/>
      <w:autoSpaceDN w:val="0"/>
      <w:adjustRightInd w:val="0"/>
    </w:pPr>
    <w:rPr>
      <w:rFonts w:ascii="......." w:hAnsi="......." w:eastAsia="......." w:cs="......."/>
      <w:color w:val="000000"/>
      <w:kern w:val="2"/>
      <w:sz w:val="24"/>
      <w:szCs w:val="24"/>
      <w:lang w:val="en-US" w:eastAsia="zh-CN" w:bidi="ar-SA"/>
    </w:rPr>
  </w:style>
  <w:style w:type="character" w:customStyle="1" w:styleId="16">
    <w:name w:val="标题 字符1"/>
    <w:qFormat/>
    <w:locked/>
    <w:uiPriority w:val="10"/>
    <w:rPr>
      <w:rFonts w:ascii="Cambria" w:hAnsi="Cambria" w:eastAsia="宋体" w:cs="Times New Roman"/>
      <w:b/>
      <w:bCs/>
      <w:sz w:val="32"/>
      <w:szCs w:val="32"/>
    </w:rPr>
  </w:style>
  <w:style w:type="character" w:customStyle="1" w:styleId="17">
    <w:name w:val="font112"/>
    <w:basedOn w:val="7"/>
    <w:qFormat/>
    <w:uiPriority w:val="0"/>
    <w:rPr>
      <w:rFonts w:hint="eastAsia" w:ascii="宋体" w:hAnsi="宋体" w:eastAsia="宋体" w:cs="宋体"/>
      <w:color w:val="000000"/>
      <w:sz w:val="20"/>
      <w:szCs w:val="20"/>
      <w:u w:val="none"/>
    </w:rPr>
  </w:style>
  <w:style w:type="paragraph" w:customStyle="1" w:styleId="18">
    <w:name w:val="Table Text"/>
    <w:basedOn w:val="1"/>
    <w:semiHidden/>
    <w:qFormat/>
    <w:uiPriority w:val="0"/>
    <w:rPr>
      <w:rFonts w:ascii="宋体" w:hAnsi="宋体" w:cs="宋体"/>
      <w:sz w:val="24"/>
      <w:lang w:eastAsia="en-US"/>
    </w:rPr>
  </w:style>
  <w:style w:type="paragraph" w:customStyle="1" w:styleId="19">
    <w:name w:val="列出段落1"/>
    <w:basedOn w:val="1"/>
    <w:qFormat/>
    <w:uiPriority w:val="0"/>
    <w:pPr>
      <w:ind w:firstLine="420" w:firstLineChars="200"/>
    </w:pPr>
  </w:style>
  <w:style w:type="paragraph" w:customStyle="1" w:styleId="20">
    <w:name w:val="Table Paragraph"/>
    <w:basedOn w:val="1"/>
    <w:qFormat/>
    <w:uiPriority w:val="1"/>
    <w:pPr>
      <w:jc w:val="center"/>
    </w:pPr>
    <w:rPr>
      <w:rFonts w:ascii="楷体" w:hAnsi="楷体" w:eastAsia="楷体" w:cs="楷体"/>
      <w:lang w:eastAsia="en-US" w:bidi="en-US"/>
    </w:rPr>
  </w:style>
  <w:style w:type="paragraph" w:styleId="21">
    <w:name w:val="List Paragraph"/>
    <w:basedOn w:val="1"/>
    <w:link w:val="23"/>
    <w:qFormat/>
    <w:uiPriority w:val="34"/>
    <w:pPr>
      <w:ind w:firstLine="420" w:firstLineChars="200"/>
    </w:pPr>
  </w:style>
  <w:style w:type="character" w:customStyle="1" w:styleId="22">
    <w:name w:val="批注框文本 字符"/>
    <w:basedOn w:val="7"/>
    <w:link w:val="3"/>
    <w:semiHidden/>
    <w:uiPriority w:val="99"/>
    <w:rPr>
      <w:kern w:val="2"/>
      <w:sz w:val="18"/>
      <w:szCs w:val="18"/>
    </w:rPr>
  </w:style>
  <w:style w:type="character" w:customStyle="1" w:styleId="23">
    <w:name w:val="列出段落 字符"/>
    <w:link w:val="21"/>
    <w:qFormat/>
    <w:uiPriority w:val="34"/>
    <w:rPr>
      <w:kern w:val="2"/>
      <w:sz w:val="21"/>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28</Pages>
  <Words>3229</Words>
  <Characters>18406</Characters>
  <Lines>153</Lines>
  <Paragraphs>43</Paragraphs>
  <TotalTime>101</TotalTime>
  <ScaleCrop>false</ScaleCrop>
  <LinksUpToDate>false</LinksUpToDate>
  <CharactersWithSpaces>21592</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2025-05-12T13:43:00Z</dcterms:created>
  <dc:creator>jgkxhq</dc:creator>
  <cp:lastModifiedBy>jgkxhq</cp:lastModifiedBy>
  <cp:lastPrinted>2025-06-04T05:20:00Z</cp:lastPrinted>
  <dcterms:modified xsi:type="dcterms:W3CDTF">2025-08-13T06:25:31Z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eyJoZGlkIjoiN2IyYjU4NTczOGYwMGI5NDdlZTg4ZjZmYjNkM2U3NGIiLCJ1c2VySWQiOiI2MzM1Njk5MjkifQ==</vt:lpwstr>
  </property>
  <property fmtid="{D5CDD505-2E9C-101B-9397-08002B2CF9AE}" pid="3" name="KSOProductBuildVer">
    <vt:lpwstr>2052-10.8.2.7090</vt:lpwstr>
  </property>
  <property fmtid="{D5CDD505-2E9C-101B-9397-08002B2CF9AE}" pid="4" name="ICV">
    <vt:lpwstr>A870502A061C41CE8A2850616A1585D3_13</vt:lpwstr>
  </property>
</Properties>
</file>