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E6A222">
      <w:pPr>
        <w:jc w:val="center"/>
        <w:rPr>
          <w:rFonts w:eastAsia="仿宋_GB2312"/>
          <w:sz w:val="84"/>
        </w:rPr>
      </w:pPr>
    </w:p>
    <w:p w14:paraId="43B8D80D">
      <w:pPr>
        <w:jc w:val="right"/>
        <w:rPr>
          <w:rFonts w:ascii="黑体" w:eastAsia="黑体"/>
          <w:b/>
          <w:spacing w:val="40"/>
          <w:w w:val="66"/>
          <w:sz w:val="56"/>
          <w:szCs w:val="56"/>
        </w:rPr>
      </w:pPr>
      <w: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825500</wp:posOffset>
                </wp:positionV>
                <wp:extent cx="716280" cy="9525"/>
                <wp:effectExtent l="19050" t="95250" r="7620" b="10477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716280"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6pt;margin-top:65pt;height:0.75pt;width:56.4pt;z-index:251662336;mso-width-relative:page;mso-height-relative:page;" filled="f" stroked="t" coordsize="21600,21600" o:gfxdata="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acIWdMA&#10;AAAKAQAADwAAAAAAAAABACAAAAAiAAAAZHJzL2Rvd25yZXYueG1sUEsBAhQAFAAAAAgAh07iQFaQ&#10;kSXrAQAArgMAAA4AAAAAAAAAAQAgAAAAIgEAAGRycy9lMm9Eb2MueG1sUEsFBgAAAAAGAAYAWQEA&#10;AH8FA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天津市公共资源交易中心工程建设招投标平台智慧化提升项目</w:t>
      </w:r>
    </w:p>
    <w:p w14:paraId="159F5518">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5F00821A">
      <w:pPr>
        <w:jc w:val="center"/>
        <w:rPr>
          <w:rFonts w:ascii="黑体" w:eastAsia="黑体"/>
          <w:b/>
          <w:spacing w:val="40"/>
          <w:w w:val="66"/>
          <w:sz w:val="36"/>
          <w:szCs w:val="36"/>
        </w:rPr>
      </w:pPr>
    </w:p>
    <w:p w14:paraId="7662BD93">
      <w:pPr>
        <w:jc w:val="center"/>
        <w:rPr>
          <w:rFonts w:ascii="黑体" w:eastAsia="黑体"/>
          <w:b/>
          <w:spacing w:val="40"/>
          <w:w w:val="66"/>
          <w:sz w:val="36"/>
          <w:szCs w:val="36"/>
        </w:rPr>
      </w:pPr>
    </w:p>
    <w:p w14:paraId="1E1FE8AC">
      <w:pPr>
        <w:jc w:val="center"/>
        <w:rPr>
          <w:rFonts w:ascii="黑体" w:eastAsia="黑体"/>
          <w:spacing w:val="40"/>
          <w:w w:val="66"/>
          <w:sz w:val="36"/>
          <w:szCs w:val="36"/>
        </w:rPr>
      </w:pPr>
      <w:r>
        <w:rPr>
          <w:rFonts w:eastAsia="黑体"/>
          <w:spacing w:val="40"/>
          <w:w w:val="66"/>
          <w:sz w:val="32"/>
          <w:szCs w:val="32"/>
        </w:rPr>
        <w:t>（项目编号：TGPC-2026-D-0415）</w:t>
      </w:r>
    </w:p>
    <w:p w14:paraId="5A315A4B">
      <w:pPr>
        <w:rPr>
          <w:sz w:val="40"/>
        </w:rPr>
      </w:pPr>
    </w:p>
    <w:p w14:paraId="6A4F759F">
      <w:pPr>
        <w:rPr>
          <w:sz w:val="40"/>
        </w:rPr>
      </w:pPr>
    </w:p>
    <w:p w14:paraId="6DAD59F0">
      <w:pPr>
        <w:rPr>
          <w:sz w:val="36"/>
        </w:rPr>
      </w:pPr>
    </w:p>
    <w:p w14:paraId="5C2C49E6">
      <w:pPr>
        <w:rPr>
          <w:sz w:val="36"/>
        </w:rPr>
      </w:pPr>
    </w:p>
    <w:p w14:paraId="1E0A79F2">
      <w:pPr>
        <w:rPr>
          <w:sz w:val="36"/>
        </w:rPr>
      </w:pPr>
    </w:p>
    <w:p w14:paraId="60BE24E6">
      <w:pPr>
        <w:rPr>
          <w:rFonts w:eastAsia="仿宋_GB2312"/>
          <w:sz w:val="32"/>
        </w:rPr>
      </w:pPr>
    </w:p>
    <w:p w14:paraId="71F453CE">
      <w:pPr>
        <w:rPr>
          <w:rFonts w:eastAsia="仿宋_GB2312"/>
          <w:sz w:val="32"/>
        </w:rPr>
      </w:pPr>
    </w:p>
    <w:p w14:paraId="0E2B79DB">
      <w:pPr>
        <w:rPr>
          <w:sz w:val="36"/>
        </w:rPr>
      </w:pPr>
    </w:p>
    <w:p w14:paraId="0D3CDC49">
      <w:pPr>
        <w:rPr>
          <w:sz w:val="36"/>
        </w:rPr>
      </w:pPr>
    </w:p>
    <w:p w14:paraId="2426FC04">
      <w:pPr>
        <w:ind w:firstLine="2897" w:firstLineChars="1493"/>
        <w:rPr>
          <w:rFonts w:ascii="黑体"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spacing w:val="20"/>
          <w:w w:val="66"/>
          <w:sz w:val="44"/>
          <w:szCs w:val="44"/>
        </w:rPr>
        <w:t>天津市政府采购中心</w:t>
      </w:r>
    </w:p>
    <w:p w14:paraId="33F8ED1E">
      <w:pPr>
        <w:tabs>
          <w:tab w:val="left" w:pos="3281"/>
          <w:tab w:val="center" w:pos="4711"/>
        </w:tabs>
        <w:jc w:val="center"/>
        <w:rPr>
          <w:rFonts w:ascii="仿宋_GB2312"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5</w:t>
      </w:r>
    </w:p>
    <w:p w14:paraId="32B36C5A">
      <w:pPr>
        <w:tabs>
          <w:tab w:val="left" w:pos="3281"/>
          <w:tab w:val="center" w:pos="4711"/>
        </w:tabs>
        <w:jc w:val="center"/>
        <w:rPr>
          <w:rFonts w:eastAsia="仿宋_GB2312"/>
          <w:b/>
          <w:bCs/>
          <w:kern w:val="0"/>
          <w:sz w:val="44"/>
          <w:szCs w:val="44"/>
        </w:rPr>
      </w:pPr>
    </w:p>
    <w:p w14:paraId="4709B8E8">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5BE7E77C">
      <w:pPr>
        <w:spacing w:line="360" w:lineRule="auto"/>
        <w:jc w:val="center"/>
        <w:rPr>
          <w:b/>
          <w:sz w:val="24"/>
        </w:rPr>
      </w:pPr>
      <w:r>
        <w:rPr>
          <w:rFonts w:hint="eastAsia"/>
          <w:b/>
          <w:sz w:val="24"/>
        </w:rPr>
        <w:t>邀请函</w:t>
      </w:r>
    </w:p>
    <w:p w14:paraId="4B0C22AA">
      <w:pPr>
        <w:spacing w:line="360" w:lineRule="auto"/>
        <w:ind w:firstLine="480" w:firstLineChars="200"/>
        <w:rPr>
          <w:sz w:val="24"/>
          <w:szCs w:val="24"/>
        </w:rPr>
      </w:pPr>
      <w:r>
        <w:rPr>
          <w:rFonts w:hint="eastAsia"/>
          <w:sz w:val="24"/>
          <w:szCs w:val="24"/>
        </w:rPr>
        <w:t>受天津市公共资源交易中心委托，天津市政府采购中心对天津市公共资源交易中心工程建设招投标平台智慧化提升项目实施政府采购，现邀请天津开明管理技术咨询有限公司参与谈判。</w:t>
      </w:r>
    </w:p>
    <w:p w14:paraId="61BA0C94">
      <w:pPr>
        <w:spacing w:line="360" w:lineRule="auto"/>
        <w:ind w:firstLine="480" w:firstLineChars="200"/>
        <w:rPr>
          <w:sz w:val="24"/>
          <w:szCs w:val="24"/>
        </w:rPr>
      </w:pPr>
      <w:r>
        <w:rPr>
          <w:rFonts w:hint="eastAsia"/>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有效电子签章即视同所有页均已盖章。</w:t>
      </w:r>
    </w:p>
    <w:p w14:paraId="67755832">
      <w:pPr>
        <w:spacing w:line="360" w:lineRule="auto"/>
        <w:ind w:firstLine="480" w:firstLineChars="200"/>
        <w:rPr>
          <w:sz w:val="24"/>
          <w:szCs w:val="24"/>
        </w:rPr>
      </w:pPr>
    </w:p>
    <w:p w14:paraId="799F1FE0">
      <w:pPr>
        <w:spacing w:line="360" w:lineRule="auto"/>
        <w:jc w:val="center"/>
        <w:rPr>
          <w:sz w:val="24"/>
        </w:rPr>
      </w:pPr>
      <w:r>
        <w:rPr>
          <w:rFonts w:hint="eastAsia"/>
          <w:sz w:val="24"/>
        </w:rPr>
        <w:t>A．供应商须知</w:t>
      </w:r>
    </w:p>
    <w:p w14:paraId="0E30EA6E">
      <w:pPr>
        <w:pStyle w:val="70"/>
        <w:spacing w:line="360" w:lineRule="auto"/>
        <w:ind w:firstLine="480" w:firstLineChars="200"/>
        <w:jc w:val="both"/>
        <w:rPr>
          <w:color w:val="auto"/>
        </w:rPr>
      </w:pPr>
      <w:r>
        <w:rPr>
          <w:color w:val="auto"/>
        </w:rPr>
        <w:t>一、基本概况</w:t>
      </w:r>
    </w:p>
    <w:p w14:paraId="6737697C">
      <w:pPr>
        <w:pStyle w:val="70"/>
        <w:spacing w:line="360" w:lineRule="auto"/>
        <w:ind w:firstLine="480" w:firstLineChars="200"/>
        <w:jc w:val="both"/>
        <w:rPr>
          <w:color w:val="auto"/>
        </w:rPr>
      </w:pPr>
      <w:r>
        <w:rPr>
          <w:color w:val="auto"/>
        </w:rPr>
        <w:t>（一）项目名称：</w:t>
      </w:r>
      <w:r>
        <w:rPr>
          <w:rFonts w:hint="eastAsia"/>
          <w:color w:val="auto"/>
        </w:rPr>
        <w:t>天津市公共资源交易中心工程建设招投标平台智慧化提升项目</w:t>
      </w:r>
      <w:r>
        <w:rPr>
          <w:color w:val="auto"/>
        </w:rPr>
        <w:t xml:space="preserve">  </w:t>
      </w:r>
    </w:p>
    <w:p w14:paraId="58122835">
      <w:pPr>
        <w:pStyle w:val="70"/>
        <w:spacing w:line="360" w:lineRule="auto"/>
        <w:ind w:firstLine="480" w:firstLineChars="200"/>
        <w:jc w:val="both"/>
        <w:rPr>
          <w:color w:val="auto"/>
        </w:rPr>
      </w:pPr>
      <w:r>
        <w:rPr>
          <w:color w:val="auto"/>
        </w:rPr>
        <w:t>（二）项目编号：TGPC-2026-D-0415</w:t>
      </w:r>
    </w:p>
    <w:p w14:paraId="630A3D82">
      <w:pPr>
        <w:pStyle w:val="70"/>
        <w:spacing w:line="360" w:lineRule="auto"/>
        <w:ind w:firstLine="480" w:firstLineChars="200"/>
        <w:jc w:val="both"/>
        <w:rPr>
          <w:color w:val="auto"/>
        </w:rPr>
      </w:pPr>
      <w:r>
        <w:rPr>
          <w:color w:val="auto"/>
        </w:rPr>
        <w:t>（三）采购方式：</w:t>
      </w:r>
      <w:r>
        <w:rPr>
          <w:rFonts w:hint="eastAsia"/>
          <w:color w:val="auto"/>
        </w:rPr>
        <w:t>单一来源</w:t>
      </w:r>
    </w:p>
    <w:p w14:paraId="7B067578">
      <w:pPr>
        <w:pStyle w:val="70"/>
        <w:spacing w:line="360" w:lineRule="auto"/>
        <w:ind w:firstLine="480" w:firstLineChars="200"/>
        <w:jc w:val="both"/>
        <w:rPr>
          <w:color w:val="auto"/>
        </w:rPr>
      </w:pPr>
      <w:r>
        <w:rPr>
          <w:color w:val="auto"/>
        </w:rPr>
        <w:t>（四）项目属性：服务</w:t>
      </w:r>
    </w:p>
    <w:p w14:paraId="0A4E65C6">
      <w:pPr>
        <w:pStyle w:val="70"/>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142B1C8D">
      <w:pPr>
        <w:pStyle w:val="70"/>
        <w:spacing w:line="360" w:lineRule="auto"/>
        <w:ind w:firstLine="480" w:firstLineChars="200"/>
        <w:jc w:val="both"/>
        <w:rPr>
          <w:color w:val="auto"/>
        </w:rPr>
      </w:pPr>
      <w:r>
        <w:rPr>
          <w:color w:val="auto"/>
        </w:rPr>
        <w:t>（六）本文件售价：免费。</w:t>
      </w:r>
    </w:p>
    <w:p w14:paraId="60851336">
      <w:pPr>
        <w:pStyle w:val="70"/>
        <w:spacing w:line="360" w:lineRule="auto"/>
        <w:ind w:firstLine="480" w:firstLineChars="200"/>
        <w:jc w:val="both"/>
        <w:rPr>
          <w:color w:val="auto"/>
          <w:kern w:val="2"/>
        </w:rPr>
      </w:pPr>
      <w:r>
        <w:rPr>
          <w:color w:val="auto"/>
          <w:kern w:val="2"/>
        </w:rPr>
        <w:t>二、项目内容</w:t>
      </w:r>
    </w:p>
    <w:tbl>
      <w:tblPr>
        <w:tblStyle w:val="36"/>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026"/>
        <w:gridCol w:w="1446"/>
        <w:gridCol w:w="1735"/>
        <w:gridCol w:w="1389"/>
      </w:tblGrid>
      <w:tr w14:paraId="15FFB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886B912">
            <w:pPr>
              <w:pStyle w:val="70"/>
              <w:jc w:val="center"/>
              <w:rPr>
                <w:color w:val="auto"/>
                <w:sz w:val="21"/>
                <w:szCs w:val="21"/>
              </w:rPr>
            </w:pPr>
            <w:r>
              <w:rPr>
                <w:color w:val="auto"/>
                <w:sz w:val="21"/>
                <w:szCs w:val="21"/>
              </w:rPr>
              <w:t>包号</w:t>
            </w:r>
          </w:p>
        </w:tc>
        <w:tc>
          <w:tcPr>
            <w:tcW w:w="1385" w:type="dxa"/>
            <w:vAlign w:val="center"/>
          </w:tcPr>
          <w:p w14:paraId="49B992F3">
            <w:pPr>
              <w:pStyle w:val="70"/>
              <w:jc w:val="center"/>
              <w:rPr>
                <w:color w:val="auto"/>
                <w:sz w:val="21"/>
                <w:szCs w:val="21"/>
              </w:rPr>
            </w:pPr>
            <w:r>
              <w:rPr>
                <w:color w:val="auto"/>
                <w:sz w:val="21"/>
                <w:szCs w:val="21"/>
              </w:rPr>
              <w:t>包名称</w:t>
            </w:r>
          </w:p>
        </w:tc>
        <w:tc>
          <w:tcPr>
            <w:tcW w:w="1026" w:type="dxa"/>
            <w:vAlign w:val="center"/>
          </w:tcPr>
          <w:p w14:paraId="7C8A414B">
            <w:pPr>
              <w:pStyle w:val="70"/>
              <w:jc w:val="center"/>
              <w:rPr>
                <w:color w:val="auto"/>
                <w:sz w:val="21"/>
                <w:szCs w:val="21"/>
              </w:rPr>
            </w:pPr>
            <w:r>
              <w:rPr>
                <w:color w:val="auto"/>
                <w:sz w:val="21"/>
                <w:szCs w:val="21"/>
              </w:rPr>
              <w:t>包预算</w:t>
            </w:r>
          </w:p>
        </w:tc>
        <w:tc>
          <w:tcPr>
            <w:tcW w:w="1446" w:type="dxa"/>
            <w:vAlign w:val="center"/>
          </w:tcPr>
          <w:p w14:paraId="7D8D3519">
            <w:pPr>
              <w:pStyle w:val="70"/>
              <w:jc w:val="center"/>
              <w:rPr>
                <w:color w:val="auto"/>
                <w:sz w:val="21"/>
                <w:szCs w:val="21"/>
              </w:rPr>
            </w:pPr>
            <w:r>
              <w:rPr>
                <w:color w:val="auto"/>
                <w:sz w:val="21"/>
                <w:szCs w:val="21"/>
              </w:rPr>
              <w:t>包最高限价</w:t>
            </w:r>
          </w:p>
        </w:tc>
        <w:tc>
          <w:tcPr>
            <w:tcW w:w="1735" w:type="dxa"/>
            <w:vAlign w:val="center"/>
          </w:tcPr>
          <w:p w14:paraId="6F9D9A78">
            <w:pPr>
              <w:pStyle w:val="70"/>
              <w:jc w:val="center"/>
              <w:rPr>
                <w:color w:val="auto"/>
                <w:sz w:val="21"/>
                <w:szCs w:val="21"/>
              </w:rPr>
            </w:pPr>
            <w:r>
              <w:rPr>
                <w:color w:val="auto"/>
                <w:sz w:val="21"/>
                <w:szCs w:val="21"/>
              </w:rPr>
              <w:t>合同履行期限</w:t>
            </w:r>
          </w:p>
        </w:tc>
        <w:tc>
          <w:tcPr>
            <w:tcW w:w="1389" w:type="dxa"/>
            <w:vAlign w:val="center"/>
          </w:tcPr>
          <w:p w14:paraId="0058F0A1">
            <w:pPr>
              <w:pStyle w:val="70"/>
              <w:jc w:val="center"/>
              <w:rPr>
                <w:color w:val="auto"/>
                <w:sz w:val="21"/>
                <w:szCs w:val="21"/>
              </w:rPr>
            </w:pPr>
            <w:r>
              <w:rPr>
                <w:color w:val="auto"/>
                <w:sz w:val="21"/>
                <w:szCs w:val="21"/>
              </w:rPr>
              <w:t>所属行业</w:t>
            </w:r>
          </w:p>
        </w:tc>
      </w:tr>
      <w:tr w14:paraId="4165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A36FE13">
            <w:pPr>
              <w:pStyle w:val="70"/>
              <w:jc w:val="center"/>
              <w:rPr>
                <w:color w:val="auto"/>
                <w:sz w:val="21"/>
                <w:szCs w:val="21"/>
              </w:rPr>
            </w:pPr>
            <w:r>
              <w:rPr>
                <w:color w:val="auto"/>
                <w:sz w:val="21"/>
                <w:szCs w:val="21"/>
              </w:rPr>
              <w:t>1</w:t>
            </w:r>
          </w:p>
        </w:tc>
        <w:tc>
          <w:tcPr>
            <w:tcW w:w="1385" w:type="dxa"/>
            <w:vAlign w:val="center"/>
          </w:tcPr>
          <w:p w14:paraId="3895E81E">
            <w:pPr>
              <w:pStyle w:val="70"/>
              <w:jc w:val="center"/>
              <w:rPr>
                <w:color w:val="auto"/>
                <w:sz w:val="21"/>
                <w:szCs w:val="21"/>
              </w:rPr>
            </w:pPr>
            <w:r>
              <w:rPr>
                <w:rFonts w:hint="eastAsia"/>
                <w:color w:val="auto"/>
                <w:sz w:val="21"/>
                <w:szCs w:val="21"/>
              </w:rPr>
              <w:t>工程建设招投标平台智慧化提升</w:t>
            </w:r>
          </w:p>
        </w:tc>
        <w:tc>
          <w:tcPr>
            <w:tcW w:w="1026" w:type="dxa"/>
            <w:vAlign w:val="center"/>
          </w:tcPr>
          <w:p w14:paraId="2C7D5599">
            <w:pPr>
              <w:pStyle w:val="70"/>
              <w:jc w:val="center"/>
              <w:rPr>
                <w:color w:val="auto"/>
                <w:sz w:val="21"/>
                <w:szCs w:val="21"/>
              </w:rPr>
            </w:pPr>
            <w:r>
              <w:rPr>
                <w:color w:val="auto"/>
                <w:sz w:val="21"/>
                <w:szCs w:val="21"/>
              </w:rPr>
              <w:t>3000000元</w:t>
            </w:r>
          </w:p>
        </w:tc>
        <w:tc>
          <w:tcPr>
            <w:tcW w:w="1446" w:type="dxa"/>
            <w:vAlign w:val="center"/>
          </w:tcPr>
          <w:p w14:paraId="308A7D9E">
            <w:pPr>
              <w:pStyle w:val="70"/>
              <w:jc w:val="center"/>
              <w:rPr>
                <w:color w:val="auto"/>
                <w:sz w:val="21"/>
                <w:szCs w:val="21"/>
              </w:rPr>
            </w:pPr>
            <w:r>
              <w:rPr>
                <w:color w:val="auto"/>
                <w:sz w:val="21"/>
                <w:szCs w:val="21"/>
              </w:rPr>
              <w:t>3000000元</w:t>
            </w:r>
          </w:p>
        </w:tc>
        <w:tc>
          <w:tcPr>
            <w:tcW w:w="1735" w:type="dxa"/>
            <w:vAlign w:val="center"/>
          </w:tcPr>
          <w:p w14:paraId="66F9A4E5">
            <w:pPr>
              <w:pStyle w:val="70"/>
              <w:jc w:val="center"/>
              <w:rPr>
                <w:color w:val="auto"/>
                <w:sz w:val="21"/>
                <w:szCs w:val="21"/>
              </w:rPr>
            </w:pPr>
            <w:r>
              <w:rPr>
                <w:rFonts w:hint="eastAsia"/>
                <w:color w:val="auto"/>
                <w:sz w:val="21"/>
                <w:szCs w:val="21"/>
              </w:rPr>
              <w:t>1年</w:t>
            </w:r>
          </w:p>
        </w:tc>
        <w:tc>
          <w:tcPr>
            <w:tcW w:w="1389" w:type="dxa"/>
            <w:vAlign w:val="center"/>
          </w:tcPr>
          <w:p w14:paraId="75F22B6A">
            <w:pPr>
              <w:pStyle w:val="70"/>
              <w:jc w:val="center"/>
              <w:rPr>
                <w:color w:val="auto"/>
                <w:sz w:val="21"/>
                <w:szCs w:val="21"/>
              </w:rPr>
            </w:pPr>
            <w:r>
              <w:rPr>
                <w:color w:val="auto"/>
                <w:sz w:val="21"/>
                <w:szCs w:val="21"/>
              </w:rPr>
              <w:t>软件和信息技术服务业</w:t>
            </w:r>
          </w:p>
        </w:tc>
      </w:tr>
    </w:tbl>
    <w:p w14:paraId="419D2B4B">
      <w:pPr>
        <w:spacing w:line="360" w:lineRule="auto"/>
        <w:ind w:firstLine="480" w:firstLineChars="200"/>
        <w:rPr>
          <w:sz w:val="24"/>
        </w:rPr>
      </w:pPr>
      <w:r>
        <w:rPr>
          <w:rFonts w:hint="eastAsia"/>
          <w:sz w:val="24"/>
        </w:rPr>
        <w:t>三、供应商资格要求（实质性要求）</w:t>
      </w:r>
    </w:p>
    <w:p w14:paraId="4E516A3E">
      <w:pPr>
        <w:pStyle w:val="70"/>
        <w:spacing w:line="360" w:lineRule="auto"/>
        <w:ind w:firstLine="480" w:firstLineChars="200"/>
        <w:rPr>
          <w:color w:val="auto"/>
        </w:rPr>
      </w:pPr>
      <w:r>
        <w:rPr>
          <w:rFonts w:hint="eastAsia"/>
          <w:color w:val="auto"/>
        </w:rPr>
        <w:t>（一）供应商应具备《中华人民共和国政府采购法》第二十二条第一款和《政府采购法实施条例》第十八条规定的条件，</w:t>
      </w:r>
      <w:r>
        <w:rPr>
          <w:color w:val="auto"/>
        </w:rPr>
        <w:t>提供以下材料：</w:t>
      </w:r>
    </w:p>
    <w:p w14:paraId="29F2C71C">
      <w:pPr>
        <w:pStyle w:val="70"/>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营业执照副本或事业单位法人证书或民办非企业单位登记证书或社会团体法人登记证书或基金会法人登记证书电子件或自然人的身份证明电子件。</w:t>
      </w:r>
    </w:p>
    <w:p w14:paraId="4AC6C920">
      <w:pPr>
        <w:pStyle w:val="70"/>
        <w:spacing w:line="360" w:lineRule="auto"/>
        <w:ind w:firstLine="480" w:firstLineChars="200"/>
        <w:rPr>
          <w:color w:val="auto"/>
        </w:rPr>
      </w:pPr>
      <w:r>
        <w:rPr>
          <w:rFonts w:hint="eastAsia"/>
          <w:color w:val="auto"/>
        </w:rPr>
        <w:t>2. 提供《供应商资格声明函》（格式见附件2）。</w:t>
      </w:r>
    </w:p>
    <w:p w14:paraId="108CE960">
      <w:pPr>
        <w:spacing w:line="360" w:lineRule="auto"/>
        <w:ind w:firstLine="480" w:firstLineChars="200"/>
        <w:rPr>
          <w:sz w:val="24"/>
        </w:rPr>
      </w:pPr>
      <w:r>
        <w:rPr>
          <w:rFonts w:hint="eastAsia"/>
          <w:sz w:val="24"/>
        </w:rPr>
        <w:t>（二）本项目专门小型、微型企业采购，提供《中小企业声明函》。</w:t>
      </w:r>
    </w:p>
    <w:p w14:paraId="2567017D">
      <w:pPr>
        <w:spacing w:line="360" w:lineRule="auto"/>
        <w:ind w:firstLine="480" w:firstLineChars="200"/>
        <w:rPr>
          <w:sz w:val="24"/>
        </w:rPr>
      </w:pPr>
      <w:r>
        <w:rPr>
          <w:rFonts w:hint="eastAsia"/>
          <w:sz w:val="24"/>
        </w:rPr>
        <w:t>四、项目需要落实的政府采购政策</w:t>
      </w:r>
    </w:p>
    <w:p w14:paraId="6DF7B8F0">
      <w:pPr>
        <w:pStyle w:val="70"/>
        <w:spacing w:line="360" w:lineRule="auto"/>
        <w:ind w:firstLine="480" w:firstLineChars="200"/>
        <w:rPr>
          <w:color w:val="auto"/>
        </w:rPr>
      </w:pPr>
      <w:r>
        <w:rPr>
          <w:color w:val="auto"/>
        </w:rPr>
        <w:t>（一）</w:t>
      </w:r>
      <w:r>
        <w:rPr>
          <w:rFonts w:hint="eastAsia"/>
          <w:color w:val="auto"/>
        </w:rPr>
        <w:t>本项目专门小型、微型企业采购。</w:t>
      </w:r>
    </w:p>
    <w:p w14:paraId="128B4709">
      <w:pPr>
        <w:pStyle w:val="70"/>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13244249">
      <w:pPr>
        <w:pStyle w:val="70"/>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5616D37B">
      <w:pPr>
        <w:pStyle w:val="70"/>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13417900">
      <w:pPr>
        <w:pStyle w:val="70"/>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FA0B960">
      <w:pPr>
        <w:pStyle w:val="70"/>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1638DE6">
      <w:pPr>
        <w:pStyle w:val="70"/>
        <w:spacing w:line="360" w:lineRule="auto"/>
        <w:ind w:firstLine="480" w:firstLineChars="200"/>
        <w:rPr>
          <w:color w:val="auto"/>
        </w:rPr>
      </w:pPr>
      <w:r>
        <w:rPr>
          <w:color w:val="auto"/>
        </w:rPr>
        <w:t>五、参与本项目的步骤、时间与方式</w:t>
      </w:r>
    </w:p>
    <w:p w14:paraId="7F73F486">
      <w:pPr>
        <w:pStyle w:val="70"/>
        <w:spacing w:line="360" w:lineRule="auto"/>
        <w:ind w:firstLine="480" w:firstLineChars="200"/>
        <w:rPr>
          <w:rFonts w:hint="eastAsia"/>
          <w:color w:val="auto"/>
        </w:rPr>
      </w:pPr>
      <w:r>
        <w:rPr>
          <w:color w:val="auto"/>
        </w:rPr>
        <w:t>（一）参与本项目的时间要求</w:t>
      </w:r>
    </w:p>
    <w:tbl>
      <w:tblPr>
        <w:tblStyle w:val="36"/>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33997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7032D372">
            <w:pPr>
              <w:pStyle w:val="70"/>
              <w:snapToGrid w:val="0"/>
              <w:jc w:val="center"/>
              <w:rPr>
                <w:color w:val="auto"/>
                <w:sz w:val="21"/>
                <w:szCs w:val="21"/>
              </w:rPr>
            </w:pPr>
            <w:r>
              <w:rPr>
                <w:color w:val="auto"/>
                <w:sz w:val="21"/>
                <w:szCs w:val="21"/>
              </w:rPr>
              <w:t>序号</w:t>
            </w:r>
          </w:p>
        </w:tc>
        <w:tc>
          <w:tcPr>
            <w:tcW w:w="1941" w:type="dxa"/>
            <w:vAlign w:val="center"/>
          </w:tcPr>
          <w:p w14:paraId="124247B8">
            <w:pPr>
              <w:pStyle w:val="70"/>
              <w:snapToGrid w:val="0"/>
              <w:jc w:val="center"/>
              <w:rPr>
                <w:color w:val="auto"/>
                <w:sz w:val="21"/>
                <w:szCs w:val="21"/>
              </w:rPr>
            </w:pPr>
            <w:r>
              <w:rPr>
                <w:color w:val="auto"/>
                <w:sz w:val="21"/>
                <w:szCs w:val="21"/>
              </w:rPr>
              <w:t>步骤名称</w:t>
            </w:r>
          </w:p>
        </w:tc>
        <w:tc>
          <w:tcPr>
            <w:tcW w:w="2127" w:type="dxa"/>
            <w:vAlign w:val="center"/>
          </w:tcPr>
          <w:p w14:paraId="77C3D60F">
            <w:pPr>
              <w:pStyle w:val="70"/>
              <w:snapToGrid w:val="0"/>
              <w:jc w:val="center"/>
              <w:rPr>
                <w:color w:val="auto"/>
                <w:sz w:val="21"/>
                <w:szCs w:val="21"/>
              </w:rPr>
            </w:pPr>
            <w:r>
              <w:rPr>
                <w:color w:val="auto"/>
                <w:sz w:val="21"/>
                <w:szCs w:val="21"/>
              </w:rPr>
              <w:t>开始时间</w:t>
            </w:r>
          </w:p>
        </w:tc>
        <w:tc>
          <w:tcPr>
            <w:tcW w:w="2127" w:type="dxa"/>
            <w:vAlign w:val="center"/>
          </w:tcPr>
          <w:p w14:paraId="61086E86">
            <w:pPr>
              <w:pStyle w:val="70"/>
              <w:snapToGrid w:val="0"/>
              <w:jc w:val="center"/>
              <w:rPr>
                <w:color w:val="auto"/>
                <w:sz w:val="21"/>
                <w:szCs w:val="21"/>
              </w:rPr>
            </w:pPr>
            <w:r>
              <w:rPr>
                <w:color w:val="auto"/>
                <w:sz w:val="21"/>
                <w:szCs w:val="21"/>
              </w:rPr>
              <w:t>截止时间</w:t>
            </w:r>
          </w:p>
        </w:tc>
        <w:tc>
          <w:tcPr>
            <w:tcW w:w="2632" w:type="dxa"/>
            <w:vAlign w:val="center"/>
          </w:tcPr>
          <w:p w14:paraId="690C1C21">
            <w:pPr>
              <w:pStyle w:val="70"/>
              <w:snapToGrid w:val="0"/>
              <w:jc w:val="center"/>
              <w:rPr>
                <w:color w:val="auto"/>
                <w:sz w:val="21"/>
                <w:szCs w:val="21"/>
              </w:rPr>
            </w:pPr>
            <w:r>
              <w:rPr>
                <w:color w:val="auto"/>
                <w:sz w:val="21"/>
                <w:szCs w:val="21"/>
              </w:rPr>
              <w:t>备注</w:t>
            </w:r>
          </w:p>
        </w:tc>
      </w:tr>
      <w:tr w14:paraId="010EB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74D3CB7">
            <w:pPr>
              <w:pStyle w:val="70"/>
              <w:snapToGrid w:val="0"/>
              <w:jc w:val="center"/>
              <w:rPr>
                <w:color w:val="auto"/>
                <w:sz w:val="21"/>
                <w:szCs w:val="21"/>
              </w:rPr>
            </w:pPr>
            <w:r>
              <w:rPr>
                <w:color w:val="auto"/>
                <w:sz w:val="21"/>
                <w:szCs w:val="21"/>
              </w:rPr>
              <w:t>1</w:t>
            </w:r>
          </w:p>
        </w:tc>
        <w:tc>
          <w:tcPr>
            <w:tcW w:w="1941" w:type="dxa"/>
            <w:vAlign w:val="center"/>
          </w:tcPr>
          <w:p w14:paraId="6CAEA81D">
            <w:pPr>
              <w:pStyle w:val="70"/>
              <w:snapToGrid w:val="0"/>
              <w:jc w:val="center"/>
              <w:rPr>
                <w:color w:val="auto"/>
                <w:sz w:val="21"/>
                <w:szCs w:val="21"/>
              </w:rPr>
            </w:pPr>
            <w:r>
              <w:rPr>
                <w:color w:val="auto"/>
                <w:sz w:val="21"/>
                <w:szCs w:val="21"/>
              </w:rPr>
              <w:t>获取单一来源采购文件</w:t>
            </w:r>
          </w:p>
        </w:tc>
        <w:tc>
          <w:tcPr>
            <w:tcW w:w="2127" w:type="dxa"/>
            <w:vAlign w:val="center"/>
          </w:tcPr>
          <w:p w14:paraId="7547855A">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11</w:t>
            </w:r>
            <w:r>
              <w:rPr>
                <w:color w:val="auto"/>
                <w:sz w:val="21"/>
                <w:szCs w:val="21"/>
              </w:rPr>
              <w:t>日</w:t>
            </w:r>
          </w:p>
        </w:tc>
        <w:tc>
          <w:tcPr>
            <w:tcW w:w="2127" w:type="dxa"/>
            <w:vAlign w:val="center"/>
          </w:tcPr>
          <w:p w14:paraId="76853CF0">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14</w:t>
            </w:r>
            <w:r>
              <w:rPr>
                <w:color w:val="auto"/>
                <w:sz w:val="21"/>
                <w:szCs w:val="21"/>
              </w:rPr>
              <w:t>日</w:t>
            </w:r>
          </w:p>
        </w:tc>
        <w:tc>
          <w:tcPr>
            <w:tcW w:w="2632" w:type="dxa"/>
            <w:vAlign w:val="center"/>
          </w:tcPr>
          <w:p w14:paraId="0A8F40A7">
            <w:pPr>
              <w:pStyle w:val="70"/>
              <w:snapToGrid w:val="0"/>
              <w:jc w:val="both"/>
              <w:rPr>
                <w:color w:val="auto"/>
                <w:sz w:val="21"/>
                <w:szCs w:val="21"/>
              </w:rPr>
            </w:pPr>
            <w:r>
              <w:rPr>
                <w:color w:val="auto"/>
                <w:sz w:val="21"/>
                <w:szCs w:val="21"/>
              </w:rPr>
              <w:t>每日9:00至17:00（北京时间，法定节假日除外）。</w:t>
            </w:r>
          </w:p>
          <w:p w14:paraId="77B1A8A8">
            <w:pPr>
              <w:pStyle w:val="70"/>
              <w:snapToGrid w:val="0"/>
              <w:jc w:val="both"/>
              <w:rPr>
                <w:color w:val="auto"/>
                <w:sz w:val="21"/>
                <w:szCs w:val="21"/>
              </w:rPr>
            </w:pPr>
            <w:r>
              <w:rPr>
                <w:color w:val="auto"/>
                <w:sz w:val="21"/>
                <w:szCs w:val="21"/>
              </w:rPr>
              <w:t>未按时获取单一来源采购文件的，不能参与本项目</w:t>
            </w:r>
          </w:p>
        </w:tc>
      </w:tr>
      <w:tr w14:paraId="46181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A8333FB">
            <w:pPr>
              <w:pStyle w:val="70"/>
              <w:snapToGrid w:val="0"/>
              <w:jc w:val="center"/>
              <w:rPr>
                <w:color w:val="auto"/>
                <w:sz w:val="21"/>
                <w:szCs w:val="21"/>
              </w:rPr>
            </w:pPr>
            <w:r>
              <w:rPr>
                <w:color w:val="auto"/>
                <w:sz w:val="21"/>
                <w:szCs w:val="21"/>
              </w:rPr>
              <w:t>2</w:t>
            </w:r>
          </w:p>
        </w:tc>
        <w:tc>
          <w:tcPr>
            <w:tcW w:w="1941" w:type="dxa"/>
            <w:vAlign w:val="center"/>
          </w:tcPr>
          <w:p w14:paraId="4D1AAD29">
            <w:pPr>
              <w:pStyle w:val="70"/>
              <w:snapToGrid w:val="0"/>
              <w:jc w:val="center"/>
              <w:rPr>
                <w:color w:val="auto"/>
                <w:sz w:val="21"/>
                <w:szCs w:val="21"/>
              </w:rPr>
            </w:pPr>
            <w:r>
              <w:rPr>
                <w:color w:val="auto"/>
                <w:sz w:val="21"/>
                <w:szCs w:val="21"/>
              </w:rPr>
              <w:t>网上应答（上传电子响应文件）</w:t>
            </w:r>
          </w:p>
        </w:tc>
        <w:tc>
          <w:tcPr>
            <w:tcW w:w="2127" w:type="dxa"/>
            <w:vAlign w:val="center"/>
          </w:tcPr>
          <w:p w14:paraId="42AFBFFF">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11</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5225D4F8">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15</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D19E486">
            <w:pPr>
              <w:pStyle w:val="70"/>
              <w:snapToGrid w:val="0"/>
              <w:jc w:val="both"/>
              <w:rPr>
                <w:color w:val="auto"/>
                <w:sz w:val="21"/>
                <w:szCs w:val="21"/>
              </w:rPr>
            </w:pPr>
            <w:r>
              <w:rPr>
                <w:color w:val="auto"/>
                <w:sz w:val="21"/>
                <w:szCs w:val="21"/>
              </w:rPr>
              <w:t>未按时完成网上应答或未按时上传电子响应文件的，视为无效响应。</w:t>
            </w:r>
          </w:p>
        </w:tc>
      </w:tr>
      <w:tr w14:paraId="5151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78C5B541">
            <w:pPr>
              <w:pStyle w:val="70"/>
              <w:snapToGrid w:val="0"/>
              <w:jc w:val="center"/>
              <w:rPr>
                <w:color w:val="auto"/>
                <w:sz w:val="21"/>
                <w:szCs w:val="21"/>
              </w:rPr>
            </w:pPr>
            <w:r>
              <w:rPr>
                <w:color w:val="auto"/>
                <w:sz w:val="21"/>
                <w:szCs w:val="21"/>
              </w:rPr>
              <w:t>3</w:t>
            </w:r>
          </w:p>
        </w:tc>
        <w:tc>
          <w:tcPr>
            <w:tcW w:w="1941" w:type="dxa"/>
            <w:vAlign w:val="center"/>
          </w:tcPr>
          <w:p w14:paraId="049D8EC5">
            <w:pPr>
              <w:pStyle w:val="70"/>
              <w:snapToGrid w:val="0"/>
              <w:jc w:val="center"/>
              <w:rPr>
                <w:color w:val="auto"/>
                <w:sz w:val="21"/>
                <w:szCs w:val="21"/>
              </w:rPr>
            </w:pPr>
            <w:r>
              <w:rPr>
                <w:color w:val="auto"/>
                <w:sz w:val="21"/>
                <w:szCs w:val="21"/>
              </w:rPr>
              <w:t>解密</w:t>
            </w:r>
          </w:p>
        </w:tc>
        <w:tc>
          <w:tcPr>
            <w:tcW w:w="2127" w:type="dxa"/>
            <w:vAlign w:val="center"/>
          </w:tcPr>
          <w:p w14:paraId="50F6A2FA">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15</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055F87FE">
            <w:pPr>
              <w:pStyle w:val="70"/>
              <w:snapToGrid w:val="0"/>
              <w:jc w:val="center"/>
              <w:rPr>
                <w:color w:val="auto"/>
                <w:sz w:val="21"/>
                <w:szCs w:val="21"/>
              </w:rPr>
            </w:pPr>
            <w:r>
              <w:rPr>
                <w:color w:val="auto"/>
                <w:sz w:val="21"/>
                <w:szCs w:val="21"/>
              </w:rPr>
              <w:t>2026年</w:t>
            </w:r>
            <w:r>
              <w:rPr>
                <w:rFonts w:hint="eastAsia"/>
                <w:color w:val="auto"/>
                <w:sz w:val="21"/>
                <w:szCs w:val="21"/>
              </w:rPr>
              <w:t>5</w:t>
            </w:r>
            <w:r>
              <w:rPr>
                <w:color w:val="auto"/>
                <w:sz w:val="21"/>
                <w:szCs w:val="21"/>
              </w:rPr>
              <w:t>月</w:t>
            </w:r>
            <w:r>
              <w:rPr>
                <w:rFonts w:hint="eastAsia"/>
                <w:color w:val="auto"/>
                <w:sz w:val="21"/>
                <w:szCs w:val="21"/>
              </w:rPr>
              <w:t>15</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7A373571">
            <w:pPr>
              <w:pStyle w:val="70"/>
              <w:snapToGrid w:val="0"/>
              <w:jc w:val="both"/>
              <w:rPr>
                <w:color w:val="auto"/>
                <w:sz w:val="21"/>
                <w:szCs w:val="21"/>
              </w:rPr>
            </w:pPr>
            <w:r>
              <w:rPr>
                <w:color w:val="auto"/>
                <w:sz w:val="21"/>
                <w:szCs w:val="21"/>
              </w:rPr>
              <w:t>未按时完成解密的，视为无效响应。</w:t>
            </w:r>
          </w:p>
        </w:tc>
      </w:tr>
    </w:tbl>
    <w:p w14:paraId="5FD4BB08">
      <w:pPr>
        <w:pStyle w:val="70"/>
        <w:adjustRightInd/>
        <w:spacing w:line="360" w:lineRule="auto"/>
        <w:ind w:firstLine="480" w:firstLineChars="200"/>
        <w:rPr>
          <w:color w:val="auto"/>
        </w:rPr>
      </w:pPr>
      <w:r>
        <w:rPr>
          <w:color w:val="auto"/>
        </w:rPr>
        <w:t>（二）参与本项目的方式要求</w:t>
      </w:r>
    </w:p>
    <w:p w14:paraId="49927CFA">
      <w:pPr>
        <w:pStyle w:val="70"/>
        <w:adjustRightInd/>
        <w:spacing w:line="360" w:lineRule="auto"/>
        <w:ind w:firstLine="480" w:firstLineChars="200"/>
        <w:jc w:val="both"/>
        <w:rPr>
          <w:color w:val="auto"/>
        </w:rPr>
      </w:pPr>
      <w:r>
        <w:rPr>
          <w:color w:val="auto"/>
        </w:rPr>
        <w:t>1. 供应商注册、CA数字证书（USBKey）领取、电子签章办理办法：</w:t>
      </w:r>
    </w:p>
    <w:p w14:paraId="01BA1BB1">
      <w:pPr>
        <w:pStyle w:val="70"/>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51BD173A">
      <w:pPr>
        <w:pStyle w:val="70"/>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2BF42D81">
      <w:pPr>
        <w:pStyle w:val="70"/>
        <w:adjustRightInd/>
        <w:spacing w:line="360" w:lineRule="auto"/>
        <w:ind w:firstLine="480" w:firstLineChars="200"/>
        <w:jc w:val="both"/>
        <w:rPr>
          <w:color w:val="auto"/>
        </w:rPr>
      </w:pPr>
      <w:r>
        <w:rPr>
          <w:color w:val="auto"/>
        </w:rPr>
        <w:t>CA数字证书办理联系电话：400-0566-110或022-24538059。</w:t>
      </w:r>
    </w:p>
    <w:p w14:paraId="22247419">
      <w:pPr>
        <w:pStyle w:val="70"/>
        <w:adjustRightInd/>
        <w:spacing w:line="360" w:lineRule="auto"/>
        <w:ind w:firstLine="480" w:firstLineChars="200"/>
        <w:jc w:val="both"/>
        <w:rPr>
          <w:color w:val="auto"/>
        </w:rPr>
      </w:pPr>
      <w:r>
        <w:rPr>
          <w:color w:val="auto"/>
        </w:rPr>
        <w:t>电子签章办理联系电话：022-24538059。</w:t>
      </w:r>
    </w:p>
    <w:p w14:paraId="68BD9538">
      <w:pPr>
        <w:pStyle w:val="70"/>
        <w:adjustRightInd/>
        <w:spacing w:line="360" w:lineRule="auto"/>
        <w:ind w:firstLine="480" w:firstLineChars="200"/>
        <w:jc w:val="both"/>
        <w:rPr>
          <w:color w:val="auto"/>
        </w:rPr>
      </w:pPr>
      <w:r>
        <w:rPr>
          <w:color w:val="auto"/>
        </w:rPr>
        <w:t>2. 获取单一来源采购文件的方式</w:t>
      </w:r>
    </w:p>
    <w:p w14:paraId="152BDF52">
      <w:pPr>
        <w:pStyle w:val="70"/>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41"/>
          <w:color w:val="auto"/>
        </w:rPr>
        <w:t>http://tjgpc.zwfwb.tj.gov.cn</w:t>
      </w:r>
      <w:r>
        <w:rPr>
          <w:rStyle w:val="41"/>
          <w:color w:val="auto"/>
        </w:rPr>
        <w:fldChar w:fldCharType="end"/>
      </w:r>
      <w:r>
        <w:rPr>
          <w:color w:val="auto"/>
        </w:rPr>
        <w:t>）-”网上招投标”-“供应商登录”-“市级集采机构入口”下载单一来源采购文件。</w:t>
      </w:r>
    </w:p>
    <w:p w14:paraId="39356861">
      <w:pPr>
        <w:pStyle w:val="70"/>
        <w:adjustRightInd/>
        <w:spacing w:line="360" w:lineRule="auto"/>
        <w:ind w:firstLine="480" w:firstLineChars="200"/>
        <w:jc w:val="both"/>
        <w:rPr>
          <w:color w:val="auto"/>
        </w:rPr>
      </w:pPr>
      <w:r>
        <w:rPr>
          <w:color w:val="auto"/>
        </w:rPr>
        <w:t>3. 网上应答（上传电子响应文件）方式</w:t>
      </w:r>
    </w:p>
    <w:p w14:paraId="463CAB19">
      <w:pPr>
        <w:pStyle w:val="70"/>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308AFD21">
      <w:pPr>
        <w:pStyle w:val="70"/>
        <w:adjustRightInd/>
        <w:spacing w:line="360" w:lineRule="auto"/>
        <w:ind w:firstLine="480" w:firstLineChars="200"/>
        <w:rPr>
          <w:color w:val="auto"/>
        </w:rPr>
      </w:pPr>
      <w:r>
        <w:rPr>
          <w:color w:val="auto"/>
        </w:rPr>
        <w:t>网上应答帮助链接：http://tjgpc.zwfwb.tj.gov.cn/webInfo/getWebInfoListForwebInfoClass.do?fkWebInfoclassId=W008</w:t>
      </w:r>
    </w:p>
    <w:p w14:paraId="2F5D1535">
      <w:pPr>
        <w:pStyle w:val="70"/>
        <w:adjustRightInd/>
        <w:spacing w:line="360" w:lineRule="auto"/>
        <w:ind w:firstLine="480" w:firstLineChars="200"/>
        <w:rPr>
          <w:color w:val="auto"/>
        </w:rPr>
      </w:pPr>
      <w:r>
        <w:rPr>
          <w:color w:val="auto"/>
        </w:rPr>
        <w:t>4. 解密方式</w:t>
      </w:r>
    </w:p>
    <w:p w14:paraId="1EFCF1E7">
      <w:pPr>
        <w:pStyle w:val="70"/>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608D4F33">
      <w:pPr>
        <w:pStyle w:val="70"/>
        <w:spacing w:line="360" w:lineRule="auto"/>
        <w:ind w:firstLine="480" w:firstLineChars="200"/>
        <w:jc w:val="both"/>
        <w:rPr>
          <w:color w:val="auto"/>
        </w:rPr>
      </w:pPr>
      <w:r>
        <w:rPr>
          <w:color w:val="auto"/>
        </w:rPr>
        <w:t>六、现场考察、标前答疑会</w:t>
      </w:r>
    </w:p>
    <w:p w14:paraId="0D7CE5E4">
      <w:pPr>
        <w:pStyle w:val="70"/>
        <w:spacing w:line="360" w:lineRule="auto"/>
        <w:ind w:firstLine="480" w:firstLineChars="200"/>
        <w:jc w:val="both"/>
        <w:rPr>
          <w:color w:val="auto"/>
        </w:rPr>
      </w:pPr>
      <w:r>
        <w:rPr>
          <w:color w:val="auto"/>
        </w:rPr>
        <w:t>本项目不组织现场考察、不组织标前答疑会。</w:t>
      </w:r>
    </w:p>
    <w:p w14:paraId="40F3F48D">
      <w:pPr>
        <w:pStyle w:val="70"/>
        <w:spacing w:line="360" w:lineRule="auto"/>
        <w:ind w:firstLine="480" w:firstLineChars="200"/>
        <w:jc w:val="both"/>
        <w:rPr>
          <w:color w:val="auto"/>
        </w:rPr>
      </w:pPr>
      <w:r>
        <w:rPr>
          <w:color w:val="auto"/>
        </w:rPr>
        <w:t>七、采购代理机构信息</w:t>
      </w:r>
    </w:p>
    <w:p w14:paraId="6425E374">
      <w:pPr>
        <w:pStyle w:val="70"/>
        <w:spacing w:line="360" w:lineRule="auto"/>
        <w:ind w:firstLine="480" w:firstLineChars="200"/>
        <w:jc w:val="both"/>
        <w:rPr>
          <w:color w:val="auto"/>
        </w:rPr>
      </w:pPr>
      <w:r>
        <w:rPr>
          <w:color w:val="auto"/>
        </w:rPr>
        <w:t>（一）采购代理机构名称：天津市政府采购中心</w:t>
      </w:r>
    </w:p>
    <w:p w14:paraId="69EBF569">
      <w:pPr>
        <w:pStyle w:val="70"/>
        <w:spacing w:line="360" w:lineRule="auto"/>
        <w:ind w:firstLine="480" w:firstLineChars="200"/>
        <w:jc w:val="both"/>
        <w:rPr>
          <w:color w:val="auto"/>
        </w:rPr>
      </w:pPr>
      <w:r>
        <w:rPr>
          <w:color w:val="auto"/>
        </w:rPr>
        <w:t>（二）采购代理机构地址：天津市河东区红星路79号二楼（邮编：300161）</w:t>
      </w:r>
    </w:p>
    <w:p w14:paraId="5B7D5513">
      <w:pPr>
        <w:pStyle w:val="70"/>
        <w:spacing w:line="360" w:lineRule="auto"/>
        <w:ind w:firstLine="480" w:firstLineChars="200"/>
        <w:jc w:val="both"/>
        <w:rPr>
          <w:color w:val="auto"/>
        </w:rPr>
      </w:pPr>
      <w:r>
        <w:rPr>
          <w:color w:val="auto"/>
        </w:rPr>
        <w:t xml:space="preserve">（三）联系人：张艳、李楠 </w:t>
      </w:r>
    </w:p>
    <w:p w14:paraId="70E5BE1D">
      <w:pPr>
        <w:pStyle w:val="70"/>
        <w:spacing w:line="360" w:lineRule="auto"/>
        <w:ind w:firstLine="480" w:firstLineChars="200"/>
        <w:jc w:val="both"/>
        <w:rPr>
          <w:color w:val="auto"/>
        </w:rPr>
      </w:pPr>
      <w:r>
        <w:rPr>
          <w:color w:val="auto"/>
        </w:rPr>
        <w:t>（四）网址：http://tjgpc.zwfwb.tj.gov.cn</w:t>
      </w:r>
    </w:p>
    <w:p w14:paraId="4D58B8C5">
      <w:pPr>
        <w:pStyle w:val="70"/>
        <w:spacing w:line="360" w:lineRule="auto"/>
        <w:ind w:firstLine="480" w:firstLineChars="200"/>
        <w:jc w:val="both"/>
        <w:rPr>
          <w:color w:val="auto"/>
        </w:rPr>
      </w:pPr>
      <w:r>
        <w:rPr>
          <w:color w:val="auto"/>
        </w:rPr>
        <w:t>（五）对外办公时间：法定工作日9:00～12:00，14:00～17:00</w:t>
      </w:r>
    </w:p>
    <w:p w14:paraId="791E5105">
      <w:pPr>
        <w:pStyle w:val="70"/>
        <w:spacing w:line="360" w:lineRule="auto"/>
        <w:ind w:firstLine="480" w:firstLineChars="200"/>
        <w:jc w:val="both"/>
        <w:rPr>
          <w:color w:val="auto"/>
        </w:rPr>
      </w:pPr>
      <w:r>
        <w:rPr>
          <w:color w:val="auto"/>
        </w:rPr>
        <w:t>（六）咨询服务电话：</w:t>
      </w:r>
    </w:p>
    <w:p w14:paraId="747AD891">
      <w:pPr>
        <w:pStyle w:val="70"/>
        <w:spacing w:line="360" w:lineRule="auto"/>
        <w:ind w:firstLine="480" w:firstLineChars="200"/>
        <w:jc w:val="both"/>
        <w:rPr>
          <w:color w:val="auto"/>
        </w:rPr>
      </w:pPr>
      <w:r>
        <w:rPr>
          <w:color w:val="auto"/>
        </w:rPr>
        <w:t>1. 供应商注册咨询：022-24538167</w:t>
      </w:r>
    </w:p>
    <w:p w14:paraId="0A9A6105">
      <w:pPr>
        <w:pStyle w:val="70"/>
        <w:spacing w:line="360" w:lineRule="auto"/>
        <w:ind w:firstLine="480" w:firstLineChars="200"/>
        <w:jc w:val="both"/>
        <w:rPr>
          <w:color w:val="auto"/>
        </w:rPr>
      </w:pPr>
      <w:r>
        <w:rPr>
          <w:color w:val="auto"/>
        </w:rPr>
        <w:t>2. CA证书和电子签章办理咨询：022-24538059</w:t>
      </w:r>
    </w:p>
    <w:p w14:paraId="2D650C01">
      <w:pPr>
        <w:pStyle w:val="70"/>
        <w:spacing w:line="360" w:lineRule="auto"/>
        <w:ind w:firstLine="480" w:firstLineChars="200"/>
        <w:jc w:val="both"/>
        <w:rPr>
          <w:color w:val="auto"/>
        </w:rPr>
      </w:pPr>
      <w:r>
        <w:rPr>
          <w:color w:val="auto"/>
        </w:rPr>
        <w:t>3. 采购文件咨询：022-2453</w:t>
      </w:r>
      <w:r>
        <w:rPr>
          <w:rFonts w:hint="eastAsia"/>
          <w:color w:val="auto"/>
        </w:rPr>
        <w:t>8271</w:t>
      </w:r>
    </w:p>
    <w:p w14:paraId="3DBCA257">
      <w:pPr>
        <w:pStyle w:val="70"/>
        <w:spacing w:line="360" w:lineRule="auto"/>
        <w:ind w:firstLine="480" w:firstLineChars="200"/>
        <w:jc w:val="both"/>
        <w:rPr>
          <w:color w:val="auto"/>
        </w:rPr>
      </w:pPr>
      <w:r>
        <w:rPr>
          <w:color w:val="auto"/>
        </w:rPr>
        <w:t>4. 网上应答及解密操作咨询：022-24538309</w:t>
      </w:r>
    </w:p>
    <w:p w14:paraId="14646287">
      <w:pPr>
        <w:pStyle w:val="70"/>
        <w:spacing w:line="360" w:lineRule="auto"/>
        <w:ind w:firstLine="480" w:firstLineChars="200"/>
        <w:jc w:val="both"/>
        <w:rPr>
          <w:color w:val="auto"/>
        </w:rPr>
      </w:pPr>
      <w:r>
        <w:rPr>
          <w:color w:val="auto"/>
        </w:rPr>
        <w:t>八、采购人信息</w:t>
      </w:r>
    </w:p>
    <w:p w14:paraId="393F60BF">
      <w:pPr>
        <w:pStyle w:val="70"/>
        <w:spacing w:line="360" w:lineRule="auto"/>
        <w:ind w:firstLine="480" w:firstLineChars="200"/>
        <w:rPr>
          <w:color w:val="auto"/>
        </w:rPr>
      </w:pPr>
      <w:r>
        <w:rPr>
          <w:color w:val="auto"/>
        </w:rPr>
        <w:t>（一）采购人名称：</w:t>
      </w:r>
      <w:r>
        <w:rPr>
          <w:rFonts w:hint="eastAsia"/>
          <w:color w:val="auto"/>
        </w:rPr>
        <w:t>天津市公共资源交易中心</w:t>
      </w:r>
    </w:p>
    <w:p w14:paraId="4A53A904">
      <w:pPr>
        <w:pStyle w:val="70"/>
        <w:spacing w:line="360" w:lineRule="auto"/>
        <w:ind w:firstLine="480" w:firstLineChars="200"/>
        <w:rPr>
          <w:color w:val="auto"/>
        </w:rPr>
      </w:pPr>
      <w:r>
        <w:rPr>
          <w:color w:val="auto"/>
        </w:rPr>
        <w:t>（二）采购人地址：</w:t>
      </w:r>
      <w:r>
        <w:rPr>
          <w:rFonts w:hint="eastAsia"/>
          <w:color w:val="auto"/>
        </w:rPr>
        <w:t>天津市河东区红星路79号</w:t>
      </w:r>
    </w:p>
    <w:p w14:paraId="1A6BCE5F">
      <w:pPr>
        <w:pStyle w:val="70"/>
        <w:spacing w:line="360" w:lineRule="auto"/>
        <w:ind w:firstLine="480" w:firstLineChars="200"/>
        <w:rPr>
          <w:color w:val="auto"/>
        </w:rPr>
      </w:pPr>
      <w:r>
        <w:rPr>
          <w:color w:val="auto"/>
        </w:rPr>
        <w:t xml:space="preserve">（三）采购人联系人：李响 </w:t>
      </w:r>
    </w:p>
    <w:p w14:paraId="2E33520F">
      <w:pPr>
        <w:pStyle w:val="70"/>
        <w:spacing w:line="360" w:lineRule="auto"/>
        <w:ind w:firstLine="480" w:firstLineChars="200"/>
        <w:jc w:val="both"/>
        <w:rPr>
          <w:color w:val="auto"/>
        </w:rPr>
      </w:pPr>
      <w:r>
        <w:rPr>
          <w:color w:val="auto"/>
        </w:rPr>
        <w:t>（四）采购人联系电话：</w:t>
      </w:r>
      <w:r>
        <w:rPr>
          <w:rFonts w:hint="eastAsia"/>
          <w:color w:val="auto"/>
        </w:rPr>
        <w:t>022-</w:t>
      </w:r>
      <w:r>
        <w:rPr>
          <w:color w:val="auto"/>
        </w:rPr>
        <w:t xml:space="preserve">24538388 </w:t>
      </w:r>
    </w:p>
    <w:p w14:paraId="513D52CC">
      <w:pPr>
        <w:pStyle w:val="70"/>
        <w:spacing w:line="360" w:lineRule="auto"/>
        <w:ind w:firstLine="480" w:firstLineChars="200"/>
        <w:jc w:val="both"/>
        <w:rPr>
          <w:color w:val="auto"/>
        </w:rPr>
      </w:pPr>
      <w:r>
        <w:rPr>
          <w:color w:val="auto"/>
        </w:rPr>
        <w:t>九、质疑方式</w:t>
      </w:r>
    </w:p>
    <w:p w14:paraId="192A06C3">
      <w:pPr>
        <w:pStyle w:val="70"/>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238A24D0">
      <w:pPr>
        <w:pStyle w:val="70"/>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37EEF86">
      <w:pPr>
        <w:pStyle w:val="70"/>
        <w:spacing w:line="360" w:lineRule="auto"/>
        <w:ind w:firstLine="480" w:firstLineChars="200"/>
        <w:rPr>
          <w:color w:val="auto"/>
        </w:rPr>
      </w:pPr>
      <w:r>
        <w:rPr>
          <w:color w:val="auto"/>
        </w:rPr>
        <w:t>采购人质疑受理：</w:t>
      </w:r>
    </w:p>
    <w:p w14:paraId="659D485D">
      <w:pPr>
        <w:pStyle w:val="70"/>
        <w:spacing w:line="360" w:lineRule="auto"/>
        <w:ind w:firstLine="480" w:firstLineChars="200"/>
        <w:rPr>
          <w:color w:val="auto"/>
        </w:rPr>
      </w:pPr>
      <w:r>
        <w:rPr>
          <w:color w:val="auto"/>
        </w:rPr>
        <w:t>1. 联系部门：公共服务处</w:t>
      </w:r>
    </w:p>
    <w:p w14:paraId="339D8437">
      <w:pPr>
        <w:pStyle w:val="70"/>
        <w:spacing w:line="360" w:lineRule="auto"/>
        <w:ind w:firstLine="480" w:firstLineChars="200"/>
        <w:rPr>
          <w:color w:val="auto"/>
        </w:rPr>
      </w:pPr>
      <w:r>
        <w:rPr>
          <w:color w:val="auto"/>
        </w:rPr>
        <w:t>2. 联系地址：</w:t>
      </w:r>
      <w:r>
        <w:rPr>
          <w:rFonts w:hint="eastAsia"/>
          <w:color w:val="auto"/>
        </w:rPr>
        <w:t>天津市河东区红星路79号</w:t>
      </w:r>
    </w:p>
    <w:p w14:paraId="3DA447D9">
      <w:pPr>
        <w:pStyle w:val="70"/>
        <w:spacing w:line="360" w:lineRule="auto"/>
        <w:ind w:firstLine="480" w:firstLineChars="200"/>
        <w:rPr>
          <w:color w:val="auto"/>
        </w:rPr>
      </w:pPr>
      <w:r>
        <w:rPr>
          <w:color w:val="auto"/>
        </w:rPr>
        <w:t>3. 联 系 人：李响</w:t>
      </w:r>
    </w:p>
    <w:p w14:paraId="68089E42">
      <w:pPr>
        <w:pStyle w:val="70"/>
        <w:spacing w:line="360" w:lineRule="auto"/>
        <w:ind w:firstLine="480" w:firstLineChars="200"/>
        <w:rPr>
          <w:color w:val="auto"/>
        </w:rPr>
      </w:pPr>
      <w:r>
        <w:rPr>
          <w:color w:val="auto"/>
        </w:rPr>
        <w:t>4. 联系方式：</w:t>
      </w:r>
      <w:r>
        <w:rPr>
          <w:rFonts w:hint="eastAsia"/>
          <w:color w:val="auto"/>
        </w:rPr>
        <w:t>022-</w:t>
      </w:r>
      <w:r>
        <w:rPr>
          <w:color w:val="auto"/>
        </w:rPr>
        <w:t>24538388</w:t>
      </w:r>
    </w:p>
    <w:p w14:paraId="4253BA5B">
      <w:pPr>
        <w:pStyle w:val="70"/>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6D5C1A90">
      <w:pPr>
        <w:pStyle w:val="70"/>
        <w:spacing w:line="360" w:lineRule="auto"/>
        <w:ind w:firstLine="480" w:firstLineChars="200"/>
        <w:jc w:val="both"/>
        <w:rPr>
          <w:color w:val="auto"/>
        </w:rPr>
      </w:pPr>
      <w:r>
        <w:rPr>
          <w:color w:val="auto"/>
        </w:rPr>
        <w:t>十、公告期限</w:t>
      </w:r>
    </w:p>
    <w:p w14:paraId="564CC4C4">
      <w:pPr>
        <w:pStyle w:val="70"/>
        <w:spacing w:line="360" w:lineRule="auto"/>
        <w:ind w:firstLine="480" w:firstLineChars="200"/>
        <w:jc w:val="both"/>
        <w:rPr>
          <w:color w:val="auto"/>
        </w:rPr>
      </w:pPr>
      <w:r>
        <w:rPr>
          <w:color w:val="auto"/>
        </w:rPr>
        <w:t>招标公告的公告期限为5个工作日。</w:t>
      </w:r>
    </w:p>
    <w:p w14:paraId="1B304115">
      <w:pPr>
        <w:pStyle w:val="70"/>
        <w:spacing w:line="360" w:lineRule="auto"/>
        <w:ind w:firstLine="480" w:firstLineChars="200"/>
        <w:jc w:val="both"/>
        <w:rPr>
          <w:color w:val="auto"/>
        </w:rPr>
      </w:pPr>
      <w:r>
        <w:rPr>
          <w:color w:val="auto"/>
        </w:rPr>
        <w:t>十一、招标代理服务费</w:t>
      </w:r>
    </w:p>
    <w:p w14:paraId="1A618DA1">
      <w:pPr>
        <w:pStyle w:val="70"/>
        <w:spacing w:line="360" w:lineRule="auto"/>
        <w:ind w:firstLine="480" w:firstLineChars="200"/>
        <w:jc w:val="both"/>
        <w:rPr>
          <w:color w:val="auto"/>
        </w:rPr>
      </w:pPr>
      <w:r>
        <w:rPr>
          <w:color w:val="auto"/>
        </w:rPr>
        <w:t>本项目不收取招标代理服务费。</w:t>
      </w:r>
    </w:p>
    <w:p w14:paraId="71C22581">
      <w:pPr>
        <w:pStyle w:val="70"/>
        <w:spacing w:line="360" w:lineRule="auto"/>
        <w:ind w:firstLine="480" w:firstLineChars="200"/>
        <w:jc w:val="both"/>
        <w:rPr>
          <w:color w:val="auto"/>
        </w:rPr>
      </w:pPr>
    </w:p>
    <w:p w14:paraId="0137C35A">
      <w:pPr>
        <w:pStyle w:val="70"/>
        <w:spacing w:line="360" w:lineRule="auto"/>
        <w:ind w:firstLine="480" w:firstLineChars="200"/>
        <w:jc w:val="both"/>
        <w:rPr>
          <w:color w:val="auto"/>
        </w:rPr>
      </w:pPr>
    </w:p>
    <w:p w14:paraId="5317B2B3">
      <w:pPr>
        <w:pStyle w:val="70"/>
        <w:spacing w:line="360" w:lineRule="auto"/>
        <w:ind w:firstLine="480" w:firstLineChars="200"/>
        <w:jc w:val="both"/>
        <w:rPr>
          <w:color w:val="auto"/>
        </w:rPr>
      </w:pPr>
    </w:p>
    <w:p w14:paraId="76C40E9E">
      <w:pPr>
        <w:pStyle w:val="70"/>
        <w:spacing w:line="360" w:lineRule="auto"/>
        <w:jc w:val="both"/>
        <w:rPr>
          <w:color w:val="auto"/>
        </w:rPr>
      </w:pPr>
    </w:p>
    <w:p w14:paraId="002C744C">
      <w:pPr>
        <w:pStyle w:val="70"/>
        <w:spacing w:line="360" w:lineRule="auto"/>
        <w:jc w:val="right"/>
        <w:rPr>
          <w:b/>
          <w:bCs/>
          <w:color w:val="auto"/>
          <w:kern w:val="28"/>
          <w:sz w:val="32"/>
          <w:szCs w:val="32"/>
        </w:rPr>
      </w:pPr>
      <w:r>
        <w:rPr>
          <w:color w:val="auto"/>
        </w:rPr>
        <w:t>2026年</w:t>
      </w:r>
      <w:r>
        <w:rPr>
          <w:rFonts w:hint="eastAsia"/>
          <w:color w:val="auto"/>
        </w:rPr>
        <w:t>5</w:t>
      </w:r>
      <w:r>
        <w:rPr>
          <w:color w:val="auto"/>
        </w:rPr>
        <w:t>月</w:t>
      </w:r>
      <w:r>
        <w:rPr>
          <w:rFonts w:hint="eastAsia"/>
          <w:color w:val="auto"/>
        </w:rPr>
        <w:t>11</w:t>
      </w:r>
      <w:r>
        <w:rPr>
          <w:color w:val="auto"/>
        </w:rPr>
        <w:t>日</w:t>
      </w:r>
    </w:p>
    <w:p w14:paraId="082877E9">
      <w:pPr>
        <w:widowControl/>
        <w:jc w:val="left"/>
        <w:rPr>
          <w:rFonts w:ascii="宋体" w:hAnsi="宋体"/>
          <w:sz w:val="24"/>
          <w:szCs w:val="24"/>
        </w:rPr>
      </w:pPr>
      <w:r>
        <w:rPr>
          <w:rFonts w:ascii="宋体" w:hAnsi="宋体"/>
          <w:sz w:val="24"/>
          <w:szCs w:val="24"/>
        </w:rPr>
        <w:br w:type="page"/>
      </w:r>
    </w:p>
    <w:p w14:paraId="6EEDC3F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1CAC5C7">
      <w:pPr>
        <w:spacing w:line="360" w:lineRule="auto"/>
        <w:jc w:val="center"/>
        <w:rPr>
          <w:rFonts w:eastAsia="方正小标宋简体"/>
          <w:bCs/>
          <w:kern w:val="0"/>
          <w:sz w:val="24"/>
          <w:szCs w:val="24"/>
        </w:rPr>
      </w:pPr>
    </w:p>
    <w:p w14:paraId="47F6EA96">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ADDCC0A">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20E0D55">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F57010D">
      <w:pPr>
        <w:spacing w:line="360" w:lineRule="auto"/>
        <w:jc w:val="center"/>
        <w:rPr>
          <w:rFonts w:eastAsia="方正小标宋简体"/>
          <w:spacing w:val="-10"/>
          <w:sz w:val="24"/>
          <w:szCs w:val="24"/>
        </w:rPr>
      </w:pPr>
    </w:p>
    <w:p w14:paraId="693CD385">
      <w:pPr>
        <w:spacing w:line="360" w:lineRule="auto"/>
        <w:jc w:val="center"/>
        <w:rPr>
          <w:rFonts w:eastAsia="方正小标宋简体"/>
          <w:spacing w:val="-10"/>
          <w:sz w:val="24"/>
          <w:szCs w:val="24"/>
        </w:rPr>
      </w:pPr>
    </w:p>
    <w:p w14:paraId="74A1965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500E90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6306E97">
      <w:pPr>
        <w:spacing w:line="320" w:lineRule="exact"/>
        <w:ind w:firstLine="480" w:firstLineChars="200"/>
        <w:rPr>
          <w:rFonts w:eastAsiaTheme="minorEastAsia"/>
          <w:sz w:val="24"/>
          <w:szCs w:val="24"/>
        </w:rPr>
      </w:pPr>
      <w:r>
        <w:rPr>
          <w:rFonts w:eastAsiaTheme="minorEastAsia"/>
          <w:sz w:val="24"/>
          <w:szCs w:val="24"/>
        </w:rPr>
        <w:t>【政策概述】</w:t>
      </w:r>
    </w:p>
    <w:p w14:paraId="54C0623B">
      <w:pPr>
        <w:spacing w:line="32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9F55F59">
      <w:pPr>
        <w:spacing w:line="320" w:lineRule="exact"/>
        <w:ind w:firstLine="480" w:firstLineChars="200"/>
        <w:rPr>
          <w:rFonts w:eastAsiaTheme="minorEastAsia"/>
          <w:sz w:val="24"/>
          <w:szCs w:val="24"/>
        </w:rPr>
      </w:pPr>
      <w:r>
        <w:rPr>
          <w:rFonts w:eastAsiaTheme="minorEastAsia"/>
          <w:sz w:val="24"/>
          <w:szCs w:val="24"/>
        </w:rPr>
        <w:t>【支持对象】</w:t>
      </w:r>
    </w:p>
    <w:p w14:paraId="743FCE3E">
      <w:pPr>
        <w:spacing w:line="32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3E5C5FC">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【支持情形】</w:t>
      </w:r>
    </w:p>
    <w:p w14:paraId="7F574A0C">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在政府采购活动中，供应商提供的货物、工程或者服务符合下列情形的，享受支持政策：</w:t>
      </w:r>
    </w:p>
    <w:p w14:paraId="5ABEC88E">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（一）在货物采购项目中，货物由中小企业制造，即货物由</w:t>
      </w:r>
      <w:r>
        <w:rPr>
          <w:rFonts w:ascii="Times New Roman" w:hAnsi="Times New Roman" w:eastAsiaTheme="minorEastAsia"/>
          <w:b/>
          <w:snapToGrid w:val="0"/>
          <w:szCs w:val="24"/>
        </w:rPr>
        <w:t>中小企业生产且使用该中小企业商号或者注册商标</w:t>
      </w:r>
      <w:r>
        <w:rPr>
          <w:rFonts w:ascii="Times New Roman" w:hAnsi="Times New Roman" w:eastAsiaTheme="minorEastAsia"/>
          <w:snapToGrid w:val="0"/>
          <w:szCs w:val="24"/>
        </w:rPr>
        <w:t>；</w:t>
      </w:r>
    </w:p>
    <w:p w14:paraId="754FFECF">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（二）在工程采购项目中，工程由中小企业承建，即工程施工单位为中小企业；</w:t>
      </w:r>
    </w:p>
    <w:p w14:paraId="0CCC19EF">
      <w:pPr>
        <w:pStyle w:val="14"/>
        <w:spacing w:line="320" w:lineRule="exact"/>
        <w:ind w:firstLine="480" w:firstLineChars="200"/>
        <w:rPr>
          <w:rFonts w:ascii="Times New Roman" w:hAnsi="Times New Roman" w:eastAsiaTheme="minorEastAsia"/>
          <w:snapToGrid w:val="0"/>
          <w:szCs w:val="24"/>
        </w:rPr>
      </w:pPr>
      <w:r>
        <w:rPr>
          <w:rFonts w:ascii="Times New Roman" w:hAnsi="Times New Roman" w:eastAsiaTheme="minorEastAsia"/>
          <w:snapToGrid w:val="0"/>
          <w:szCs w:val="24"/>
        </w:rPr>
        <w:t>（三）在服务采购项目中，服务由中小企业承接，即提供服务的人员为中小企业依照《中华人民共和国劳动合同法》</w:t>
      </w:r>
      <w:r>
        <w:rPr>
          <w:rFonts w:ascii="Times New Roman" w:hAnsi="Times New Roman" w:eastAsiaTheme="minorEastAsia"/>
          <w:b/>
          <w:snapToGrid w:val="0"/>
          <w:szCs w:val="24"/>
        </w:rPr>
        <w:t>订立劳动合同</w:t>
      </w:r>
      <w:r>
        <w:rPr>
          <w:rFonts w:ascii="Times New Roman" w:hAnsi="Times New Roman" w:eastAsiaTheme="minorEastAsia"/>
          <w:snapToGrid w:val="0"/>
          <w:szCs w:val="24"/>
        </w:rPr>
        <w:t>的从业人员。</w:t>
      </w:r>
    </w:p>
    <w:p w14:paraId="6377421C">
      <w:pPr>
        <w:spacing w:line="32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AC74475">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【注意事项】</w:t>
      </w:r>
    </w:p>
    <w:p w14:paraId="017F3BC7">
      <w:pPr>
        <w:spacing w:line="32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235DFE6">
      <w:pPr>
        <w:spacing w:line="32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179D6250">
      <w:pPr>
        <w:spacing w:line="320" w:lineRule="exact"/>
        <w:ind w:firstLine="480" w:firstLineChars="200"/>
        <w:rPr>
          <w:rFonts w:eastAsiaTheme="minorEastAsia"/>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8984AE1">
      <w:pPr>
        <w:pStyle w:val="14"/>
        <w:spacing w:line="320" w:lineRule="exact"/>
        <w:ind w:firstLine="480" w:firstLineChars="200"/>
        <w:rPr>
          <w:rFonts w:ascii="Times New Roman" w:hAnsi="Times New Roman" w:eastAsiaTheme="minorEastAsia"/>
          <w:szCs w:val="24"/>
        </w:rPr>
      </w:pPr>
      <w:r>
        <w:rPr>
          <w:rFonts w:ascii="Times New Roman" w:hAnsi="Times New Roman" w:eastAsiaTheme="minorEastAsia"/>
          <w:szCs w:val="24"/>
        </w:rPr>
        <w:t>【政策目录】</w:t>
      </w:r>
    </w:p>
    <w:p w14:paraId="408D063D">
      <w:pPr>
        <w:spacing w:line="320" w:lineRule="exact"/>
        <w:ind w:firstLine="480" w:firstLineChars="200"/>
        <w:rPr>
          <w:rFonts w:eastAsiaTheme="minorEastAsia"/>
          <w:sz w:val="24"/>
          <w:szCs w:val="24"/>
        </w:rPr>
      </w:pPr>
      <w:r>
        <w:rPr>
          <w:rFonts w:eastAsiaTheme="minorEastAsia"/>
          <w:sz w:val="24"/>
          <w:szCs w:val="24"/>
        </w:rPr>
        <w:t>1.《中华人民共和国政府采购法》第九条</w:t>
      </w:r>
    </w:p>
    <w:p w14:paraId="4F033EB1">
      <w:pPr>
        <w:spacing w:line="320" w:lineRule="exact"/>
        <w:ind w:firstLine="480" w:firstLineChars="200"/>
        <w:rPr>
          <w:rFonts w:eastAsiaTheme="minorEastAsia"/>
          <w:sz w:val="24"/>
          <w:szCs w:val="24"/>
        </w:rPr>
      </w:pPr>
      <w:r>
        <w:rPr>
          <w:rFonts w:eastAsiaTheme="minorEastAsia"/>
          <w:sz w:val="24"/>
          <w:szCs w:val="24"/>
        </w:rPr>
        <w:t>2.《中华人民共和国政府采购法实施条例》第六条</w:t>
      </w:r>
    </w:p>
    <w:p w14:paraId="09FE7460">
      <w:pPr>
        <w:spacing w:line="320" w:lineRule="exact"/>
        <w:ind w:firstLine="480" w:firstLineChars="200"/>
        <w:rPr>
          <w:rFonts w:eastAsiaTheme="minorEastAsia"/>
          <w:sz w:val="24"/>
          <w:szCs w:val="24"/>
        </w:rPr>
      </w:pPr>
      <w:r>
        <w:rPr>
          <w:rFonts w:eastAsiaTheme="minorEastAsia"/>
          <w:sz w:val="24"/>
          <w:szCs w:val="24"/>
        </w:rPr>
        <w:t>3. 财政部 工业和信息化部关于印发《政府采购促进中小企业发展管理办法》的通知（财库〔2020〕46号）</w:t>
      </w:r>
    </w:p>
    <w:p w14:paraId="04F9B9CB">
      <w:pPr>
        <w:spacing w:line="320" w:lineRule="exact"/>
        <w:ind w:firstLine="480" w:firstLineChars="200"/>
        <w:rPr>
          <w:rFonts w:eastAsiaTheme="minorEastAsia"/>
          <w:sz w:val="24"/>
          <w:szCs w:val="24"/>
        </w:rPr>
      </w:pPr>
      <w:r>
        <w:rPr>
          <w:rFonts w:eastAsiaTheme="minorEastAsia"/>
          <w:sz w:val="24"/>
          <w:szCs w:val="24"/>
        </w:rPr>
        <w:t>4. 财政部关于进一步加大政府采购支持中小企业力度的通知（财库〔2022〕19号）</w:t>
      </w:r>
    </w:p>
    <w:p w14:paraId="15889E31">
      <w:pPr>
        <w:spacing w:line="320" w:lineRule="exact"/>
        <w:ind w:firstLine="480" w:firstLineChars="200"/>
        <w:rPr>
          <w:rFonts w:eastAsiaTheme="minorEastAsia"/>
          <w:sz w:val="24"/>
          <w:szCs w:val="24"/>
        </w:rPr>
      </w:pPr>
      <w:r>
        <w:rPr>
          <w:rFonts w:eastAsiaTheme="minorEastAsia"/>
          <w:sz w:val="24"/>
          <w:szCs w:val="24"/>
        </w:rPr>
        <w:t>5.天津市财政局 天津市工业和信息化局关于贯彻落实《政府采购促进中小企业发展管理办法》的通知（津财采〔2021〕12号）</w:t>
      </w:r>
    </w:p>
    <w:p w14:paraId="11847787">
      <w:pPr>
        <w:spacing w:line="320" w:lineRule="exact"/>
        <w:ind w:firstLine="480" w:firstLineChars="200"/>
        <w:rPr>
          <w:rFonts w:eastAsiaTheme="minorEastAsia"/>
          <w:sz w:val="24"/>
          <w:szCs w:val="24"/>
        </w:rPr>
      </w:pPr>
      <w:r>
        <w:rPr>
          <w:rFonts w:eastAsiaTheme="minorEastAsia"/>
          <w:sz w:val="24"/>
          <w:szCs w:val="24"/>
        </w:rPr>
        <w:t>6.市财政局 市发展改革委 市住房城乡建设委 市交通运输委 市水务局 市政务服务办关于进一步贯彻落实政府采购支持中小企业政策的通知（津财采〔2022〕11号）</w:t>
      </w:r>
    </w:p>
    <w:p w14:paraId="15FE7AA4">
      <w:pPr>
        <w:tabs>
          <w:tab w:val="left" w:pos="0"/>
        </w:tabs>
        <w:spacing w:line="360" w:lineRule="auto"/>
        <w:jc w:val="center"/>
        <w:rPr>
          <w:rFonts w:ascii="宋体" w:hAnsi="宋体"/>
          <w:sz w:val="24"/>
          <w:szCs w:val="24"/>
        </w:rPr>
      </w:pPr>
    </w:p>
    <w:p w14:paraId="3D975D5B">
      <w:pPr>
        <w:adjustRightInd w:val="0"/>
        <w:snapToGrid w:val="0"/>
        <w:spacing w:line="400" w:lineRule="exact"/>
        <w:jc w:val="center"/>
        <w:rPr>
          <w:b/>
          <w:sz w:val="24"/>
          <w:szCs w:val="24"/>
        </w:rPr>
      </w:pPr>
      <w:r>
        <w:rPr>
          <w:b/>
          <w:sz w:val="24"/>
          <w:szCs w:val="24"/>
        </w:rPr>
        <w:t>诚信参与政府采购活动提示函</w:t>
      </w:r>
    </w:p>
    <w:p w14:paraId="5FBCBCA1">
      <w:pPr>
        <w:pStyle w:val="3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2534FBF">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B62EF87">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BC0A16B">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8"/>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3EF717A">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EC8480B">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22504E7">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5390CD8">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0E7F16D">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623558D">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8AB557D">
      <w:pPr>
        <w:pStyle w:val="3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38"/>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60E4E35">
      <w:pPr>
        <w:pStyle w:val="32"/>
        <w:shd w:val="clear" w:color="auto" w:fill="FFFFFF"/>
        <w:adjustRightInd w:val="0"/>
        <w:snapToGrid w:val="0"/>
        <w:spacing w:before="0" w:beforeAutospacing="0" w:after="0" w:afterAutospacing="0" w:line="440" w:lineRule="exact"/>
        <w:ind w:firstLine="480" w:firstLineChars="200"/>
        <w:jc w:val="both"/>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7AD44CE">
      <w:pPr>
        <w:tabs>
          <w:tab w:val="left" w:pos="0"/>
        </w:tabs>
        <w:spacing w:line="360" w:lineRule="auto"/>
        <w:jc w:val="center"/>
        <w:rPr>
          <w:rFonts w:ascii="宋体" w:hAnsi="宋体"/>
          <w:sz w:val="24"/>
          <w:szCs w:val="24"/>
        </w:rPr>
      </w:pPr>
    </w:p>
    <w:p w14:paraId="0771E9CB">
      <w:pPr>
        <w:widowControl/>
        <w:jc w:val="left"/>
        <w:rPr>
          <w:rFonts w:ascii="宋体" w:hAnsi="宋体"/>
          <w:sz w:val="24"/>
          <w:szCs w:val="24"/>
        </w:rPr>
      </w:pPr>
      <w:r>
        <w:rPr>
          <w:rFonts w:ascii="宋体" w:hAnsi="宋体"/>
          <w:sz w:val="24"/>
          <w:szCs w:val="24"/>
        </w:rPr>
        <w:br w:type="page"/>
      </w:r>
    </w:p>
    <w:p w14:paraId="468B8A02">
      <w:pPr>
        <w:tabs>
          <w:tab w:val="left" w:pos="0"/>
        </w:tabs>
        <w:spacing w:line="360" w:lineRule="auto"/>
        <w:jc w:val="center"/>
        <w:rPr>
          <w:rFonts w:ascii="宋体" w:hAnsi="宋体"/>
          <w:sz w:val="24"/>
          <w:szCs w:val="24"/>
        </w:rPr>
      </w:pPr>
      <w:r>
        <w:rPr>
          <w:rFonts w:hint="eastAsia" w:ascii="宋体" w:hAnsi="宋体"/>
          <w:sz w:val="24"/>
          <w:szCs w:val="24"/>
        </w:rPr>
        <w:t>B．单一来源采购要求</w:t>
      </w:r>
    </w:p>
    <w:p w14:paraId="43DAB3CB">
      <w:pPr>
        <w:spacing w:line="360" w:lineRule="auto"/>
        <w:ind w:firstLine="480" w:firstLineChars="200"/>
        <w:rPr>
          <w:sz w:val="24"/>
        </w:rPr>
      </w:pPr>
      <w:r>
        <w:rPr>
          <w:rFonts w:hint="eastAsia"/>
          <w:sz w:val="24"/>
        </w:rPr>
        <w:t>加注“★”号条款为不允许偏离的实质性要求，经单一来源采购人员判定任意一条加注“★”号的条款出现偏离，视为无效响应。</w:t>
      </w:r>
    </w:p>
    <w:p w14:paraId="727D9512">
      <w:pPr>
        <w:widowControl/>
        <w:spacing w:line="360" w:lineRule="auto"/>
        <w:ind w:firstLine="480" w:firstLineChars="200"/>
        <w:jc w:val="left"/>
        <w:rPr>
          <w:sz w:val="24"/>
        </w:rPr>
      </w:pPr>
      <w:r>
        <w:rPr>
          <w:rFonts w:hint="eastAsia"/>
          <w:sz w:val="24"/>
        </w:rPr>
        <w:t>一、项目背景</w:t>
      </w:r>
    </w:p>
    <w:p w14:paraId="2FD13CD7">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服务范围：2026年2月6日，国家发展和改革委员会等多部门联合印发了《关于加快招标投标领域人工智能推广应用的实施意见》（发改法规〔2026〕195号）。《意见》提出，围绕招标投标交易全过程和管理重点环节，按照政府引导、多方参与、场景牵引、安全可控的原则，积极稳妥推进人工智能在招标投标领域的应用，改进招标投标范式，提升服务和监管的数智化水平，为保障公共资源公平高效配置、规范招标投标市场秩序提供有力支撑。《意见》明确要求，2026年底前，招标文件检测、智能辅助评标、围串标识别等重点场景在部分省市实现全覆盖应用。为积极响应《意见》要求，结合中心招标投标业务工作实际，拟在现有工程建设招投标平台中深度融合人工智能辅助应用场景。重点围绕招标文件智能检测、智能辅助评标、围串标智能识别三大核心方向，构建覆盖招标投标交易全过程的智能化辅助体系，提升平台服务效能与监管水平。</w:t>
      </w:r>
    </w:p>
    <w:p w14:paraId="592C7203">
      <w:pPr>
        <w:spacing w:line="360" w:lineRule="auto"/>
        <w:ind w:firstLine="480" w:firstLineChars="200"/>
        <w:rPr>
          <w:sz w:val="24"/>
          <w:szCs w:val="24"/>
        </w:rPr>
      </w:pPr>
      <w:r>
        <w:rPr>
          <w:rFonts w:hint="eastAsia"/>
          <w:sz w:val="24"/>
          <w:szCs w:val="24"/>
        </w:rPr>
        <w:t>二、</w:t>
      </w:r>
      <w:r>
        <w:rPr>
          <w:sz w:val="24"/>
          <w:szCs w:val="24"/>
        </w:rPr>
        <w:t>技术要求</w:t>
      </w:r>
    </w:p>
    <w:p w14:paraId="2A10093B">
      <w:pPr>
        <w:autoSpaceDE w:val="0"/>
        <w:autoSpaceDN w:val="0"/>
        <w:adjustRightInd w:val="0"/>
        <w:spacing w:line="360" w:lineRule="auto"/>
        <w:ind w:firstLine="480" w:firstLineChars="200"/>
        <w:rPr>
          <w:sz w:val="24"/>
        </w:rPr>
      </w:pPr>
      <w:r>
        <w:rPr>
          <w:rFonts w:hint="eastAsia"/>
          <w:sz w:val="24"/>
        </w:rPr>
        <w:t>★</w:t>
      </w:r>
      <w:r>
        <w:rPr>
          <w:kern w:val="0"/>
          <w:sz w:val="24"/>
          <w:szCs w:val="21"/>
        </w:rPr>
        <w:t>（</w:t>
      </w:r>
      <w:r>
        <w:rPr>
          <w:rFonts w:hint="eastAsia"/>
          <w:kern w:val="0"/>
          <w:sz w:val="24"/>
          <w:szCs w:val="21"/>
        </w:rPr>
        <w:t>一</w:t>
      </w:r>
      <w:r>
        <w:rPr>
          <w:kern w:val="0"/>
          <w:sz w:val="24"/>
          <w:szCs w:val="21"/>
        </w:rPr>
        <w:t>）</w:t>
      </w:r>
      <w:r>
        <w:rPr>
          <w:rFonts w:hint="eastAsia"/>
          <w:sz w:val="24"/>
        </w:rPr>
        <w:t>供应商</w:t>
      </w:r>
      <w:r>
        <w:rPr>
          <w:sz w:val="24"/>
        </w:rPr>
        <w:t>须承诺所提供的服务、人员及设备符合相关国家强制性规定。</w:t>
      </w:r>
      <w:r>
        <w:rPr>
          <w:rFonts w:hint="eastAsia"/>
          <w:sz w:val="24"/>
        </w:rPr>
        <w:t>验收时采购人有权要求投标人出具以上</w:t>
      </w:r>
      <w:r>
        <w:rPr>
          <w:sz w:val="24"/>
        </w:rPr>
        <w:t>服务、人员及设备</w:t>
      </w:r>
      <w:r>
        <w:rPr>
          <w:rFonts w:hint="eastAsia"/>
          <w:sz w:val="24"/>
        </w:rPr>
        <w:t>符合上述规定的证明文件。</w:t>
      </w:r>
    </w:p>
    <w:p w14:paraId="12F62D81">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（二）具体要求详见项目需求书。</w:t>
      </w:r>
    </w:p>
    <w:p w14:paraId="6A564354">
      <w:pPr>
        <w:spacing w:line="360" w:lineRule="auto"/>
        <w:ind w:firstLine="480" w:firstLineChars="200"/>
        <w:rPr>
          <w:sz w:val="24"/>
          <w:szCs w:val="24"/>
        </w:rPr>
      </w:pPr>
      <w:r>
        <w:rPr>
          <w:rFonts w:hint="eastAsia"/>
          <w:sz w:val="24"/>
          <w:szCs w:val="24"/>
        </w:rPr>
        <w:t>三、供应商实施能力</w:t>
      </w:r>
    </w:p>
    <w:p w14:paraId="68BC213E">
      <w:pPr>
        <w:autoSpaceDE w:val="0"/>
        <w:autoSpaceDN w:val="0"/>
        <w:adjustRightInd w:val="0"/>
        <w:spacing w:line="360" w:lineRule="auto"/>
        <w:ind w:firstLine="480" w:firstLineChars="200"/>
        <w:rPr>
          <w:sz w:val="24"/>
        </w:rPr>
      </w:pPr>
      <w:r>
        <w:rPr>
          <w:sz w:val="24"/>
        </w:rPr>
        <w:t>完全按照以下要求提供与本项目规模及内容相当且已完成的实施经历，提供的证明材料均不得遮挡涂黑。</w:t>
      </w:r>
    </w:p>
    <w:p w14:paraId="599F226A">
      <w:pPr>
        <w:spacing w:line="360" w:lineRule="auto"/>
        <w:ind w:firstLine="480" w:firstLineChars="200"/>
        <w:rPr>
          <w:sz w:val="24"/>
          <w:szCs w:val="24"/>
        </w:rPr>
      </w:pPr>
      <w:r>
        <w:rPr>
          <w:sz w:val="24"/>
          <w:szCs w:val="24"/>
        </w:rPr>
        <w:t>（一）合同</w:t>
      </w:r>
      <w:r>
        <w:rPr>
          <w:rFonts w:hint="eastAsia"/>
          <w:sz w:val="24"/>
          <w:szCs w:val="24"/>
        </w:rPr>
        <w:t>电子件</w:t>
      </w:r>
      <w:r>
        <w:rPr>
          <w:sz w:val="24"/>
          <w:szCs w:val="24"/>
        </w:rPr>
        <w:t>。包括合同金额、买卖双方名称及盖章、合同清单。</w:t>
      </w:r>
    </w:p>
    <w:p w14:paraId="160BE633">
      <w:pPr>
        <w:spacing w:line="360" w:lineRule="auto"/>
        <w:ind w:firstLine="480" w:firstLineChars="200"/>
        <w:rPr>
          <w:sz w:val="24"/>
          <w:szCs w:val="24"/>
        </w:rPr>
      </w:pPr>
      <w:r>
        <w:rPr>
          <w:sz w:val="24"/>
          <w:szCs w:val="24"/>
        </w:rPr>
        <w:t>（二）验收报告</w:t>
      </w:r>
      <w:r>
        <w:rPr>
          <w:rFonts w:hint="eastAsia"/>
          <w:sz w:val="24"/>
          <w:szCs w:val="24"/>
        </w:rPr>
        <w:t>电子件</w:t>
      </w:r>
      <w:r>
        <w:rPr>
          <w:sz w:val="24"/>
          <w:szCs w:val="24"/>
        </w:rPr>
        <w:t>或用户出具的成功履行合同的相关证明材料。</w:t>
      </w:r>
    </w:p>
    <w:p w14:paraId="17ADB3EF">
      <w:pPr>
        <w:spacing w:line="360" w:lineRule="auto"/>
        <w:ind w:firstLine="480" w:firstLineChars="200"/>
        <w:rPr>
          <w:sz w:val="24"/>
          <w:szCs w:val="24"/>
        </w:rPr>
      </w:pPr>
      <w:r>
        <w:rPr>
          <w:rFonts w:hint="eastAsia"/>
          <w:sz w:val="24"/>
          <w:szCs w:val="24"/>
        </w:rPr>
        <w:t>四、商务要求</w:t>
      </w:r>
    </w:p>
    <w:p w14:paraId="6F296470">
      <w:pPr>
        <w:spacing w:line="360" w:lineRule="auto"/>
        <w:ind w:firstLine="480" w:firstLineChars="200"/>
        <w:rPr>
          <w:sz w:val="24"/>
          <w:szCs w:val="24"/>
        </w:rPr>
      </w:pPr>
      <w:r>
        <w:rPr>
          <w:sz w:val="24"/>
          <w:szCs w:val="24"/>
        </w:rPr>
        <w:t>（一）报价要求</w:t>
      </w:r>
    </w:p>
    <w:p w14:paraId="0D3B32D6">
      <w:pPr>
        <w:spacing w:line="360" w:lineRule="auto"/>
        <w:ind w:firstLine="480" w:firstLineChars="200"/>
        <w:rPr>
          <w:sz w:val="24"/>
          <w:szCs w:val="24"/>
        </w:rPr>
      </w:pPr>
      <w:r>
        <w:rPr>
          <w:sz w:val="24"/>
          <w:szCs w:val="24"/>
        </w:rPr>
        <w:t>1. 报价以人民币填列。</w:t>
      </w:r>
    </w:p>
    <w:p w14:paraId="45F76E8F">
      <w:pPr>
        <w:spacing w:line="360" w:lineRule="auto"/>
        <w:ind w:firstLine="480" w:firstLineChars="200"/>
        <w:rPr>
          <w:sz w:val="24"/>
          <w:szCs w:val="24"/>
        </w:rPr>
      </w:pPr>
      <w:r>
        <w:rPr>
          <w:sz w:val="24"/>
        </w:rPr>
        <w:t xml:space="preserve">2. </w:t>
      </w:r>
      <w:r>
        <w:rPr>
          <w:rFonts w:hint="eastAsia"/>
          <w:sz w:val="24"/>
        </w:rPr>
        <w:t>供应商</w:t>
      </w:r>
      <w:r>
        <w:rPr>
          <w:sz w:val="24"/>
        </w:rPr>
        <w:t>的报价应包括：人员费用、开发费用、培训费用及税金等为完成单一来源采购文件规定全部任务所需的一切应有费用。</w:t>
      </w:r>
    </w:p>
    <w:p w14:paraId="00916E55">
      <w:pPr>
        <w:spacing w:line="360" w:lineRule="auto"/>
        <w:ind w:firstLine="480" w:firstLineChars="200"/>
        <w:rPr>
          <w:sz w:val="24"/>
          <w:szCs w:val="24"/>
        </w:rPr>
      </w:pPr>
      <w:r>
        <w:rPr>
          <w:sz w:val="24"/>
          <w:szCs w:val="24"/>
        </w:rPr>
        <w:t>3. 验收及相关费用由供应商负责。</w:t>
      </w:r>
    </w:p>
    <w:p w14:paraId="13880F62">
      <w:pPr>
        <w:pStyle w:val="70"/>
        <w:spacing w:line="360" w:lineRule="auto"/>
        <w:ind w:firstLine="480" w:firstLineChars="200"/>
        <w:jc w:val="both"/>
        <w:rPr>
          <w:color w:val="auto"/>
          <w:kern w:val="2"/>
        </w:rPr>
      </w:pPr>
      <w:r>
        <w:rPr>
          <w:color w:val="auto"/>
          <w:kern w:val="2"/>
        </w:rPr>
        <w:t>（二）时间、地点要求：</w:t>
      </w:r>
    </w:p>
    <w:p w14:paraId="7FC149ED">
      <w:pPr>
        <w:pStyle w:val="70"/>
        <w:spacing w:line="360" w:lineRule="auto"/>
        <w:ind w:firstLine="480" w:firstLineChars="200"/>
        <w:jc w:val="both"/>
        <w:rPr>
          <w:color w:val="auto"/>
          <w:kern w:val="2"/>
        </w:rPr>
      </w:pPr>
      <w:r>
        <w:rPr>
          <w:color w:val="auto"/>
          <w:kern w:val="2"/>
        </w:rPr>
        <w:t>1. 时间要求：</w:t>
      </w:r>
      <w:r>
        <w:rPr>
          <w:rFonts w:hint="eastAsia"/>
          <w:color w:val="auto"/>
          <w:kern w:val="2"/>
        </w:rPr>
        <w:t>签订合同之日起6个月完成开发并试运行，试运行结束后进行终验，终验合格之日起1年的免费运行维护期</w:t>
      </w:r>
      <w:r>
        <w:rPr>
          <w:color w:val="auto"/>
          <w:kern w:val="2"/>
        </w:rPr>
        <w:t>（特殊情况以合同为准）。</w:t>
      </w:r>
    </w:p>
    <w:p w14:paraId="264B98AB">
      <w:pPr>
        <w:spacing w:line="360" w:lineRule="auto"/>
        <w:ind w:firstLine="480" w:firstLineChars="200"/>
        <w:rPr>
          <w:sz w:val="24"/>
          <w:szCs w:val="24"/>
        </w:rPr>
      </w:pPr>
      <w:r>
        <w:rPr>
          <w:sz w:val="24"/>
          <w:szCs w:val="24"/>
        </w:rPr>
        <w:t xml:space="preserve">2. </w:t>
      </w:r>
      <w:r>
        <w:rPr>
          <w:rFonts w:hint="eastAsia"/>
          <w:sz w:val="24"/>
          <w:szCs w:val="24"/>
        </w:rPr>
        <w:t>服务</w:t>
      </w:r>
      <w:r>
        <w:rPr>
          <w:sz w:val="24"/>
          <w:szCs w:val="24"/>
        </w:rPr>
        <w:t>地点：</w:t>
      </w:r>
      <w:r>
        <w:rPr>
          <w:rFonts w:hint="eastAsia"/>
          <w:sz w:val="24"/>
          <w:szCs w:val="24"/>
        </w:rPr>
        <w:t>天津市河东区红星路79号天津市公共资源交易中心</w:t>
      </w:r>
      <w:r>
        <w:rPr>
          <w:sz w:val="24"/>
          <w:szCs w:val="24"/>
        </w:rPr>
        <w:t>（特殊情况以合同为准）。</w:t>
      </w:r>
    </w:p>
    <w:p w14:paraId="5DA14D53">
      <w:pPr>
        <w:spacing w:line="360" w:lineRule="auto"/>
        <w:ind w:firstLine="480" w:firstLineChars="200"/>
        <w:rPr>
          <w:sz w:val="24"/>
          <w:szCs w:val="24"/>
        </w:rPr>
      </w:pPr>
      <w:r>
        <w:rPr>
          <w:sz w:val="24"/>
          <w:szCs w:val="24"/>
        </w:rPr>
        <w:t>（三）付款方式</w:t>
      </w:r>
    </w:p>
    <w:p w14:paraId="7DDCAFC8">
      <w:pPr>
        <w:autoSpaceDE w:val="0"/>
        <w:autoSpaceDN w:val="0"/>
        <w:adjustRightInd w:val="0"/>
        <w:spacing w:line="360" w:lineRule="auto"/>
        <w:ind w:firstLine="480" w:firstLineChars="200"/>
        <w:rPr>
          <w:sz w:val="24"/>
        </w:rPr>
      </w:pPr>
      <w:r>
        <w:rPr>
          <w:rFonts w:hint="eastAsia"/>
          <w:sz w:val="24"/>
        </w:rPr>
        <w:t>签订合同后15个工作日内支付合同总额的30%，开发完毕上线运行，验收合格后15日内支付合同总额的70%</w:t>
      </w:r>
      <w:r>
        <w:rPr>
          <w:sz w:val="24"/>
        </w:rPr>
        <w:t>（特殊情况以合同为准）。</w:t>
      </w:r>
    </w:p>
    <w:p w14:paraId="52E875AD">
      <w:pPr>
        <w:spacing w:line="360" w:lineRule="auto"/>
        <w:ind w:firstLine="480" w:firstLineChars="200"/>
        <w:rPr>
          <w:sz w:val="24"/>
          <w:szCs w:val="24"/>
        </w:rPr>
      </w:pPr>
      <w:r>
        <w:rPr>
          <w:sz w:val="24"/>
          <w:szCs w:val="24"/>
        </w:rPr>
        <w:t>（</w:t>
      </w:r>
      <w:r>
        <w:rPr>
          <w:rFonts w:hint="eastAsia"/>
          <w:sz w:val="24"/>
          <w:szCs w:val="24"/>
        </w:rPr>
        <w:t>四</w:t>
      </w:r>
      <w:r>
        <w:rPr>
          <w:sz w:val="24"/>
          <w:szCs w:val="24"/>
        </w:rPr>
        <w:t>）</w:t>
      </w:r>
      <w:r>
        <w:rPr>
          <w:rFonts w:hint="eastAsia"/>
          <w:sz w:val="24"/>
          <w:szCs w:val="24"/>
        </w:rPr>
        <w:t>谈判</w:t>
      </w:r>
      <w:r>
        <w:rPr>
          <w:sz w:val="24"/>
          <w:szCs w:val="24"/>
        </w:rPr>
        <w:t>保证金和履约保证金</w:t>
      </w:r>
    </w:p>
    <w:p w14:paraId="16BFA93C">
      <w:pPr>
        <w:spacing w:line="360" w:lineRule="auto"/>
        <w:ind w:firstLine="480" w:firstLineChars="200"/>
        <w:rPr>
          <w:sz w:val="24"/>
          <w:szCs w:val="24"/>
        </w:rPr>
      </w:pPr>
      <w:r>
        <w:rPr>
          <w:sz w:val="24"/>
          <w:szCs w:val="24"/>
        </w:rPr>
        <w:t>本项目不收取</w:t>
      </w:r>
      <w:r>
        <w:rPr>
          <w:rFonts w:hint="eastAsia"/>
          <w:sz w:val="24"/>
          <w:szCs w:val="24"/>
        </w:rPr>
        <w:t>谈判</w:t>
      </w:r>
      <w:r>
        <w:rPr>
          <w:sz w:val="24"/>
          <w:szCs w:val="24"/>
        </w:rPr>
        <w:t>保证金和履约保证金。</w:t>
      </w:r>
    </w:p>
    <w:p w14:paraId="1E124759">
      <w:pPr>
        <w:spacing w:line="360" w:lineRule="auto"/>
        <w:ind w:firstLine="480" w:firstLineChars="200"/>
        <w:rPr>
          <w:sz w:val="24"/>
          <w:szCs w:val="24"/>
        </w:rPr>
      </w:pPr>
      <w:r>
        <w:rPr>
          <w:rFonts w:hint="eastAsia"/>
          <w:sz w:val="24"/>
          <w:szCs w:val="24"/>
        </w:rPr>
        <w:t>五、响应文件的网上应答和提交</w:t>
      </w:r>
    </w:p>
    <w:p w14:paraId="0BAD230F">
      <w:pPr>
        <w:pStyle w:val="70"/>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15EB0344">
      <w:pPr>
        <w:pStyle w:val="70"/>
        <w:spacing w:line="360" w:lineRule="auto"/>
        <w:ind w:firstLine="480" w:firstLineChars="200"/>
        <w:rPr>
          <w:color w:val="auto"/>
        </w:rPr>
      </w:pPr>
      <w:r>
        <w:rPr>
          <w:rFonts w:hint="eastAsia"/>
          <w:color w:val="auto"/>
        </w:rPr>
        <w:t>（一）制作和上传电子响应文件要求：</w:t>
      </w:r>
    </w:p>
    <w:p w14:paraId="5461F15F">
      <w:pPr>
        <w:pStyle w:val="70"/>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764E7390">
      <w:pPr>
        <w:pStyle w:val="70"/>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1F6138FF">
      <w:pPr>
        <w:pStyle w:val="70"/>
        <w:spacing w:line="360" w:lineRule="auto"/>
        <w:ind w:firstLine="480" w:firstLineChars="200"/>
        <w:rPr>
          <w:color w:val="auto"/>
        </w:rPr>
      </w:pPr>
      <w:r>
        <w:rPr>
          <w:rFonts w:hint="eastAsia"/>
          <w:color w:val="auto"/>
        </w:rPr>
        <w:t>（二）特别提醒：</w:t>
      </w:r>
    </w:p>
    <w:p w14:paraId="7C1EB190">
      <w:pPr>
        <w:pStyle w:val="70"/>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7195346">
      <w:pPr>
        <w:pStyle w:val="70"/>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C36B3CB">
      <w:pPr>
        <w:pStyle w:val="70"/>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65750FD1">
      <w:pPr>
        <w:pStyle w:val="70"/>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7ABFB9FE">
      <w:pPr>
        <w:pStyle w:val="70"/>
        <w:spacing w:line="360" w:lineRule="auto"/>
        <w:ind w:firstLine="480" w:firstLineChars="200"/>
        <w:jc w:val="both"/>
        <w:rPr>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230E5F96">
      <w:pPr>
        <w:pStyle w:val="70"/>
        <w:spacing w:line="360" w:lineRule="auto"/>
        <w:ind w:firstLine="480" w:firstLineChars="200"/>
        <w:jc w:val="both"/>
        <w:rPr>
          <w:color w:val="auto"/>
        </w:rPr>
      </w:pPr>
      <w:r>
        <w:rPr>
          <w:rFonts w:hint="eastAsia"/>
          <w:color w:val="auto"/>
        </w:rPr>
        <w:t>6. 文件中的电子件指扫描件、电子证照、照片等形式电子文件；要求第三方出具的盖章件原件（如联合协议、分包意向协议、制造商授权书等），投标文件中应使用原件的电子件。</w:t>
      </w:r>
    </w:p>
    <w:p w14:paraId="3A47804C">
      <w:pPr>
        <w:spacing w:line="360" w:lineRule="auto"/>
        <w:ind w:firstLine="480" w:firstLineChars="200"/>
        <w:rPr>
          <w:sz w:val="24"/>
          <w:szCs w:val="24"/>
        </w:rPr>
      </w:pPr>
      <w:r>
        <w:rPr>
          <w:rFonts w:hint="eastAsia"/>
          <w:sz w:val="24"/>
          <w:szCs w:val="24"/>
        </w:rPr>
        <w:t>六、谈判程序</w:t>
      </w:r>
    </w:p>
    <w:p w14:paraId="29F8165A">
      <w:pPr>
        <w:spacing w:line="360" w:lineRule="auto"/>
        <w:ind w:firstLine="480" w:firstLineChars="200"/>
        <w:rPr>
          <w:sz w:val="24"/>
          <w:szCs w:val="24"/>
        </w:rPr>
      </w:pPr>
      <w:r>
        <w:rPr>
          <w:sz w:val="24"/>
          <w:szCs w:val="24"/>
        </w:rPr>
        <w:t>（一）参加人员及要求</w:t>
      </w:r>
    </w:p>
    <w:p w14:paraId="01E0F098">
      <w:pPr>
        <w:spacing w:line="360" w:lineRule="auto"/>
        <w:ind w:firstLine="480" w:firstLineChars="200"/>
        <w:rPr>
          <w:sz w:val="24"/>
          <w:szCs w:val="24"/>
        </w:rPr>
      </w:pPr>
      <w:r>
        <w:rPr>
          <w:sz w:val="24"/>
          <w:szCs w:val="24"/>
        </w:rPr>
        <w:t>1. 供应商须由</w:t>
      </w:r>
      <w:r>
        <w:rPr>
          <w:rFonts w:hint="eastAsia"/>
          <w:sz w:val="24"/>
          <w:szCs w:val="24"/>
        </w:rPr>
        <w:t>其</w:t>
      </w:r>
      <w:r>
        <w:rPr>
          <w:sz w:val="24"/>
          <w:szCs w:val="24"/>
        </w:rPr>
        <w:t>授权的本单位正式员工作为</w:t>
      </w:r>
      <w:r>
        <w:rPr>
          <w:rFonts w:hint="eastAsia"/>
          <w:sz w:val="24"/>
          <w:szCs w:val="24"/>
        </w:rPr>
        <w:t>谈判代表</w:t>
      </w:r>
      <w:r>
        <w:rPr>
          <w:sz w:val="24"/>
          <w:szCs w:val="24"/>
        </w:rPr>
        <w:t>人参加</w:t>
      </w:r>
      <w:r>
        <w:rPr>
          <w:rFonts w:hint="eastAsia"/>
          <w:sz w:val="24"/>
          <w:szCs w:val="24"/>
        </w:rPr>
        <w:t>谈判</w:t>
      </w:r>
      <w:r>
        <w:rPr>
          <w:sz w:val="24"/>
          <w:szCs w:val="24"/>
        </w:rPr>
        <w:t>，随时准备对</w:t>
      </w:r>
      <w:r>
        <w:rPr>
          <w:rFonts w:hint="eastAsia"/>
          <w:sz w:val="24"/>
          <w:szCs w:val="24"/>
        </w:rPr>
        <w:t>单一来源采购人员</w:t>
      </w:r>
      <w:r>
        <w:rPr>
          <w:sz w:val="24"/>
          <w:szCs w:val="24"/>
        </w:rPr>
        <w:t>的询问予以解答，该</w:t>
      </w:r>
      <w:r>
        <w:rPr>
          <w:rFonts w:hint="eastAsia"/>
          <w:sz w:val="24"/>
          <w:szCs w:val="24"/>
        </w:rPr>
        <w:t>代表</w:t>
      </w:r>
      <w:r>
        <w:rPr>
          <w:sz w:val="24"/>
          <w:szCs w:val="24"/>
        </w:rPr>
        <w:t>人在</w:t>
      </w:r>
      <w:r>
        <w:rPr>
          <w:rFonts w:hint="eastAsia"/>
          <w:sz w:val="24"/>
          <w:szCs w:val="24"/>
        </w:rPr>
        <w:t>授权</w:t>
      </w:r>
      <w:r>
        <w:rPr>
          <w:sz w:val="24"/>
          <w:szCs w:val="24"/>
        </w:rPr>
        <w:t>书上应标明有效联系方式，该方式须保留至本项目</w:t>
      </w:r>
      <w:r>
        <w:rPr>
          <w:rFonts w:hint="eastAsia"/>
          <w:sz w:val="24"/>
          <w:szCs w:val="24"/>
        </w:rPr>
        <w:t>谈判</w:t>
      </w:r>
      <w:r>
        <w:rPr>
          <w:sz w:val="24"/>
          <w:szCs w:val="24"/>
        </w:rPr>
        <w:t>或合同履行结束。</w:t>
      </w:r>
    </w:p>
    <w:p w14:paraId="38998FDF">
      <w:pPr>
        <w:spacing w:line="360" w:lineRule="auto"/>
        <w:ind w:firstLine="480" w:firstLineChars="200"/>
        <w:rPr>
          <w:sz w:val="24"/>
          <w:szCs w:val="24"/>
        </w:rPr>
      </w:pPr>
      <w:r>
        <w:rPr>
          <w:sz w:val="24"/>
          <w:szCs w:val="24"/>
        </w:rPr>
        <w:t xml:space="preserve">2. </w:t>
      </w:r>
      <w:r>
        <w:rPr>
          <w:rFonts w:hint="eastAsia"/>
          <w:sz w:val="24"/>
          <w:szCs w:val="24"/>
        </w:rPr>
        <w:t>谈判代表</w:t>
      </w:r>
      <w:r>
        <w:rPr>
          <w:sz w:val="24"/>
          <w:szCs w:val="24"/>
        </w:rPr>
        <w:t>人参加谈判仪式时，须携带身份证或其他有效证件原件，以备查验。</w:t>
      </w:r>
    </w:p>
    <w:p w14:paraId="39BA0C22">
      <w:pPr>
        <w:spacing w:line="360" w:lineRule="auto"/>
        <w:ind w:firstLine="480" w:firstLineChars="200"/>
        <w:rPr>
          <w:sz w:val="24"/>
          <w:szCs w:val="24"/>
        </w:rPr>
      </w:pPr>
      <w:r>
        <w:rPr>
          <w:sz w:val="24"/>
          <w:szCs w:val="24"/>
        </w:rPr>
        <w:t>（二）资</w:t>
      </w:r>
      <w:r>
        <w:rPr>
          <w:rFonts w:hint="eastAsia"/>
          <w:sz w:val="24"/>
          <w:szCs w:val="24"/>
        </w:rPr>
        <w:t>格</w:t>
      </w:r>
      <w:r>
        <w:rPr>
          <w:sz w:val="24"/>
          <w:szCs w:val="24"/>
        </w:rPr>
        <w:t>审查</w:t>
      </w:r>
    </w:p>
    <w:p w14:paraId="498B62BB">
      <w:pPr>
        <w:spacing w:line="360" w:lineRule="auto"/>
        <w:ind w:firstLine="480" w:firstLineChars="200"/>
        <w:rPr>
          <w:sz w:val="24"/>
          <w:szCs w:val="24"/>
        </w:rPr>
      </w:pPr>
      <w:r>
        <w:rPr>
          <w:sz w:val="24"/>
          <w:szCs w:val="24"/>
        </w:rPr>
        <w:t>根据邀请函要求，审查供应商</w:t>
      </w:r>
      <w:r>
        <w:rPr>
          <w:rFonts w:hint="eastAsia"/>
          <w:sz w:val="24"/>
          <w:szCs w:val="24"/>
        </w:rPr>
        <w:t>递交的</w:t>
      </w:r>
      <w:r>
        <w:rPr>
          <w:sz w:val="24"/>
          <w:szCs w:val="24"/>
        </w:rPr>
        <w:t>响应文件，不符合</w:t>
      </w:r>
      <w:r>
        <w:rPr>
          <w:rFonts w:hint="eastAsia"/>
          <w:sz w:val="24"/>
          <w:szCs w:val="24"/>
        </w:rPr>
        <w:t>单一来源采购文件资格要求</w:t>
      </w:r>
      <w:r>
        <w:rPr>
          <w:sz w:val="24"/>
          <w:szCs w:val="24"/>
        </w:rPr>
        <w:t>的供应商不得进入</w:t>
      </w:r>
      <w:r>
        <w:rPr>
          <w:rFonts w:hint="eastAsia"/>
          <w:sz w:val="24"/>
          <w:szCs w:val="24"/>
        </w:rPr>
        <w:t>下一阶段</w:t>
      </w:r>
      <w:r>
        <w:rPr>
          <w:sz w:val="24"/>
          <w:szCs w:val="24"/>
        </w:rPr>
        <w:t>谈判。</w:t>
      </w:r>
    </w:p>
    <w:p w14:paraId="1B4DD75D">
      <w:pPr>
        <w:spacing w:line="360" w:lineRule="auto"/>
        <w:ind w:firstLine="480" w:firstLineChars="200"/>
        <w:rPr>
          <w:sz w:val="24"/>
          <w:szCs w:val="24"/>
        </w:rPr>
      </w:pPr>
      <w:r>
        <w:rPr>
          <w:sz w:val="24"/>
          <w:szCs w:val="24"/>
        </w:rPr>
        <w:t>（</w:t>
      </w:r>
      <w:r>
        <w:rPr>
          <w:rFonts w:hint="eastAsia"/>
          <w:sz w:val="24"/>
          <w:szCs w:val="24"/>
        </w:rPr>
        <w:t>三</w:t>
      </w:r>
      <w:r>
        <w:rPr>
          <w:sz w:val="24"/>
          <w:szCs w:val="24"/>
        </w:rPr>
        <w:t>）符合性</w:t>
      </w:r>
      <w:r>
        <w:rPr>
          <w:rFonts w:hint="eastAsia"/>
          <w:sz w:val="24"/>
          <w:szCs w:val="24"/>
        </w:rPr>
        <w:t>审查</w:t>
      </w:r>
    </w:p>
    <w:p w14:paraId="62FA7578">
      <w:pPr>
        <w:spacing w:line="360" w:lineRule="auto"/>
        <w:ind w:firstLine="480" w:firstLineChars="200"/>
        <w:rPr>
          <w:sz w:val="24"/>
          <w:szCs w:val="24"/>
        </w:rPr>
      </w:pPr>
      <w:r>
        <w:rPr>
          <w:rFonts w:hint="eastAsia"/>
          <w:sz w:val="24"/>
          <w:szCs w:val="24"/>
        </w:rPr>
        <w:t>1</w:t>
      </w:r>
      <w:r>
        <w:rPr>
          <w:sz w:val="24"/>
          <w:szCs w:val="24"/>
        </w:rPr>
        <w:t>.</w:t>
      </w:r>
      <w:r>
        <w:rPr>
          <w:rFonts w:hint="eastAsia"/>
          <w:sz w:val="24"/>
          <w:szCs w:val="24"/>
        </w:rPr>
        <w:t xml:space="preserve"> </w:t>
      </w:r>
      <w:r>
        <w:rPr>
          <w:sz w:val="24"/>
          <w:szCs w:val="24"/>
        </w:rPr>
        <w:t>根据</w:t>
      </w:r>
      <w:r>
        <w:rPr>
          <w:rFonts w:hint="eastAsia"/>
          <w:sz w:val="24"/>
          <w:szCs w:val="24"/>
        </w:rPr>
        <w:t>单一来源采购文件</w:t>
      </w:r>
      <w:r>
        <w:rPr>
          <w:sz w:val="24"/>
          <w:szCs w:val="24"/>
        </w:rPr>
        <w:t>项目需求书要求，审查供应商</w:t>
      </w:r>
      <w:r>
        <w:rPr>
          <w:rFonts w:hint="eastAsia"/>
          <w:sz w:val="24"/>
          <w:szCs w:val="24"/>
        </w:rPr>
        <w:t>响应文件</w:t>
      </w:r>
      <w:r>
        <w:rPr>
          <w:sz w:val="24"/>
          <w:szCs w:val="24"/>
        </w:rPr>
        <w:t>内容与需求的符合性，不符合</w:t>
      </w:r>
      <w:r>
        <w:rPr>
          <w:rFonts w:hint="eastAsia"/>
          <w:sz w:val="24"/>
          <w:szCs w:val="24"/>
        </w:rPr>
        <w:t>单一来源采购文件要求</w:t>
      </w:r>
      <w:r>
        <w:rPr>
          <w:sz w:val="24"/>
          <w:szCs w:val="24"/>
        </w:rPr>
        <w:t>的供应商不得进入价格谈判阶段。</w:t>
      </w:r>
    </w:p>
    <w:p w14:paraId="0AB661D8">
      <w:pPr>
        <w:spacing w:line="360" w:lineRule="auto"/>
        <w:ind w:firstLine="480" w:firstLineChars="200"/>
        <w:rPr>
          <w:sz w:val="24"/>
        </w:rPr>
      </w:pPr>
      <w:r>
        <w:rPr>
          <w:sz w:val="24"/>
          <w:szCs w:val="24"/>
        </w:rPr>
        <w:t>2.</w:t>
      </w:r>
      <w:r>
        <w:rPr>
          <w:rFonts w:hint="eastAsia"/>
          <w:sz w:val="24"/>
          <w:szCs w:val="24"/>
        </w:rPr>
        <w:t xml:space="preserve"> </w:t>
      </w:r>
      <w:r>
        <w:rPr>
          <w:bCs/>
          <w:sz w:val="24"/>
        </w:rPr>
        <w:t>单一来源采购人员</w:t>
      </w:r>
      <w:r>
        <w:rPr>
          <w:bCs/>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05BE01D2">
      <w:pPr>
        <w:spacing w:line="360" w:lineRule="auto"/>
        <w:ind w:firstLine="480" w:firstLineChars="200"/>
        <w:rPr>
          <w:sz w:val="24"/>
          <w:szCs w:val="24"/>
        </w:rPr>
      </w:pPr>
      <w:r>
        <w:rPr>
          <w:rFonts w:hint="eastAsia"/>
          <w:sz w:val="24"/>
          <w:szCs w:val="24"/>
        </w:rPr>
        <w:t>3</w:t>
      </w:r>
      <w:r>
        <w:rPr>
          <w:sz w:val="24"/>
          <w:szCs w:val="24"/>
        </w:rPr>
        <w:t>.</w:t>
      </w:r>
      <w:r>
        <w:rPr>
          <w:rFonts w:hint="eastAsia"/>
          <w:sz w:val="24"/>
          <w:szCs w:val="24"/>
        </w:rPr>
        <w:t xml:space="preserve"> </w:t>
      </w:r>
      <w:r>
        <w:rPr>
          <w:sz w:val="24"/>
          <w:szCs w:val="24"/>
        </w:rPr>
        <w:t>按照现行《财政部、国家发展改革委关于调整节能产品政府采购清单的通知》文件要求，对政府采购清单中的节能产品采用优先采购和强制采购的评标方法。</w:t>
      </w:r>
    </w:p>
    <w:p w14:paraId="2FB90251">
      <w:pPr>
        <w:spacing w:line="360" w:lineRule="auto"/>
        <w:ind w:firstLine="480" w:firstLineChars="200"/>
        <w:rPr>
          <w:sz w:val="24"/>
          <w:szCs w:val="24"/>
        </w:rPr>
      </w:pPr>
      <w:r>
        <w:rPr>
          <w:rFonts w:hint="eastAsia"/>
          <w:sz w:val="24"/>
          <w:szCs w:val="24"/>
        </w:rPr>
        <w:t>4</w:t>
      </w:r>
      <w:r>
        <w:rPr>
          <w:sz w:val="24"/>
          <w:szCs w:val="24"/>
        </w:rPr>
        <w:t>.</w:t>
      </w:r>
      <w:r>
        <w:rPr>
          <w:rFonts w:hint="eastAsia"/>
          <w:sz w:val="24"/>
          <w:szCs w:val="24"/>
        </w:rPr>
        <w:t xml:space="preserve"> </w:t>
      </w:r>
      <w:r>
        <w:rPr>
          <w:bCs/>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5DD42FC2">
      <w:pPr>
        <w:spacing w:line="360" w:lineRule="auto"/>
        <w:ind w:firstLine="480" w:firstLineChars="200"/>
        <w:rPr>
          <w:sz w:val="24"/>
          <w:szCs w:val="24"/>
        </w:rPr>
      </w:pPr>
      <w:r>
        <w:rPr>
          <w:sz w:val="24"/>
          <w:szCs w:val="24"/>
        </w:rPr>
        <w:t>（</w:t>
      </w:r>
      <w:r>
        <w:rPr>
          <w:rFonts w:hint="eastAsia"/>
          <w:sz w:val="24"/>
          <w:szCs w:val="24"/>
        </w:rPr>
        <w:t>四</w:t>
      </w:r>
      <w:r>
        <w:rPr>
          <w:sz w:val="24"/>
          <w:szCs w:val="24"/>
        </w:rPr>
        <w:t>）价格谈判</w:t>
      </w:r>
    </w:p>
    <w:p w14:paraId="23A05F0B">
      <w:pPr>
        <w:spacing w:line="360" w:lineRule="auto"/>
        <w:ind w:firstLine="480" w:firstLineChars="200"/>
        <w:rPr>
          <w:sz w:val="24"/>
          <w:szCs w:val="24"/>
        </w:rPr>
      </w:pPr>
      <w:r>
        <w:rPr>
          <w:sz w:val="24"/>
          <w:szCs w:val="24"/>
        </w:rPr>
        <w:t>成交候选供应商产生办法：全部满足单一来源采购文件实质性要求，且符合采购需求、质量和服务相等的前提下，报价合理的供应商作为成交供应商。</w:t>
      </w:r>
    </w:p>
    <w:p w14:paraId="696456CB">
      <w:pPr>
        <w:spacing w:line="360" w:lineRule="auto"/>
        <w:ind w:firstLine="480"/>
        <w:rPr>
          <w:sz w:val="24"/>
          <w:szCs w:val="24"/>
        </w:rPr>
      </w:pPr>
      <w:r>
        <w:rPr>
          <w:rFonts w:hint="eastAsia"/>
          <w:sz w:val="24"/>
          <w:szCs w:val="24"/>
        </w:rPr>
        <w:t>七、成交通知</w:t>
      </w:r>
    </w:p>
    <w:p w14:paraId="5AB36593">
      <w:pPr>
        <w:spacing w:line="360" w:lineRule="auto"/>
        <w:ind w:firstLine="480"/>
        <w:rPr>
          <w:sz w:val="24"/>
          <w:szCs w:val="24"/>
        </w:rPr>
      </w:pPr>
      <w:r>
        <w:rPr>
          <w:rFonts w:hint="eastAsia"/>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B143182">
      <w:pPr>
        <w:spacing w:line="360" w:lineRule="auto"/>
        <w:ind w:firstLine="480"/>
        <w:rPr>
          <w:sz w:val="24"/>
          <w:szCs w:val="24"/>
        </w:rPr>
      </w:pPr>
      <w:r>
        <w:rPr>
          <w:rFonts w:hint="eastAsia"/>
          <w:sz w:val="24"/>
          <w:szCs w:val="24"/>
        </w:rPr>
        <w:t>八、签订合同</w:t>
      </w:r>
    </w:p>
    <w:p w14:paraId="104FB642">
      <w:pPr>
        <w:spacing w:line="360" w:lineRule="auto"/>
        <w:ind w:firstLine="480"/>
        <w:rPr>
          <w:sz w:val="24"/>
          <w:szCs w:val="24"/>
        </w:rPr>
      </w:pPr>
      <w:r>
        <w:rPr>
          <w:sz w:val="24"/>
          <w:szCs w:val="24"/>
        </w:rPr>
        <w:t>（</w:t>
      </w:r>
      <w:r>
        <w:rPr>
          <w:rFonts w:hint="eastAsia"/>
          <w:sz w:val="24"/>
          <w:szCs w:val="24"/>
        </w:rPr>
        <w:t>一</w:t>
      </w:r>
      <w:r>
        <w:rPr>
          <w:sz w:val="24"/>
          <w:szCs w:val="24"/>
        </w:rPr>
        <w:t>）</w:t>
      </w:r>
      <w:r>
        <w:rPr>
          <w:rFonts w:hint="eastAsia"/>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A61FCDC">
      <w:pPr>
        <w:spacing w:line="360" w:lineRule="auto"/>
        <w:ind w:firstLine="480"/>
        <w:rPr>
          <w:sz w:val="24"/>
          <w:szCs w:val="24"/>
        </w:rPr>
      </w:pPr>
      <w:r>
        <w:rPr>
          <w:sz w:val="24"/>
          <w:szCs w:val="24"/>
        </w:rPr>
        <w:t>（</w:t>
      </w:r>
      <w:r>
        <w:rPr>
          <w:rFonts w:hint="eastAsia"/>
          <w:sz w:val="24"/>
          <w:szCs w:val="24"/>
        </w:rPr>
        <w:t>二</w:t>
      </w:r>
      <w:r>
        <w:rPr>
          <w:sz w:val="24"/>
          <w:szCs w:val="24"/>
        </w:rPr>
        <w:t>）</w:t>
      </w:r>
      <w:r>
        <w:rPr>
          <w:rFonts w:hint="eastAsia"/>
          <w:sz w:val="24"/>
          <w:szCs w:val="24"/>
        </w:rPr>
        <w:t>单一来源采购文件、成交供应商的响应文件及其澄清文件等，均为签订合同的依据，且为合同的组成部分。</w:t>
      </w:r>
    </w:p>
    <w:p w14:paraId="6B427E69">
      <w:pPr>
        <w:spacing w:line="360" w:lineRule="auto"/>
        <w:ind w:firstLine="480" w:firstLineChars="200"/>
        <w:rPr>
          <w:sz w:val="24"/>
          <w:szCs w:val="24"/>
        </w:rPr>
      </w:pPr>
      <w:r>
        <w:rPr>
          <w:rFonts w:hint="eastAsia"/>
          <w:sz w:val="24"/>
          <w:szCs w:val="24"/>
        </w:rPr>
        <w:t>九、注意事项</w:t>
      </w:r>
    </w:p>
    <w:p w14:paraId="4E2A187B">
      <w:pPr>
        <w:spacing w:line="360" w:lineRule="auto"/>
        <w:ind w:firstLine="480" w:firstLineChars="200"/>
        <w:rPr>
          <w:sz w:val="24"/>
          <w:szCs w:val="24"/>
        </w:rPr>
      </w:pPr>
      <w:r>
        <w:rPr>
          <w:rFonts w:hint="eastAsia"/>
          <w:sz w:val="24"/>
          <w:szCs w:val="24"/>
        </w:rPr>
        <w:t>（一）费用</w:t>
      </w:r>
    </w:p>
    <w:p w14:paraId="4D26C9B2">
      <w:pPr>
        <w:spacing w:line="360" w:lineRule="auto"/>
        <w:ind w:firstLine="480" w:firstLineChars="200"/>
        <w:rPr>
          <w:sz w:val="24"/>
          <w:szCs w:val="24"/>
        </w:rPr>
      </w:pPr>
      <w:r>
        <w:rPr>
          <w:rFonts w:hint="eastAsia"/>
          <w:sz w:val="24"/>
          <w:szCs w:val="24"/>
        </w:rPr>
        <w:t>无论谈判过程中的作法和结果如何，参加谈判的供应商自行承担所有与参加谈判有关的全部费用。</w:t>
      </w:r>
    </w:p>
    <w:p w14:paraId="7E04B838">
      <w:pPr>
        <w:spacing w:line="360" w:lineRule="auto"/>
        <w:ind w:firstLine="480" w:firstLineChars="200"/>
        <w:rPr>
          <w:sz w:val="24"/>
          <w:szCs w:val="24"/>
        </w:rPr>
      </w:pPr>
      <w:r>
        <w:rPr>
          <w:rFonts w:hint="eastAsia"/>
          <w:sz w:val="24"/>
          <w:szCs w:val="24"/>
        </w:rPr>
        <w:t>（二）保密</w:t>
      </w:r>
    </w:p>
    <w:p w14:paraId="4B3894F1">
      <w:pPr>
        <w:spacing w:line="360" w:lineRule="auto"/>
        <w:ind w:firstLine="480" w:firstLineChars="200"/>
        <w:rPr>
          <w:sz w:val="24"/>
          <w:szCs w:val="24"/>
        </w:rPr>
      </w:pPr>
      <w:r>
        <w:rPr>
          <w:rFonts w:hint="eastAsia"/>
          <w:sz w:val="24"/>
          <w:szCs w:val="24"/>
        </w:rPr>
        <w:t>在谈判过程中，有关单一来源采购文件的审查、澄清、评议以及有关授予合同的意向等一切情况不得透露给其他供应商或与评审工作无关的人员。</w:t>
      </w:r>
    </w:p>
    <w:p w14:paraId="54F25D5C">
      <w:pPr>
        <w:spacing w:line="360" w:lineRule="auto"/>
        <w:ind w:firstLine="480" w:firstLineChars="200"/>
        <w:rPr>
          <w:sz w:val="24"/>
          <w:szCs w:val="24"/>
        </w:rPr>
      </w:pPr>
      <w:r>
        <w:rPr>
          <w:rFonts w:hint="eastAsia"/>
          <w:sz w:val="24"/>
          <w:szCs w:val="24"/>
        </w:rPr>
        <w:t>（三）未经采购人同意，成交供应商不得分包合同。政府采购合同分包履行的，成交供应商就采购项目和分包项目向采购人负责，分包供应商就分包项目承担责任。</w:t>
      </w:r>
    </w:p>
    <w:p w14:paraId="55DD1261">
      <w:pPr>
        <w:spacing w:line="360" w:lineRule="auto"/>
        <w:ind w:firstLine="480" w:firstLineChars="200"/>
        <w:rPr>
          <w:sz w:val="24"/>
          <w:szCs w:val="24"/>
        </w:rPr>
      </w:pPr>
      <w:r>
        <w:rPr>
          <w:rFonts w:hint="eastAsia"/>
          <w:sz w:val="24"/>
          <w:szCs w:val="24"/>
        </w:rPr>
        <w:t>（四）供应商所投及交付产品中的软件应为正版软件，无知识产权纠纷。若出现知识产权纠纷等法律问题，由供应商自行承担。</w:t>
      </w:r>
    </w:p>
    <w:p w14:paraId="5767ECB6">
      <w:pPr>
        <w:spacing w:line="360" w:lineRule="auto"/>
        <w:ind w:firstLine="480" w:firstLineChars="200"/>
        <w:rPr>
          <w:sz w:val="24"/>
          <w:szCs w:val="24"/>
        </w:rPr>
      </w:pPr>
      <w:r>
        <w:rPr>
          <w:rFonts w:hint="eastAsia"/>
          <w:sz w:val="24"/>
          <w:szCs w:val="24"/>
        </w:rPr>
        <w:t>（五）解释权</w:t>
      </w:r>
    </w:p>
    <w:p w14:paraId="74C69312">
      <w:pPr>
        <w:spacing w:line="360" w:lineRule="auto"/>
        <w:ind w:firstLine="480" w:firstLineChars="200"/>
        <w:rPr>
          <w:sz w:val="24"/>
          <w:szCs w:val="24"/>
        </w:rPr>
      </w:pPr>
      <w:r>
        <w:rPr>
          <w:rFonts w:hint="eastAsia"/>
          <w:sz w:val="24"/>
          <w:szCs w:val="24"/>
        </w:rPr>
        <w:t>1. 本次谈判的最终解释权归为政府采购组织机构，即天津市政府采购中心，当对一个问题有多种解释时以政府采购组织机构解释为准。</w:t>
      </w:r>
    </w:p>
    <w:p w14:paraId="27DCD8C3">
      <w:pPr>
        <w:spacing w:line="360" w:lineRule="auto"/>
        <w:ind w:firstLine="480" w:firstLineChars="200"/>
        <w:rPr>
          <w:sz w:val="24"/>
          <w:szCs w:val="24"/>
        </w:rPr>
      </w:pPr>
      <w:r>
        <w:rPr>
          <w:rFonts w:hint="eastAsia"/>
          <w:sz w:val="24"/>
          <w:szCs w:val="24"/>
        </w:rPr>
        <w:t>2. 本文件未做须知明示，而又有相关法律、法规规定的，政府采购组织机构将对此解释为依据有关法律、法规的规定。</w:t>
      </w:r>
    </w:p>
    <w:p w14:paraId="1BB4B4F9">
      <w:pPr>
        <w:spacing w:line="360" w:lineRule="auto"/>
        <w:ind w:firstLine="480" w:firstLineChars="200"/>
        <w:rPr>
          <w:sz w:val="24"/>
        </w:rPr>
      </w:pPr>
      <w:r>
        <w:rPr>
          <w:sz w:val="24"/>
        </w:rPr>
        <w:t>（</w:t>
      </w:r>
      <w:r>
        <w:rPr>
          <w:rFonts w:hint="eastAsia"/>
          <w:sz w:val="24"/>
        </w:rPr>
        <w:t>六</w:t>
      </w:r>
      <w:r>
        <w:rPr>
          <w:sz w:val="24"/>
        </w:rPr>
        <w:t>）本项目不接受赠品或者与采购无关的其他商品、服务，</w:t>
      </w:r>
      <w:r>
        <w:rPr>
          <w:rFonts w:hint="eastAsia"/>
          <w:sz w:val="24"/>
        </w:rPr>
        <w:t>供应商</w:t>
      </w:r>
      <w:r>
        <w:rPr>
          <w:sz w:val="24"/>
        </w:rPr>
        <w:t>亦不得以采购人要求实施前述馈赠、回扣等行为。</w:t>
      </w:r>
    </w:p>
    <w:p w14:paraId="547E4CC2">
      <w:pPr>
        <w:spacing w:line="360" w:lineRule="auto"/>
        <w:ind w:firstLine="480" w:firstLineChars="200"/>
        <w:rPr>
          <w:sz w:val="24"/>
          <w:szCs w:val="24"/>
        </w:rPr>
      </w:pPr>
      <w:r>
        <w:rPr>
          <w:sz w:val="24"/>
          <w:szCs w:val="24"/>
        </w:rPr>
        <w:t>（</w:t>
      </w:r>
      <w:r>
        <w:rPr>
          <w:rFonts w:hint="eastAsia"/>
          <w:sz w:val="24"/>
          <w:szCs w:val="24"/>
        </w:rPr>
        <w:t>七</w:t>
      </w:r>
      <w:r>
        <w:rPr>
          <w:sz w:val="24"/>
          <w:szCs w:val="24"/>
        </w:rPr>
        <w:t>）本项目谈判有效期为60天。</w:t>
      </w:r>
    </w:p>
    <w:p w14:paraId="102199E2">
      <w:pPr>
        <w:spacing w:line="360" w:lineRule="auto"/>
        <w:ind w:firstLine="480" w:firstLineChars="200"/>
        <w:rPr>
          <w:sz w:val="24"/>
          <w:szCs w:val="24"/>
        </w:rPr>
      </w:pPr>
    </w:p>
    <w:p w14:paraId="6A58C3BA">
      <w:pPr>
        <w:spacing w:line="360" w:lineRule="auto"/>
        <w:ind w:firstLine="480" w:firstLineChars="200"/>
        <w:rPr>
          <w:sz w:val="24"/>
          <w:szCs w:val="24"/>
        </w:rPr>
      </w:pPr>
    </w:p>
    <w:p w14:paraId="2D575409">
      <w:pPr>
        <w:spacing w:line="360" w:lineRule="auto"/>
        <w:ind w:firstLine="480" w:firstLineChars="200"/>
        <w:rPr>
          <w:sz w:val="24"/>
          <w:szCs w:val="24"/>
        </w:rPr>
      </w:pPr>
    </w:p>
    <w:p w14:paraId="596C179D">
      <w:pPr>
        <w:spacing w:line="360" w:lineRule="auto"/>
        <w:ind w:firstLine="480" w:firstLineChars="200"/>
        <w:rPr>
          <w:sz w:val="24"/>
          <w:szCs w:val="24"/>
        </w:rPr>
      </w:pPr>
    </w:p>
    <w:p w14:paraId="042BC3E5">
      <w:pPr>
        <w:spacing w:line="360" w:lineRule="auto"/>
        <w:ind w:firstLine="480" w:firstLineChars="200"/>
        <w:rPr>
          <w:sz w:val="24"/>
          <w:szCs w:val="24"/>
        </w:rPr>
      </w:pPr>
    </w:p>
    <w:p w14:paraId="0DE7ACFE">
      <w:pPr>
        <w:spacing w:line="360" w:lineRule="auto"/>
        <w:ind w:firstLine="480" w:firstLineChars="200"/>
        <w:rPr>
          <w:rFonts w:ascii="宋体" w:hAnsi="宋体"/>
          <w:sz w:val="24"/>
          <w:szCs w:val="24"/>
        </w:rPr>
      </w:pPr>
      <w:r>
        <w:rPr>
          <w:rFonts w:ascii="宋体" w:hAnsi="宋体"/>
          <w:sz w:val="24"/>
          <w:szCs w:val="24"/>
        </w:rPr>
        <w:br w:type="page"/>
      </w:r>
    </w:p>
    <w:p w14:paraId="62C81A94">
      <w:pPr>
        <w:spacing w:line="360" w:lineRule="auto"/>
        <w:jc w:val="center"/>
        <w:rPr>
          <w:rFonts w:ascii="宋体" w:hAnsi="宋体"/>
          <w:sz w:val="24"/>
          <w:szCs w:val="24"/>
        </w:rPr>
      </w:pPr>
      <w:r>
        <w:rPr>
          <w:rFonts w:hint="eastAsia" w:ascii="宋体" w:hAnsi="宋体"/>
          <w:sz w:val="24"/>
          <w:szCs w:val="24"/>
        </w:rPr>
        <w:t>项目需求书</w:t>
      </w:r>
    </w:p>
    <w:p w14:paraId="2F2E1B43">
      <w:pPr>
        <w:spacing w:line="360" w:lineRule="auto"/>
        <w:ind w:firstLine="561" w:firstLineChars="200"/>
        <w:rPr>
          <w:b/>
          <w:sz w:val="28"/>
          <w:szCs w:val="28"/>
        </w:rPr>
      </w:pPr>
      <w:r>
        <w:rPr>
          <w:rFonts w:hint="eastAsia"/>
          <w:b/>
          <w:sz w:val="28"/>
          <w:szCs w:val="28"/>
        </w:rPr>
        <w:t>1.</w:t>
      </w:r>
      <w:r>
        <w:rPr>
          <w:b/>
          <w:sz w:val="28"/>
          <w:szCs w:val="28"/>
        </w:rPr>
        <w:t>项目概述</w:t>
      </w:r>
    </w:p>
    <w:p w14:paraId="08947C8F">
      <w:pPr>
        <w:spacing w:line="360" w:lineRule="auto"/>
        <w:ind w:firstLine="480" w:firstLineChars="200"/>
        <w:rPr>
          <w:b/>
          <w:sz w:val="24"/>
        </w:rPr>
      </w:pPr>
      <w:r>
        <w:rPr>
          <w:rFonts w:hint="eastAsia"/>
          <w:b/>
          <w:sz w:val="24"/>
        </w:rPr>
        <w:t>1.1项目背景</w:t>
      </w:r>
    </w:p>
    <w:p w14:paraId="02E659CB">
      <w:pPr>
        <w:spacing w:line="360" w:lineRule="auto"/>
        <w:ind w:firstLine="480" w:firstLineChars="200"/>
        <w:rPr>
          <w:sz w:val="24"/>
        </w:rPr>
      </w:pPr>
      <w:r>
        <w:rPr>
          <w:sz w:val="24"/>
        </w:rPr>
        <w:t>随着我国工程建设领域“放管服”改革持续深化与数字政府建设加速推进，建设工程招标投标正全面迈向全流程电子化、智能化。天津市作为京津冀协同发展的重要节点，建设工程交易规模不断扩大，2025年全市公共资源交易总额已突破数千亿元。传统的招标采购模式在海量数据处理、复杂风险识别和精细化服务方面逐渐显现局限，市场主体对公平、高效、透明的交易环境需求愈加迫切。</w:t>
      </w:r>
    </w:p>
    <w:p w14:paraId="3C3084B3">
      <w:pPr>
        <w:spacing w:line="360" w:lineRule="auto"/>
        <w:ind w:firstLine="480" w:firstLineChars="200"/>
        <w:rPr>
          <w:sz w:val="24"/>
        </w:rPr>
      </w:pPr>
      <w:r>
        <w:rPr>
          <w:sz w:val="24"/>
        </w:rPr>
        <w:t>当前，人工智能已成为推动经济社会高质量发展的新引擎。2026年2月，国家发展改革委等多部门联合印发《关于加快招标投标领域人工智能推广应用的实施意见》（发改法规〔2026〕195号），明确提出围绕招标投标全过程，按照政府引导、多方参与、场景牵引、安全可控的原则，积极稳妥推进人工智能应用，改进招标投标范式，提升服务与监管数智化水平，为公共资源公平高效配置和市场秩序规范提供支撑。</w:t>
      </w:r>
    </w:p>
    <w:p w14:paraId="6FBCEE15">
      <w:pPr>
        <w:spacing w:line="360" w:lineRule="auto"/>
        <w:ind w:firstLine="480" w:firstLineChars="200"/>
        <w:rPr>
          <w:sz w:val="24"/>
        </w:rPr>
      </w:pPr>
      <w:r>
        <w:rPr>
          <w:sz w:val="24"/>
        </w:rPr>
        <w:t>天津市公共资源交易中心已建成覆盖工程建设项目招标、投标、开标、评标、中标公示、合同签订等环节的电子化交易平台，交易活动基本实现线上办理。随着工程建设项目数量持续增长、文件体量不断增大、监管要求持续趋严，现有平台虽然能够满足基础流程办理需要，</w:t>
      </w:r>
      <w:r>
        <w:rPr>
          <w:rFonts w:hint="eastAsia"/>
          <w:sz w:val="24"/>
        </w:rPr>
        <w:t>但</w:t>
      </w:r>
      <w:r>
        <w:rPr>
          <w:sz w:val="24"/>
        </w:rPr>
        <w:t>在招标文件编制、围串标识别、智能评标等关键环节，仍高度依赖人工经验，智能化水平亟待提升。具体表现在：招标文件编制质量参差不齐，易出现歧视性条款、逻辑矛盾及错敏词等问题；围串标行为识别手段滞后，难以有效应对隐蔽化、组织化的违法违规行为；评标工作质效不高，专家评审负担重、尺度难统一；招投标全过程数据价值挖掘不足，缺乏可复用的知识库与智能模型。</w:t>
      </w:r>
    </w:p>
    <w:p w14:paraId="56D55FAA">
      <w:pPr>
        <w:spacing w:line="360" w:lineRule="auto"/>
        <w:ind w:firstLine="496" w:firstLineChars="200"/>
        <w:rPr>
          <w:sz w:val="24"/>
        </w:rPr>
      </w:pPr>
      <w:r>
        <w:rPr>
          <w:rFonts w:cs="仿宋_GB2312" w:asciiTheme="minorEastAsia" w:hAnsiTheme="minorEastAsia"/>
          <w:spacing w:val="4"/>
          <w:kern w:val="0"/>
          <w:sz w:val="24"/>
          <w:lang w:bidi="ar"/>
        </w:rPr>
        <w:t>为此，亟需在原有平台进行功能改造并深度融合人工智能技术，针对依法必须招标的项目构建覆盖“招标文件智能检测—围串标智能识别—辅助智能评标”的全链条智能招采体系。总体目标是依托高质量数据底座，实现事前预警、事中监管、事后</w:t>
      </w:r>
      <w:r>
        <w:rPr>
          <w:sz w:val="24"/>
        </w:rPr>
        <w:t>分析的智慧监管闭环，全面提升天津市建设工程招投标活动的规范化、透明化和智能化水平，营造公平竞争的市场环境。</w:t>
      </w:r>
    </w:p>
    <w:p w14:paraId="44E9ED8E">
      <w:pPr>
        <w:spacing w:line="360" w:lineRule="auto"/>
        <w:ind w:firstLine="480" w:firstLineChars="200"/>
        <w:rPr>
          <w:b/>
          <w:sz w:val="24"/>
        </w:rPr>
      </w:pPr>
      <w:r>
        <w:rPr>
          <w:rFonts w:hint="eastAsia"/>
          <w:b/>
          <w:sz w:val="24"/>
        </w:rPr>
        <w:t>1.2</w:t>
      </w:r>
      <w:r>
        <w:rPr>
          <w:b/>
          <w:sz w:val="24"/>
        </w:rPr>
        <w:t>编制依据</w:t>
      </w:r>
    </w:p>
    <w:p w14:paraId="3E245901">
      <w:pPr>
        <w:spacing w:line="360" w:lineRule="auto"/>
        <w:ind w:firstLine="480" w:firstLineChars="200"/>
        <w:rPr>
          <w:sz w:val="24"/>
        </w:rPr>
      </w:pPr>
      <w:r>
        <w:rPr>
          <w:sz w:val="24"/>
        </w:rPr>
        <w:t>本项目建设主要依据以下法律法规、政策文件和业务规范开展：</w:t>
      </w:r>
    </w:p>
    <w:p w14:paraId="61419F77">
      <w:pPr>
        <w:spacing w:line="360" w:lineRule="auto"/>
        <w:ind w:firstLine="480" w:firstLineChars="200"/>
        <w:rPr>
          <w:sz w:val="24"/>
        </w:rPr>
      </w:pPr>
      <w:r>
        <w:rPr>
          <w:sz w:val="24"/>
        </w:rPr>
        <w:t>1. 《中华人民共和国招标投标法》及其配套规定。</w:t>
      </w:r>
    </w:p>
    <w:p w14:paraId="04168474">
      <w:pPr>
        <w:spacing w:line="360" w:lineRule="auto"/>
        <w:ind w:firstLine="480" w:firstLineChars="200"/>
        <w:rPr>
          <w:sz w:val="24"/>
        </w:rPr>
      </w:pPr>
      <w:r>
        <w:rPr>
          <w:sz w:val="24"/>
        </w:rPr>
        <w:t>2. 《中华人民共和国招标投标法实施条例》。</w:t>
      </w:r>
    </w:p>
    <w:p w14:paraId="62D55223">
      <w:pPr>
        <w:spacing w:line="360" w:lineRule="auto"/>
        <w:ind w:firstLine="480" w:firstLineChars="200"/>
        <w:rPr>
          <w:sz w:val="24"/>
        </w:rPr>
      </w:pPr>
      <w:r>
        <w:rPr>
          <w:sz w:val="24"/>
        </w:rPr>
        <w:t>3. 《公共资源交易平台管理暂行办法》。</w:t>
      </w:r>
    </w:p>
    <w:p w14:paraId="201A9292">
      <w:pPr>
        <w:spacing w:line="360" w:lineRule="auto"/>
        <w:ind w:firstLine="480" w:firstLineChars="200"/>
        <w:rPr>
          <w:sz w:val="24"/>
        </w:rPr>
      </w:pPr>
      <w:r>
        <w:rPr>
          <w:sz w:val="24"/>
        </w:rPr>
        <w:t>4. 《公共资源交易平台系统数据规范》及相关数据交换要求。</w:t>
      </w:r>
    </w:p>
    <w:p w14:paraId="34FA0E41">
      <w:pPr>
        <w:spacing w:line="360" w:lineRule="auto"/>
        <w:ind w:firstLine="480" w:firstLineChars="200"/>
        <w:rPr>
          <w:sz w:val="24"/>
        </w:rPr>
      </w:pPr>
      <w:r>
        <w:rPr>
          <w:sz w:val="24"/>
        </w:rPr>
        <w:t>5. 国务院办公厅《关于创新完善体制机制推动招标投标市场规范健康发展的意见》（国办发〔2024〕21号）。</w:t>
      </w:r>
    </w:p>
    <w:p w14:paraId="65F79BAC">
      <w:pPr>
        <w:spacing w:line="360" w:lineRule="auto"/>
        <w:ind w:firstLine="480" w:firstLineChars="200"/>
        <w:rPr>
          <w:sz w:val="24"/>
        </w:rPr>
      </w:pPr>
      <w:r>
        <w:rPr>
          <w:sz w:val="24"/>
        </w:rPr>
        <w:t>6. 国家发展改革委等8部门《关于加快招标投标领域人工智能推广应用的实施意见》（发改法规〔2026〕195号）。</w:t>
      </w:r>
    </w:p>
    <w:p w14:paraId="7D428AE7">
      <w:pPr>
        <w:spacing w:line="360" w:lineRule="auto"/>
        <w:ind w:firstLine="480" w:firstLineChars="200"/>
        <w:rPr>
          <w:sz w:val="24"/>
        </w:rPr>
      </w:pPr>
      <w:r>
        <w:rPr>
          <w:sz w:val="24"/>
        </w:rPr>
        <w:t>7. 天津市现行工程建设项目招标投标管理制度、地方性法规、交易规则、业务范本及审查口径。</w:t>
      </w:r>
    </w:p>
    <w:p w14:paraId="1C756E43">
      <w:pPr>
        <w:spacing w:line="360" w:lineRule="auto"/>
        <w:ind w:firstLine="480" w:firstLineChars="200"/>
        <w:rPr>
          <w:sz w:val="24"/>
        </w:rPr>
      </w:pPr>
      <w:r>
        <w:rPr>
          <w:sz w:val="24"/>
        </w:rPr>
        <w:t>8. 天津市公共资源交易中心现行工程建设项目电子交易流程、评标流程、档案管理要求及信息安全制度。</w:t>
      </w:r>
    </w:p>
    <w:p w14:paraId="44F9CF64">
      <w:pPr>
        <w:spacing w:line="360" w:lineRule="auto"/>
        <w:ind w:firstLine="480" w:firstLineChars="200"/>
        <w:rPr>
          <w:sz w:val="24"/>
        </w:rPr>
      </w:pPr>
      <w:r>
        <w:rPr>
          <w:rFonts w:hint="eastAsia"/>
          <w:sz w:val="24"/>
        </w:rPr>
        <w:t>9.我市网信部门对人工智能应用进行登记的相关规定。</w:t>
      </w:r>
    </w:p>
    <w:p w14:paraId="115D71AF">
      <w:pPr>
        <w:spacing w:line="360" w:lineRule="auto"/>
        <w:ind w:firstLine="480" w:firstLineChars="200"/>
        <w:rPr>
          <w:sz w:val="24"/>
        </w:rPr>
      </w:pPr>
      <w:r>
        <w:rPr>
          <w:sz w:val="24"/>
        </w:rPr>
        <w:t>上述依据中，若出现政策调整，系统应支持规则更新、版本切换和历史口径追溯。</w:t>
      </w:r>
    </w:p>
    <w:p w14:paraId="454FBB46">
      <w:pPr>
        <w:spacing w:line="360" w:lineRule="auto"/>
        <w:ind w:firstLine="480" w:firstLineChars="200"/>
        <w:rPr>
          <w:b/>
          <w:sz w:val="24"/>
        </w:rPr>
      </w:pPr>
      <w:bookmarkStart w:id="0" w:name="_Toc227712849"/>
      <w:r>
        <w:rPr>
          <w:b/>
          <w:sz w:val="24"/>
        </w:rPr>
        <w:t>1.</w:t>
      </w:r>
      <w:r>
        <w:rPr>
          <w:rFonts w:hint="eastAsia"/>
          <w:b/>
          <w:sz w:val="24"/>
        </w:rPr>
        <w:t>3</w:t>
      </w:r>
      <w:r>
        <w:rPr>
          <w:b/>
          <w:sz w:val="24"/>
        </w:rPr>
        <w:t>建设范围说明</w:t>
      </w:r>
      <w:bookmarkEnd w:id="0"/>
    </w:p>
    <w:p w14:paraId="0863932C">
      <w:pPr>
        <w:spacing w:line="360" w:lineRule="auto"/>
        <w:ind w:firstLine="480" w:firstLineChars="200"/>
        <w:rPr>
          <w:sz w:val="24"/>
        </w:rPr>
      </w:pPr>
      <w:r>
        <w:rPr>
          <w:sz w:val="24"/>
        </w:rPr>
        <w:t>本次建设范围重点包括以下五个方面：一是招标文件发布前审查能力建设，重点解决文件不合规、不完整、不一致、表述不清和引用失准等问题；二是围串标可疑线索识别能力建设，重点解决数据分散、线索难找、比对靠人工、问题发现滞后等问题；三是辅助评标能力建设，重点解决专家重复劳动多、客观项核验费时、主观项比对不便、报告整理负担重等问题；四是法规规则库和业务知识整理，重点解决审查标准不统一、更新不及时、经验难沉淀等问题；五是监管留痕和分析能力建设，重点解决风险处置链条不清、处理结果难复用、统计分析支撑不足等问题。</w:t>
      </w:r>
    </w:p>
    <w:p w14:paraId="2A5CAA80">
      <w:pPr>
        <w:spacing w:line="360" w:lineRule="auto"/>
        <w:ind w:firstLine="561" w:firstLineChars="200"/>
        <w:rPr>
          <w:b/>
          <w:sz w:val="28"/>
          <w:szCs w:val="28"/>
        </w:rPr>
      </w:pPr>
      <w:bookmarkStart w:id="1" w:name="_Toc227712857"/>
      <w:r>
        <w:rPr>
          <w:rFonts w:hint="eastAsia"/>
          <w:b/>
          <w:sz w:val="28"/>
          <w:szCs w:val="28"/>
        </w:rPr>
        <w:t>2</w:t>
      </w:r>
      <w:r>
        <w:rPr>
          <w:b/>
          <w:sz w:val="28"/>
          <w:szCs w:val="28"/>
        </w:rPr>
        <w:t>.总体建设目标</w:t>
      </w:r>
      <w:bookmarkEnd w:id="1"/>
    </w:p>
    <w:p w14:paraId="76F6FA7C">
      <w:pPr>
        <w:spacing w:line="360" w:lineRule="auto"/>
        <w:ind w:firstLine="480" w:firstLineChars="200"/>
        <w:rPr>
          <w:sz w:val="24"/>
        </w:rPr>
      </w:pPr>
      <w:r>
        <w:rPr>
          <w:sz w:val="24"/>
        </w:rPr>
        <w:t>本项目总体目标是在现有工程建设招投标交易平台基础上，形成覆盖招标文件审查、投标异常线索识别、辅助评标、监管留痕和统计分析的业务支撑体系，把过去分散在人工经验中的审查要求、核验动作和处置记录，转化为可执行、可复核、可追溯的系统能力。</w:t>
      </w:r>
    </w:p>
    <w:p w14:paraId="31C3A90D">
      <w:pPr>
        <w:spacing w:line="360" w:lineRule="auto"/>
        <w:ind w:firstLine="480" w:firstLineChars="200"/>
        <w:rPr>
          <w:b/>
          <w:sz w:val="24"/>
        </w:rPr>
      </w:pPr>
      <w:bookmarkStart w:id="2" w:name="_Toc227712858"/>
      <w:r>
        <w:rPr>
          <w:rFonts w:hint="eastAsia"/>
          <w:b/>
          <w:sz w:val="24"/>
        </w:rPr>
        <w:t>2.1</w:t>
      </w:r>
      <w:r>
        <w:rPr>
          <w:b/>
          <w:sz w:val="24"/>
        </w:rPr>
        <w:t>分项目标</w:t>
      </w:r>
      <w:bookmarkEnd w:id="2"/>
    </w:p>
    <w:p w14:paraId="743E7F17">
      <w:pPr>
        <w:spacing w:line="360" w:lineRule="auto"/>
        <w:ind w:firstLine="480" w:firstLineChars="200"/>
        <w:rPr>
          <w:sz w:val="24"/>
        </w:rPr>
      </w:pPr>
      <w:r>
        <w:rPr>
          <w:sz w:val="24"/>
        </w:rPr>
        <w:t>围绕总体目标，本项目应至少实现以下分项目标：</w:t>
      </w:r>
    </w:p>
    <w:p w14:paraId="7FC99909">
      <w:pPr>
        <w:spacing w:line="360" w:lineRule="auto"/>
        <w:ind w:firstLine="480" w:firstLineChars="200"/>
        <w:rPr>
          <w:sz w:val="24"/>
        </w:rPr>
      </w:pPr>
      <w:r>
        <w:rPr>
          <w:sz w:val="24"/>
        </w:rPr>
        <w:t>1. 在招标文件发布前提供统一的系统审查能力，对一致性问题、合规性问题、明显不合理设置、错漏项和表述不清问题进行提示，并形成可存档的审查报告。</w:t>
      </w:r>
    </w:p>
    <w:p w14:paraId="48E69D17">
      <w:pPr>
        <w:spacing w:line="360" w:lineRule="auto"/>
        <w:ind w:firstLine="480" w:firstLineChars="200"/>
        <w:rPr>
          <w:sz w:val="24"/>
        </w:rPr>
      </w:pPr>
      <w:r>
        <w:rPr>
          <w:sz w:val="24"/>
        </w:rPr>
        <w:t>2. 在投标、开标、评标和项目复盘阶段，对企业关联、投标行为异常、文件相似、报价异常、专家评分偏离等可疑情况进行筛查，形成线索清单和复核依据。</w:t>
      </w:r>
    </w:p>
    <w:p w14:paraId="322EC734">
      <w:pPr>
        <w:spacing w:line="360" w:lineRule="auto"/>
        <w:ind w:firstLine="480" w:firstLineChars="200"/>
        <w:rPr>
          <w:sz w:val="24"/>
        </w:rPr>
      </w:pPr>
      <w:r>
        <w:rPr>
          <w:sz w:val="24"/>
        </w:rPr>
        <w:t>3. 在评标过程中，为专家提供招标要求提取、投标响应定位、客观项比对、差异点汇总、质询提示和报告整理支持，提高评审效率和评审记录完整性。</w:t>
      </w:r>
    </w:p>
    <w:p w14:paraId="2ABC181C">
      <w:pPr>
        <w:spacing w:line="360" w:lineRule="auto"/>
        <w:ind w:firstLine="480" w:firstLineChars="200"/>
        <w:rPr>
          <w:sz w:val="24"/>
        </w:rPr>
      </w:pPr>
      <w:r>
        <w:rPr>
          <w:sz w:val="24"/>
        </w:rPr>
        <w:t>4. 建立统一的法规规则库和业务规则维护机制，确保同一类问题在不同业务环节能够按照同一口径进行识别和提示。</w:t>
      </w:r>
    </w:p>
    <w:p w14:paraId="7DC3A129">
      <w:pPr>
        <w:spacing w:line="360" w:lineRule="auto"/>
        <w:ind w:firstLine="480" w:firstLineChars="200"/>
        <w:rPr>
          <w:sz w:val="24"/>
        </w:rPr>
      </w:pPr>
      <w:r>
        <w:rPr>
          <w:sz w:val="24"/>
        </w:rPr>
        <w:t>5. 形成覆盖项目、主体、文件、结果的监管分析基础，为后续统计分析、专项治理、制度优化和培训复盘提供支撑。</w:t>
      </w:r>
    </w:p>
    <w:p w14:paraId="0B2CC74F">
      <w:pPr>
        <w:spacing w:line="360" w:lineRule="auto"/>
        <w:ind w:firstLine="480" w:firstLineChars="200"/>
        <w:rPr>
          <w:b/>
          <w:sz w:val="24"/>
        </w:rPr>
      </w:pPr>
      <w:bookmarkStart w:id="3" w:name="_Toc227712859"/>
      <w:r>
        <w:rPr>
          <w:rFonts w:hint="eastAsia"/>
          <w:b/>
          <w:sz w:val="24"/>
        </w:rPr>
        <w:t>2.2</w:t>
      </w:r>
      <w:r>
        <w:rPr>
          <w:b/>
          <w:sz w:val="24"/>
        </w:rPr>
        <w:t>建设原则</w:t>
      </w:r>
      <w:bookmarkEnd w:id="3"/>
    </w:p>
    <w:p w14:paraId="7A6977DE">
      <w:pPr>
        <w:spacing w:line="360" w:lineRule="auto"/>
        <w:ind w:firstLine="480" w:firstLineChars="200"/>
        <w:rPr>
          <w:sz w:val="24"/>
        </w:rPr>
      </w:pPr>
      <w:r>
        <w:rPr>
          <w:sz w:val="24"/>
        </w:rPr>
        <w:t>一是坚持业务需求优先。所有建设内容必须围绕交易中心、招标人、代理机构、评标专家和监管人员的实际工作场景展开，先解决当前最常见、最耗时、最容易引发风险的问题，不追求脱离实际的复杂展示功能。</w:t>
      </w:r>
    </w:p>
    <w:p w14:paraId="53C15F6F">
      <w:pPr>
        <w:spacing w:line="360" w:lineRule="auto"/>
        <w:ind w:firstLine="480" w:firstLineChars="200"/>
        <w:rPr>
          <w:sz w:val="24"/>
        </w:rPr>
      </w:pPr>
      <w:r>
        <w:rPr>
          <w:sz w:val="24"/>
        </w:rPr>
        <w:t>二是坚持不改变法定责任。系统可以提供审查结果、提示信息和参考意见，但不得替代招标人、评标专家、监管部门的法定职责。所有关键节点均应保留人工确认、人工复核和人工留痕机制。</w:t>
      </w:r>
    </w:p>
    <w:p w14:paraId="0E871639">
      <w:pPr>
        <w:spacing w:line="360" w:lineRule="auto"/>
        <w:ind w:firstLine="480" w:firstLineChars="200"/>
        <w:rPr>
          <w:sz w:val="24"/>
        </w:rPr>
      </w:pPr>
      <w:r>
        <w:rPr>
          <w:sz w:val="24"/>
        </w:rPr>
        <w:t>三是坚持统一规则、统一口径。同类问题应使用同一套审查标准、同一套问题分类、同一套提示模板和同一套留痕要求。规则更新应有版本号、生效时间和适用范围，确保历史项目可以回溯当时适用的规则口径。</w:t>
      </w:r>
    </w:p>
    <w:p w14:paraId="6B6E236B">
      <w:pPr>
        <w:spacing w:line="360" w:lineRule="auto"/>
        <w:ind w:firstLine="480" w:firstLineChars="200"/>
        <w:rPr>
          <w:sz w:val="24"/>
        </w:rPr>
      </w:pPr>
      <w:r>
        <w:rPr>
          <w:sz w:val="24"/>
        </w:rPr>
        <w:t>四是坚持基于现有系统改造。本项目应通过接口扩展、流程嵌入、页面增强和数据治理等方式完成建设。凡现有系统已经具备的能力，不重复建设；凡可以通过改造实现的，不新增独立入口和独立账号体系。</w:t>
      </w:r>
    </w:p>
    <w:p w14:paraId="5E270EC0">
      <w:pPr>
        <w:spacing w:line="360" w:lineRule="auto"/>
        <w:ind w:firstLine="480" w:firstLineChars="200"/>
        <w:rPr>
          <w:sz w:val="24"/>
        </w:rPr>
      </w:pPr>
      <w:r>
        <w:rPr>
          <w:sz w:val="24"/>
        </w:rPr>
        <w:t>五是坚持安全可控。涉及投标文件、评标过程、企业信息、专家信息、交易日志等敏感数据，应严格落实政务云部署要求，严格控制数据访问范围，做到最小权限、全过程留痕、可审计可追责。</w:t>
      </w:r>
    </w:p>
    <w:p w14:paraId="61A158D7">
      <w:pPr>
        <w:spacing w:line="360" w:lineRule="auto"/>
        <w:ind w:firstLine="480" w:firstLineChars="200"/>
        <w:rPr>
          <w:sz w:val="24"/>
        </w:rPr>
      </w:pPr>
      <w:r>
        <w:rPr>
          <w:sz w:val="24"/>
        </w:rPr>
        <w:t>六是坚持分步实施、持续完善。先把招标文件审查、围串标线索识别、辅助评标三类核心需求做实，再根据试运行情况补充规则、优化提示、细化报表和扩展范围。</w:t>
      </w:r>
    </w:p>
    <w:p w14:paraId="68D0C198">
      <w:pPr>
        <w:spacing w:line="360" w:lineRule="auto"/>
        <w:ind w:firstLine="480" w:firstLineChars="200"/>
        <w:rPr>
          <w:b/>
          <w:sz w:val="24"/>
        </w:rPr>
      </w:pPr>
      <w:bookmarkStart w:id="4" w:name="_Toc227712860"/>
      <w:r>
        <w:rPr>
          <w:rFonts w:hint="eastAsia"/>
          <w:b/>
          <w:sz w:val="24"/>
        </w:rPr>
        <w:t>2</w:t>
      </w:r>
      <w:r>
        <w:rPr>
          <w:b/>
          <w:sz w:val="24"/>
        </w:rPr>
        <w:t>.</w:t>
      </w:r>
      <w:r>
        <w:rPr>
          <w:rFonts w:hint="eastAsia"/>
          <w:b/>
          <w:sz w:val="24"/>
        </w:rPr>
        <w:t>3</w:t>
      </w:r>
      <w:r>
        <w:rPr>
          <w:b/>
          <w:sz w:val="24"/>
        </w:rPr>
        <w:t>总体要求</w:t>
      </w:r>
      <w:bookmarkEnd w:id="4"/>
    </w:p>
    <w:p w14:paraId="3B87F607">
      <w:pPr>
        <w:spacing w:line="360" w:lineRule="auto"/>
        <w:ind w:firstLine="480" w:firstLineChars="200"/>
        <w:rPr>
          <w:sz w:val="24"/>
        </w:rPr>
      </w:pPr>
      <w:r>
        <w:rPr>
          <w:sz w:val="24"/>
        </w:rPr>
        <w:t>系统建设应体现“前端预防、过程提示、结果复核、资料归档”的总体要求。前端预防，指在招标文件发布前尽量发现明显不当设置；过程提示，指在开评标相关环节把高风险信息尽早呈现给有权人员；结果复核，指对重点结论、评分偏离、报告内容提供再次核对支持；资料归档，把问题发现、人工处理、最终结论和依据材料完整保留下来，便于后续抽查、复盘和专项治理。</w:t>
      </w:r>
    </w:p>
    <w:p w14:paraId="6CC20D46">
      <w:pPr>
        <w:spacing w:line="360" w:lineRule="auto"/>
        <w:ind w:firstLine="561" w:firstLineChars="200"/>
        <w:rPr>
          <w:b/>
          <w:sz w:val="28"/>
          <w:szCs w:val="28"/>
        </w:rPr>
      </w:pPr>
      <w:bookmarkStart w:id="5" w:name="_Toc227712862"/>
      <w:r>
        <w:rPr>
          <w:rFonts w:hint="eastAsia"/>
          <w:b/>
          <w:sz w:val="28"/>
          <w:szCs w:val="28"/>
        </w:rPr>
        <w:t>3.</w:t>
      </w:r>
      <w:r>
        <w:rPr>
          <w:b/>
          <w:sz w:val="28"/>
          <w:szCs w:val="28"/>
        </w:rPr>
        <w:t>总体监管逻辑</w:t>
      </w:r>
      <w:bookmarkEnd w:id="5"/>
    </w:p>
    <w:p w14:paraId="12179C1A">
      <w:pPr>
        <w:spacing w:line="360" w:lineRule="auto"/>
        <w:ind w:firstLine="480" w:firstLineChars="200"/>
        <w:rPr>
          <w:sz w:val="24"/>
        </w:rPr>
      </w:pPr>
      <w:r>
        <w:rPr>
          <w:sz w:val="24"/>
        </w:rPr>
        <w:t>本项目的监管逻辑应围绕“问题发现在哪里、由谁处理、如何留痕、何时纳入统计”展开。</w:t>
      </w:r>
    </w:p>
    <w:p w14:paraId="7C3B1070">
      <w:pPr>
        <w:spacing w:line="360" w:lineRule="auto"/>
        <w:ind w:firstLine="480" w:firstLineChars="200"/>
        <w:rPr>
          <w:sz w:val="24"/>
        </w:rPr>
      </w:pPr>
      <w:r>
        <w:rPr>
          <w:sz w:val="24"/>
        </w:rPr>
        <w:t>在招标文件阶段，系统重点承担发布前提醒和规则核对作用。对明显违反禁止性规定、存在重大逻辑冲突、影响公平竞争的条款，应当提示为重点问题，并要求经办人员修改或说明后方可继续流转；对一般性表述不规范、疑似不清晰的问题，可作为提示项供</w:t>
      </w:r>
      <w:r>
        <w:rPr>
          <w:rFonts w:hint="eastAsia"/>
          <w:sz w:val="24"/>
        </w:rPr>
        <w:t>相关</w:t>
      </w:r>
      <w:r>
        <w:rPr>
          <w:sz w:val="24"/>
        </w:rPr>
        <w:t>人员核实处理。</w:t>
      </w:r>
    </w:p>
    <w:p w14:paraId="2A18669B">
      <w:pPr>
        <w:spacing w:line="360" w:lineRule="auto"/>
        <w:ind w:firstLine="480" w:firstLineChars="200"/>
        <w:rPr>
          <w:sz w:val="24"/>
        </w:rPr>
      </w:pPr>
      <w:r>
        <w:rPr>
          <w:sz w:val="24"/>
        </w:rPr>
        <w:t>在投标、开标和评标阶段，系统重点承担线索筛查和材料辅助作用。对主体关联、投标行为异常、文件相似、报价异常、评分偏离等情况，应根据规则形成风险提示。相关提示结果应提供给授权人员、评标辅助岗位或者其他有权使用人员进行人工复核。</w:t>
      </w:r>
    </w:p>
    <w:p w14:paraId="5CEC7844">
      <w:pPr>
        <w:spacing w:line="360" w:lineRule="auto"/>
        <w:ind w:firstLine="480" w:firstLineChars="200"/>
      </w:pPr>
      <w:r>
        <w:rPr>
          <w:sz w:val="24"/>
        </w:rPr>
        <w:t>在项目结束后，系统重点承担结果沉淀和统计分析作用。对已确认的问题类型、处置结论、整改结果、投诉处理结果、核查结论等，应能够进入案例沉淀、规则修订和统计报表，供后续项目复用。</w:t>
      </w:r>
    </w:p>
    <w:p w14:paraId="477C2339">
      <w:pPr>
        <w:spacing w:line="360" w:lineRule="auto"/>
        <w:ind w:firstLine="480" w:firstLineChars="200"/>
        <w:rPr>
          <w:b/>
          <w:sz w:val="24"/>
        </w:rPr>
      </w:pPr>
      <w:bookmarkStart w:id="6" w:name="_Toc227712863"/>
      <w:r>
        <w:rPr>
          <w:rFonts w:hint="eastAsia"/>
          <w:b/>
          <w:sz w:val="24"/>
        </w:rPr>
        <w:t>3.1</w:t>
      </w:r>
      <w:r>
        <w:rPr>
          <w:b/>
          <w:sz w:val="24"/>
        </w:rPr>
        <w:t>风险分类与处置要求</w:t>
      </w:r>
      <w:bookmarkEnd w:id="6"/>
    </w:p>
    <w:p w14:paraId="06E5231E">
      <w:pPr>
        <w:spacing w:line="360" w:lineRule="auto"/>
        <w:ind w:firstLine="480" w:firstLineChars="200"/>
        <w:rPr>
          <w:sz w:val="24"/>
        </w:rPr>
      </w:pPr>
      <w:r>
        <w:rPr>
          <w:sz w:val="24"/>
        </w:rPr>
        <w:t>为保证审查口径一致，系统应对发现的问题进行统一分类，至少包括以下三类：</w:t>
      </w:r>
    </w:p>
    <w:p w14:paraId="23E47499">
      <w:pPr>
        <w:spacing w:line="360" w:lineRule="auto"/>
        <w:ind w:firstLine="480" w:firstLineChars="200"/>
        <w:rPr>
          <w:sz w:val="24"/>
        </w:rPr>
      </w:pPr>
      <w:r>
        <w:rPr>
          <w:sz w:val="24"/>
        </w:rPr>
        <w:t>1. 阻断类问题。指明显违反强制性规定、影响招标公平公正、或者导致关键流程不能继续推进的问题。此类问题应在系统中突出提示。</w:t>
      </w:r>
    </w:p>
    <w:p w14:paraId="5DFFED0C">
      <w:pPr>
        <w:spacing w:line="360" w:lineRule="auto"/>
        <w:ind w:firstLine="480" w:firstLineChars="200"/>
        <w:rPr>
          <w:sz w:val="24"/>
        </w:rPr>
      </w:pPr>
      <w:r>
        <w:rPr>
          <w:sz w:val="24"/>
        </w:rPr>
        <w:t>2. 重点关注问题。指存在较大争议风险、投诉风险或监管关注风险，但仍需结合项目实际进一步判断的问题。此类问题应进入复核清单，相关处理意见留痕。</w:t>
      </w:r>
    </w:p>
    <w:p w14:paraId="3BDC22E1">
      <w:pPr>
        <w:spacing w:line="360" w:lineRule="auto"/>
        <w:ind w:firstLine="480" w:firstLineChars="200"/>
        <w:rPr>
          <w:sz w:val="24"/>
        </w:rPr>
      </w:pPr>
      <w:r>
        <w:rPr>
          <w:sz w:val="24"/>
        </w:rPr>
        <w:t>3. 一般提示问题。指格式、用语、表述准确性、信息完整性等方面的优化建议。此类问题不直接阻断流程，但应允许用户确认是否采纳，并记录处理结果。</w:t>
      </w:r>
    </w:p>
    <w:p w14:paraId="75263ABA">
      <w:pPr>
        <w:spacing w:line="360" w:lineRule="auto"/>
        <w:ind w:firstLine="480" w:firstLineChars="200"/>
        <w:rPr>
          <w:sz w:val="24"/>
        </w:rPr>
      </w:pPr>
      <w:r>
        <w:rPr>
          <w:sz w:val="24"/>
        </w:rPr>
        <w:t>每一条问题记录都应至少包含以下内容：问题类型、触发规则、问题描述、关联章节、原文位置、提示来源依据、建议处理方式、发现时间、处理人、处理时间、处理结果、当前状态。</w:t>
      </w:r>
    </w:p>
    <w:p w14:paraId="264F1869">
      <w:pPr>
        <w:spacing w:line="360" w:lineRule="auto"/>
        <w:ind w:firstLine="480" w:firstLineChars="200"/>
        <w:rPr>
          <w:b/>
          <w:sz w:val="24"/>
        </w:rPr>
      </w:pPr>
      <w:bookmarkStart w:id="7" w:name="_Toc227712864"/>
      <w:r>
        <w:rPr>
          <w:rFonts w:hint="eastAsia"/>
          <w:b/>
          <w:sz w:val="24"/>
        </w:rPr>
        <w:t>3.2</w:t>
      </w:r>
      <w:r>
        <w:rPr>
          <w:b/>
          <w:sz w:val="24"/>
        </w:rPr>
        <w:t>人工复核与责任分工</w:t>
      </w:r>
      <w:bookmarkEnd w:id="7"/>
    </w:p>
    <w:p w14:paraId="029ACD9C">
      <w:pPr>
        <w:spacing w:line="360" w:lineRule="auto"/>
        <w:ind w:firstLine="480" w:firstLineChars="200"/>
        <w:rPr>
          <w:sz w:val="24"/>
        </w:rPr>
      </w:pPr>
      <w:r>
        <w:rPr>
          <w:rFonts w:hint="eastAsia"/>
          <w:sz w:val="24"/>
        </w:rPr>
        <w:t>系统按照规定或角色设置权限。 招标文件阶段的处理责任，原则上由具备相应权限的人员先行处理，相关主体承担最终确认责任。围串标线索类提示，原则上由具备复核权限的人员进行复核。辅助评标类结果，原则上仅供具备相应权限的人员参考，其对采用与否独立负责。报告整理和统计分析结果，由具备相应权限的人员查看和使用。</w:t>
      </w:r>
    </w:p>
    <w:p w14:paraId="53125F29">
      <w:pPr>
        <w:spacing w:line="360" w:lineRule="auto"/>
        <w:ind w:firstLine="480" w:firstLineChars="200"/>
        <w:rPr>
          <w:sz w:val="24"/>
          <w:highlight w:val="yellow"/>
        </w:rPr>
      </w:pPr>
    </w:p>
    <w:p w14:paraId="5342B700">
      <w:pPr>
        <w:spacing w:line="360" w:lineRule="auto"/>
        <w:ind w:firstLine="480" w:firstLineChars="200"/>
        <w:rPr>
          <w:sz w:val="24"/>
        </w:rPr>
      </w:pPr>
      <w:r>
        <w:rPr>
          <w:sz w:val="24"/>
        </w:rPr>
        <w:t>系统应支持对“已处理、已说明、退回修改、继续关注、转入核查、归档备查”等状态进行管理，保证问题从发现到处理有清晰轨迹。对未处理即跳过的重点提示，应记录操作人和理由。</w:t>
      </w:r>
    </w:p>
    <w:p w14:paraId="6DB6CBAB">
      <w:pPr>
        <w:spacing w:line="360" w:lineRule="auto"/>
        <w:ind w:firstLine="480" w:firstLineChars="200"/>
        <w:rPr>
          <w:b/>
          <w:sz w:val="24"/>
        </w:rPr>
      </w:pPr>
      <w:bookmarkStart w:id="8" w:name="_Toc227712866"/>
      <w:r>
        <w:rPr>
          <w:rFonts w:hint="eastAsia"/>
          <w:b/>
          <w:sz w:val="24"/>
        </w:rPr>
        <w:t>3</w:t>
      </w:r>
      <w:r>
        <w:rPr>
          <w:b/>
          <w:sz w:val="24"/>
        </w:rPr>
        <w:t>.</w:t>
      </w:r>
      <w:r>
        <w:rPr>
          <w:rFonts w:hint="eastAsia"/>
          <w:b/>
          <w:sz w:val="24"/>
        </w:rPr>
        <w:t>3</w:t>
      </w:r>
      <w:r>
        <w:rPr>
          <w:b/>
          <w:sz w:val="24"/>
        </w:rPr>
        <w:t>留痕与审计要求</w:t>
      </w:r>
      <w:bookmarkEnd w:id="8"/>
    </w:p>
    <w:p w14:paraId="68C68A81">
      <w:pPr>
        <w:spacing w:line="360" w:lineRule="auto"/>
        <w:ind w:firstLine="480" w:firstLineChars="200"/>
        <w:rPr>
          <w:sz w:val="24"/>
        </w:rPr>
      </w:pPr>
      <w:r>
        <w:rPr>
          <w:sz w:val="24"/>
        </w:rPr>
        <w:t>系统自动识别、人工处理和结果确认行为都应留下完整日志。日志应记录操作时间、操作人、所属角色、操作对象、原始数据来源、系统结果、人工处理意见</w:t>
      </w:r>
      <w:r>
        <w:rPr>
          <w:rFonts w:hint="eastAsia"/>
          <w:sz w:val="24"/>
        </w:rPr>
        <w:t>等</w:t>
      </w:r>
      <w:r>
        <w:rPr>
          <w:sz w:val="24"/>
        </w:rPr>
        <w:t>。</w:t>
      </w:r>
    </w:p>
    <w:p w14:paraId="1D4ED9D5">
      <w:pPr>
        <w:spacing w:line="360" w:lineRule="auto"/>
        <w:ind w:firstLine="480" w:firstLineChars="200"/>
        <w:rPr>
          <w:sz w:val="24"/>
        </w:rPr>
      </w:pPr>
      <w:r>
        <w:rPr>
          <w:sz w:val="24"/>
        </w:rPr>
        <w:t>对招标文件审查、围串标线索筛查、辅助评标结果、报告生成过程等关键业务，应支持导出电子留痕材料，便于项目归档、内部抽查和外部监督。留痕信息应与项目编号、标段编号、投标人、评标专家、处理节点等要素建立关联，保证后续可追溯。</w:t>
      </w:r>
    </w:p>
    <w:p w14:paraId="67E1B936">
      <w:pPr>
        <w:spacing w:line="360" w:lineRule="auto"/>
        <w:ind w:firstLine="561" w:firstLineChars="200"/>
        <w:rPr>
          <w:b/>
          <w:sz w:val="28"/>
          <w:szCs w:val="28"/>
        </w:rPr>
      </w:pPr>
      <w:r>
        <w:rPr>
          <w:rFonts w:hint="eastAsia"/>
          <w:b/>
          <w:sz w:val="28"/>
          <w:szCs w:val="28"/>
        </w:rPr>
        <w:t>4、现有</w:t>
      </w:r>
      <w:r>
        <w:rPr>
          <w:b/>
          <w:sz w:val="28"/>
          <w:szCs w:val="28"/>
        </w:rPr>
        <w:t>平台功能改造</w:t>
      </w:r>
    </w:p>
    <w:p w14:paraId="4C4A8A2D">
      <w:pPr>
        <w:spacing w:line="360" w:lineRule="auto"/>
        <w:ind w:firstLine="480" w:firstLineChars="200"/>
        <w:rPr>
          <w:b/>
          <w:sz w:val="24"/>
        </w:rPr>
      </w:pPr>
      <w:r>
        <w:rPr>
          <w:rFonts w:hint="eastAsia"/>
          <w:b/>
          <w:sz w:val="24"/>
        </w:rPr>
        <w:t>4.1</w:t>
      </w:r>
      <w:r>
        <w:rPr>
          <w:b/>
          <w:sz w:val="24"/>
        </w:rPr>
        <w:t>招标文件编制流程改造</w:t>
      </w:r>
    </w:p>
    <w:p w14:paraId="642E8B37">
      <w:pPr>
        <w:spacing w:line="360" w:lineRule="auto"/>
        <w:ind w:firstLine="480" w:firstLineChars="200"/>
        <w:rPr>
          <w:sz w:val="24"/>
        </w:rPr>
      </w:pPr>
      <w:r>
        <w:rPr>
          <w:sz w:val="24"/>
        </w:rPr>
        <w:t>现有流程为招标代理机构通过离线编制工具制作招标文件并生成ZBS格式文件，上传至招标业务系统后由招标人进行内容确认，确认无误后由代理机构加盖电子签章并对外发布。</w:t>
      </w:r>
    </w:p>
    <w:p w14:paraId="62F92042">
      <w:pPr>
        <w:spacing w:line="360" w:lineRule="auto"/>
        <w:ind w:firstLine="480" w:firstLineChars="200"/>
        <w:rPr>
          <w:sz w:val="24"/>
        </w:rPr>
      </w:pPr>
      <w:r>
        <w:rPr>
          <w:sz w:val="24"/>
        </w:rPr>
        <w:t>在原招标文件编制工具在线提交环节，需嵌入智能审查</w:t>
      </w:r>
      <w:r>
        <w:rPr>
          <w:rFonts w:hint="eastAsia"/>
          <w:sz w:val="24"/>
        </w:rPr>
        <w:t>功能</w:t>
      </w:r>
      <w:r>
        <w:rPr>
          <w:sz w:val="24"/>
        </w:rPr>
        <w:t>。当招标人或代理机构完成文件编辑</w:t>
      </w:r>
      <w:r>
        <w:rPr>
          <w:rFonts w:hint="eastAsia"/>
          <w:sz w:val="24"/>
        </w:rPr>
        <w:t>上传后</w:t>
      </w:r>
      <w:r>
        <w:rPr>
          <w:sz w:val="24"/>
        </w:rPr>
        <w:t>，系统</w:t>
      </w:r>
      <w:r>
        <w:rPr>
          <w:rFonts w:hint="eastAsia"/>
          <w:sz w:val="24"/>
        </w:rPr>
        <w:t>按要求</w:t>
      </w:r>
      <w:r>
        <w:rPr>
          <w:sz w:val="24"/>
        </w:rPr>
        <w:t>触发后台审查程序。该程序需调用规则库，对</w:t>
      </w:r>
      <w:r>
        <w:rPr>
          <w:rFonts w:hint="eastAsia"/>
          <w:sz w:val="24"/>
        </w:rPr>
        <w:t>招标</w:t>
      </w:r>
      <w:r>
        <w:rPr>
          <w:sz w:val="24"/>
        </w:rPr>
        <w:t>文件的</w:t>
      </w:r>
      <w:r>
        <w:rPr>
          <w:rFonts w:hint="eastAsia"/>
          <w:sz w:val="24"/>
        </w:rPr>
        <w:t>相关内容进行检测</w:t>
      </w:r>
      <w:r>
        <w:rPr>
          <w:sz w:val="24"/>
        </w:rPr>
        <w:t>。</w:t>
      </w:r>
      <w:r>
        <w:rPr>
          <w:rFonts w:hint="eastAsia"/>
          <w:sz w:val="24"/>
        </w:rPr>
        <w:t>主要针对文件一致性、合规性、以及提示信息进行检测。</w:t>
      </w:r>
      <w:r>
        <w:rPr>
          <w:sz w:val="24"/>
        </w:rPr>
        <w:t>系统</w:t>
      </w:r>
      <w:r>
        <w:rPr>
          <w:rFonts w:hint="eastAsia"/>
          <w:sz w:val="24"/>
        </w:rPr>
        <w:t>按实际需要设置</w:t>
      </w:r>
      <w:r>
        <w:rPr>
          <w:sz w:val="24"/>
        </w:rPr>
        <w:t>“阻断”与“提示”两种模式，对于严重违规项，强制要求修改后方可进入下一流程；对于一般性瑕疵，</w:t>
      </w:r>
      <w:r>
        <w:rPr>
          <w:rFonts w:hint="eastAsia"/>
          <w:sz w:val="24"/>
        </w:rPr>
        <w:t>用户确认后继续</w:t>
      </w:r>
      <w:r>
        <w:rPr>
          <w:sz w:val="24"/>
        </w:rPr>
        <w:t>。同时，需保留人工复核入口，确保审查结果的准确性，实现从“人工自查”向“人机共审”的转变。</w:t>
      </w:r>
    </w:p>
    <w:p w14:paraId="739ECCB8">
      <w:pPr>
        <w:spacing w:line="360" w:lineRule="auto"/>
        <w:ind w:firstLine="480" w:firstLineChars="200"/>
        <w:rPr>
          <w:b/>
          <w:sz w:val="24"/>
        </w:rPr>
      </w:pPr>
      <w:r>
        <w:rPr>
          <w:rFonts w:hint="eastAsia"/>
          <w:b/>
          <w:sz w:val="24"/>
        </w:rPr>
        <w:t>4.2</w:t>
      </w:r>
      <w:r>
        <w:rPr>
          <w:b/>
          <w:sz w:val="24"/>
        </w:rPr>
        <w:t xml:space="preserve">招标文件补遗流程改造 </w:t>
      </w:r>
    </w:p>
    <w:p w14:paraId="24034C15">
      <w:pPr>
        <w:spacing w:line="360" w:lineRule="auto"/>
        <w:ind w:firstLine="480" w:firstLineChars="200"/>
        <w:rPr>
          <w:sz w:val="24"/>
        </w:rPr>
      </w:pPr>
      <w:r>
        <w:rPr>
          <w:sz w:val="24"/>
        </w:rPr>
        <w:t>针对招标文件补遗与答疑环节，需在文件上传模块增加智能比对功能。当招标人上传新的补遗文件后，系统应自动将其与原招标文件进行版本比对，利用文本分析技术识别出实质性变动的条款。判断是否影响投标文件编制进而需要调整投标截止时间，评估是否涉及开评标场地变更</w:t>
      </w:r>
      <w:r>
        <w:rPr>
          <w:rFonts w:hint="eastAsia"/>
          <w:sz w:val="24"/>
        </w:rPr>
        <w:t>等信息，</w:t>
      </w:r>
      <w:r>
        <w:rPr>
          <w:sz w:val="24"/>
        </w:rPr>
        <w:t>避免因补遗不当引发的程序瑕疵和投标人权益纠纷。</w:t>
      </w:r>
    </w:p>
    <w:p w14:paraId="1D6AD2C4">
      <w:pPr>
        <w:spacing w:line="360" w:lineRule="auto"/>
        <w:ind w:firstLine="480" w:firstLineChars="200"/>
        <w:rPr>
          <w:b/>
          <w:sz w:val="24"/>
        </w:rPr>
      </w:pPr>
      <w:r>
        <w:rPr>
          <w:b/>
          <w:sz w:val="24"/>
        </w:rPr>
        <w:t>4.3</w:t>
      </w:r>
      <w:r>
        <w:rPr>
          <w:rFonts w:hint="eastAsia"/>
          <w:b/>
          <w:sz w:val="24"/>
        </w:rPr>
        <w:t>投标过程实时数据采集</w:t>
      </w:r>
    </w:p>
    <w:p w14:paraId="0C0EFA06">
      <w:pPr>
        <w:spacing w:line="360" w:lineRule="auto"/>
        <w:ind w:firstLine="480" w:firstLineChars="200"/>
        <w:rPr>
          <w:sz w:val="24"/>
        </w:rPr>
      </w:pPr>
      <w:r>
        <w:rPr>
          <w:sz w:val="24"/>
        </w:rPr>
        <w:t>在现有交易系统的投标业务管理流程中，嵌入围串标智能识别的实时监控功能。系统自动采集投标人的投标时间、IP地址、设备信息、投标文件内容等数据，进行异常行为分析和主体关联分析。如发现高风险围串标线索（如多家投标人集中上传、IP地址重合、投标文件高度雷同、主体关联异常等），系统</w:t>
      </w:r>
      <w:r>
        <w:rPr>
          <w:rFonts w:hint="eastAsia"/>
          <w:sz w:val="24"/>
        </w:rPr>
        <w:t>应具备</w:t>
      </w:r>
      <w:r>
        <w:rPr>
          <w:sz w:val="24"/>
        </w:rPr>
        <w:t>推送预警信息</w:t>
      </w:r>
      <w:r>
        <w:rPr>
          <w:rFonts w:hint="eastAsia"/>
          <w:sz w:val="24"/>
        </w:rPr>
        <w:t>的功能，</w:t>
      </w:r>
      <w:r>
        <w:rPr>
          <w:sz w:val="24"/>
        </w:rPr>
        <w:t>该功能需要与现有投标系统的数据采集模块深度集成。</w:t>
      </w:r>
    </w:p>
    <w:p w14:paraId="17EC5D07">
      <w:pPr>
        <w:spacing w:line="360" w:lineRule="auto"/>
        <w:ind w:firstLine="480" w:firstLineChars="200"/>
        <w:rPr>
          <w:b/>
          <w:sz w:val="24"/>
        </w:rPr>
      </w:pPr>
      <w:r>
        <w:rPr>
          <w:rFonts w:hint="eastAsia"/>
          <w:b/>
          <w:sz w:val="24"/>
        </w:rPr>
        <w:t>4.3</w:t>
      </w:r>
      <w:r>
        <w:rPr>
          <w:b/>
          <w:sz w:val="24"/>
        </w:rPr>
        <w:t xml:space="preserve">评标流程改造 </w:t>
      </w:r>
    </w:p>
    <w:p w14:paraId="637F73B8">
      <w:pPr>
        <w:spacing w:line="360" w:lineRule="auto"/>
        <w:ind w:firstLine="480" w:firstLineChars="200"/>
        <w:rPr>
          <w:sz w:val="24"/>
        </w:rPr>
      </w:pPr>
      <w:r>
        <w:rPr>
          <w:sz w:val="24"/>
        </w:rPr>
        <w:t>现有综合评估法评标流程包括评标准备、资格审查、资信标初步评审、技术标初步评审、技术标详细评审、项目负责人答辩、资信标详细评审、商务标初步评审、商务标询标及质询、商务标详细评审、评审汇总、生成评标报告</w:t>
      </w:r>
      <w:r>
        <w:rPr>
          <w:rFonts w:hint="eastAsia"/>
          <w:sz w:val="24"/>
        </w:rPr>
        <w:t>等</w:t>
      </w:r>
      <w:r>
        <w:rPr>
          <w:sz w:val="24"/>
        </w:rPr>
        <w:t>环节。</w:t>
      </w:r>
    </w:p>
    <w:p w14:paraId="288F5B1D">
      <w:pPr>
        <w:spacing w:line="360" w:lineRule="auto"/>
        <w:ind w:firstLine="480" w:firstLineChars="200"/>
        <w:rPr>
          <w:sz w:val="24"/>
          <w:highlight w:val="yellow"/>
        </w:rPr>
      </w:pPr>
      <w:r>
        <w:rPr>
          <w:sz w:val="24"/>
        </w:rPr>
        <w:t>对现有的电子评标系统进行深度功能植入。在客观项评审环节</w:t>
      </w:r>
      <w:r>
        <w:rPr>
          <w:rFonts w:hint="eastAsia"/>
          <w:sz w:val="24"/>
        </w:rPr>
        <w:t>（含</w:t>
      </w:r>
      <w:r>
        <w:rPr>
          <w:sz w:val="24"/>
        </w:rPr>
        <w:t>资格审查、资信标初步评审、技术标初步评审</w:t>
      </w:r>
      <w:r>
        <w:rPr>
          <w:rFonts w:hint="eastAsia"/>
          <w:sz w:val="24"/>
        </w:rPr>
        <w:t>、</w:t>
      </w:r>
      <w:r>
        <w:rPr>
          <w:sz w:val="24"/>
        </w:rPr>
        <w:t>资信标详细评审、商务标初步评审</w:t>
      </w:r>
      <w:r>
        <w:rPr>
          <w:rFonts w:hint="eastAsia"/>
          <w:sz w:val="24"/>
        </w:rPr>
        <w:t>）</w:t>
      </w:r>
      <w:r>
        <w:rPr>
          <w:sz w:val="24"/>
        </w:rPr>
        <w:t>，系统需自动抓取投标文件中的资质、业绩、财务数据，与招标文件要求进行自动比对并预打分，专家仅需确认。在主观项评审环节，改造重点在于“智能辅助定位”，当专家评审某一项（如施工方案）时，系统侧边栏自动提取该投标人的相关方案摘要及关键参数，支持一键跳转原文位置。在质询环节，系统根据文件内容的矛盾点自动生成“建议质询问题库”。</w:t>
      </w:r>
      <w:r>
        <w:rPr>
          <w:rFonts w:ascii="Segoe UI" w:hAnsi="Segoe UI" w:eastAsia="Segoe UI" w:cs="Segoe UI"/>
          <w:sz w:val="24"/>
          <w:shd w:val="clear" w:color="auto" w:fill="FFFFFF"/>
        </w:rPr>
        <w:t>评审结束后，对于需出具评审意见的项目类型，系统辅助评委生成评审说明，包括评分依据、评审原因等，协助完成</w:t>
      </w:r>
      <w:r>
        <w:rPr>
          <w:rFonts w:hint="eastAsia" w:ascii="Segoe UI" w:hAnsi="Segoe UI" w:cs="Segoe UI"/>
          <w:sz w:val="24"/>
          <w:shd w:val="clear" w:color="auto" w:fill="FFFFFF"/>
        </w:rPr>
        <w:t>评审情况说明初稿</w:t>
      </w:r>
      <w:r>
        <w:rPr>
          <w:rFonts w:ascii="Segoe UI" w:hAnsi="Segoe UI" w:eastAsia="Segoe UI" w:cs="Segoe UI"/>
          <w:sz w:val="24"/>
          <w:shd w:val="clear" w:color="auto" w:fill="FFFFFF"/>
        </w:rPr>
        <w:t>。</w:t>
      </w:r>
    </w:p>
    <w:p w14:paraId="7FB386BE">
      <w:pPr>
        <w:spacing w:line="360" w:lineRule="auto"/>
        <w:ind w:firstLine="480" w:firstLineChars="200"/>
        <w:rPr>
          <w:b/>
          <w:sz w:val="24"/>
        </w:rPr>
      </w:pPr>
      <w:r>
        <w:rPr>
          <w:rFonts w:hint="eastAsia"/>
          <w:b/>
          <w:sz w:val="24"/>
        </w:rPr>
        <w:t>4.4</w:t>
      </w:r>
      <w:r>
        <w:rPr>
          <w:b/>
          <w:sz w:val="24"/>
        </w:rPr>
        <w:t>项目完成后的问题归档、案例沉淀</w:t>
      </w:r>
    </w:p>
    <w:p w14:paraId="5B6D787D">
      <w:pPr>
        <w:spacing w:line="360" w:lineRule="auto"/>
        <w:ind w:firstLine="480" w:firstLineChars="200"/>
        <w:rPr>
          <w:sz w:val="24"/>
        </w:rPr>
      </w:pPr>
      <w:r>
        <w:rPr>
          <w:rFonts w:hint="eastAsia"/>
          <w:sz w:val="24"/>
        </w:rPr>
        <w:t>项目发布中标通知书后</w:t>
      </w:r>
      <w:r>
        <w:rPr>
          <w:sz w:val="24"/>
        </w:rPr>
        <w:t>，需新增“数智化复盘”功能。项目定标并归档后，系统应</w:t>
      </w:r>
      <w:r>
        <w:rPr>
          <w:rFonts w:hint="eastAsia"/>
          <w:sz w:val="24"/>
        </w:rPr>
        <w:t>按要求进行</w:t>
      </w:r>
      <w:r>
        <w:rPr>
          <w:sz w:val="24"/>
        </w:rPr>
        <w:t>数据</w:t>
      </w:r>
      <w:r>
        <w:rPr>
          <w:rFonts w:hint="eastAsia"/>
          <w:sz w:val="24"/>
        </w:rPr>
        <w:t>整理</w:t>
      </w:r>
      <w:r>
        <w:rPr>
          <w:sz w:val="24"/>
        </w:rPr>
        <w:t>清洗程序，将本项目产生的招标文件、投标文件、评审数据、预警记录</w:t>
      </w:r>
      <w:r>
        <w:rPr>
          <w:rFonts w:hint="eastAsia"/>
          <w:sz w:val="24"/>
        </w:rPr>
        <w:t>等数据</w:t>
      </w:r>
      <w:r>
        <w:rPr>
          <w:sz w:val="24"/>
        </w:rPr>
        <w:t>进行存储。改造内容在于建立“负面案例库”与“指标分析模型”：</w:t>
      </w:r>
      <w:r>
        <w:rPr>
          <w:rFonts w:hint="eastAsia"/>
          <w:sz w:val="24"/>
        </w:rPr>
        <w:t>相关数据可以</w:t>
      </w:r>
      <w:r>
        <w:rPr>
          <w:sz w:val="24"/>
        </w:rPr>
        <w:t>反哺到规则库中以优化未来的审查模型。</w:t>
      </w:r>
    </w:p>
    <w:p w14:paraId="132BCA48">
      <w:pPr>
        <w:spacing w:line="360" w:lineRule="auto"/>
        <w:ind w:firstLine="561" w:firstLineChars="200"/>
        <w:rPr>
          <w:b/>
          <w:sz w:val="28"/>
          <w:szCs w:val="28"/>
        </w:rPr>
      </w:pPr>
      <w:bookmarkStart w:id="9" w:name="_Toc227712868"/>
      <w:r>
        <w:rPr>
          <w:rFonts w:hint="eastAsia"/>
          <w:b/>
          <w:sz w:val="28"/>
          <w:szCs w:val="28"/>
        </w:rPr>
        <w:t>5、招标文件检测</w:t>
      </w:r>
      <w:r>
        <w:rPr>
          <w:b/>
          <w:sz w:val="28"/>
          <w:szCs w:val="28"/>
        </w:rPr>
        <w:t>需求</w:t>
      </w:r>
      <w:bookmarkEnd w:id="9"/>
    </w:p>
    <w:p w14:paraId="0017E4FD">
      <w:pPr>
        <w:spacing w:line="360" w:lineRule="auto"/>
        <w:ind w:firstLine="480" w:firstLineChars="200"/>
        <w:rPr>
          <w:b/>
          <w:sz w:val="24"/>
        </w:rPr>
      </w:pPr>
      <w:bookmarkStart w:id="10" w:name="_Toc227712869"/>
      <w:r>
        <w:rPr>
          <w:rFonts w:hint="eastAsia"/>
          <w:b/>
          <w:sz w:val="24"/>
        </w:rPr>
        <w:t>5</w:t>
      </w:r>
      <w:r>
        <w:rPr>
          <w:b/>
          <w:sz w:val="24"/>
        </w:rPr>
        <w:t>.</w:t>
      </w:r>
      <w:r>
        <w:rPr>
          <w:rFonts w:hint="eastAsia"/>
          <w:b/>
          <w:sz w:val="24"/>
        </w:rPr>
        <w:t>1</w:t>
      </w:r>
      <w:r>
        <w:rPr>
          <w:b/>
          <w:sz w:val="24"/>
        </w:rPr>
        <w:t xml:space="preserve"> 审查范围</w:t>
      </w:r>
      <w:bookmarkEnd w:id="10"/>
    </w:p>
    <w:p w14:paraId="411693EB">
      <w:pPr>
        <w:spacing w:line="360" w:lineRule="auto"/>
        <w:ind w:firstLine="480" w:firstLineChars="200"/>
        <w:rPr>
          <w:sz w:val="24"/>
        </w:rPr>
      </w:pPr>
      <w:r>
        <w:rPr>
          <w:sz w:val="24"/>
        </w:rPr>
        <w:t>系统审查范围至少应覆盖招标公告、资格预审文件、招标文件正文、评标办法、合同条款、补遗文件、答疑澄清文件等内容。</w:t>
      </w:r>
    </w:p>
    <w:p w14:paraId="0BA89535">
      <w:pPr>
        <w:spacing w:line="360" w:lineRule="auto"/>
        <w:ind w:firstLine="480" w:firstLineChars="200"/>
        <w:rPr>
          <w:b/>
          <w:sz w:val="24"/>
        </w:rPr>
      </w:pPr>
      <w:bookmarkStart w:id="11" w:name="_Toc227712870"/>
      <w:r>
        <w:rPr>
          <w:rFonts w:hint="eastAsia"/>
          <w:b/>
          <w:sz w:val="24"/>
        </w:rPr>
        <w:t>5.2</w:t>
      </w:r>
      <w:r>
        <w:rPr>
          <w:b/>
          <w:sz w:val="24"/>
        </w:rPr>
        <w:t xml:space="preserve"> 审查内容要求</w:t>
      </w:r>
      <w:bookmarkEnd w:id="11"/>
    </w:p>
    <w:p w14:paraId="3533ADF0">
      <w:pPr>
        <w:spacing w:line="360" w:lineRule="auto"/>
        <w:ind w:firstLine="480" w:firstLineChars="200"/>
        <w:rPr>
          <w:sz w:val="24"/>
        </w:rPr>
      </w:pPr>
      <w:r>
        <w:rPr>
          <w:sz w:val="24"/>
        </w:rPr>
        <w:t>系统应支持以下几类审查内容：</w:t>
      </w:r>
    </w:p>
    <w:p w14:paraId="398710C8">
      <w:pPr>
        <w:spacing w:line="360" w:lineRule="auto"/>
        <w:ind w:firstLine="480" w:firstLineChars="200"/>
        <w:rPr>
          <w:sz w:val="24"/>
        </w:rPr>
      </w:pPr>
      <w:r>
        <w:rPr>
          <w:sz w:val="24"/>
        </w:rPr>
        <w:t>1. 完整性审查。检查项目名称、项目编号、招标范围、资金来源、工期、质量标准、最高投标限价、投标截止时间、开标时间、评标办法、保证金要求、联合体要求、资格条件、合同主要条款等关键内容是否齐全，必要章节是否缺失，必填字段是否为空。</w:t>
      </w:r>
    </w:p>
    <w:p w14:paraId="162A5EB2">
      <w:pPr>
        <w:spacing w:line="360" w:lineRule="auto"/>
        <w:ind w:firstLine="480" w:firstLineChars="200"/>
        <w:rPr>
          <w:sz w:val="24"/>
        </w:rPr>
      </w:pPr>
      <w:r>
        <w:rPr>
          <w:sz w:val="24"/>
        </w:rPr>
        <w:t>2. 一致性审查。检查招标公告与招标文件是否一致，文件不同章节之间的项目名称、金额、日期、工期、资格条件、评分条件、否决条款等是否存在前后矛盾。</w:t>
      </w:r>
    </w:p>
    <w:p w14:paraId="70C18309">
      <w:pPr>
        <w:spacing w:line="360" w:lineRule="auto"/>
        <w:ind w:firstLine="480" w:firstLineChars="200"/>
        <w:rPr>
          <w:sz w:val="24"/>
        </w:rPr>
      </w:pPr>
      <w:r>
        <w:rPr>
          <w:sz w:val="24"/>
        </w:rPr>
        <w:t>3. 合规性审查。检查是否存在明显限制或者排斥潜在投标人的条款，是否存在与项目特点不相适应的过高门槛，是否存在变相指定品牌、指定供应商、指定原产地、指定特定奖项或明显带有地域</w:t>
      </w:r>
      <w:r>
        <w:rPr>
          <w:rFonts w:hint="eastAsia"/>
          <w:sz w:val="24"/>
        </w:rPr>
        <w:t>限制</w:t>
      </w:r>
      <w:r>
        <w:rPr>
          <w:sz w:val="24"/>
        </w:rPr>
        <w:t>、所有制</w:t>
      </w:r>
      <w:r>
        <w:rPr>
          <w:rFonts w:hint="eastAsia"/>
          <w:sz w:val="24"/>
        </w:rPr>
        <w:t>限制</w:t>
      </w:r>
      <w:r>
        <w:rPr>
          <w:sz w:val="24"/>
        </w:rPr>
        <w:t>的不当要求。</w:t>
      </w:r>
    </w:p>
    <w:p w14:paraId="109BA543">
      <w:pPr>
        <w:spacing w:line="360" w:lineRule="auto"/>
        <w:ind w:firstLine="480" w:firstLineChars="200"/>
        <w:rPr>
          <w:sz w:val="24"/>
        </w:rPr>
      </w:pPr>
      <w:r>
        <w:rPr>
          <w:sz w:val="24"/>
        </w:rPr>
        <w:t>4. 合理性审查。检查资格条件、业绩要求、人员要求、财务要求、评分因素等是否与项目规模、项目性质和履约需要基本匹配，对明显偏离常规、容易引发争议的设置进行提示。</w:t>
      </w:r>
    </w:p>
    <w:p w14:paraId="6878B562">
      <w:pPr>
        <w:spacing w:line="360" w:lineRule="auto"/>
        <w:ind w:firstLine="480" w:firstLineChars="200"/>
        <w:rPr>
          <w:sz w:val="24"/>
        </w:rPr>
      </w:pPr>
      <w:r>
        <w:rPr>
          <w:sz w:val="24"/>
        </w:rPr>
        <w:t>5. 表述准确性审查。检查常见错字、漏字、错敏词、术语混用、条款表达模糊、数值冲突等问题，提示修改位置。</w:t>
      </w:r>
    </w:p>
    <w:p w14:paraId="5B3EE0FF">
      <w:pPr>
        <w:spacing w:line="360" w:lineRule="auto"/>
        <w:ind w:firstLine="480" w:firstLineChars="200"/>
        <w:rPr>
          <w:b/>
          <w:sz w:val="24"/>
        </w:rPr>
      </w:pPr>
      <w:bookmarkStart w:id="12" w:name="_Toc227712871"/>
      <w:r>
        <w:rPr>
          <w:rFonts w:hint="eastAsia"/>
          <w:b/>
          <w:sz w:val="24"/>
        </w:rPr>
        <w:t>5</w:t>
      </w:r>
      <w:r>
        <w:rPr>
          <w:b/>
          <w:sz w:val="24"/>
        </w:rPr>
        <w:t>.</w:t>
      </w:r>
      <w:r>
        <w:rPr>
          <w:rFonts w:hint="eastAsia"/>
          <w:b/>
          <w:sz w:val="24"/>
        </w:rPr>
        <w:t>3</w:t>
      </w:r>
      <w:r>
        <w:rPr>
          <w:b/>
          <w:sz w:val="24"/>
        </w:rPr>
        <w:t xml:space="preserve"> 审查结果呈现方式</w:t>
      </w:r>
      <w:bookmarkEnd w:id="12"/>
    </w:p>
    <w:p w14:paraId="6E2B5043">
      <w:pPr>
        <w:spacing w:line="360" w:lineRule="auto"/>
        <w:ind w:firstLine="480" w:firstLineChars="200"/>
        <w:rPr>
          <w:sz w:val="24"/>
        </w:rPr>
      </w:pPr>
      <w:r>
        <w:rPr>
          <w:sz w:val="24"/>
        </w:rPr>
        <w:t>审查结果应采用清单化方式展示。每一项问题应显示问题标题、问题级别、所在章节、原文内容、审查依据、建议修改方向。对涉及原文修改的，应支持定位到原文具体段落；对涉及多个章节不一致的，应支持并列展示对比内容；对涉及补遗影响的，应支持展示修改前后差异。</w:t>
      </w:r>
    </w:p>
    <w:p w14:paraId="56E95D77">
      <w:pPr>
        <w:spacing w:line="360" w:lineRule="auto"/>
        <w:ind w:firstLine="480" w:firstLineChars="200"/>
        <w:rPr>
          <w:sz w:val="24"/>
        </w:rPr>
      </w:pPr>
      <w:r>
        <w:rPr>
          <w:sz w:val="24"/>
        </w:rPr>
        <w:t>系统应能够生成标准化审查报告，报告至少包括项目基本信息、审查时间、审查范围、问题汇总、分类统计、重点问题说明、处理结果和处理人信息。审查报告应支持导出和归档。</w:t>
      </w:r>
    </w:p>
    <w:p w14:paraId="5B14521C">
      <w:pPr>
        <w:spacing w:line="360" w:lineRule="auto"/>
        <w:ind w:firstLine="480" w:firstLineChars="200"/>
        <w:rPr>
          <w:b/>
          <w:sz w:val="24"/>
        </w:rPr>
      </w:pPr>
      <w:bookmarkStart w:id="13" w:name="_Toc227712872"/>
      <w:r>
        <w:rPr>
          <w:rFonts w:hint="eastAsia"/>
          <w:b/>
          <w:sz w:val="24"/>
        </w:rPr>
        <w:t>5.4</w:t>
      </w:r>
      <w:r>
        <w:rPr>
          <w:b/>
          <w:sz w:val="24"/>
        </w:rPr>
        <w:t>处理流程要求</w:t>
      </w:r>
      <w:bookmarkEnd w:id="13"/>
    </w:p>
    <w:p w14:paraId="0B804D70">
      <w:pPr>
        <w:spacing w:line="360" w:lineRule="auto"/>
        <w:ind w:firstLine="480" w:firstLineChars="200"/>
        <w:rPr>
          <w:sz w:val="24"/>
        </w:rPr>
      </w:pPr>
      <w:r>
        <w:rPr>
          <w:sz w:val="24"/>
        </w:rPr>
        <w:t>上传或提交文件后，系统应</w:t>
      </w:r>
      <w:r>
        <w:rPr>
          <w:rFonts w:hint="eastAsia"/>
          <w:sz w:val="24"/>
        </w:rPr>
        <w:t>按要求</w:t>
      </w:r>
      <w:r>
        <w:rPr>
          <w:sz w:val="24"/>
        </w:rPr>
        <w:t>触发审查。对阻断类问题，应要求先处理后提交；对重点关注问题，应要求</w:t>
      </w:r>
      <w:r>
        <w:rPr>
          <w:rFonts w:hint="eastAsia"/>
          <w:sz w:val="24"/>
        </w:rPr>
        <w:t>相关</w:t>
      </w:r>
      <w:r>
        <w:rPr>
          <w:sz w:val="24"/>
        </w:rPr>
        <w:t>人员逐项确认并填写处理意见；对一般提示问题，可允许批量标记已知悉。</w:t>
      </w:r>
    </w:p>
    <w:p w14:paraId="492A875A">
      <w:pPr>
        <w:spacing w:line="360" w:lineRule="auto"/>
        <w:ind w:firstLine="480" w:firstLineChars="200"/>
        <w:rPr>
          <w:sz w:val="24"/>
        </w:rPr>
      </w:pPr>
      <w:r>
        <w:rPr>
          <w:sz w:val="24"/>
        </w:rPr>
        <w:t>对补遗和答疑文件，系统应重点提示其是否改变了资格条件、评标标准、工期安排、投标截止时间、合同关键条款等实质性内容，并提示是否需要同步修改公告、延长时间或者提醒已下载文件的投标人关注。对多次补遗的项目，系统应保留完整变更轨迹。</w:t>
      </w:r>
    </w:p>
    <w:p w14:paraId="6F13EAB4">
      <w:pPr>
        <w:spacing w:line="360" w:lineRule="auto"/>
        <w:ind w:firstLine="480" w:firstLineChars="200"/>
        <w:rPr>
          <w:b/>
          <w:sz w:val="24"/>
        </w:rPr>
      </w:pPr>
      <w:bookmarkStart w:id="14" w:name="_Toc227712873"/>
      <w:r>
        <w:rPr>
          <w:rFonts w:hint="eastAsia"/>
          <w:b/>
          <w:sz w:val="24"/>
        </w:rPr>
        <w:t>5</w:t>
      </w:r>
      <w:r>
        <w:rPr>
          <w:b/>
          <w:sz w:val="24"/>
        </w:rPr>
        <w:t>.</w:t>
      </w:r>
      <w:r>
        <w:rPr>
          <w:rFonts w:hint="eastAsia"/>
          <w:b/>
          <w:sz w:val="24"/>
        </w:rPr>
        <w:t>5</w:t>
      </w:r>
      <w:r>
        <w:rPr>
          <w:b/>
          <w:sz w:val="24"/>
        </w:rPr>
        <w:t xml:space="preserve"> 审查规则维护要求</w:t>
      </w:r>
      <w:bookmarkEnd w:id="14"/>
    </w:p>
    <w:p w14:paraId="40A8CB44">
      <w:pPr>
        <w:spacing w:line="360" w:lineRule="auto"/>
        <w:ind w:firstLine="480" w:firstLineChars="200"/>
        <w:rPr>
          <w:sz w:val="24"/>
        </w:rPr>
      </w:pPr>
      <w:r>
        <w:rPr>
          <w:sz w:val="24"/>
        </w:rPr>
        <w:t>招标文件审查使用的规则应来源清晰、更新可控。系统应支持将国家法律法规、天津市地方规则、交易中心业务要求、各行业范本要求、历次审查中稳定形成的内部标准统一纳入规则管理。每条规则应有名称、来源、适用范围、适用行业、适用节点、生效日期、失效日期和版本信息。</w:t>
      </w:r>
    </w:p>
    <w:p w14:paraId="64E26C99">
      <w:pPr>
        <w:spacing w:line="360" w:lineRule="auto"/>
        <w:ind w:firstLine="480" w:firstLineChars="200"/>
        <w:rPr>
          <w:sz w:val="24"/>
        </w:rPr>
      </w:pPr>
      <w:r>
        <w:rPr>
          <w:sz w:val="24"/>
        </w:rPr>
        <w:t>规则维护应支持按行业、项目类型、评标办法等维度进行配置。例如，房建、市政、交通、水务等项目在部分资格要求和文件结构上存在差异，系统应允许按项目类型调用不同规则组合。规则更新后，应保留历史版本，确保已完成项目仍可查看当时适用的规则依据。</w:t>
      </w:r>
    </w:p>
    <w:p w14:paraId="1EB7535C">
      <w:pPr>
        <w:spacing w:line="360" w:lineRule="auto"/>
        <w:ind w:firstLine="561" w:firstLineChars="200"/>
        <w:rPr>
          <w:b/>
          <w:sz w:val="28"/>
          <w:szCs w:val="28"/>
        </w:rPr>
      </w:pPr>
      <w:bookmarkStart w:id="15" w:name="_Toc227712874"/>
      <w:r>
        <w:rPr>
          <w:rFonts w:hint="eastAsia"/>
          <w:b/>
          <w:sz w:val="28"/>
          <w:szCs w:val="28"/>
        </w:rPr>
        <w:t>6</w:t>
      </w:r>
      <w:r>
        <w:rPr>
          <w:b/>
          <w:sz w:val="28"/>
          <w:szCs w:val="28"/>
        </w:rPr>
        <w:t>.</w:t>
      </w:r>
      <w:r>
        <w:rPr>
          <w:rFonts w:hint="eastAsia"/>
          <w:b/>
          <w:sz w:val="28"/>
          <w:szCs w:val="28"/>
        </w:rPr>
        <w:t>智能围串标识别</w:t>
      </w:r>
      <w:r>
        <w:rPr>
          <w:b/>
          <w:sz w:val="28"/>
          <w:szCs w:val="28"/>
        </w:rPr>
        <w:t>需求</w:t>
      </w:r>
      <w:bookmarkEnd w:id="15"/>
    </w:p>
    <w:p w14:paraId="09B7E664">
      <w:pPr>
        <w:spacing w:line="360" w:lineRule="auto"/>
        <w:ind w:firstLine="480" w:firstLineChars="200"/>
        <w:rPr>
          <w:b/>
          <w:sz w:val="24"/>
        </w:rPr>
      </w:pPr>
      <w:bookmarkStart w:id="16" w:name="_Toc227712876"/>
      <w:r>
        <w:rPr>
          <w:rFonts w:hint="eastAsia"/>
          <w:b/>
          <w:sz w:val="24"/>
        </w:rPr>
        <w:t>6.1</w:t>
      </w:r>
      <w:r>
        <w:rPr>
          <w:b/>
          <w:sz w:val="24"/>
        </w:rPr>
        <w:t>数据范围</w:t>
      </w:r>
      <w:bookmarkEnd w:id="16"/>
    </w:p>
    <w:p w14:paraId="38EF0D42">
      <w:pPr>
        <w:spacing w:line="360" w:lineRule="auto"/>
        <w:ind w:firstLine="480" w:firstLineChars="200"/>
        <w:rPr>
          <w:sz w:val="24"/>
        </w:rPr>
      </w:pPr>
      <w:r>
        <w:rPr>
          <w:sz w:val="24"/>
        </w:rPr>
        <w:t>围串标线索识别至少应综合使用以下数据：企业注册和入库信息、法定代表人及联系人信息、历史投标记录、中标记录、投标文件元数据、投标文件正文内容、报价清单、文件上传时间、网络与设备相关日志、评标过程记录、</w:t>
      </w:r>
      <w:r>
        <w:rPr>
          <w:rFonts w:hint="eastAsia"/>
          <w:sz w:val="24"/>
        </w:rPr>
        <w:t>异议</w:t>
      </w:r>
      <w:r>
        <w:rPr>
          <w:sz w:val="24"/>
        </w:rPr>
        <w:t>信息、历史核查结论等。对依法可以接入的外部公共信息，也应在合规前提下纳入分析范围。</w:t>
      </w:r>
    </w:p>
    <w:p w14:paraId="5D547A1E">
      <w:pPr>
        <w:spacing w:line="360" w:lineRule="auto"/>
        <w:ind w:firstLine="480" w:firstLineChars="200"/>
        <w:rPr>
          <w:b/>
          <w:sz w:val="24"/>
        </w:rPr>
      </w:pPr>
      <w:bookmarkStart w:id="17" w:name="_Toc227712877"/>
      <w:r>
        <w:rPr>
          <w:rFonts w:hint="eastAsia"/>
          <w:b/>
          <w:sz w:val="24"/>
        </w:rPr>
        <w:t>6.2</w:t>
      </w:r>
      <w:r>
        <w:rPr>
          <w:b/>
          <w:sz w:val="24"/>
        </w:rPr>
        <w:t>识别内容要求</w:t>
      </w:r>
      <w:bookmarkEnd w:id="17"/>
    </w:p>
    <w:p w14:paraId="3FD9EBF2">
      <w:pPr>
        <w:spacing w:line="360" w:lineRule="auto"/>
        <w:ind w:firstLine="480" w:firstLineChars="200"/>
        <w:rPr>
          <w:sz w:val="24"/>
        </w:rPr>
      </w:pPr>
      <w:r>
        <w:rPr>
          <w:sz w:val="24"/>
        </w:rPr>
        <w:t>系统应至少具备以下几类识别能力：</w:t>
      </w:r>
    </w:p>
    <w:p w14:paraId="59EAC6BD">
      <w:pPr>
        <w:spacing w:line="360" w:lineRule="auto"/>
        <w:ind w:firstLine="480" w:firstLineChars="200"/>
        <w:rPr>
          <w:sz w:val="24"/>
        </w:rPr>
      </w:pPr>
      <w:r>
        <w:rPr>
          <w:sz w:val="24"/>
        </w:rPr>
        <w:t>1. 主体关联识别。对企业注册地址、联系电话、电子邮箱、银行账户、联系人、项目经理、授权委托人、股权关系、法定代表人关联等信息进行比对，识别明显关联或疑似关联主体，并说明匹配依据。</w:t>
      </w:r>
    </w:p>
    <w:p w14:paraId="0250A43A">
      <w:pPr>
        <w:spacing w:line="360" w:lineRule="auto"/>
        <w:ind w:firstLine="480" w:firstLineChars="200"/>
        <w:rPr>
          <w:sz w:val="24"/>
        </w:rPr>
      </w:pPr>
      <w:r>
        <w:rPr>
          <w:sz w:val="24"/>
        </w:rPr>
        <w:t>2. 历史协同投标识别。统计不同企业在一定时间范围内共同参与同类项目的频次、共同中标规律、轮流中标特征、区域集中分布情况，提示偏离正常竞争规律的组合关系。</w:t>
      </w:r>
    </w:p>
    <w:p w14:paraId="195C98F2">
      <w:pPr>
        <w:spacing w:line="360" w:lineRule="auto"/>
        <w:ind w:firstLine="480" w:firstLineChars="200"/>
        <w:rPr>
          <w:sz w:val="24"/>
        </w:rPr>
      </w:pPr>
      <w:r>
        <w:rPr>
          <w:sz w:val="24"/>
        </w:rPr>
        <w:t>3. 投标行为异常识别。分析投标文件上传时间是否过于集中、是否长期在截止前短时间内统一提交、是否出现异常撤回和重新上传等情形。对具备条件的技术日志，可识别相同设备、相同网络环境、相近操作轨迹等异常情况。</w:t>
      </w:r>
    </w:p>
    <w:p w14:paraId="6A7E27D7">
      <w:pPr>
        <w:spacing w:line="360" w:lineRule="auto"/>
        <w:ind w:firstLine="480" w:firstLineChars="200"/>
        <w:rPr>
          <w:sz w:val="24"/>
        </w:rPr>
      </w:pPr>
      <w:r>
        <w:rPr>
          <w:sz w:val="24"/>
        </w:rPr>
        <w:t>4. 文件相似识别。对投标文件中的技术方案、施工组织设计、应急预案、商务承诺、清单组价说明等内容进行相似性比对，识别大段文字重复、表达高度一致、结构完全相同、错误同现等情况，并支持高亮展示相似段落。</w:t>
      </w:r>
    </w:p>
    <w:p w14:paraId="0207B9CD">
      <w:pPr>
        <w:spacing w:line="360" w:lineRule="auto"/>
        <w:ind w:firstLine="480" w:firstLineChars="200"/>
        <w:rPr>
          <w:sz w:val="24"/>
        </w:rPr>
      </w:pPr>
      <w:r>
        <w:rPr>
          <w:sz w:val="24"/>
        </w:rPr>
        <w:t>5. 报价异常识别。分析不同投标人报价的分布关系、细项组价规律、总价与分项价联动特征，对呈现明显规律性分布或不符合一般竞争逻辑的情况进行提示。</w:t>
      </w:r>
    </w:p>
    <w:p w14:paraId="5A5F8A36">
      <w:pPr>
        <w:spacing w:line="360" w:lineRule="auto"/>
        <w:ind w:firstLine="480" w:firstLineChars="200"/>
        <w:rPr>
          <w:sz w:val="24"/>
        </w:rPr>
      </w:pPr>
      <w:r>
        <w:rPr>
          <w:sz w:val="24"/>
        </w:rPr>
        <w:t>6. 专家评分偏离辅助分析。对具备授权条件的项目，分析个别专家评分与其他专家平均水平是否存在明显偏离，并提示偏离项和偏离幅度，为后续监督检查提供参考。</w:t>
      </w:r>
    </w:p>
    <w:p w14:paraId="58612EA7">
      <w:pPr>
        <w:spacing w:line="360" w:lineRule="auto"/>
        <w:ind w:firstLine="480" w:firstLineChars="200"/>
        <w:rPr>
          <w:b/>
          <w:sz w:val="24"/>
        </w:rPr>
      </w:pPr>
      <w:bookmarkStart w:id="18" w:name="_Toc227712878"/>
      <w:r>
        <w:rPr>
          <w:rFonts w:hint="eastAsia"/>
          <w:b/>
          <w:sz w:val="24"/>
        </w:rPr>
        <w:t>6.3</w:t>
      </w:r>
      <w:r>
        <w:rPr>
          <w:b/>
          <w:sz w:val="24"/>
        </w:rPr>
        <w:t>结果呈现与复核要求</w:t>
      </w:r>
      <w:bookmarkEnd w:id="18"/>
    </w:p>
    <w:p w14:paraId="68E37CA7">
      <w:pPr>
        <w:spacing w:line="360" w:lineRule="auto"/>
        <w:ind w:firstLine="480" w:firstLineChars="200"/>
        <w:rPr>
          <w:sz w:val="24"/>
        </w:rPr>
      </w:pPr>
      <w:r>
        <w:rPr>
          <w:sz w:val="24"/>
        </w:rPr>
        <w:t>线索识别结果应以项目为单位形成风险摘要，同时也应支持以企业、人员、代理机构、专家等主体为单位形成关联视图。系统应能够展示“发现了什么问题、问题出现在哪些项目、证据材料有哪些、需由谁复核”的完整信息。</w:t>
      </w:r>
    </w:p>
    <w:p w14:paraId="5CE90404">
      <w:pPr>
        <w:spacing w:line="360" w:lineRule="auto"/>
        <w:ind w:firstLine="480" w:firstLineChars="200"/>
        <w:rPr>
          <w:sz w:val="24"/>
        </w:rPr>
      </w:pPr>
      <w:r>
        <w:rPr>
          <w:sz w:val="24"/>
        </w:rPr>
        <w:t>对文件相似类问题，系统应支持段落级对照展示；对主体关联类问题，应支持显示命中字段和来源；对投标行为异常类问题，应支持展示时间轴和日志记录；对报价异常类问题，应支持展示统计分布和异常点位置。所有提示结果都应保留生成时间、规则版本和数据来源信息。</w:t>
      </w:r>
    </w:p>
    <w:p w14:paraId="6E9E56BD">
      <w:pPr>
        <w:spacing w:line="360" w:lineRule="auto"/>
        <w:ind w:firstLine="480" w:firstLineChars="200"/>
        <w:rPr>
          <w:sz w:val="24"/>
        </w:rPr>
      </w:pPr>
      <w:r>
        <w:rPr>
          <w:sz w:val="24"/>
        </w:rPr>
        <w:t>系统应支持将线索清单导出为核查材料，至少包含项目基本信息、涉及主体、线索类别、触发依据、原始数据截图或文本摘录、人工复核意见、最终处理状态等内容。对经人工复核确认无效的线索，也应记录原因，避免重复提示造成干扰。</w:t>
      </w:r>
    </w:p>
    <w:p w14:paraId="01031A8C">
      <w:pPr>
        <w:spacing w:line="360" w:lineRule="auto"/>
        <w:ind w:firstLine="480" w:firstLineChars="200"/>
        <w:rPr>
          <w:b/>
          <w:sz w:val="24"/>
        </w:rPr>
      </w:pPr>
      <w:bookmarkStart w:id="19" w:name="_Toc227712879"/>
      <w:r>
        <w:rPr>
          <w:rFonts w:hint="eastAsia"/>
          <w:b/>
          <w:sz w:val="24"/>
        </w:rPr>
        <w:t>6.4</w:t>
      </w:r>
      <w:r>
        <w:rPr>
          <w:b/>
          <w:sz w:val="24"/>
        </w:rPr>
        <w:t>线索处置与结果沉淀要求</w:t>
      </w:r>
      <w:bookmarkEnd w:id="19"/>
    </w:p>
    <w:p w14:paraId="5A09CB1B">
      <w:pPr>
        <w:spacing w:line="360" w:lineRule="auto"/>
        <w:ind w:firstLine="480" w:firstLineChars="200"/>
        <w:rPr>
          <w:sz w:val="24"/>
        </w:rPr>
      </w:pPr>
      <w:r>
        <w:rPr>
          <w:sz w:val="24"/>
        </w:rPr>
        <w:t>系统应支持对线索进行登记、指派、复核、归档等状态管理。经确认的典型问题，应支持纳入案例库和规则修订。系统不仅要发现问题，还要把真实项目中的核查结论转化为后续项目可复用的识别经验。对于长期反复出现的高频问题，应支持形成专题统计和专项治理清单。</w:t>
      </w:r>
    </w:p>
    <w:p w14:paraId="1F076F10">
      <w:pPr>
        <w:spacing w:line="360" w:lineRule="auto"/>
        <w:ind w:firstLine="561" w:firstLineChars="200"/>
        <w:rPr>
          <w:b/>
          <w:sz w:val="28"/>
          <w:szCs w:val="28"/>
        </w:rPr>
      </w:pPr>
      <w:r>
        <w:rPr>
          <w:rFonts w:hint="eastAsia"/>
          <w:b/>
          <w:sz w:val="28"/>
          <w:szCs w:val="28"/>
        </w:rPr>
        <w:t>7.</w:t>
      </w:r>
      <w:bookmarkStart w:id="20" w:name="_Toc227712880"/>
      <w:r>
        <w:rPr>
          <w:rFonts w:hint="eastAsia"/>
          <w:b/>
          <w:sz w:val="28"/>
          <w:szCs w:val="28"/>
        </w:rPr>
        <w:t xml:space="preserve"> 智能辅助评标</w:t>
      </w:r>
      <w:r>
        <w:rPr>
          <w:b/>
          <w:sz w:val="28"/>
          <w:szCs w:val="28"/>
        </w:rPr>
        <w:t>需求</w:t>
      </w:r>
      <w:bookmarkEnd w:id="20"/>
    </w:p>
    <w:p w14:paraId="2C1208F4">
      <w:pPr>
        <w:spacing w:line="360" w:lineRule="auto"/>
        <w:ind w:firstLine="480" w:firstLineChars="200"/>
        <w:rPr>
          <w:b/>
          <w:sz w:val="24"/>
        </w:rPr>
      </w:pPr>
      <w:bookmarkStart w:id="21" w:name="_Toc227712882"/>
      <w:r>
        <w:rPr>
          <w:rFonts w:hint="eastAsia"/>
          <w:b/>
          <w:sz w:val="24"/>
        </w:rPr>
        <w:t>7.1</w:t>
      </w:r>
      <w:r>
        <w:rPr>
          <w:b/>
          <w:sz w:val="24"/>
        </w:rPr>
        <w:t>招标要求提取与评审要点整理</w:t>
      </w:r>
      <w:bookmarkEnd w:id="21"/>
    </w:p>
    <w:p w14:paraId="4F74F485">
      <w:pPr>
        <w:spacing w:line="360" w:lineRule="auto"/>
        <w:ind w:firstLine="480" w:firstLineChars="200"/>
        <w:rPr>
          <w:rFonts w:ascii="Segoe UI" w:hAnsi="Segoe UI" w:eastAsia="Segoe UI" w:cs="Segoe UI"/>
          <w:kern w:val="0"/>
          <w:sz w:val="24"/>
          <w:shd w:val="clear" w:color="auto" w:fill="FFFFFF"/>
          <w:lang w:bidi="ar"/>
        </w:rPr>
      </w:pPr>
      <w:r>
        <w:rPr>
          <w:rFonts w:ascii="Segoe UI" w:hAnsi="Segoe UI" w:eastAsia="Segoe UI" w:cs="Segoe UI"/>
          <w:kern w:val="0"/>
          <w:sz w:val="24"/>
          <w:shd w:val="clear" w:color="auto" w:fill="FFFFFF"/>
          <w:lang w:bidi="ar"/>
        </w:rPr>
        <w:t>系统在</w:t>
      </w:r>
      <w:r>
        <w:rPr>
          <w:rStyle w:val="38"/>
          <w:rFonts w:hint="eastAsia" w:ascii="宋体" w:hAnsi="宋体" w:cs="宋体"/>
          <w:bCs w:val="0"/>
          <w:kern w:val="0"/>
          <w:sz w:val="24"/>
          <w:shd w:val="clear" w:color="auto" w:fill="FFFFFF"/>
          <w:lang w:bidi="ar"/>
        </w:rPr>
        <w:t>原有界面基础上进行改造升级</w:t>
      </w:r>
      <w:r>
        <w:rPr>
          <w:rFonts w:ascii="Segoe UI" w:hAnsi="Segoe UI" w:eastAsia="Segoe UI" w:cs="Segoe UI"/>
          <w:kern w:val="0"/>
          <w:sz w:val="24"/>
          <w:shd w:val="clear" w:color="auto" w:fill="FFFFFF"/>
          <w:lang w:bidi="ar"/>
        </w:rPr>
        <w:t>，将新增功能与现有界面深度融合，形成</w:t>
      </w:r>
      <w:r>
        <w:rPr>
          <w:rStyle w:val="38"/>
          <w:rFonts w:hint="eastAsia" w:ascii="宋体" w:hAnsi="宋体" w:cs="宋体"/>
          <w:bCs w:val="0"/>
          <w:kern w:val="0"/>
          <w:sz w:val="24"/>
          <w:shd w:val="clear" w:color="auto" w:fill="FFFFFF"/>
          <w:lang w:bidi="ar"/>
        </w:rPr>
        <w:t>统一的操作视图</w:t>
      </w:r>
      <w:r>
        <w:rPr>
          <w:rFonts w:ascii="Segoe UI" w:hAnsi="Segoe UI" w:eastAsia="Segoe UI" w:cs="Segoe UI"/>
          <w:kern w:val="0"/>
          <w:sz w:val="24"/>
          <w:shd w:val="clear" w:color="auto" w:fill="FFFFFF"/>
          <w:lang w:bidi="ar"/>
        </w:rPr>
        <w:t>。系统对招标文件中的资格条件、否决情形、评分因素、分值构成、技术参数、工期要求等评审内容进行提取和整理，形成供评标专家查看的项目评审要点清单。该清单与原有评标界面集成在同一页面中，评标专家无需切换系统或跳转页面即可查阅；清单内容严格来源于招标文件原文，支持点击定位到原始章节，避免出现"系统整理内容与原文脱节"的情况</w:t>
      </w:r>
      <w:r>
        <w:rPr>
          <w:rFonts w:hint="eastAsia" w:ascii="Segoe UI" w:hAnsi="Segoe UI" w:eastAsia="Segoe UI" w:cs="Segoe UI"/>
          <w:kern w:val="0"/>
          <w:sz w:val="24"/>
          <w:shd w:val="clear" w:color="auto" w:fill="FFFFFF"/>
          <w:lang w:bidi="ar"/>
        </w:rPr>
        <w:t>。</w:t>
      </w:r>
    </w:p>
    <w:p w14:paraId="0FBA9128">
      <w:pPr>
        <w:spacing w:line="360" w:lineRule="auto"/>
        <w:ind w:firstLine="480" w:firstLineChars="200"/>
        <w:rPr>
          <w:rFonts w:ascii="Segoe UI" w:hAnsi="Segoe UI" w:eastAsia="Segoe UI" w:cs="Segoe UI"/>
          <w:kern w:val="0"/>
          <w:sz w:val="24"/>
          <w:shd w:val="clear" w:color="auto" w:fill="FFFFFF"/>
          <w:lang w:bidi="ar"/>
        </w:rPr>
      </w:pPr>
      <w:r>
        <w:rPr>
          <w:rFonts w:ascii="Segoe UI" w:hAnsi="Segoe UI" w:eastAsia="Segoe UI" w:cs="Segoe UI"/>
          <w:sz w:val="24"/>
          <w:shd w:val="clear" w:color="auto" w:fill="FFFFFF"/>
        </w:rPr>
        <w:t>针对不同评标办法项目，系统在统一界面内按相应规则展示差异化评审要点。例如，综合评估法项目在原有界面中分区呈现资格审查要点、技术标评审要点、否决情形</w:t>
      </w:r>
      <w:r>
        <w:rPr>
          <w:rFonts w:hint="eastAsia" w:ascii="Segoe UI" w:hAnsi="Segoe UI" w:cs="Segoe UI"/>
          <w:sz w:val="24"/>
          <w:shd w:val="clear" w:color="auto" w:fill="FFFFFF"/>
        </w:rPr>
        <w:t>等有关信息</w:t>
      </w:r>
      <w:r>
        <w:rPr>
          <w:rFonts w:ascii="Segoe UI" w:hAnsi="Segoe UI" w:eastAsia="Segoe UI" w:cs="Segoe UI"/>
          <w:sz w:val="24"/>
          <w:shd w:val="clear" w:color="auto" w:fill="FFFFFF"/>
        </w:rPr>
        <w:t>；经评审的最低投标价法等项目则在统一界面中重点展示符合性条款、低价风险提示等内容。</w:t>
      </w:r>
    </w:p>
    <w:p w14:paraId="39BA501D">
      <w:pPr>
        <w:spacing w:line="360" w:lineRule="auto"/>
        <w:ind w:firstLine="480" w:firstLineChars="200"/>
        <w:rPr>
          <w:b/>
          <w:sz w:val="24"/>
        </w:rPr>
      </w:pPr>
      <w:bookmarkStart w:id="22" w:name="_Toc227712883"/>
      <w:r>
        <w:rPr>
          <w:rFonts w:hint="eastAsia"/>
          <w:b/>
          <w:sz w:val="24"/>
        </w:rPr>
        <w:t>7.2</w:t>
      </w:r>
      <w:r>
        <w:rPr>
          <w:b/>
          <w:sz w:val="24"/>
        </w:rPr>
        <w:t>投标文件解析与材料定位</w:t>
      </w:r>
      <w:bookmarkEnd w:id="22"/>
    </w:p>
    <w:p w14:paraId="446ACDD7">
      <w:pPr>
        <w:spacing w:line="360" w:lineRule="auto"/>
        <w:ind w:firstLine="480" w:firstLineChars="200"/>
        <w:rPr>
          <w:sz w:val="24"/>
        </w:rPr>
      </w:pPr>
      <w:r>
        <w:rPr>
          <w:sz w:val="24"/>
        </w:rPr>
        <w:t>系统应能够对投标文件中的营业执照、资质证书、安全生产许可证、项目经理证书、业绩证明、承诺函、等常见材料进行解析整理，并按照评审要点进行归类展示。</w:t>
      </w:r>
    </w:p>
    <w:p w14:paraId="2B649C77">
      <w:pPr>
        <w:spacing w:line="360" w:lineRule="auto"/>
        <w:ind w:firstLine="480" w:firstLineChars="200"/>
        <w:rPr>
          <w:sz w:val="24"/>
        </w:rPr>
      </w:pPr>
      <w:r>
        <w:rPr>
          <w:sz w:val="24"/>
        </w:rPr>
        <w:t>专家在查看系统结果时，应能够快速定位投标文件原文、原页或原附件位置。对未识别、识别不清或材料缺失的情况，系统应明确提示，不得将识别不确定内容直接作为确定结论。</w:t>
      </w:r>
    </w:p>
    <w:p w14:paraId="39329D3C">
      <w:pPr>
        <w:spacing w:line="360" w:lineRule="auto"/>
        <w:ind w:firstLine="480" w:firstLineChars="200"/>
        <w:rPr>
          <w:b/>
          <w:sz w:val="24"/>
        </w:rPr>
      </w:pPr>
      <w:bookmarkStart w:id="23" w:name="_Toc227712884"/>
      <w:r>
        <w:rPr>
          <w:rFonts w:hint="eastAsia"/>
          <w:b/>
          <w:sz w:val="24"/>
        </w:rPr>
        <w:t>7.3</w:t>
      </w:r>
      <w:r>
        <w:rPr>
          <w:b/>
          <w:sz w:val="24"/>
        </w:rPr>
        <w:t>客观项辅助核验</w:t>
      </w:r>
      <w:bookmarkEnd w:id="23"/>
    </w:p>
    <w:p w14:paraId="03F64767">
      <w:pPr>
        <w:spacing w:line="360" w:lineRule="auto"/>
        <w:ind w:firstLine="480" w:firstLineChars="200"/>
        <w:rPr>
          <w:sz w:val="24"/>
        </w:rPr>
      </w:pPr>
      <w:r>
        <w:rPr>
          <w:sz w:val="24"/>
        </w:rPr>
        <w:t>系统应支持围绕客观项开展自动比对和辅助核验，至少包括以下内容：</w:t>
      </w:r>
    </w:p>
    <w:p w14:paraId="2CD1D00E">
      <w:pPr>
        <w:spacing w:line="360" w:lineRule="auto"/>
        <w:ind w:firstLine="480" w:firstLineChars="200"/>
        <w:rPr>
          <w:sz w:val="24"/>
        </w:rPr>
      </w:pPr>
      <w:r>
        <w:rPr>
          <w:sz w:val="24"/>
        </w:rPr>
        <w:t>1. 资格条件是否满足，如企业资质、人员资格、联合体要求、信誉要求、财务要求等。</w:t>
      </w:r>
    </w:p>
    <w:p w14:paraId="61E8EF22">
      <w:pPr>
        <w:spacing w:line="360" w:lineRule="auto"/>
        <w:ind w:firstLine="480" w:firstLineChars="200"/>
        <w:rPr>
          <w:sz w:val="24"/>
        </w:rPr>
      </w:pPr>
      <w:r>
        <w:rPr>
          <w:sz w:val="24"/>
        </w:rPr>
        <w:t>2. 证照材料是否齐全、是否在有效期内、是否与项目要求相匹配。</w:t>
      </w:r>
    </w:p>
    <w:p w14:paraId="1714CD10">
      <w:pPr>
        <w:spacing w:line="360" w:lineRule="auto"/>
        <w:ind w:firstLine="480" w:firstLineChars="200"/>
        <w:rPr>
          <w:sz w:val="24"/>
        </w:rPr>
      </w:pPr>
      <w:r>
        <w:rPr>
          <w:sz w:val="24"/>
        </w:rPr>
        <w:t>3. 业绩材料是否满足数量、时间、类型和规模要求，是否存在明显不对应情况。</w:t>
      </w:r>
    </w:p>
    <w:p w14:paraId="309E8B57">
      <w:pPr>
        <w:spacing w:line="360" w:lineRule="auto"/>
        <w:ind w:firstLine="480" w:firstLineChars="200"/>
        <w:rPr>
          <w:sz w:val="24"/>
        </w:rPr>
      </w:pPr>
      <w:r>
        <w:rPr>
          <w:sz w:val="24"/>
        </w:rPr>
        <w:t>4. 投标保证金、承诺函等是否按要求提交。</w:t>
      </w:r>
    </w:p>
    <w:p w14:paraId="4800D57A">
      <w:pPr>
        <w:spacing w:line="360" w:lineRule="auto"/>
        <w:ind w:firstLine="480" w:firstLineChars="200"/>
        <w:rPr>
          <w:sz w:val="24"/>
        </w:rPr>
      </w:pPr>
      <w:r>
        <w:rPr>
          <w:sz w:val="24"/>
        </w:rPr>
        <w:t>5. 工期、质量目标等承诺内容是否响应招标要求。</w:t>
      </w:r>
    </w:p>
    <w:p w14:paraId="4AF10B40">
      <w:pPr>
        <w:spacing w:line="360" w:lineRule="auto"/>
        <w:ind w:firstLine="480" w:firstLineChars="200"/>
        <w:rPr>
          <w:sz w:val="24"/>
        </w:rPr>
      </w:pPr>
      <w:r>
        <w:rPr>
          <w:sz w:val="24"/>
        </w:rPr>
        <w:t>系统对客观项的辅助核验结果，应</w:t>
      </w:r>
      <w:r>
        <w:rPr>
          <w:rFonts w:hint="eastAsia"/>
          <w:sz w:val="24"/>
        </w:rPr>
        <w:t>以“通过、不通过、需人工复核”来呈现，其中，对于系统无法判定（如材料不齐全、判断标准有争议）的，以“需人工复核”来标识，由专家最终确认审查结果</w:t>
      </w:r>
      <w:r>
        <w:rPr>
          <w:sz w:val="24"/>
        </w:rPr>
        <w:t>。</w:t>
      </w:r>
    </w:p>
    <w:p w14:paraId="3D6CB834">
      <w:pPr>
        <w:spacing w:line="360" w:lineRule="auto"/>
        <w:ind w:firstLine="480" w:firstLineChars="200"/>
        <w:rPr>
          <w:b/>
          <w:sz w:val="24"/>
        </w:rPr>
      </w:pPr>
      <w:bookmarkStart w:id="24" w:name="_Toc227712885"/>
      <w:r>
        <w:rPr>
          <w:rFonts w:hint="eastAsia"/>
          <w:b/>
          <w:sz w:val="24"/>
        </w:rPr>
        <w:t>7.4</w:t>
      </w:r>
      <w:r>
        <w:rPr>
          <w:b/>
          <w:sz w:val="24"/>
        </w:rPr>
        <w:t>主观项评审辅助</w:t>
      </w:r>
      <w:bookmarkEnd w:id="24"/>
    </w:p>
    <w:p w14:paraId="49A2BBBB">
      <w:pPr>
        <w:spacing w:line="360" w:lineRule="auto"/>
        <w:ind w:firstLine="480" w:firstLineChars="200"/>
        <w:rPr>
          <w:sz w:val="24"/>
        </w:rPr>
      </w:pPr>
      <w:r>
        <w:rPr>
          <w:sz w:val="24"/>
        </w:rPr>
        <w:t>1. 响应内容定位。按招标文件要求的评审点，对各投标文件中对应响应内容进行归集和定位，帮助专家减少翻阅时间。</w:t>
      </w:r>
    </w:p>
    <w:p w14:paraId="70E35C11">
      <w:pPr>
        <w:spacing w:line="360" w:lineRule="auto"/>
        <w:ind w:firstLine="480" w:firstLineChars="200"/>
        <w:rPr>
          <w:sz w:val="24"/>
        </w:rPr>
      </w:pPr>
      <w:r>
        <w:rPr>
          <w:sz w:val="24"/>
        </w:rPr>
        <w:t>2. 横向对比展示。围绕施工组织设计、进度安排、质量保证措施、安全文明施工、项目团队配置、应急预案等主观项内容，支持多投标人同屏比对，便于专家查看差异。</w:t>
      </w:r>
    </w:p>
    <w:p w14:paraId="104A21EC">
      <w:pPr>
        <w:spacing w:line="360" w:lineRule="auto"/>
        <w:ind w:firstLine="480" w:firstLineChars="200"/>
        <w:rPr>
          <w:sz w:val="24"/>
        </w:rPr>
      </w:pPr>
      <w:r>
        <w:rPr>
          <w:sz w:val="24"/>
        </w:rPr>
        <w:t>3. 重点差异提取。对明显遗漏、偏离、表述空泛、内容重复等情况进行提示，帮助专家快速把握评审重点。</w:t>
      </w:r>
    </w:p>
    <w:p w14:paraId="4CF45F59">
      <w:pPr>
        <w:spacing w:line="360" w:lineRule="auto"/>
        <w:ind w:firstLine="480" w:firstLineChars="200"/>
        <w:rPr>
          <w:sz w:val="24"/>
        </w:rPr>
      </w:pPr>
      <w:r>
        <w:rPr>
          <w:sz w:val="24"/>
        </w:rPr>
        <w:t>4. 质询点整理。对材料前后不一致、响应不充分或表述模糊的内容，支持生成质询建议，供专家是否发起质询时参考。</w:t>
      </w:r>
    </w:p>
    <w:p w14:paraId="305FF794">
      <w:pPr>
        <w:spacing w:line="360" w:lineRule="auto"/>
        <w:ind w:firstLine="480" w:firstLineChars="200"/>
        <w:rPr>
          <w:sz w:val="24"/>
        </w:rPr>
      </w:pPr>
      <w:r>
        <w:rPr>
          <w:sz w:val="24"/>
        </w:rPr>
        <w:t>系统进行主观项辅助时，应特别强调可解释性和谨慎性。任何归纳结果都应能够回到原始文本，不得输出无来源、不可核查的结论。</w:t>
      </w:r>
    </w:p>
    <w:p w14:paraId="570CBEAF">
      <w:pPr>
        <w:spacing w:line="360" w:lineRule="auto"/>
        <w:ind w:firstLine="480" w:firstLineChars="200"/>
        <w:rPr>
          <w:b/>
          <w:sz w:val="24"/>
        </w:rPr>
      </w:pPr>
      <w:bookmarkStart w:id="25" w:name="_Toc227712886"/>
      <w:r>
        <w:rPr>
          <w:rFonts w:hint="eastAsia"/>
          <w:b/>
          <w:sz w:val="24"/>
        </w:rPr>
        <w:t>7.5</w:t>
      </w:r>
      <w:r>
        <w:rPr>
          <w:b/>
          <w:sz w:val="24"/>
        </w:rPr>
        <w:t xml:space="preserve"> 评标报告整理与生成</w:t>
      </w:r>
      <w:bookmarkEnd w:id="25"/>
    </w:p>
    <w:p w14:paraId="2F650B0C">
      <w:pPr>
        <w:spacing w:line="360" w:lineRule="auto"/>
        <w:ind w:firstLine="480" w:firstLineChars="200"/>
        <w:rPr>
          <w:sz w:val="24"/>
        </w:rPr>
      </w:pPr>
      <w:r>
        <w:rPr>
          <w:sz w:val="24"/>
        </w:rPr>
        <w:t>系统应支持基于原有评标报告，增加和整理评标报告基础内容，包括项目基本信息、评审过程、资格审查结果、符合性审查结果、评分汇总、质询记录、否决说明、专家确认信息等。针对不同招标类型的要求，系统可依据实际评审情况辅助生成评审情况说明，作为评标报告的补充内容。报告生成以现行报告模板和业务规范为准，支持人工补充、人工修改和最终确认。</w:t>
      </w:r>
    </w:p>
    <w:p w14:paraId="00972622">
      <w:pPr>
        <w:spacing w:line="360" w:lineRule="auto"/>
        <w:ind w:firstLine="480" w:firstLineChars="200"/>
        <w:rPr>
          <w:sz w:val="24"/>
        </w:rPr>
      </w:pPr>
      <w:r>
        <w:rPr>
          <w:sz w:val="24"/>
        </w:rPr>
        <w:t>对于报告中容易出错的内容，如分值汇总、排序逻辑、投标人名称、废标理由、关键时间节点等，系统应在生成时自动核查一致性并提示复核。报告导出前，应留有专家确认和复核环节，确保最终文本与评标实际一致。</w:t>
      </w:r>
    </w:p>
    <w:p w14:paraId="66EC606F">
      <w:pPr>
        <w:spacing w:line="360" w:lineRule="auto"/>
        <w:ind w:firstLine="561" w:firstLineChars="200"/>
        <w:rPr>
          <w:b/>
          <w:sz w:val="28"/>
          <w:szCs w:val="28"/>
        </w:rPr>
      </w:pPr>
      <w:bookmarkStart w:id="26" w:name="_Toc227712887"/>
      <w:r>
        <w:rPr>
          <w:rFonts w:hint="eastAsia"/>
          <w:b/>
          <w:sz w:val="28"/>
          <w:szCs w:val="28"/>
        </w:rPr>
        <w:t>8</w:t>
      </w:r>
      <w:r>
        <w:rPr>
          <w:b/>
          <w:sz w:val="28"/>
          <w:szCs w:val="28"/>
        </w:rPr>
        <w:t>.法规规则库、知识整理与统计分析需求</w:t>
      </w:r>
      <w:bookmarkEnd w:id="26"/>
    </w:p>
    <w:p w14:paraId="1F5D25AE">
      <w:pPr>
        <w:spacing w:line="360" w:lineRule="auto"/>
        <w:ind w:firstLine="480" w:firstLineChars="200"/>
        <w:rPr>
          <w:b/>
          <w:sz w:val="24"/>
        </w:rPr>
      </w:pPr>
      <w:bookmarkStart w:id="27" w:name="_Toc227712888"/>
      <w:r>
        <w:rPr>
          <w:rFonts w:hint="eastAsia"/>
          <w:b/>
          <w:sz w:val="24"/>
        </w:rPr>
        <w:t>8.1</w:t>
      </w:r>
      <w:r>
        <w:rPr>
          <w:b/>
          <w:sz w:val="24"/>
        </w:rPr>
        <w:t>法规规则库建设要求</w:t>
      </w:r>
      <w:bookmarkEnd w:id="27"/>
    </w:p>
    <w:p w14:paraId="4C5960D8">
      <w:pPr>
        <w:spacing w:line="360" w:lineRule="auto"/>
        <w:ind w:firstLine="480" w:firstLineChars="200"/>
        <w:rPr>
          <w:sz w:val="24"/>
        </w:rPr>
      </w:pPr>
      <w:r>
        <w:rPr>
          <w:sz w:val="24"/>
        </w:rPr>
        <w:t>系统应建设统一的法规规则库，作为招标文件审查、围串标线索识别、辅助评标和监管统计的共同基础。规则库内容至少应包括国家法律法规、部门规章、地方性法规、天津市配套制度、交易中心业务规则、行业范本要求、内部审查清单和经复盘确认的典型问题规则。</w:t>
      </w:r>
    </w:p>
    <w:p w14:paraId="7C9EA477">
      <w:pPr>
        <w:spacing w:line="360" w:lineRule="auto"/>
        <w:ind w:firstLine="480" w:firstLineChars="200"/>
        <w:rPr>
          <w:sz w:val="24"/>
        </w:rPr>
      </w:pPr>
      <w:r>
        <w:rPr>
          <w:sz w:val="24"/>
        </w:rPr>
        <w:t>规则库应支持按业务环节、项目类型、行业类别、问题类型、适用对象等维度管理。每条规则应写明规则来源、条款摘要、适用场景、处理建议、是否属于阻断类问题、是否需要人工确认、版本号和维护责任人。系统应提供规则检索、版本查看和变更记录功能。</w:t>
      </w:r>
    </w:p>
    <w:p w14:paraId="04C707FE">
      <w:pPr>
        <w:spacing w:line="360" w:lineRule="auto"/>
        <w:ind w:firstLine="480" w:firstLineChars="200"/>
        <w:rPr>
          <w:b/>
          <w:sz w:val="24"/>
        </w:rPr>
      </w:pPr>
      <w:bookmarkStart w:id="28" w:name="_Toc227712889"/>
      <w:r>
        <w:rPr>
          <w:rFonts w:hint="eastAsia"/>
          <w:b/>
          <w:sz w:val="24"/>
        </w:rPr>
        <w:t>8.2</w:t>
      </w:r>
      <w:r>
        <w:rPr>
          <w:b/>
          <w:sz w:val="24"/>
        </w:rPr>
        <w:t xml:space="preserve"> 业务案例整理要求</w:t>
      </w:r>
      <w:bookmarkEnd w:id="28"/>
    </w:p>
    <w:p w14:paraId="3C9694D5">
      <w:pPr>
        <w:spacing w:line="360" w:lineRule="auto"/>
        <w:ind w:firstLine="480" w:firstLineChars="200"/>
        <w:rPr>
          <w:sz w:val="24"/>
        </w:rPr>
      </w:pPr>
      <w:r>
        <w:rPr>
          <w:sz w:val="24"/>
        </w:rPr>
        <w:t>除规则库外，系统还应支持沉淀业务案例。案例来源可包括典型招标文件问题、典型围串标线索、典型评标偏差、投诉处理案例、整改复盘案例等，便于后续培训和规则优化。</w:t>
      </w:r>
    </w:p>
    <w:p w14:paraId="20275720">
      <w:pPr>
        <w:spacing w:line="360" w:lineRule="auto"/>
        <w:ind w:firstLine="480" w:firstLineChars="200"/>
        <w:rPr>
          <w:sz w:val="24"/>
        </w:rPr>
      </w:pPr>
      <w:r>
        <w:rPr>
          <w:sz w:val="24"/>
        </w:rPr>
        <w:t>案例库应能够与规则库建立关联。例如，某一规则频繁触发但实际误报较多，应通过案例分析调整适用条件；某一类投诉反复集中在同类项目，应通过案例归纳补充审查重点。</w:t>
      </w:r>
    </w:p>
    <w:p w14:paraId="56502632">
      <w:pPr>
        <w:spacing w:line="360" w:lineRule="auto"/>
        <w:ind w:firstLine="480" w:firstLineChars="200"/>
        <w:rPr>
          <w:b/>
          <w:sz w:val="24"/>
        </w:rPr>
      </w:pPr>
      <w:bookmarkStart w:id="29" w:name="_Toc227712890"/>
      <w:r>
        <w:rPr>
          <w:rFonts w:hint="eastAsia"/>
          <w:b/>
          <w:sz w:val="24"/>
        </w:rPr>
        <w:t>8.3</w:t>
      </w:r>
      <w:r>
        <w:rPr>
          <w:b/>
          <w:sz w:val="24"/>
        </w:rPr>
        <w:t>统计分析需求</w:t>
      </w:r>
      <w:bookmarkEnd w:id="29"/>
    </w:p>
    <w:p w14:paraId="586DA56B">
      <w:pPr>
        <w:spacing w:line="360" w:lineRule="auto"/>
        <w:ind w:firstLine="480" w:firstLineChars="200"/>
        <w:rPr>
          <w:sz w:val="24"/>
        </w:rPr>
      </w:pPr>
      <w:r>
        <w:rPr>
          <w:sz w:val="24"/>
        </w:rPr>
        <w:t>系统应提供统计分析功能，至少包括以下内容：</w:t>
      </w:r>
    </w:p>
    <w:p w14:paraId="4C1FCB4D">
      <w:pPr>
        <w:spacing w:line="360" w:lineRule="auto"/>
        <w:ind w:firstLine="480" w:firstLineChars="200"/>
        <w:rPr>
          <w:sz w:val="24"/>
        </w:rPr>
      </w:pPr>
      <w:r>
        <w:rPr>
          <w:sz w:val="24"/>
        </w:rPr>
        <w:t>1. 招标文件问题统计。按行业、项目类型、代理机构、问题类别、时间区间统计问题发生数量、重点问题占比和处理完成情况。</w:t>
      </w:r>
    </w:p>
    <w:p w14:paraId="516F2BFC">
      <w:pPr>
        <w:spacing w:line="360" w:lineRule="auto"/>
        <w:ind w:firstLine="480" w:firstLineChars="200"/>
        <w:rPr>
          <w:sz w:val="24"/>
        </w:rPr>
      </w:pPr>
      <w:r>
        <w:rPr>
          <w:sz w:val="24"/>
        </w:rPr>
        <w:t>2. 围串标线索统计。按项目、主体、线索类型、复核结果、处理状态统计线索发现情况和有效性情况。</w:t>
      </w:r>
    </w:p>
    <w:p w14:paraId="704EC8DB">
      <w:pPr>
        <w:spacing w:line="360" w:lineRule="auto"/>
        <w:ind w:firstLine="480" w:firstLineChars="200"/>
        <w:rPr>
          <w:sz w:val="24"/>
        </w:rPr>
      </w:pPr>
      <w:r>
        <w:rPr>
          <w:sz w:val="24"/>
        </w:rPr>
        <w:t>3. 评标辅助使用情况统计。统计系统定位、比对、报告整理等功能的使用情况，为后续优化提供依据。</w:t>
      </w:r>
    </w:p>
    <w:p w14:paraId="708F31D0">
      <w:pPr>
        <w:spacing w:line="360" w:lineRule="auto"/>
        <w:ind w:firstLine="480" w:firstLineChars="200"/>
        <w:rPr>
          <w:sz w:val="24"/>
        </w:rPr>
      </w:pPr>
      <w:r>
        <w:rPr>
          <w:sz w:val="24"/>
        </w:rPr>
        <w:t>4. 规则命中情况统计。分析规则命中频次、规则误报、规则长期未使用</w:t>
      </w:r>
      <w:r>
        <w:rPr>
          <w:rFonts w:hint="eastAsia"/>
          <w:sz w:val="24"/>
        </w:rPr>
        <w:t>等</w:t>
      </w:r>
      <w:r>
        <w:rPr>
          <w:sz w:val="24"/>
        </w:rPr>
        <w:t>为规则维护提供依据。</w:t>
      </w:r>
    </w:p>
    <w:p w14:paraId="030A1663">
      <w:pPr>
        <w:spacing w:line="360" w:lineRule="auto"/>
        <w:ind w:firstLine="480" w:firstLineChars="200"/>
        <w:rPr>
          <w:sz w:val="24"/>
        </w:rPr>
      </w:pPr>
      <w:r>
        <w:rPr>
          <w:sz w:val="24"/>
        </w:rPr>
        <w:t>5. 专项治理支撑统计。围绕高频问题、重点行业、重点地区、重点主体形成专题报表，为日常监管和专项检查提供数据支持。</w:t>
      </w:r>
    </w:p>
    <w:p w14:paraId="121801BC">
      <w:pPr>
        <w:spacing w:line="360" w:lineRule="auto"/>
        <w:ind w:firstLine="480" w:firstLineChars="200"/>
        <w:rPr>
          <w:sz w:val="24"/>
        </w:rPr>
      </w:pPr>
      <w:r>
        <w:rPr>
          <w:sz w:val="24"/>
        </w:rPr>
        <w:t>统计分析结果应能够到具体项目和具体问题记录，</w:t>
      </w:r>
      <w:r>
        <w:rPr>
          <w:rFonts w:hint="eastAsia"/>
          <w:sz w:val="24"/>
        </w:rPr>
        <w:t>并</w:t>
      </w:r>
      <w:r>
        <w:rPr>
          <w:sz w:val="24"/>
        </w:rPr>
        <w:t>应支持按固定模板导出。</w:t>
      </w:r>
    </w:p>
    <w:p w14:paraId="31299DA5">
      <w:pPr>
        <w:spacing w:line="360" w:lineRule="auto"/>
        <w:ind w:firstLine="561" w:firstLineChars="200"/>
        <w:rPr>
          <w:b/>
          <w:sz w:val="28"/>
          <w:szCs w:val="28"/>
        </w:rPr>
      </w:pPr>
      <w:bookmarkStart w:id="30" w:name="_Toc227712891"/>
      <w:r>
        <w:rPr>
          <w:rFonts w:hint="eastAsia"/>
          <w:b/>
          <w:sz w:val="28"/>
          <w:szCs w:val="28"/>
        </w:rPr>
        <w:t>9</w:t>
      </w:r>
      <w:r>
        <w:rPr>
          <w:b/>
          <w:sz w:val="28"/>
          <w:szCs w:val="28"/>
        </w:rPr>
        <w:t>.数据治理、接口改造与系统集成要求</w:t>
      </w:r>
      <w:bookmarkEnd w:id="30"/>
    </w:p>
    <w:p w14:paraId="52A04F61">
      <w:pPr>
        <w:spacing w:line="360" w:lineRule="auto"/>
        <w:ind w:firstLine="480" w:firstLineChars="200"/>
        <w:rPr>
          <w:b/>
          <w:sz w:val="24"/>
        </w:rPr>
      </w:pPr>
      <w:bookmarkStart w:id="31" w:name="_Toc227712892"/>
      <w:r>
        <w:rPr>
          <w:rFonts w:hint="eastAsia"/>
          <w:b/>
          <w:sz w:val="24"/>
        </w:rPr>
        <w:t>9.1</w:t>
      </w:r>
      <w:r>
        <w:rPr>
          <w:b/>
          <w:sz w:val="24"/>
        </w:rPr>
        <w:t>数据治理总体要求</w:t>
      </w:r>
      <w:bookmarkEnd w:id="31"/>
    </w:p>
    <w:p w14:paraId="53565BBD">
      <w:pPr>
        <w:spacing w:line="360" w:lineRule="auto"/>
        <w:ind w:firstLine="480" w:firstLineChars="200"/>
        <w:rPr>
          <w:sz w:val="24"/>
        </w:rPr>
      </w:pPr>
      <w:r>
        <w:rPr>
          <w:sz w:val="24"/>
        </w:rPr>
        <w:t>本项目的数据治理工作应遵循“够用、准确、可追溯、可复用”的原则。围绕招标文件审查、围串标线索识别和辅助评标三类核心需求，</w:t>
      </w:r>
      <w:r>
        <w:rPr>
          <w:rFonts w:hint="eastAsia"/>
          <w:sz w:val="24"/>
        </w:rPr>
        <w:t>重点</w:t>
      </w:r>
      <w:r>
        <w:rPr>
          <w:sz w:val="24"/>
        </w:rPr>
        <w:t>治理高价值数据。治理过程中应统一项目编号、标段编号、主体标识、人员标识、文件标识和时间口径，保证跨系统、跨阶段数据可以对应起来。</w:t>
      </w:r>
    </w:p>
    <w:p w14:paraId="63892132">
      <w:pPr>
        <w:spacing w:line="360" w:lineRule="auto"/>
        <w:ind w:firstLine="480" w:firstLineChars="200"/>
        <w:rPr>
          <w:sz w:val="24"/>
        </w:rPr>
      </w:pPr>
      <w:r>
        <w:rPr>
          <w:sz w:val="24"/>
        </w:rPr>
        <w:t>对非结构化文档数据，应支持按章节、条款、表格、附件等粒度进行整理；对结构化数据，应统一字段名称、格式标准和取值口径；对过程日志数据，应明确采集范围、保留时长和使用权限。所有治理结果都应保留数据来源，确保后续核查时能够回到原始记录。</w:t>
      </w:r>
    </w:p>
    <w:p w14:paraId="7585BE4F">
      <w:pPr>
        <w:spacing w:line="360" w:lineRule="auto"/>
        <w:ind w:firstLine="480" w:firstLineChars="200"/>
        <w:rPr>
          <w:b/>
          <w:sz w:val="24"/>
        </w:rPr>
      </w:pPr>
      <w:bookmarkStart w:id="32" w:name="_Toc227712893"/>
      <w:r>
        <w:rPr>
          <w:rFonts w:hint="eastAsia"/>
          <w:b/>
          <w:sz w:val="24"/>
        </w:rPr>
        <w:t>9</w:t>
      </w:r>
      <w:r>
        <w:rPr>
          <w:b/>
          <w:sz w:val="24"/>
        </w:rPr>
        <w:t>.2 与现有系统的集成要求</w:t>
      </w:r>
      <w:bookmarkEnd w:id="32"/>
    </w:p>
    <w:p w14:paraId="030E9A4B">
      <w:pPr>
        <w:spacing w:line="360" w:lineRule="auto"/>
        <w:ind w:firstLine="480" w:firstLineChars="200"/>
        <w:rPr>
          <w:sz w:val="24"/>
        </w:rPr>
      </w:pPr>
      <w:r>
        <w:rPr>
          <w:sz w:val="24"/>
        </w:rPr>
        <w:t>本项目应与现有招标业务系统、投标业务系统、开标系统、评标系统、</w:t>
      </w:r>
      <w:r>
        <w:rPr>
          <w:rFonts w:hint="eastAsia"/>
          <w:sz w:val="24"/>
        </w:rPr>
        <w:t>主体库</w:t>
      </w:r>
      <w:r>
        <w:rPr>
          <w:sz w:val="24"/>
        </w:rPr>
        <w:t>统一身份认证系统、</w:t>
      </w:r>
      <w:r>
        <w:rPr>
          <w:rFonts w:hint="eastAsia"/>
          <w:sz w:val="24"/>
        </w:rPr>
        <w:t>以及</w:t>
      </w:r>
      <w:r>
        <w:rPr>
          <w:sz w:val="24"/>
        </w:rPr>
        <w:t>相关</w:t>
      </w:r>
      <w:r>
        <w:rPr>
          <w:rFonts w:hint="eastAsia"/>
          <w:sz w:val="24"/>
        </w:rPr>
        <w:t>招标文件编制</w:t>
      </w:r>
      <w:r>
        <w:rPr>
          <w:sz w:val="24"/>
        </w:rPr>
        <w:t>工具、投标文件编制工具进行集成。集成方式应采用标准接口、标准数据交换和页面嵌入方式，减少对现有稳定运行模块的影响。</w:t>
      </w:r>
    </w:p>
    <w:p w14:paraId="288C6F94">
      <w:pPr>
        <w:spacing w:line="360" w:lineRule="auto"/>
        <w:ind w:firstLine="480" w:firstLineChars="200"/>
        <w:rPr>
          <w:sz w:val="24"/>
        </w:rPr>
      </w:pPr>
      <w:r>
        <w:rPr>
          <w:sz w:val="24"/>
        </w:rPr>
        <w:t>系统应支持从现有平台读取项目基本信息、招标文件、投标文件、评标记录、用户角色、日志记录等必要数据，同时也应支持把审查结果、线索清单、辅助评标结果、报告整理内容、统计结果按要求回写到现有业务系统或档案系统中。</w:t>
      </w:r>
    </w:p>
    <w:p w14:paraId="43E50A97">
      <w:pPr>
        <w:spacing w:line="360" w:lineRule="auto"/>
        <w:ind w:firstLine="480" w:firstLineChars="200"/>
        <w:rPr>
          <w:b/>
          <w:sz w:val="24"/>
        </w:rPr>
      </w:pPr>
      <w:bookmarkStart w:id="33" w:name="_Toc227712894"/>
      <w:r>
        <w:rPr>
          <w:rFonts w:hint="eastAsia"/>
          <w:b/>
          <w:sz w:val="24"/>
        </w:rPr>
        <w:t>9.3</w:t>
      </w:r>
      <w:r>
        <w:rPr>
          <w:b/>
          <w:sz w:val="24"/>
        </w:rPr>
        <w:t xml:space="preserve"> 接口要求</w:t>
      </w:r>
      <w:bookmarkEnd w:id="33"/>
    </w:p>
    <w:p w14:paraId="6C9914A5">
      <w:pPr>
        <w:spacing w:line="360" w:lineRule="auto"/>
        <w:ind w:firstLine="480" w:firstLineChars="200"/>
        <w:rPr>
          <w:sz w:val="24"/>
        </w:rPr>
      </w:pPr>
      <w:r>
        <w:rPr>
          <w:sz w:val="24"/>
        </w:rPr>
        <w:t>接口建设应至少满足以下要求：</w:t>
      </w:r>
    </w:p>
    <w:p w14:paraId="65BB0B5C">
      <w:pPr>
        <w:spacing w:line="360" w:lineRule="auto"/>
        <w:ind w:firstLine="480" w:firstLineChars="200"/>
        <w:rPr>
          <w:sz w:val="24"/>
        </w:rPr>
      </w:pPr>
      <w:r>
        <w:rPr>
          <w:sz w:val="24"/>
        </w:rPr>
        <w:t>1. 只读采集接口和结果回写接口边界清晰，避免对现有核心交易数据造成误写风险。</w:t>
      </w:r>
    </w:p>
    <w:p w14:paraId="1920ED91">
      <w:pPr>
        <w:spacing w:line="360" w:lineRule="auto"/>
        <w:ind w:firstLine="480" w:firstLineChars="200"/>
        <w:rPr>
          <w:sz w:val="24"/>
        </w:rPr>
      </w:pPr>
      <w:r>
        <w:rPr>
          <w:sz w:val="24"/>
        </w:rPr>
        <w:t>2. 接口调用应具备身份校验、权限控制、传输加密、调用日志和异常处理机制。</w:t>
      </w:r>
    </w:p>
    <w:p w14:paraId="0AC68C9D">
      <w:pPr>
        <w:spacing w:line="360" w:lineRule="auto"/>
        <w:ind w:firstLine="480" w:firstLineChars="200"/>
        <w:rPr>
          <w:sz w:val="24"/>
        </w:rPr>
      </w:pPr>
      <w:r>
        <w:rPr>
          <w:sz w:val="24"/>
        </w:rPr>
        <w:t>3. 对大文件和批量历史数据的处理，应支持分批抽取、断点续传、失败重试和处理状态监控。</w:t>
      </w:r>
    </w:p>
    <w:p w14:paraId="70F0FF92">
      <w:pPr>
        <w:spacing w:line="360" w:lineRule="auto"/>
        <w:ind w:firstLine="480" w:firstLineChars="200"/>
        <w:rPr>
          <w:sz w:val="24"/>
        </w:rPr>
      </w:pPr>
      <w:r>
        <w:rPr>
          <w:sz w:val="24"/>
        </w:rPr>
        <w:t xml:space="preserve">4. </w:t>
      </w:r>
      <w:r>
        <w:rPr>
          <w:rFonts w:hint="eastAsia"/>
          <w:sz w:val="24"/>
        </w:rPr>
        <w:t>预留</w:t>
      </w:r>
      <w:r>
        <w:rPr>
          <w:sz w:val="24"/>
        </w:rPr>
        <w:t>第三方数据的接入</w:t>
      </w:r>
      <w:r>
        <w:rPr>
          <w:rFonts w:hint="eastAsia"/>
          <w:sz w:val="24"/>
        </w:rPr>
        <w:t>接口</w:t>
      </w:r>
      <w:r>
        <w:rPr>
          <w:sz w:val="24"/>
        </w:rPr>
        <w:t>，</w:t>
      </w:r>
      <w:r>
        <w:rPr>
          <w:rFonts w:hint="eastAsia"/>
          <w:sz w:val="24"/>
        </w:rPr>
        <w:t>接入时</w:t>
      </w:r>
      <w:r>
        <w:rPr>
          <w:sz w:val="24"/>
        </w:rPr>
        <w:t>明确数据来源、使用范围和授权依据，不得超范围采集和使用。</w:t>
      </w:r>
    </w:p>
    <w:p w14:paraId="7CC7576A">
      <w:pPr>
        <w:spacing w:line="360" w:lineRule="auto"/>
        <w:ind w:firstLine="480" w:firstLineChars="200"/>
        <w:rPr>
          <w:sz w:val="24"/>
        </w:rPr>
      </w:pPr>
      <w:r>
        <w:rPr>
          <w:sz w:val="24"/>
        </w:rPr>
        <w:t>5. 接口字段、返回码、调用频率和容错方式应形成统一规范，便于后续维护。</w:t>
      </w:r>
    </w:p>
    <w:p w14:paraId="107F43E3">
      <w:pPr>
        <w:spacing w:line="360" w:lineRule="auto"/>
        <w:ind w:firstLine="480" w:firstLineChars="200"/>
        <w:rPr>
          <w:b/>
          <w:sz w:val="24"/>
        </w:rPr>
      </w:pPr>
      <w:bookmarkStart w:id="34" w:name="_Toc227712895"/>
      <w:r>
        <w:rPr>
          <w:rFonts w:hint="eastAsia"/>
          <w:b/>
          <w:sz w:val="24"/>
        </w:rPr>
        <w:t>9.4</w:t>
      </w:r>
      <w:r>
        <w:rPr>
          <w:b/>
          <w:sz w:val="24"/>
        </w:rPr>
        <w:t>历史数据处理要求</w:t>
      </w:r>
      <w:bookmarkEnd w:id="34"/>
    </w:p>
    <w:p w14:paraId="52AA873F">
      <w:pPr>
        <w:spacing w:line="360" w:lineRule="auto"/>
        <w:ind w:firstLine="480" w:firstLineChars="200"/>
        <w:rPr>
          <w:sz w:val="24"/>
        </w:rPr>
      </w:pPr>
      <w:r>
        <w:rPr>
          <w:sz w:val="24"/>
        </w:rPr>
        <w:t>历史数据处理应分阶段推进。第一阶段优先整理近年高频项目和重点行业数据，形成可直接用于规则验证和试运行的基础样本；第二阶段再扩大至更长时间范围和更丰富的数据类型。对历史数据中存在的缺失、格式不统一、扫描件质量差等问题，应允许标记数据质量等级，避免把低质量数据直接作为强规则依据。</w:t>
      </w:r>
    </w:p>
    <w:p w14:paraId="576E4D4B">
      <w:pPr>
        <w:spacing w:line="360" w:lineRule="auto"/>
        <w:ind w:firstLine="480" w:firstLineChars="200"/>
        <w:rPr>
          <w:b/>
          <w:sz w:val="24"/>
        </w:rPr>
      </w:pPr>
      <w:bookmarkStart w:id="35" w:name="_Toc227712896"/>
      <w:r>
        <w:rPr>
          <w:rFonts w:hint="eastAsia"/>
          <w:b/>
          <w:sz w:val="24"/>
        </w:rPr>
        <w:t>9.5</w:t>
      </w:r>
      <w:r>
        <w:rPr>
          <w:b/>
          <w:sz w:val="24"/>
        </w:rPr>
        <w:t>数据质量要求</w:t>
      </w:r>
      <w:bookmarkEnd w:id="35"/>
    </w:p>
    <w:p w14:paraId="5A36871D">
      <w:pPr>
        <w:spacing w:line="360" w:lineRule="auto"/>
        <w:ind w:firstLine="480" w:firstLineChars="200"/>
        <w:rPr>
          <w:sz w:val="24"/>
        </w:rPr>
      </w:pPr>
      <w:r>
        <w:rPr>
          <w:sz w:val="24"/>
        </w:rPr>
        <w:t>系统应提供数据质量检查能力，至少对完整性、准确性、一致性、唯一性、时效性进行核查。对严重缺失或明显异常的数据，应在分析和比对结果中予以提示。数据质量检查结果也应纳入运维和日常管理范围，逐步提升数据可用水平。</w:t>
      </w:r>
    </w:p>
    <w:p w14:paraId="7BD4F9EB">
      <w:pPr>
        <w:spacing w:line="360" w:lineRule="auto"/>
        <w:ind w:firstLine="561" w:firstLineChars="200"/>
        <w:rPr>
          <w:b/>
          <w:sz w:val="28"/>
          <w:szCs w:val="28"/>
        </w:rPr>
      </w:pPr>
      <w:bookmarkStart w:id="36" w:name="_Toc227712897"/>
      <w:r>
        <w:rPr>
          <w:rFonts w:hint="eastAsia"/>
          <w:b/>
          <w:sz w:val="28"/>
          <w:szCs w:val="28"/>
        </w:rPr>
        <w:t>10</w:t>
      </w:r>
      <w:r>
        <w:rPr>
          <w:b/>
          <w:sz w:val="28"/>
          <w:szCs w:val="28"/>
        </w:rPr>
        <w:t>.安全、权限与非功能需求</w:t>
      </w:r>
      <w:bookmarkEnd w:id="36"/>
    </w:p>
    <w:p w14:paraId="18EBC450">
      <w:pPr>
        <w:spacing w:line="360" w:lineRule="auto"/>
        <w:ind w:firstLine="480" w:firstLineChars="200"/>
        <w:rPr>
          <w:b/>
          <w:sz w:val="24"/>
        </w:rPr>
      </w:pPr>
      <w:bookmarkStart w:id="37" w:name="_Toc227712898"/>
      <w:r>
        <w:rPr>
          <w:rFonts w:hint="eastAsia"/>
          <w:b/>
          <w:sz w:val="24"/>
        </w:rPr>
        <w:t>10</w:t>
      </w:r>
      <w:r>
        <w:rPr>
          <w:b/>
          <w:sz w:val="24"/>
        </w:rPr>
        <w:t>.1 部署与数据安全要求</w:t>
      </w:r>
      <w:bookmarkEnd w:id="37"/>
    </w:p>
    <w:p w14:paraId="047470B6">
      <w:pPr>
        <w:spacing w:line="360" w:lineRule="auto"/>
        <w:ind w:firstLine="480" w:firstLineChars="200"/>
        <w:rPr>
          <w:sz w:val="24"/>
        </w:rPr>
      </w:pPr>
      <w:r>
        <w:rPr>
          <w:sz w:val="24"/>
        </w:rPr>
        <w:t>本项目涉及投标文件、评标过程、企业信息、专家信息、日志记录等敏感数据，未经许可，相关数据不得传输至外部公共环境，不得用于与本项目无关的用途。</w:t>
      </w:r>
    </w:p>
    <w:p w14:paraId="677291F8">
      <w:pPr>
        <w:spacing w:line="360" w:lineRule="auto"/>
        <w:ind w:firstLine="480" w:firstLineChars="200"/>
        <w:rPr>
          <w:sz w:val="24"/>
        </w:rPr>
      </w:pPr>
      <w:r>
        <w:rPr>
          <w:sz w:val="24"/>
        </w:rPr>
        <w:t>系统应对传输、存储、调用、导出等各环节采取必要的安全措施，确保数据机密性、完整性和可用性。对重点数据应具备加密存储、访问控制、敏感信息脱敏展示和导出审批机制。对外提供任何分析结果时，都应遵循最小必要原则。</w:t>
      </w:r>
    </w:p>
    <w:p w14:paraId="63518832">
      <w:pPr>
        <w:spacing w:line="360" w:lineRule="auto"/>
        <w:ind w:firstLine="480" w:firstLineChars="200"/>
        <w:rPr>
          <w:b/>
          <w:sz w:val="24"/>
        </w:rPr>
      </w:pPr>
      <w:bookmarkStart w:id="38" w:name="_Toc227712899"/>
      <w:r>
        <w:rPr>
          <w:rFonts w:hint="eastAsia"/>
          <w:b/>
          <w:sz w:val="24"/>
        </w:rPr>
        <w:t>10</w:t>
      </w:r>
      <w:r>
        <w:rPr>
          <w:b/>
          <w:sz w:val="24"/>
        </w:rPr>
        <w:t>.2 权限管理要求</w:t>
      </w:r>
      <w:bookmarkEnd w:id="38"/>
    </w:p>
    <w:p w14:paraId="14884775">
      <w:pPr>
        <w:spacing w:line="360" w:lineRule="auto"/>
        <w:ind w:firstLine="480" w:firstLineChars="200"/>
        <w:rPr>
          <w:sz w:val="24"/>
        </w:rPr>
      </w:pPr>
      <w:r>
        <w:rPr>
          <w:sz w:val="24"/>
        </w:rPr>
        <w:t>系统应针对招标人、代理机构、投标人、评标专家、监管人员、系统管理员、运维人员等不同角色配置差异化权限，严格区分各角色的信息可见范围与可执行操作，并支持按项目、标段、功能模块、数据项等更细颗粒度的权限控制。</w:t>
      </w:r>
    </w:p>
    <w:p w14:paraId="59D909F7">
      <w:pPr>
        <w:spacing w:line="360" w:lineRule="auto"/>
        <w:ind w:firstLine="480" w:firstLineChars="200"/>
        <w:rPr>
          <w:b/>
          <w:sz w:val="24"/>
        </w:rPr>
      </w:pPr>
      <w:bookmarkStart w:id="39" w:name="_Toc227712900"/>
      <w:r>
        <w:rPr>
          <w:rFonts w:hint="eastAsia"/>
          <w:b/>
          <w:sz w:val="24"/>
        </w:rPr>
        <w:t>10.3</w:t>
      </w:r>
      <w:r>
        <w:rPr>
          <w:b/>
          <w:sz w:val="24"/>
        </w:rPr>
        <w:t>审计与日志要求</w:t>
      </w:r>
      <w:bookmarkEnd w:id="39"/>
    </w:p>
    <w:p w14:paraId="181D00F1">
      <w:pPr>
        <w:spacing w:line="360" w:lineRule="auto"/>
        <w:ind w:firstLine="480" w:firstLineChars="200"/>
        <w:rPr>
          <w:sz w:val="24"/>
        </w:rPr>
      </w:pPr>
      <w:r>
        <w:rPr>
          <w:sz w:val="24"/>
        </w:rPr>
        <w:t>系统应完整记录用户登录、数据读取、结果查看、人工确认、规则维护、导出下载、接口调用等行为。审计日志应防篡改、可检索、可追踪。对涉及敏感结果查看和导出的行为，应能够进行重点审计。</w:t>
      </w:r>
    </w:p>
    <w:p w14:paraId="0916C699">
      <w:pPr>
        <w:spacing w:line="360" w:lineRule="auto"/>
        <w:ind w:firstLine="480" w:firstLineChars="200"/>
        <w:rPr>
          <w:b/>
          <w:sz w:val="24"/>
        </w:rPr>
      </w:pPr>
      <w:bookmarkStart w:id="40" w:name="_Toc227712901"/>
      <w:r>
        <w:rPr>
          <w:rFonts w:hint="eastAsia"/>
          <w:b/>
          <w:sz w:val="24"/>
        </w:rPr>
        <w:t>10.4</w:t>
      </w:r>
      <w:r>
        <w:rPr>
          <w:b/>
          <w:sz w:val="24"/>
        </w:rPr>
        <w:t>性能与可用性要求</w:t>
      </w:r>
      <w:bookmarkEnd w:id="40"/>
    </w:p>
    <w:p w14:paraId="2C06E62D">
      <w:pPr>
        <w:spacing w:line="360" w:lineRule="auto"/>
        <w:ind w:firstLine="480" w:firstLineChars="200"/>
        <w:rPr>
          <w:sz w:val="24"/>
        </w:rPr>
      </w:pPr>
      <w:r>
        <w:rPr>
          <w:sz w:val="24"/>
        </w:rPr>
        <w:t>系统在正常业务高峰期应保持稳定运行，不得因新增功能影响现有招投标核心流程。对招标文件审查、项目风险摘要生成、客观项比对等常用功能，应控制在可接受的处理时间内，避免用户长时间等待。对批量历史数据治理和复杂分析任务，可采用异步处理方式，但应向用户清晰展示任务状态和完成情况。</w:t>
      </w:r>
    </w:p>
    <w:p w14:paraId="2513E3BA">
      <w:pPr>
        <w:spacing w:line="360" w:lineRule="auto"/>
        <w:ind w:firstLine="480" w:firstLineChars="200"/>
        <w:rPr>
          <w:sz w:val="24"/>
        </w:rPr>
      </w:pPr>
      <w:r>
        <w:rPr>
          <w:sz w:val="24"/>
        </w:rPr>
        <w:t>系统应具备故障告警、任务监控、日志监控、容量监控和备份恢复机制，确保关键业务期间可持续运行。对因数据缺失、识别失败或接口异常导致的结果不完整问题，系统应明确提示原因，不得以空白结果代替正常反馈。</w:t>
      </w:r>
    </w:p>
    <w:p w14:paraId="375B046E">
      <w:pPr>
        <w:spacing w:line="360" w:lineRule="auto"/>
        <w:ind w:firstLine="480" w:firstLineChars="200"/>
        <w:rPr>
          <w:b/>
          <w:sz w:val="24"/>
        </w:rPr>
      </w:pPr>
      <w:bookmarkStart w:id="41" w:name="_Toc227712902"/>
      <w:r>
        <w:rPr>
          <w:rFonts w:hint="eastAsia"/>
          <w:b/>
          <w:sz w:val="24"/>
        </w:rPr>
        <w:t>10.5</w:t>
      </w:r>
      <w:r>
        <w:rPr>
          <w:b/>
          <w:sz w:val="24"/>
        </w:rPr>
        <w:t>可解释性与使用边界要求</w:t>
      </w:r>
      <w:bookmarkEnd w:id="41"/>
    </w:p>
    <w:p w14:paraId="3632514F">
      <w:pPr>
        <w:spacing w:line="360" w:lineRule="auto"/>
        <w:ind w:firstLine="480" w:firstLineChars="200"/>
        <w:rPr>
          <w:sz w:val="24"/>
        </w:rPr>
      </w:pPr>
      <w:r>
        <w:rPr>
          <w:sz w:val="24"/>
        </w:rPr>
        <w:t>为保证系统结果可用可信，所有审查、比对和识别结果都应具备可解释性。系统应尽量展示原文依据、命中规则、比对对象、数据来源和处理时间。对结果不确定、材料不足、图像质量差、字段缺失等情况，应</w:t>
      </w:r>
      <w:r>
        <w:rPr>
          <w:rFonts w:hint="eastAsia"/>
          <w:sz w:val="24"/>
        </w:rPr>
        <w:t>进行</w:t>
      </w:r>
      <w:r>
        <w:rPr>
          <w:sz w:val="24"/>
        </w:rPr>
        <w:t>明显提示。</w:t>
      </w:r>
    </w:p>
    <w:p w14:paraId="6A7E3212">
      <w:pPr>
        <w:spacing w:line="360" w:lineRule="auto"/>
        <w:ind w:firstLine="480" w:firstLineChars="200"/>
        <w:rPr>
          <w:sz w:val="24"/>
        </w:rPr>
      </w:pPr>
      <w:r>
        <w:rPr>
          <w:sz w:val="24"/>
        </w:rPr>
        <w:t>系统设计和页面展示应尽量使用业务部门能够理解的语言，避免大量使用晦涩的技术术语。问题分类、提示内容、统计口径、报告模板应与现行政务文书和招投标审查表述保持一致，便于直接纳入日常工作。</w:t>
      </w:r>
    </w:p>
    <w:p w14:paraId="12A96CBB">
      <w:pPr>
        <w:spacing w:line="360" w:lineRule="auto"/>
        <w:ind w:firstLine="561" w:firstLineChars="200"/>
        <w:rPr>
          <w:b/>
          <w:sz w:val="28"/>
          <w:szCs w:val="28"/>
        </w:rPr>
      </w:pPr>
      <w:bookmarkStart w:id="42" w:name="_Toc227712903"/>
      <w:r>
        <w:rPr>
          <w:rFonts w:hint="eastAsia"/>
          <w:b/>
          <w:sz w:val="28"/>
          <w:szCs w:val="28"/>
        </w:rPr>
        <w:t>11</w:t>
      </w:r>
      <w:r>
        <w:rPr>
          <w:b/>
          <w:sz w:val="28"/>
          <w:szCs w:val="28"/>
        </w:rPr>
        <w:t>. 实施安排、运行保障与验收</w:t>
      </w:r>
      <w:bookmarkEnd w:id="42"/>
    </w:p>
    <w:p w14:paraId="59C6B40B">
      <w:pPr>
        <w:spacing w:line="360" w:lineRule="auto"/>
        <w:ind w:firstLine="480" w:firstLineChars="200"/>
        <w:rPr>
          <w:b/>
          <w:sz w:val="24"/>
        </w:rPr>
      </w:pPr>
      <w:bookmarkStart w:id="43" w:name="_Toc227712904"/>
      <w:r>
        <w:rPr>
          <w:rFonts w:hint="eastAsia"/>
          <w:b/>
          <w:sz w:val="24"/>
        </w:rPr>
        <w:t>11.1</w:t>
      </w:r>
      <w:r>
        <w:rPr>
          <w:b/>
          <w:sz w:val="24"/>
        </w:rPr>
        <w:t>实施安排</w:t>
      </w:r>
      <w:bookmarkEnd w:id="43"/>
    </w:p>
    <w:p w14:paraId="6C69078D">
      <w:pPr>
        <w:spacing w:line="360" w:lineRule="auto"/>
        <w:ind w:firstLine="480" w:firstLineChars="200"/>
        <w:rPr>
          <w:sz w:val="24"/>
        </w:rPr>
      </w:pPr>
      <w:r>
        <w:rPr>
          <w:sz w:val="24"/>
        </w:rPr>
        <w:t>项目实施建议分三个阶段推进。</w:t>
      </w:r>
    </w:p>
    <w:p w14:paraId="65B8CC87">
      <w:pPr>
        <w:spacing w:line="360" w:lineRule="auto"/>
        <w:ind w:firstLine="480" w:firstLineChars="200"/>
        <w:rPr>
          <w:sz w:val="24"/>
        </w:rPr>
      </w:pPr>
      <w:r>
        <w:rPr>
          <w:sz w:val="24"/>
        </w:rPr>
        <w:t>第一阶段为需求细化与规则梳理阶段。重点完成业务流程梳理、规则来源整理、问题分类统一、接口边界确认、历史样本抽取和试点项目选取。该阶段的关键成果，应包括统一问题分类表、统一规则目录、统一审查报告模板、统一线索清单模板和试点范围说明。</w:t>
      </w:r>
    </w:p>
    <w:p w14:paraId="3AAC057C">
      <w:pPr>
        <w:spacing w:line="360" w:lineRule="auto"/>
        <w:ind w:firstLine="480" w:firstLineChars="200"/>
        <w:rPr>
          <w:sz w:val="24"/>
        </w:rPr>
      </w:pPr>
      <w:r>
        <w:rPr>
          <w:sz w:val="24"/>
        </w:rPr>
        <w:t>第二阶段为核心功能建设与联调试运行阶段。重点完成招标文件审查、围串标线索识别、辅助评标、规则维护、统计分析等核心功能建设，并与现有业务系统联调。在试运行期间，应选取具有代表性的项目开展验证，重点观察规则命中准确性、页面操作效率、结果可解释性和用户接受程度。</w:t>
      </w:r>
    </w:p>
    <w:p w14:paraId="2F8AEECA">
      <w:pPr>
        <w:spacing w:line="360" w:lineRule="auto"/>
        <w:ind w:firstLine="480" w:firstLineChars="200"/>
        <w:rPr>
          <w:sz w:val="24"/>
        </w:rPr>
      </w:pPr>
      <w:r>
        <w:rPr>
          <w:sz w:val="24"/>
        </w:rPr>
        <w:t>第三阶段为优化完善与推广应用阶段。根据试运行反馈，对规则、提示文案、结果展示和权限配置进行调整，补充重点行业规则和典型案例，完善培训材料和运维手册，逐步扩大应用范围。</w:t>
      </w:r>
    </w:p>
    <w:p w14:paraId="2408404E">
      <w:pPr>
        <w:spacing w:line="360" w:lineRule="auto"/>
        <w:ind w:firstLine="480" w:firstLineChars="200"/>
        <w:rPr>
          <w:b/>
          <w:sz w:val="24"/>
        </w:rPr>
      </w:pPr>
      <w:bookmarkStart w:id="44" w:name="_Toc227712905"/>
      <w:r>
        <w:rPr>
          <w:rFonts w:hint="eastAsia"/>
          <w:b/>
          <w:sz w:val="24"/>
        </w:rPr>
        <w:t>11</w:t>
      </w:r>
      <w:r>
        <w:rPr>
          <w:b/>
          <w:sz w:val="24"/>
        </w:rPr>
        <w:t>.2 运行保障要求</w:t>
      </w:r>
      <w:bookmarkEnd w:id="44"/>
    </w:p>
    <w:p w14:paraId="1A40865C">
      <w:pPr>
        <w:spacing w:line="360" w:lineRule="auto"/>
        <w:ind w:firstLine="480" w:firstLineChars="200"/>
        <w:rPr>
          <w:sz w:val="24"/>
        </w:rPr>
      </w:pPr>
      <w:r>
        <w:rPr>
          <w:sz w:val="24"/>
        </w:rPr>
        <w:t>项目上线后，技术团队负责系统运行、接口维护、性能优化和问题修复；规则维护人员负责法规变更跟踪、问题分类调整和案例整理。</w:t>
      </w:r>
    </w:p>
    <w:p w14:paraId="16ECCF6E">
      <w:pPr>
        <w:spacing w:line="360" w:lineRule="auto"/>
        <w:ind w:firstLine="480" w:firstLineChars="200"/>
        <w:rPr>
          <w:sz w:val="24"/>
        </w:rPr>
      </w:pPr>
      <w:r>
        <w:rPr>
          <w:sz w:val="24"/>
        </w:rPr>
        <w:t>对政策更新、业务规则变化、重点问题整治等情况，应建立常态化更新机制。特别是对招标文件审查规则和围串标识别规则，应根据新出台政策、真实核查案例和投诉争议焦点进行持续修订，避免系统长期使用过时规则。</w:t>
      </w:r>
    </w:p>
    <w:p w14:paraId="4AE5DD2B">
      <w:pPr>
        <w:spacing w:line="360" w:lineRule="auto"/>
        <w:ind w:firstLine="480" w:firstLineChars="200"/>
        <w:rPr>
          <w:b/>
          <w:sz w:val="24"/>
        </w:rPr>
      </w:pPr>
      <w:bookmarkStart w:id="45" w:name="_Toc227712906"/>
      <w:r>
        <w:rPr>
          <w:rFonts w:hint="eastAsia"/>
          <w:b/>
          <w:sz w:val="24"/>
        </w:rPr>
        <w:t>11.3</w:t>
      </w:r>
      <w:r>
        <w:rPr>
          <w:b/>
          <w:sz w:val="24"/>
        </w:rPr>
        <w:t>培训与使用保障要求</w:t>
      </w:r>
      <w:bookmarkEnd w:id="45"/>
    </w:p>
    <w:p w14:paraId="661585BE">
      <w:pPr>
        <w:spacing w:line="360" w:lineRule="auto"/>
        <w:ind w:firstLine="480" w:firstLineChars="200"/>
        <w:rPr>
          <w:sz w:val="24"/>
        </w:rPr>
      </w:pPr>
      <w:r>
        <w:rPr>
          <w:sz w:val="24"/>
        </w:rPr>
        <w:t>系统建设完成后，应分别面向招标人、代理机构、评标专家、监管人员和运维人员开展有针对性的培训。培训内容应突出业务操作、提示理解、结果处理、留痕要求和常见问题。培训材料应包含真实业务示例、操作步骤、问题处理说明和使用边界提醒。</w:t>
      </w:r>
    </w:p>
    <w:p w14:paraId="52DE9EAF">
      <w:pPr>
        <w:spacing w:line="360" w:lineRule="auto"/>
        <w:ind w:firstLine="480" w:firstLineChars="200"/>
        <w:rPr>
          <w:b/>
          <w:sz w:val="24"/>
        </w:rPr>
      </w:pPr>
      <w:bookmarkStart w:id="46" w:name="_Toc227712907"/>
      <w:bookmarkStart w:id="47" w:name="OLE_LINK1"/>
      <w:r>
        <w:rPr>
          <w:rFonts w:hint="eastAsia"/>
          <w:b/>
          <w:sz w:val="24"/>
        </w:rPr>
        <w:t>11.4</w:t>
      </w:r>
      <w:r>
        <w:rPr>
          <w:b/>
          <w:sz w:val="24"/>
        </w:rPr>
        <w:t xml:space="preserve"> 验收</w:t>
      </w:r>
      <w:bookmarkEnd w:id="46"/>
    </w:p>
    <w:p w14:paraId="2452D334">
      <w:pPr>
        <w:spacing w:line="360" w:lineRule="auto"/>
        <w:ind w:firstLine="480" w:firstLineChars="200"/>
        <w:rPr>
          <w:sz w:val="24"/>
        </w:rPr>
      </w:pPr>
      <w:r>
        <w:rPr>
          <w:rFonts w:hint="eastAsia"/>
          <w:sz w:val="24"/>
        </w:rPr>
        <w:t>（1）投标人应承诺在合同规定时间内完成开发测试并正式上线运行，相关功能符合采购人实际使用需要，项目文档齐全规范，满足合同和采购文件中提出的全部要求。</w:t>
      </w:r>
    </w:p>
    <w:p w14:paraId="15C4B621">
      <w:pPr>
        <w:spacing w:line="360" w:lineRule="auto"/>
        <w:ind w:firstLine="480" w:firstLineChars="200"/>
        <w:rPr>
          <w:sz w:val="24"/>
        </w:rPr>
      </w:pPr>
      <w:r>
        <w:rPr>
          <w:rFonts w:hint="eastAsia"/>
          <w:sz w:val="24"/>
        </w:rPr>
        <w:t>（2）提供测试报告。</w:t>
      </w:r>
      <w:bookmarkStart w:id="48" w:name="OLE_LINK7"/>
      <w:bookmarkStart w:id="49" w:name="OLE_LINK6"/>
      <w:r>
        <w:rPr>
          <w:rFonts w:hint="eastAsia"/>
          <w:sz w:val="24"/>
        </w:rPr>
        <w:t>需提供第三方机构出具的测试报告，涵盖功能测试、性能测试、安全测试、集成测试等内容。</w:t>
      </w:r>
      <w:bookmarkEnd w:id="48"/>
      <w:bookmarkEnd w:id="49"/>
    </w:p>
    <w:bookmarkEnd w:id="47"/>
    <w:p w14:paraId="6BDD3DDC">
      <w:pPr>
        <w:spacing w:line="360" w:lineRule="auto"/>
        <w:ind w:firstLine="561" w:firstLineChars="200"/>
        <w:rPr>
          <w:b/>
          <w:sz w:val="28"/>
          <w:szCs w:val="28"/>
        </w:rPr>
      </w:pPr>
      <w:r>
        <w:rPr>
          <w:rFonts w:hint="eastAsia"/>
          <w:b/>
          <w:sz w:val="28"/>
          <w:szCs w:val="28"/>
        </w:rPr>
        <w:t>12.</w:t>
      </w:r>
      <w:r>
        <w:rPr>
          <w:b/>
          <w:sz w:val="28"/>
          <w:szCs w:val="28"/>
        </w:rPr>
        <w:t>投入人员要求</w:t>
      </w:r>
    </w:p>
    <w:tbl>
      <w:tblPr>
        <w:tblStyle w:val="36"/>
        <w:tblW w:w="107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7"/>
        <w:gridCol w:w="1423"/>
        <w:gridCol w:w="855"/>
        <w:gridCol w:w="2429"/>
        <w:gridCol w:w="4419"/>
        <w:gridCol w:w="998"/>
      </w:tblGrid>
      <w:tr w14:paraId="065EB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7" w:type="dxa"/>
            <w:vAlign w:val="center"/>
          </w:tcPr>
          <w:p w14:paraId="3F46177F">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序号</w:t>
            </w:r>
          </w:p>
        </w:tc>
        <w:tc>
          <w:tcPr>
            <w:tcW w:w="1423" w:type="dxa"/>
            <w:vAlign w:val="center"/>
          </w:tcPr>
          <w:p w14:paraId="5439146C">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岗位名称</w:t>
            </w:r>
          </w:p>
        </w:tc>
        <w:tc>
          <w:tcPr>
            <w:tcW w:w="855" w:type="dxa"/>
            <w:vAlign w:val="center"/>
          </w:tcPr>
          <w:p w14:paraId="6621215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人数</w:t>
            </w:r>
          </w:p>
        </w:tc>
        <w:tc>
          <w:tcPr>
            <w:tcW w:w="2429" w:type="dxa"/>
            <w:vAlign w:val="center"/>
          </w:tcPr>
          <w:p w14:paraId="319E6082">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要求</w:t>
            </w:r>
          </w:p>
        </w:tc>
        <w:tc>
          <w:tcPr>
            <w:tcW w:w="4419" w:type="dxa"/>
            <w:vAlign w:val="center"/>
          </w:tcPr>
          <w:p w14:paraId="2CE0B69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工作职责</w:t>
            </w:r>
          </w:p>
        </w:tc>
        <w:tc>
          <w:tcPr>
            <w:tcW w:w="998" w:type="dxa"/>
          </w:tcPr>
          <w:p w14:paraId="4A42149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是否驻场服务</w:t>
            </w:r>
          </w:p>
        </w:tc>
      </w:tr>
      <w:tr w14:paraId="3735E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7" w:type="dxa"/>
            <w:vAlign w:val="center"/>
          </w:tcPr>
          <w:p w14:paraId="598296F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1423" w:type="dxa"/>
            <w:vAlign w:val="center"/>
          </w:tcPr>
          <w:p w14:paraId="21A9019D">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项目负责人</w:t>
            </w:r>
          </w:p>
        </w:tc>
        <w:tc>
          <w:tcPr>
            <w:tcW w:w="855" w:type="dxa"/>
            <w:vAlign w:val="center"/>
          </w:tcPr>
          <w:p w14:paraId="4D608EFE">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2429" w:type="dxa"/>
            <w:vAlign w:val="center"/>
          </w:tcPr>
          <w:p w14:paraId="1621B8C7">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本科（或以上）学历、信息技术相关专业高级（或以上）职称</w:t>
            </w:r>
          </w:p>
        </w:tc>
        <w:tc>
          <w:tcPr>
            <w:tcW w:w="4419" w:type="dxa"/>
            <w:vAlign w:val="center"/>
          </w:tcPr>
          <w:p w14:paraId="5EAFF6E5">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负责项目整体规划与组织实施，把控项目进度、质量与风险；协调各方工作，并组织评审汇报。</w:t>
            </w:r>
          </w:p>
        </w:tc>
        <w:tc>
          <w:tcPr>
            <w:tcW w:w="998" w:type="dxa"/>
            <w:vAlign w:val="center"/>
          </w:tcPr>
          <w:p w14:paraId="1416A2F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1D0A8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3" w:hRule="atLeast"/>
          <w:jc w:val="center"/>
        </w:trPr>
        <w:tc>
          <w:tcPr>
            <w:tcW w:w="617" w:type="dxa"/>
            <w:vAlign w:val="center"/>
          </w:tcPr>
          <w:p w14:paraId="79B8204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2</w:t>
            </w:r>
          </w:p>
        </w:tc>
        <w:tc>
          <w:tcPr>
            <w:tcW w:w="1423" w:type="dxa"/>
            <w:vAlign w:val="center"/>
          </w:tcPr>
          <w:p w14:paraId="0D0637E8">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业务需求工程师</w:t>
            </w:r>
          </w:p>
        </w:tc>
        <w:tc>
          <w:tcPr>
            <w:tcW w:w="855" w:type="dxa"/>
            <w:vAlign w:val="center"/>
          </w:tcPr>
          <w:p w14:paraId="5229FBA8">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2429" w:type="dxa"/>
            <w:vAlign w:val="center"/>
          </w:tcPr>
          <w:p w14:paraId="7DA4FE6A">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本科学历</w:t>
            </w:r>
          </w:p>
        </w:tc>
        <w:tc>
          <w:tcPr>
            <w:tcW w:w="4419" w:type="dxa"/>
            <w:vAlign w:val="center"/>
          </w:tcPr>
          <w:p w14:paraId="2898114C">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负责业务调研，梳理各环节业务规则，按实际业务编制人工智能应用场景需求，对接交易中心业务专家，完成需求规格说明书及原型设计。</w:t>
            </w:r>
          </w:p>
        </w:tc>
        <w:tc>
          <w:tcPr>
            <w:tcW w:w="998" w:type="dxa"/>
            <w:vAlign w:val="center"/>
          </w:tcPr>
          <w:p w14:paraId="5DC964B7">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0791D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7" w:type="dxa"/>
            <w:vAlign w:val="center"/>
          </w:tcPr>
          <w:p w14:paraId="31AE565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3</w:t>
            </w:r>
          </w:p>
        </w:tc>
        <w:tc>
          <w:tcPr>
            <w:tcW w:w="1423" w:type="dxa"/>
            <w:vAlign w:val="center"/>
          </w:tcPr>
          <w:p w14:paraId="5EC63BAE">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实施负责人</w:t>
            </w:r>
          </w:p>
        </w:tc>
        <w:tc>
          <w:tcPr>
            <w:tcW w:w="855" w:type="dxa"/>
            <w:vAlign w:val="center"/>
          </w:tcPr>
          <w:p w14:paraId="5754A2F0">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2429" w:type="dxa"/>
            <w:vAlign w:val="center"/>
          </w:tcPr>
          <w:p w14:paraId="008A0A15">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软件工程相关专业本科（或以上）学历、计算机技术与软件专业技术资格证书（中级软件评测师）</w:t>
            </w:r>
          </w:p>
        </w:tc>
        <w:tc>
          <w:tcPr>
            <w:tcW w:w="4419" w:type="dxa"/>
            <w:vAlign w:val="center"/>
          </w:tcPr>
          <w:p w14:paraId="316D2227">
            <w:pPr>
              <w:pStyle w:val="26"/>
              <w:rPr>
                <w:sz w:val="24"/>
                <w:szCs w:val="24"/>
              </w:rPr>
            </w:pPr>
            <w:r>
              <w:rPr>
                <w:rFonts w:hint="eastAsia" w:asciiTheme="minorEastAsia" w:hAnsiTheme="minorEastAsia" w:eastAsiaTheme="minorEastAsia" w:cstheme="minorEastAsia"/>
                <w:sz w:val="24"/>
                <w:szCs w:val="24"/>
                <w14:ligatures w14:val="none"/>
              </w:rPr>
              <w:t>负责协调系统的集成实施；制定数据归集、接口联调及系统对接方案；组织项目评测、用户验收测试（UAT）及质量监督；管控实施风险。</w:t>
            </w:r>
          </w:p>
        </w:tc>
        <w:tc>
          <w:tcPr>
            <w:tcW w:w="998" w:type="dxa"/>
            <w:vAlign w:val="center"/>
          </w:tcPr>
          <w:p w14:paraId="32DC3DD9">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0E1F1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9" w:hRule="atLeast"/>
          <w:jc w:val="center"/>
        </w:trPr>
        <w:tc>
          <w:tcPr>
            <w:tcW w:w="617" w:type="dxa"/>
            <w:shd w:val="clear" w:color="auto" w:fill="auto"/>
            <w:vAlign w:val="center"/>
          </w:tcPr>
          <w:p w14:paraId="48DE3E3F">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4</w:t>
            </w:r>
          </w:p>
        </w:tc>
        <w:tc>
          <w:tcPr>
            <w:tcW w:w="1423" w:type="dxa"/>
            <w:shd w:val="clear" w:color="auto" w:fill="auto"/>
            <w:vAlign w:val="center"/>
          </w:tcPr>
          <w:p w14:paraId="33EE3F7C">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开发负责人</w:t>
            </w:r>
          </w:p>
        </w:tc>
        <w:tc>
          <w:tcPr>
            <w:tcW w:w="855" w:type="dxa"/>
            <w:shd w:val="clear" w:color="auto" w:fill="auto"/>
            <w:vAlign w:val="center"/>
          </w:tcPr>
          <w:p w14:paraId="79BF8AFE">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2429" w:type="dxa"/>
            <w:shd w:val="clear" w:color="auto" w:fill="auto"/>
            <w:vAlign w:val="center"/>
          </w:tcPr>
          <w:p w14:paraId="0083A8BD">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软件工程相关专业本科（或以上）学历、计算机技术与软件专业技术资格证书（中级软件设计师））</w:t>
            </w:r>
          </w:p>
        </w:tc>
        <w:tc>
          <w:tcPr>
            <w:tcW w:w="4419" w:type="dxa"/>
            <w:shd w:val="clear" w:color="auto" w:fill="auto"/>
            <w:vAlign w:val="center"/>
          </w:tcPr>
          <w:p w14:paraId="5F0BA0BE">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负责项目技术架构设计，制定开发规范与接口标准，分配前后端、算法集成开发任务；监督代码质量、技术债务及开发结果验收。</w:t>
            </w:r>
          </w:p>
        </w:tc>
        <w:tc>
          <w:tcPr>
            <w:tcW w:w="998" w:type="dxa"/>
            <w:shd w:val="clear" w:color="auto" w:fill="auto"/>
            <w:vAlign w:val="center"/>
          </w:tcPr>
          <w:p w14:paraId="397FADFA">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65B5F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617" w:type="dxa"/>
            <w:vAlign w:val="center"/>
          </w:tcPr>
          <w:p w14:paraId="56229E00">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5</w:t>
            </w:r>
          </w:p>
        </w:tc>
        <w:tc>
          <w:tcPr>
            <w:tcW w:w="1423" w:type="dxa"/>
            <w:vAlign w:val="center"/>
          </w:tcPr>
          <w:p w14:paraId="0FB1BA3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开发工程师</w:t>
            </w:r>
          </w:p>
        </w:tc>
        <w:tc>
          <w:tcPr>
            <w:tcW w:w="855" w:type="dxa"/>
            <w:vAlign w:val="center"/>
          </w:tcPr>
          <w:p w14:paraId="5AA34A8F">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4</w:t>
            </w:r>
          </w:p>
        </w:tc>
        <w:tc>
          <w:tcPr>
            <w:tcW w:w="2429" w:type="dxa"/>
            <w:vAlign w:val="center"/>
          </w:tcPr>
          <w:p w14:paraId="3D02F7C1">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本科学历</w:t>
            </w:r>
          </w:p>
        </w:tc>
        <w:tc>
          <w:tcPr>
            <w:tcW w:w="4419" w:type="dxa"/>
            <w:vAlign w:val="center"/>
          </w:tcPr>
          <w:p w14:paraId="29A63E04">
            <w:pPr>
              <w:adjustRightInd w:val="0"/>
              <w:snapToGrid w:val="0"/>
              <w:jc w:val="left"/>
              <w:rPr>
                <w:sz w:val="24"/>
              </w:rPr>
            </w:pPr>
            <w:r>
              <w:rPr>
                <w:rFonts w:hint="eastAsia" w:asciiTheme="minorEastAsia" w:hAnsiTheme="minorEastAsia" w:cstheme="minorEastAsia"/>
                <w:sz w:val="24"/>
              </w:rPr>
              <w:t>负责系统开发、接口开发、前端交互开发；编写技术文档，保障系统可扩展性与高可用性。</w:t>
            </w:r>
          </w:p>
        </w:tc>
        <w:tc>
          <w:tcPr>
            <w:tcW w:w="998" w:type="dxa"/>
            <w:vAlign w:val="center"/>
          </w:tcPr>
          <w:p w14:paraId="0F46F8D3">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74EBE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617" w:type="dxa"/>
            <w:vAlign w:val="center"/>
          </w:tcPr>
          <w:p w14:paraId="2D800FD4">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6</w:t>
            </w:r>
          </w:p>
        </w:tc>
        <w:tc>
          <w:tcPr>
            <w:tcW w:w="1423" w:type="dxa"/>
            <w:vAlign w:val="center"/>
          </w:tcPr>
          <w:p w14:paraId="2D98ADC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测试工程师</w:t>
            </w:r>
          </w:p>
        </w:tc>
        <w:tc>
          <w:tcPr>
            <w:tcW w:w="855" w:type="dxa"/>
            <w:vAlign w:val="center"/>
          </w:tcPr>
          <w:p w14:paraId="1AD8FDD4">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4</w:t>
            </w:r>
          </w:p>
        </w:tc>
        <w:tc>
          <w:tcPr>
            <w:tcW w:w="2429" w:type="dxa"/>
            <w:vAlign w:val="center"/>
          </w:tcPr>
          <w:p w14:paraId="0DEB4473">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本科学历</w:t>
            </w:r>
          </w:p>
        </w:tc>
        <w:tc>
          <w:tcPr>
            <w:tcW w:w="4419" w:type="dxa"/>
            <w:vAlign w:val="center"/>
          </w:tcPr>
          <w:p w14:paraId="0D51DBCB">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负责功能测试、性能测试、接口测试、总集成测试</w:t>
            </w:r>
          </w:p>
        </w:tc>
        <w:tc>
          <w:tcPr>
            <w:tcW w:w="998" w:type="dxa"/>
            <w:vAlign w:val="center"/>
          </w:tcPr>
          <w:p w14:paraId="52C3D1D1">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39EC5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617" w:type="dxa"/>
            <w:vAlign w:val="center"/>
          </w:tcPr>
          <w:p w14:paraId="2EAA090D">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7</w:t>
            </w:r>
          </w:p>
        </w:tc>
        <w:tc>
          <w:tcPr>
            <w:tcW w:w="1423" w:type="dxa"/>
            <w:vAlign w:val="center"/>
          </w:tcPr>
          <w:p w14:paraId="55871433">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数据整理工程师</w:t>
            </w:r>
          </w:p>
        </w:tc>
        <w:tc>
          <w:tcPr>
            <w:tcW w:w="855" w:type="dxa"/>
            <w:vAlign w:val="center"/>
          </w:tcPr>
          <w:p w14:paraId="484C6CEE">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2</w:t>
            </w:r>
          </w:p>
        </w:tc>
        <w:tc>
          <w:tcPr>
            <w:tcW w:w="2429" w:type="dxa"/>
            <w:vAlign w:val="center"/>
          </w:tcPr>
          <w:p w14:paraId="144B2E72">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本科学历</w:t>
            </w:r>
          </w:p>
        </w:tc>
        <w:tc>
          <w:tcPr>
            <w:tcW w:w="4419" w:type="dxa"/>
            <w:vAlign w:val="center"/>
          </w:tcPr>
          <w:p w14:paraId="56BFD4BE">
            <w:pPr>
              <w:adjustRightInd w:val="0"/>
              <w:snapToGrid w:val="0"/>
              <w:jc w:val="left"/>
              <w:rPr>
                <w:rFonts w:asciiTheme="minorEastAsia" w:hAnsiTheme="minorEastAsia" w:cstheme="minorEastAsia"/>
                <w:sz w:val="24"/>
              </w:rPr>
            </w:pPr>
            <w:r>
              <w:rPr>
                <w:rFonts w:ascii="Segoe UI" w:hAnsi="Segoe UI" w:eastAsia="Segoe UI" w:cs="Segoe UI"/>
                <w:color w:val="060A26"/>
                <w:sz w:val="24"/>
                <w:shd w:val="clear" w:color="auto" w:fill="FFFFFF"/>
              </w:rPr>
              <w:t>负责工程招投标领域多源异构数据的采集、清洗与标准化处理，构建高质量的行业法规及业务知识库。</w:t>
            </w:r>
          </w:p>
        </w:tc>
        <w:tc>
          <w:tcPr>
            <w:tcW w:w="998" w:type="dxa"/>
            <w:vAlign w:val="center"/>
          </w:tcPr>
          <w:p w14:paraId="566CECD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r w14:paraId="111D6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617" w:type="dxa"/>
            <w:vAlign w:val="center"/>
          </w:tcPr>
          <w:p w14:paraId="0B824DB6">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8</w:t>
            </w:r>
          </w:p>
        </w:tc>
        <w:tc>
          <w:tcPr>
            <w:tcW w:w="1423" w:type="dxa"/>
            <w:vAlign w:val="center"/>
          </w:tcPr>
          <w:p w14:paraId="26397CFB">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运维工程师</w:t>
            </w:r>
          </w:p>
        </w:tc>
        <w:tc>
          <w:tcPr>
            <w:tcW w:w="855" w:type="dxa"/>
            <w:vAlign w:val="center"/>
          </w:tcPr>
          <w:p w14:paraId="62124B93">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1</w:t>
            </w:r>
          </w:p>
        </w:tc>
        <w:tc>
          <w:tcPr>
            <w:tcW w:w="2429" w:type="dxa"/>
            <w:vAlign w:val="center"/>
          </w:tcPr>
          <w:p w14:paraId="03D99065">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网络工程相关专业本科（或 以上）学历</w:t>
            </w:r>
          </w:p>
        </w:tc>
        <w:tc>
          <w:tcPr>
            <w:tcW w:w="4419" w:type="dxa"/>
            <w:vAlign w:val="center"/>
          </w:tcPr>
          <w:p w14:paraId="3532149A">
            <w:pPr>
              <w:adjustRightInd w:val="0"/>
              <w:snapToGrid w:val="0"/>
              <w:jc w:val="left"/>
              <w:rPr>
                <w:rFonts w:asciiTheme="minorEastAsia" w:hAnsiTheme="minorEastAsia" w:cstheme="minorEastAsia"/>
                <w:sz w:val="24"/>
              </w:rPr>
            </w:pPr>
            <w:r>
              <w:rPr>
                <w:rFonts w:hint="eastAsia" w:asciiTheme="minorEastAsia" w:hAnsiTheme="minorEastAsia" w:cstheme="minorEastAsia"/>
                <w:sz w:val="24"/>
              </w:rPr>
              <w:t>系统部署、数据迁移、系统巡检、运行维护</w:t>
            </w:r>
          </w:p>
        </w:tc>
        <w:tc>
          <w:tcPr>
            <w:tcW w:w="998" w:type="dxa"/>
            <w:vAlign w:val="center"/>
          </w:tcPr>
          <w:p w14:paraId="63CB32C5">
            <w:pPr>
              <w:adjustRightInd w:val="0"/>
              <w:snapToGrid w:val="0"/>
              <w:jc w:val="center"/>
              <w:rPr>
                <w:rFonts w:asciiTheme="minorEastAsia" w:hAnsiTheme="minorEastAsia" w:cstheme="minorEastAsia"/>
                <w:sz w:val="24"/>
              </w:rPr>
            </w:pPr>
            <w:r>
              <w:rPr>
                <w:rFonts w:hint="eastAsia" w:asciiTheme="minorEastAsia" w:hAnsiTheme="minorEastAsia" w:cstheme="minorEastAsia"/>
                <w:sz w:val="24"/>
              </w:rPr>
              <w:t>否</w:t>
            </w:r>
          </w:p>
        </w:tc>
      </w:tr>
    </w:tbl>
    <w:p w14:paraId="37E2932C">
      <w:pPr>
        <w:spacing w:line="360" w:lineRule="auto"/>
        <w:ind w:firstLine="480" w:firstLineChars="200"/>
        <w:rPr>
          <w:b/>
          <w:sz w:val="24"/>
        </w:rPr>
      </w:pPr>
      <w:r>
        <w:rPr>
          <w:rFonts w:hint="eastAsia"/>
          <w:b/>
          <w:sz w:val="24"/>
        </w:rPr>
        <w:t>八</w:t>
      </w:r>
      <w:r>
        <w:rPr>
          <w:b/>
          <w:sz w:val="24"/>
        </w:rPr>
        <w:t>、其他要求</w:t>
      </w:r>
    </w:p>
    <w:p w14:paraId="2986AFC8">
      <w:pPr>
        <w:spacing w:line="360" w:lineRule="auto"/>
        <w:ind w:firstLine="480" w:firstLineChars="200"/>
      </w:pPr>
      <w:r>
        <w:rPr>
          <w:rFonts w:hint="eastAsia"/>
          <w:sz w:val="24"/>
        </w:rPr>
        <w:t>除上述内容以外，供应商还需要配合采购人完成对系统的安全评估以及在网信部门履行登记程序等工作。</w:t>
      </w:r>
    </w:p>
    <w:p w14:paraId="12688D52">
      <w:pPr>
        <w:widowControl/>
        <w:ind w:firstLine="480" w:firstLineChars="200"/>
        <w:jc w:val="left"/>
        <w:rPr>
          <w:bCs/>
          <w:sz w:val="24"/>
        </w:rPr>
      </w:pPr>
    </w:p>
    <w:p w14:paraId="506DB6C2">
      <w:pPr>
        <w:widowControl/>
        <w:ind w:firstLine="480" w:firstLineChars="200"/>
        <w:jc w:val="left"/>
        <w:rPr>
          <w:bCs/>
          <w:sz w:val="24"/>
        </w:rPr>
      </w:pPr>
    </w:p>
    <w:p w14:paraId="7EF078CC">
      <w:pPr>
        <w:widowControl/>
        <w:ind w:firstLine="480" w:firstLineChars="200"/>
        <w:jc w:val="left"/>
        <w:rPr>
          <w:bCs/>
          <w:sz w:val="24"/>
        </w:rPr>
      </w:pPr>
    </w:p>
    <w:p w14:paraId="7451C020">
      <w:pPr>
        <w:widowControl/>
        <w:ind w:firstLine="480" w:firstLineChars="200"/>
        <w:jc w:val="left"/>
        <w:rPr>
          <w:bCs/>
          <w:sz w:val="24"/>
        </w:rPr>
      </w:pPr>
    </w:p>
    <w:p w14:paraId="60F59682">
      <w:pPr>
        <w:widowControl/>
        <w:jc w:val="left"/>
        <w:rPr>
          <w:rFonts w:ascii="宋体" w:hAnsi="宋体"/>
          <w:sz w:val="24"/>
        </w:rPr>
      </w:pPr>
    </w:p>
    <w:p w14:paraId="687DFC84">
      <w:pPr>
        <w:widowControl/>
        <w:jc w:val="left"/>
        <w:rPr>
          <w:sz w:val="24"/>
        </w:rPr>
      </w:pPr>
      <w:r>
        <w:rPr>
          <w:sz w:val="24"/>
        </w:rPr>
        <w:br w:type="page"/>
      </w:r>
    </w:p>
    <w:p w14:paraId="1A6341F2">
      <w:pPr>
        <w:autoSpaceDE w:val="0"/>
        <w:autoSpaceDN w:val="0"/>
        <w:adjustRightInd w:val="0"/>
        <w:spacing w:line="360" w:lineRule="auto"/>
        <w:jc w:val="center"/>
        <w:rPr>
          <w:sz w:val="24"/>
        </w:rPr>
      </w:pPr>
      <w:r>
        <w:rPr>
          <w:rFonts w:hint="eastAsia"/>
          <w:sz w:val="24"/>
        </w:rPr>
        <w:t>C． 合同条款</w:t>
      </w:r>
    </w:p>
    <w:p w14:paraId="1DA77353">
      <w:pPr>
        <w:tabs>
          <w:tab w:val="left" w:pos="412"/>
          <w:tab w:val="left" w:pos="618"/>
        </w:tabs>
        <w:spacing w:line="520" w:lineRule="exact"/>
        <w:jc w:val="center"/>
        <w:rPr>
          <w:b/>
          <w:sz w:val="30"/>
          <w:szCs w:val="30"/>
        </w:rPr>
      </w:pPr>
      <w:r>
        <w:rPr>
          <w:b/>
          <w:sz w:val="30"/>
          <w:szCs w:val="30"/>
        </w:rPr>
        <w:t>合同一般条款</w:t>
      </w:r>
    </w:p>
    <w:p w14:paraId="1E455DDD">
      <w:pPr>
        <w:tabs>
          <w:tab w:val="left" w:pos="0"/>
          <w:tab w:val="left" w:pos="315"/>
        </w:tabs>
        <w:spacing w:line="520" w:lineRule="exact"/>
        <w:ind w:firstLine="480"/>
        <w:rPr>
          <w:sz w:val="24"/>
          <w:szCs w:val="24"/>
        </w:rPr>
      </w:pPr>
      <w:r>
        <w:rPr>
          <w:sz w:val="24"/>
          <w:szCs w:val="24"/>
        </w:rPr>
        <w:t xml:space="preserve">需方：  </w:t>
      </w:r>
    </w:p>
    <w:p w14:paraId="5EBCA853">
      <w:pPr>
        <w:tabs>
          <w:tab w:val="left" w:pos="0"/>
          <w:tab w:val="left" w:pos="315"/>
        </w:tabs>
        <w:spacing w:line="520" w:lineRule="exact"/>
        <w:ind w:firstLine="480"/>
        <w:rPr>
          <w:sz w:val="24"/>
          <w:szCs w:val="24"/>
        </w:rPr>
      </w:pPr>
      <w:r>
        <w:rPr>
          <w:sz w:val="24"/>
          <w:szCs w:val="24"/>
        </w:rPr>
        <w:t xml:space="preserve">供方： </w:t>
      </w:r>
    </w:p>
    <w:p w14:paraId="76AB064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单一来源采购文件</w:t>
      </w:r>
      <w:r>
        <w:rPr>
          <w:sz w:val="24"/>
          <w:szCs w:val="24"/>
        </w:rPr>
        <w:t>的要求，并经双方协商一致，达成  合同：</w:t>
      </w:r>
    </w:p>
    <w:p w14:paraId="46DF6A8D">
      <w:pPr>
        <w:pStyle w:val="94"/>
        <w:numPr>
          <w:ilvl w:val="0"/>
          <w:numId w:val="7"/>
        </w:numPr>
        <w:spacing w:line="480" w:lineRule="exact"/>
        <w:ind w:firstLineChars="0"/>
        <w:rPr>
          <w:sz w:val="24"/>
          <w:szCs w:val="24"/>
        </w:rPr>
      </w:pPr>
      <w:r>
        <w:rPr>
          <w:rFonts w:hint="eastAsia"/>
          <w:sz w:val="24"/>
          <w:szCs w:val="24"/>
        </w:rPr>
        <w:t>本合同为中小企业预留合同</w:t>
      </w:r>
    </w:p>
    <w:p w14:paraId="269E83B8">
      <w:pPr>
        <w:pStyle w:val="94"/>
        <w:numPr>
          <w:ilvl w:val="0"/>
          <w:numId w:val="7"/>
        </w:numPr>
        <w:spacing w:line="480" w:lineRule="exact"/>
        <w:ind w:firstLineChars="0"/>
        <w:rPr>
          <w:sz w:val="24"/>
          <w:szCs w:val="24"/>
        </w:rPr>
      </w:pPr>
      <w:r>
        <w:rPr>
          <w:rFonts w:hint="eastAsia"/>
          <w:sz w:val="24"/>
          <w:szCs w:val="24"/>
        </w:rPr>
        <w:t>本合同非中小企业预留合同</w:t>
      </w:r>
    </w:p>
    <w:p w14:paraId="082F356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ABDD264">
      <w:pPr>
        <w:tabs>
          <w:tab w:val="left" w:pos="1133"/>
        </w:tabs>
        <w:spacing w:line="520" w:lineRule="exact"/>
        <w:ind w:firstLine="480" w:firstLineChars="200"/>
        <w:rPr>
          <w:sz w:val="24"/>
          <w:szCs w:val="24"/>
        </w:rPr>
      </w:pPr>
      <w:r>
        <w:rPr>
          <w:sz w:val="24"/>
          <w:szCs w:val="24"/>
        </w:rPr>
        <w:t>一、采购内容：  （详见附件）</w:t>
      </w:r>
    </w:p>
    <w:p w14:paraId="3568B4E7">
      <w:pPr>
        <w:tabs>
          <w:tab w:val="left" w:pos="1133"/>
        </w:tabs>
        <w:spacing w:line="520" w:lineRule="exact"/>
        <w:ind w:firstLine="480" w:firstLineChars="200"/>
        <w:rPr>
          <w:sz w:val="24"/>
          <w:szCs w:val="24"/>
        </w:rPr>
      </w:pPr>
      <w:r>
        <w:rPr>
          <w:sz w:val="24"/>
          <w:szCs w:val="24"/>
        </w:rPr>
        <w:t xml:space="preserve">    合同总价款：人民币  元</w:t>
      </w:r>
    </w:p>
    <w:p w14:paraId="1BE5752B">
      <w:pPr>
        <w:tabs>
          <w:tab w:val="left" w:pos="1133"/>
        </w:tabs>
        <w:spacing w:line="520" w:lineRule="exact"/>
        <w:ind w:firstLine="480" w:firstLineChars="200"/>
        <w:rPr>
          <w:sz w:val="24"/>
          <w:szCs w:val="24"/>
        </w:rPr>
      </w:pPr>
      <w:r>
        <w:rPr>
          <w:sz w:val="24"/>
          <w:szCs w:val="24"/>
        </w:rPr>
        <w:t xml:space="preserve">    大写：人民币  元整</w:t>
      </w:r>
    </w:p>
    <w:p w14:paraId="1D5C3879">
      <w:pPr>
        <w:tabs>
          <w:tab w:val="left" w:pos="360"/>
        </w:tabs>
        <w:spacing w:line="520" w:lineRule="exact"/>
        <w:ind w:firstLine="480" w:firstLineChars="200"/>
        <w:rPr>
          <w:sz w:val="24"/>
          <w:szCs w:val="24"/>
        </w:rPr>
      </w:pPr>
      <w:r>
        <w:rPr>
          <w:sz w:val="24"/>
          <w:szCs w:val="24"/>
        </w:rPr>
        <w:t>二、质量要求及对质量负责条件和期限：见附件。</w:t>
      </w:r>
    </w:p>
    <w:p w14:paraId="0F336820">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19996E4">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5928CC06">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F970403">
      <w:pPr>
        <w:tabs>
          <w:tab w:val="left" w:pos="360"/>
          <w:tab w:val="left" w:pos="721"/>
        </w:tabs>
        <w:spacing w:line="520" w:lineRule="exact"/>
        <w:rPr>
          <w:sz w:val="24"/>
          <w:szCs w:val="24"/>
        </w:rPr>
      </w:pPr>
      <w:r>
        <w:rPr>
          <w:sz w:val="24"/>
          <w:szCs w:val="24"/>
        </w:rPr>
        <w:t xml:space="preserve">    六、验收工作由需方负责对合同进行验收。</w:t>
      </w:r>
    </w:p>
    <w:p w14:paraId="167ED598">
      <w:pPr>
        <w:tabs>
          <w:tab w:val="left" w:pos="360"/>
        </w:tabs>
        <w:spacing w:line="520" w:lineRule="exact"/>
        <w:rPr>
          <w:sz w:val="24"/>
          <w:szCs w:val="24"/>
        </w:rPr>
      </w:pPr>
      <w:r>
        <w:rPr>
          <w:sz w:val="24"/>
          <w:szCs w:val="24"/>
        </w:rPr>
        <w:t xml:space="preserve">    七、货款支付方式：见附件。</w:t>
      </w:r>
    </w:p>
    <w:p w14:paraId="33CB3020">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69EAA42">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217EFFBE">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1618F2A8">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67A97073">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5"/>
        <w:tblW w:w="0" w:type="auto"/>
        <w:tblInd w:w="0" w:type="dxa"/>
        <w:tblLayout w:type="autofit"/>
        <w:tblCellMar>
          <w:top w:w="0" w:type="dxa"/>
          <w:left w:w="108" w:type="dxa"/>
          <w:bottom w:w="0" w:type="dxa"/>
          <w:right w:w="108" w:type="dxa"/>
        </w:tblCellMar>
      </w:tblPr>
      <w:tblGrid>
        <w:gridCol w:w="4261"/>
        <w:gridCol w:w="4261"/>
      </w:tblGrid>
      <w:tr w14:paraId="540A2313">
        <w:tblPrEx>
          <w:tblCellMar>
            <w:top w:w="0" w:type="dxa"/>
            <w:left w:w="108" w:type="dxa"/>
            <w:bottom w:w="0" w:type="dxa"/>
            <w:right w:w="108" w:type="dxa"/>
          </w:tblCellMar>
        </w:tblPrEx>
        <w:tc>
          <w:tcPr>
            <w:tcW w:w="4261" w:type="dxa"/>
          </w:tcPr>
          <w:p w14:paraId="5ED90793">
            <w:pPr>
              <w:tabs>
                <w:tab w:val="left" w:pos="0"/>
                <w:tab w:val="left" w:pos="315"/>
              </w:tabs>
              <w:spacing w:line="520" w:lineRule="exact"/>
              <w:rPr>
                <w:sz w:val="24"/>
                <w:szCs w:val="24"/>
              </w:rPr>
            </w:pPr>
            <w:r>
              <w:rPr>
                <w:sz w:val="24"/>
                <w:szCs w:val="24"/>
              </w:rPr>
              <w:t xml:space="preserve">供方（公章）： </w:t>
            </w:r>
          </w:p>
        </w:tc>
        <w:tc>
          <w:tcPr>
            <w:tcW w:w="4261" w:type="dxa"/>
          </w:tcPr>
          <w:p w14:paraId="4489E1E9">
            <w:pPr>
              <w:tabs>
                <w:tab w:val="left" w:pos="0"/>
                <w:tab w:val="left" w:pos="315"/>
              </w:tabs>
              <w:spacing w:line="520" w:lineRule="exact"/>
              <w:rPr>
                <w:sz w:val="24"/>
                <w:szCs w:val="24"/>
              </w:rPr>
            </w:pPr>
            <w:r>
              <w:rPr>
                <w:sz w:val="24"/>
                <w:szCs w:val="24"/>
              </w:rPr>
              <w:t xml:space="preserve">需方（公章）： </w:t>
            </w:r>
          </w:p>
        </w:tc>
      </w:tr>
      <w:tr w14:paraId="0D5B9C8B">
        <w:tblPrEx>
          <w:tblCellMar>
            <w:top w:w="0" w:type="dxa"/>
            <w:left w:w="108" w:type="dxa"/>
            <w:bottom w:w="0" w:type="dxa"/>
            <w:right w:w="108" w:type="dxa"/>
          </w:tblCellMar>
        </w:tblPrEx>
        <w:tc>
          <w:tcPr>
            <w:tcW w:w="4261" w:type="dxa"/>
          </w:tcPr>
          <w:p w14:paraId="14BDD032">
            <w:pPr>
              <w:tabs>
                <w:tab w:val="left" w:pos="0"/>
                <w:tab w:val="left" w:pos="315"/>
              </w:tabs>
              <w:spacing w:line="520" w:lineRule="exact"/>
              <w:rPr>
                <w:sz w:val="24"/>
                <w:szCs w:val="24"/>
              </w:rPr>
            </w:pPr>
            <w:r>
              <w:rPr>
                <w:sz w:val="24"/>
                <w:szCs w:val="24"/>
              </w:rPr>
              <w:t xml:space="preserve">地址：  </w:t>
            </w:r>
          </w:p>
        </w:tc>
        <w:tc>
          <w:tcPr>
            <w:tcW w:w="4261" w:type="dxa"/>
          </w:tcPr>
          <w:p w14:paraId="61B66074">
            <w:pPr>
              <w:tabs>
                <w:tab w:val="left" w:pos="0"/>
                <w:tab w:val="left" w:pos="315"/>
              </w:tabs>
              <w:spacing w:line="520" w:lineRule="exact"/>
              <w:rPr>
                <w:sz w:val="24"/>
                <w:szCs w:val="24"/>
              </w:rPr>
            </w:pPr>
            <w:r>
              <w:rPr>
                <w:sz w:val="24"/>
                <w:szCs w:val="24"/>
              </w:rPr>
              <w:t xml:space="preserve">地址： </w:t>
            </w:r>
          </w:p>
        </w:tc>
      </w:tr>
      <w:tr w14:paraId="239C754F">
        <w:tblPrEx>
          <w:tblCellMar>
            <w:top w:w="0" w:type="dxa"/>
            <w:left w:w="108" w:type="dxa"/>
            <w:bottom w:w="0" w:type="dxa"/>
            <w:right w:w="108" w:type="dxa"/>
          </w:tblCellMar>
        </w:tblPrEx>
        <w:tc>
          <w:tcPr>
            <w:tcW w:w="4261" w:type="dxa"/>
          </w:tcPr>
          <w:p w14:paraId="59A0DC53">
            <w:pPr>
              <w:tabs>
                <w:tab w:val="left" w:pos="360"/>
              </w:tabs>
              <w:spacing w:line="520" w:lineRule="exact"/>
              <w:rPr>
                <w:sz w:val="24"/>
                <w:szCs w:val="24"/>
              </w:rPr>
            </w:pPr>
            <w:r>
              <w:rPr>
                <w:sz w:val="24"/>
                <w:szCs w:val="24"/>
              </w:rPr>
              <w:t xml:space="preserve">法定代表人： </w:t>
            </w:r>
          </w:p>
        </w:tc>
        <w:tc>
          <w:tcPr>
            <w:tcW w:w="4261" w:type="dxa"/>
          </w:tcPr>
          <w:p w14:paraId="798BBD07">
            <w:pPr>
              <w:tabs>
                <w:tab w:val="left" w:pos="360"/>
              </w:tabs>
              <w:spacing w:line="520" w:lineRule="exact"/>
              <w:rPr>
                <w:sz w:val="24"/>
                <w:szCs w:val="24"/>
              </w:rPr>
            </w:pPr>
            <w:r>
              <w:rPr>
                <w:sz w:val="24"/>
                <w:szCs w:val="24"/>
              </w:rPr>
              <w:t xml:space="preserve">法定代表人： </w:t>
            </w:r>
          </w:p>
        </w:tc>
      </w:tr>
      <w:tr w14:paraId="27EE00B0">
        <w:tc>
          <w:tcPr>
            <w:tcW w:w="4261" w:type="dxa"/>
          </w:tcPr>
          <w:p w14:paraId="12F01B72">
            <w:pPr>
              <w:tabs>
                <w:tab w:val="left" w:pos="360"/>
              </w:tabs>
              <w:spacing w:line="520" w:lineRule="exact"/>
              <w:rPr>
                <w:sz w:val="24"/>
                <w:szCs w:val="24"/>
              </w:rPr>
            </w:pPr>
            <w:r>
              <w:rPr>
                <w:sz w:val="24"/>
                <w:szCs w:val="24"/>
              </w:rPr>
              <w:t xml:space="preserve">委托代理人： </w:t>
            </w:r>
          </w:p>
        </w:tc>
        <w:tc>
          <w:tcPr>
            <w:tcW w:w="4261" w:type="dxa"/>
          </w:tcPr>
          <w:p w14:paraId="48B57257">
            <w:pPr>
              <w:tabs>
                <w:tab w:val="left" w:pos="360"/>
              </w:tabs>
              <w:spacing w:line="520" w:lineRule="exact"/>
              <w:rPr>
                <w:sz w:val="24"/>
                <w:szCs w:val="24"/>
              </w:rPr>
            </w:pPr>
            <w:r>
              <w:rPr>
                <w:sz w:val="24"/>
                <w:szCs w:val="24"/>
              </w:rPr>
              <w:t xml:space="preserve">委托代理人： </w:t>
            </w:r>
          </w:p>
        </w:tc>
      </w:tr>
      <w:tr w14:paraId="62B51F35">
        <w:tblPrEx>
          <w:tblCellMar>
            <w:top w:w="0" w:type="dxa"/>
            <w:left w:w="108" w:type="dxa"/>
            <w:bottom w:w="0" w:type="dxa"/>
            <w:right w:w="108" w:type="dxa"/>
          </w:tblCellMar>
        </w:tblPrEx>
        <w:tc>
          <w:tcPr>
            <w:tcW w:w="4261" w:type="dxa"/>
          </w:tcPr>
          <w:p w14:paraId="3C14FC32">
            <w:pPr>
              <w:tabs>
                <w:tab w:val="left" w:pos="360"/>
              </w:tabs>
              <w:spacing w:line="520" w:lineRule="exact"/>
              <w:rPr>
                <w:sz w:val="24"/>
                <w:szCs w:val="24"/>
              </w:rPr>
            </w:pPr>
            <w:r>
              <w:rPr>
                <w:sz w:val="24"/>
                <w:szCs w:val="24"/>
              </w:rPr>
              <w:t>电话：</w:t>
            </w:r>
          </w:p>
        </w:tc>
        <w:tc>
          <w:tcPr>
            <w:tcW w:w="4261" w:type="dxa"/>
          </w:tcPr>
          <w:p w14:paraId="56B65039">
            <w:pPr>
              <w:tabs>
                <w:tab w:val="left" w:pos="360"/>
              </w:tabs>
              <w:spacing w:line="520" w:lineRule="exact"/>
              <w:rPr>
                <w:sz w:val="24"/>
                <w:szCs w:val="24"/>
              </w:rPr>
            </w:pPr>
            <w:r>
              <w:rPr>
                <w:sz w:val="24"/>
                <w:szCs w:val="24"/>
              </w:rPr>
              <w:t>电话：</w:t>
            </w:r>
          </w:p>
        </w:tc>
      </w:tr>
    </w:tbl>
    <w:p w14:paraId="59F23DCB">
      <w:pPr>
        <w:rPr>
          <w:sz w:val="24"/>
          <w:szCs w:val="24"/>
        </w:rPr>
      </w:pPr>
    </w:p>
    <w:p w14:paraId="0067DBFB">
      <w:pPr>
        <w:rPr>
          <w:szCs w:val="24"/>
        </w:rPr>
      </w:pPr>
      <w:r>
        <w:rPr>
          <w:sz w:val="24"/>
          <w:szCs w:val="24"/>
        </w:rPr>
        <w:t>时间：20</w:t>
      </w:r>
      <w:r>
        <w:rPr>
          <w:rFonts w:hint="eastAsia"/>
          <w:sz w:val="24"/>
          <w:szCs w:val="24"/>
        </w:rPr>
        <w:t xml:space="preserve">  </w:t>
      </w:r>
      <w:r>
        <w:rPr>
          <w:sz w:val="24"/>
          <w:szCs w:val="24"/>
        </w:rPr>
        <w:t>年  月  日</w:t>
      </w:r>
    </w:p>
    <w:p w14:paraId="475026E2">
      <w:pPr>
        <w:jc w:val="center"/>
        <w:rPr>
          <w:b/>
          <w:sz w:val="30"/>
          <w:szCs w:val="30"/>
        </w:rPr>
      </w:pPr>
      <w:r>
        <w:rPr>
          <w:b/>
          <w:sz w:val="30"/>
          <w:szCs w:val="30"/>
        </w:rPr>
        <w:br w:type="page"/>
      </w:r>
      <w:r>
        <w:rPr>
          <w:b/>
          <w:sz w:val="30"/>
          <w:szCs w:val="30"/>
        </w:rPr>
        <w:t>合同特殊条款</w:t>
      </w:r>
    </w:p>
    <w:p w14:paraId="132EC249">
      <w:pPr>
        <w:tabs>
          <w:tab w:val="left" w:pos="360"/>
        </w:tabs>
        <w:spacing w:line="520" w:lineRule="exact"/>
        <w:ind w:firstLine="410" w:firstLineChars="171"/>
        <w:rPr>
          <w:sz w:val="24"/>
          <w:szCs w:val="24"/>
        </w:rPr>
      </w:pPr>
    </w:p>
    <w:p w14:paraId="05887395">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77B12F24">
      <w:pPr>
        <w:tabs>
          <w:tab w:val="left" w:pos="360"/>
        </w:tabs>
        <w:spacing w:line="520" w:lineRule="exact"/>
        <w:ind w:firstLine="410"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7B73E7A4">
      <w:pPr>
        <w:tabs>
          <w:tab w:val="left" w:pos="360"/>
        </w:tabs>
        <w:spacing w:line="520" w:lineRule="exact"/>
        <w:ind w:firstLine="410" w:firstLineChars="171"/>
        <w:rPr>
          <w:sz w:val="24"/>
          <w:szCs w:val="24"/>
        </w:rPr>
      </w:pPr>
    </w:p>
    <w:p w14:paraId="5E7564F4">
      <w:pPr>
        <w:widowControl/>
        <w:jc w:val="left"/>
        <w:rPr>
          <w:rFonts w:ascii="宋体" w:hAnsi="宋体"/>
          <w:b/>
          <w:sz w:val="24"/>
          <w:szCs w:val="24"/>
        </w:rPr>
      </w:pPr>
      <w:r>
        <w:rPr>
          <w:rFonts w:ascii="宋体" w:hAnsi="宋体"/>
          <w:b/>
          <w:sz w:val="24"/>
          <w:szCs w:val="24"/>
        </w:rPr>
        <w:br w:type="page"/>
      </w:r>
    </w:p>
    <w:p w14:paraId="3CC13EA9">
      <w:pPr>
        <w:spacing w:line="360" w:lineRule="auto"/>
        <w:jc w:val="center"/>
        <w:rPr>
          <w:rFonts w:ascii="宋体" w:hAnsi="宋体"/>
          <w:b/>
          <w:sz w:val="24"/>
          <w:szCs w:val="24"/>
        </w:rPr>
      </w:pPr>
      <w:r>
        <w:rPr>
          <w:rFonts w:hint="eastAsia" w:ascii="宋体" w:hAnsi="宋体"/>
          <w:b/>
          <w:sz w:val="24"/>
          <w:szCs w:val="24"/>
        </w:rPr>
        <w:t>D.响应文件格式</w:t>
      </w:r>
    </w:p>
    <w:p w14:paraId="5220325E">
      <w:pPr>
        <w:autoSpaceDN w:val="0"/>
        <w:spacing w:line="360" w:lineRule="auto"/>
        <w:jc w:val="center"/>
        <w:rPr>
          <w:b/>
          <w:bCs/>
          <w:sz w:val="24"/>
        </w:rPr>
      </w:pPr>
    </w:p>
    <w:p w14:paraId="5805D412">
      <w:pPr>
        <w:autoSpaceDE w:val="0"/>
        <w:autoSpaceDN w:val="0"/>
        <w:adjustRightInd w:val="0"/>
        <w:spacing w:line="520" w:lineRule="exact"/>
      </w:pPr>
    </w:p>
    <w:p w14:paraId="7F5E0045">
      <w:pPr>
        <w:autoSpaceDE w:val="0"/>
        <w:autoSpaceDN w:val="0"/>
        <w:adjustRightInd w:val="0"/>
        <w:spacing w:line="520" w:lineRule="exact"/>
        <w:rPr>
          <w:b/>
          <w:kern w:val="0"/>
          <w:sz w:val="24"/>
        </w:rPr>
      </w:pPr>
      <w:bookmarkStart w:id="50" w:name="_GoBack"/>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50"/>
    </w:p>
    <w:p w14:paraId="55953E3D">
      <w:pPr>
        <w:autoSpaceDE w:val="0"/>
        <w:autoSpaceDN w:val="0"/>
        <w:adjustRightInd w:val="0"/>
        <w:spacing w:line="520" w:lineRule="exact"/>
        <w:rPr>
          <w:b/>
          <w:kern w:val="0"/>
          <w:sz w:val="24"/>
        </w:rPr>
      </w:pPr>
    </w:p>
    <w:p w14:paraId="61C35375">
      <w:pPr>
        <w:autoSpaceDE w:val="0"/>
        <w:autoSpaceDN w:val="0"/>
        <w:adjustRightInd w:val="0"/>
        <w:spacing w:line="520" w:lineRule="exact"/>
        <w:rPr>
          <w:b/>
          <w:kern w:val="0"/>
          <w:sz w:val="24"/>
        </w:rPr>
      </w:pPr>
    </w:p>
    <w:p w14:paraId="69926A87">
      <w:pPr>
        <w:autoSpaceDE w:val="0"/>
        <w:autoSpaceDN w:val="0"/>
        <w:adjustRightInd w:val="0"/>
        <w:jc w:val="center"/>
        <w:rPr>
          <w:kern w:val="0"/>
          <w:sz w:val="144"/>
          <w:szCs w:val="144"/>
        </w:rPr>
      </w:pPr>
      <w:r>
        <w:rPr>
          <w:rFonts w:hint="eastAsia"/>
          <w:sz w:val="160"/>
          <w:szCs w:val="84"/>
        </w:rPr>
        <w:t>响应文件</w:t>
      </w:r>
    </w:p>
    <w:p w14:paraId="48E15674">
      <w:pPr>
        <w:autoSpaceDE w:val="0"/>
        <w:autoSpaceDN w:val="0"/>
        <w:adjustRightInd w:val="0"/>
        <w:spacing w:line="520" w:lineRule="exact"/>
        <w:jc w:val="center"/>
        <w:rPr>
          <w:b/>
          <w:kern w:val="0"/>
          <w:sz w:val="24"/>
        </w:rPr>
      </w:pPr>
      <w:r>
        <w:rPr>
          <w:rFonts w:eastAsia="楷体_GB2312"/>
          <w:b/>
          <w:kern w:val="0"/>
          <w:sz w:val="36"/>
          <w:szCs w:val="36"/>
        </w:rPr>
        <w:t xml:space="preserve">（ </w:t>
      </w:r>
      <w:r>
        <w:rPr>
          <w:rFonts w:hint="eastAsia" w:eastAsia="楷体_GB2312"/>
          <w:b/>
          <w:kern w:val="0"/>
          <w:sz w:val="36"/>
          <w:szCs w:val="36"/>
        </w:rPr>
        <w:t>加盖电子签章</w:t>
      </w:r>
      <w:r>
        <w:rPr>
          <w:rFonts w:eastAsia="楷体_GB2312"/>
          <w:b/>
          <w:kern w:val="0"/>
          <w:sz w:val="36"/>
          <w:szCs w:val="36"/>
        </w:rPr>
        <w:t xml:space="preserve"> ）</w:t>
      </w:r>
    </w:p>
    <w:p w14:paraId="03C91AA3">
      <w:pPr>
        <w:autoSpaceDE w:val="0"/>
        <w:autoSpaceDN w:val="0"/>
        <w:adjustRightInd w:val="0"/>
        <w:spacing w:line="520" w:lineRule="exact"/>
        <w:jc w:val="center"/>
        <w:rPr>
          <w:b/>
          <w:kern w:val="0"/>
          <w:sz w:val="24"/>
        </w:rPr>
      </w:pPr>
    </w:p>
    <w:p w14:paraId="4D805B8A">
      <w:pPr>
        <w:spacing w:before="72" w:beforeLines="30" w:after="168" w:afterLines="70" w:line="540" w:lineRule="exact"/>
        <w:ind w:left="630" w:leftChars="300"/>
        <w:rPr>
          <w:b/>
          <w:sz w:val="34"/>
          <w:szCs w:val="34"/>
        </w:rPr>
      </w:pPr>
      <w:r>
        <w:rPr>
          <w:rFonts w:hint="eastAsia"/>
          <w:b/>
          <w:sz w:val="34"/>
          <w:szCs w:val="34"/>
        </w:rPr>
        <w:t>项 目 编 号：</w:t>
      </w:r>
    </w:p>
    <w:p w14:paraId="0733D3EF">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57F70243">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38BE7253">
      <w:pPr>
        <w:spacing w:before="72" w:beforeLines="30" w:after="168" w:afterLines="70" w:line="540" w:lineRule="exact"/>
        <w:ind w:left="630" w:leftChars="300"/>
        <w:rPr>
          <w:b/>
          <w:sz w:val="34"/>
          <w:szCs w:val="34"/>
        </w:rPr>
      </w:pPr>
      <w:r>
        <w:rPr>
          <w:rFonts w:hint="eastAsia"/>
          <w:b/>
          <w:sz w:val="34"/>
          <w:szCs w:val="34"/>
        </w:rPr>
        <w:t>供应商名称：</w:t>
      </w:r>
    </w:p>
    <w:p w14:paraId="6A220715">
      <w:pPr>
        <w:spacing w:before="72" w:beforeLines="30" w:after="168" w:afterLines="70" w:line="540" w:lineRule="exact"/>
        <w:ind w:left="630" w:leftChars="300"/>
        <w:rPr>
          <w:b/>
          <w:sz w:val="34"/>
          <w:szCs w:val="34"/>
        </w:rPr>
      </w:pPr>
      <w:r>
        <w:rPr>
          <w:rFonts w:hint="eastAsia"/>
          <w:b/>
          <w:sz w:val="34"/>
          <w:szCs w:val="34"/>
        </w:rPr>
        <w:t>法定代表人姓名：</w:t>
      </w:r>
    </w:p>
    <w:p w14:paraId="2CF2AD37">
      <w:pPr>
        <w:spacing w:before="72" w:beforeLines="30" w:after="168" w:afterLines="70" w:line="540" w:lineRule="exact"/>
        <w:ind w:left="630" w:leftChars="300"/>
        <w:rPr>
          <w:b/>
          <w:sz w:val="34"/>
          <w:szCs w:val="34"/>
        </w:rPr>
      </w:pPr>
      <w:r>
        <w:rPr>
          <w:rFonts w:hint="eastAsia"/>
          <w:b/>
          <w:sz w:val="34"/>
          <w:szCs w:val="34"/>
        </w:rPr>
        <w:t>谈判代表人姓名：</w:t>
      </w:r>
    </w:p>
    <w:p w14:paraId="6AC50FC3">
      <w:pPr>
        <w:spacing w:before="72" w:beforeLines="30" w:after="168" w:afterLines="70" w:line="540" w:lineRule="exact"/>
        <w:ind w:left="630" w:leftChars="300"/>
        <w:rPr>
          <w:b/>
          <w:sz w:val="34"/>
          <w:szCs w:val="34"/>
        </w:rPr>
      </w:pPr>
    </w:p>
    <w:p w14:paraId="6528F806">
      <w:pPr>
        <w:spacing w:before="72" w:beforeLines="30" w:after="168" w:afterLines="70" w:line="540" w:lineRule="exact"/>
        <w:ind w:left="630" w:leftChars="300"/>
        <w:rPr>
          <w:b/>
          <w:sz w:val="34"/>
          <w:szCs w:val="34"/>
        </w:rPr>
      </w:pPr>
      <w:r>
        <w:rPr>
          <w:rFonts w:hint="eastAsia"/>
          <w:b/>
          <w:sz w:val="34"/>
          <w:szCs w:val="34"/>
        </w:rPr>
        <w:t>递交日期：   年   月   日</w:t>
      </w:r>
    </w:p>
    <w:p w14:paraId="2470D2B0">
      <w:pPr>
        <w:spacing w:before="72" w:beforeLines="30" w:after="168" w:afterLines="70" w:line="540" w:lineRule="exact"/>
        <w:ind w:left="630" w:leftChars="300"/>
        <w:rPr>
          <w:b/>
          <w:bCs/>
          <w:sz w:val="24"/>
        </w:rPr>
      </w:pPr>
      <w:r>
        <w:rPr>
          <w:b/>
          <w:bCs/>
          <w:sz w:val="24"/>
        </w:rPr>
        <w:br w:type="page"/>
      </w:r>
    </w:p>
    <w:p w14:paraId="4973B198">
      <w:pPr>
        <w:autoSpaceDN w:val="0"/>
        <w:spacing w:line="360" w:lineRule="auto"/>
        <w:jc w:val="center"/>
        <w:rPr>
          <w:b/>
          <w:bCs/>
          <w:sz w:val="24"/>
        </w:rPr>
      </w:pPr>
      <w:r>
        <w:rPr>
          <w:rFonts w:hint="eastAsia"/>
          <w:b/>
          <w:bCs/>
          <w:sz w:val="24"/>
        </w:rPr>
        <w:t>响应文件总目录</w:t>
      </w:r>
    </w:p>
    <w:p w14:paraId="4B12D231">
      <w:pPr>
        <w:autoSpaceDN w:val="0"/>
        <w:spacing w:line="360" w:lineRule="auto"/>
        <w:jc w:val="center"/>
        <w:rPr>
          <w:b/>
          <w:bCs/>
          <w:sz w:val="24"/>
        </w:rPr>
      </w:pPr>
      <w:r>
        <w:rPr>
          <w:rFonts w:hint="eastAsia"/>
          <w:b/>
          <w:bCs/>
          <w:sz w:val="24"/>
        </w:rPr>
        <w:t>（供应商自行编制）</w:t>
      </w:r>
    </w:p>
    <w:p w14:paraId="3425121C">
      <w:pPr>
        <w:tabs>
          <w:tab w:val="left" w:pos="360"/>
        </w:tabs>
        <w:spacing w:line="560" w:lineRule="exact"/>
        <w:jc w:val="left"/>
        <w:rPr>
          <w:sz w:val="24"/>
        </w:rPr>
      </w:pPr>
    </w:p>
    <w:p w14:paraId="4D5CC72B">
      <w:pPr>
        <w:tabs>
          <w:tab w:val="left" w:pos="360"/>
        </w:tabs>
        <w:spacing w:line="560" w:lineRule="exact"/>
        <w:jc w:val="left"/>
        <w:rPr>
          <w:sz w:val="24"/>
        </w:rPr>
      </w:pPr>
    </w:p>
    <w:p w14:paraId="643F05B2">
      <w:pPr>
        <w:tabs>
          <w:tab w:val="left" w:pos="360"/>
        </w:tabs>
        <w:spacing w:line="560" w:lineRule="exact"/>
        <w:jc w:val="left"/>
        <w:rPr>
          <w:sz w:val="24"/>
        </w:rPr>
      </w:pPr>
    </w:p>
    <w:p w14:paraId="37B7F400">
      <w:pPr>
        <w:widowControl/>
        <w:jc w:val="left"/>
        <w:rPr>
          <w:sz w:val="24"/>
        </w:rPr>
      </w:pPr>
      <w:r>
        <w:rPr>
          <w:sz w:val="24"/>
        </w:rPr>
        <w:br w:type="page"/>
      </w:r>
    </w:p>
    <w:p w14:paraId="03AC15DC">
      <w:pPr>
        <w:tabs>
          <w:tab w:val="left" w:pos="360"/>
        </w:tabs>
        <w:spacing w:line="560" w:lineRule="exact"/>
        <w:jc w:val="left"/>
        <w:rPr>
          <w:b/>
          <w:sz w:val="24"/>
        </w:rPr>
      </w:pPr>
      <w:r>
        <w:rPr>
          <w:rFonts w:hint="eastAsia"/>
          <w:b/>
          <w:sz w:val="24"/>
        </w:rPr>
        <w:t>附件1</w:t>
      </w:r>
    </w:p>
    <w:p w14:paraId="7495FEFC">
      <w:pPr>
        <w:tabs>
          <w:tab w:val="left" w:pos="360"/>
        </w:tabs>
        <w:spacing w:line="560" w:lineRule="exact"/>
        <w:jc w:val="left"/>
        <w:rPr>
          <w:b/>
          <w:sz w:val="24"/>
        </w:rPr>
      </w:pPr>
    </w:p>
    <w:p w14:paraId="73BF5360">
      <w:pPr>
        <w:autoSpaceDN w:val="0"/>
        <w:spacing w:line="360" w:lineRule="auto"/>
        <w:jc w:val="center"/>
        <w:rPr>
          <w:b/>
          <w:bCs/>
          <w:sz w:val="24"/>
        </w:rPr>
      </w:pPr>
      <w:r>
        <w:rPr>
          <w:rFonts w:hint="eastAsia"/>
          <w:b/>
          <w:bCs/>
          <w:sz w:val="24"/>
        </w:rPr>
        <w:t>响应</w:t>
      </w:r>
      <w:r>
        <w:rPr>
          <w:b/>
          <w:bCs/>
          <w:sz w:val="24"/>
        </w:rPr>
        <w:t>书</w:t>
      </w:r>
    </w:p>
    <w:p w14:paraId="2100B5A7">
      <w:pPr>
        <w:spacing w:line="360" w:lineRule="auto"/>
        <w:rPr>
          <w:sz w:val="24"/>
        </w:rPr>
      </w:pPr>
      <w:r>
        <w:rPr>
          <w:sz w:val="24"/>
        </w:rPr>
        <w:t>致：天津市政府采购中心</w:t>
      </w:r>
    </w:p>
    <w:p w14:paraId="3F27FC5D">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78E8CD6A">
      <w:pPr>
        <w:spacing w:line="360" w:lineRule="auto"/>
        <w:ind w:firstLine="480" w:firstLineChars="200"/>
        <w:rPr>
          <w:sz w:val="24"/>
        </w:rPr>
      </w:pPr>
      <w:r>
        <w:rPr>
          <w:sz w:val="24"/>
        </w:rPr>
        <w:t>据此函，签字代表宣布同意如下：</w:t>
      </w:r>
    </w:p>
    <w:p w14:paraId="113F96D9">
      <w:pPr>
        <w:spacing w:line="360" w:lineRule="auto"/>
        <w:ind w:firstLine="480" w:firstLineChars="200"/>
        <w:rPr>
          <w:sz w:val="24"/>
        </w:rPr>
      </w:pPr>
      <w:r>
        <w:rPr>
          <w:rFonts w:hint="eastAsia"/>
          <w:sz w:val="24"/>
        </w:rPr>
        <w:t>1. 所附报价表中规定的应提供和交付的总价为：</w:t>
      </w:r>
    </w:p>
    <w:p w14:paraId="7DDFD03F">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4D47BB52">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623BF92D">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64E9EB5A">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2DDB5023">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0BB41B7C">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23F492AB">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50D1CCBD">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47C91F8C">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59BA3D28">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73AEBCA0">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736A06B7">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134763C">
      <w:pPr>
        <w:spacing w:line="360" w:lineRule="auto"/>
        <w:ind w:firstLine="480" w:firstLineChars="200"/>
        <w:rPr>
          <w:sz w:val="24"/>
        </w:rPr>
      </w:pPr>
      <w:r>
        <w:rPr>
          <w:rFonts w:hint="eastAsia"/>
          <w:sz w:val="24"/>
        </w:rPr>
        <w:t>纳税人识别号：</w:t>
      </w:r>
    </w:p>
    <w:p w14:paraId="215AC200">
      <w:pPr>
        <w:spacing w:line="360" w:lineRule="auto"/>
        <w:ind w:firstLine="480" w:firstLineChars="200"/>
        <w:rPr>
          <w:sz w:val="24"/>
        </w:rPr>
      </w:pPr>
      <w:r>
        <w:rPr>
          <w:rFonts w:hint="eastAsia"/>
          <w:sz w:val="24"/>
        </w:rPr>
        <w:t>地址、电话：</w:t>
      </w:r>
    </w:p>
    <w:p w14:paraId="2B0BBA48">
      <w:pPr>
        <w:spacing w:line="360" w:lineRule="auto"/>
        <w:ind w:firstLine="480" w:firstLineChars="200"/>
        <w:rPr>
          <w:sz w:val="24"/>
        </w:rPr>
      </w:pPr>
      <w:r>
        <w:rPr>
          <w:rFonts w:hint="eastAsia"/>
          <w:sz w:val="24"/>
        </w:rPr>
        <w:t>开户行及账号：</w:t>
      </w:r>
    </w:p>
    <w:p w14:paraId="580C87BA">
      <w:pPr>
        <w:spacing w:line="360" w:lineRule="auto"/>
        <w:ind w:firstLine="480" w:firstLineChars="200"/>
        <w:rPr>
          <w:sz w:val="24"/>
        </w:rPr>
      </w:pPr>
      <w:r>
        <w:rPr>
          <w:rFonts w:hint="eastAsia"/>
          <w:sz w:val="24"/>
        </w:rPr>
        <w:t>开具发票类型：□增值税专用发票         □增值税普通发票</w:t>
      </w:r>
    </w:p>
    <w:p w14:paraId="21537DAF">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8DD5CB5">
      <w:pPr>
        <w:spacing w:line="360" w:lineRule="auto"/>
        <w:ind w:firstLine="480" w:firstLineChars="200"/>
        <w:rPr>
          <w:b/>
          <w:sz w:val="24"/>
        </w:rPr>
      </w:pPr>
      <w:r>
        <w:rPr>
          <w:rFonts w:hint="eastAsia"/>
          <w:b/>
          <w:sz w:val="24"/>
        </w:rPr>
        <w:t>□</w:t>
      </w:r>
      <w:r>
        <w:rPr>
          <w:b/>
          <w:sz w:val="24"/>
        </w:rPr>
        <w:t>上门自取</w:t>
      </w:r>
    </w:p>
    <w:p w14:paraId="4C8B2A0C">
      <w:pPr>
        <w:spacing w:line="360" w:lineRule="auto"/>
        <w:ind w:firstLine="480" w:firstLineChars="200"/>
        <w:rPr>
          <w:sz w:val="24"/>
        </w:rPr>
      </w:pPr>
    </w:p>
    <w:p w14:paraId="48EC6DF8">
      <w:pPr>
        <w:spacing w:line="360" w:lineRule="auto"/>
        <w:ind w:firstLine="480" w:firstLineChars="200"/>
        <w:rPr>
          <w:b/>
          <w:sz w:val="24"/>
        </w:rPr>
      </w:pPr>
      <w:r>
        <w:rPr>
          <w:rFonts w:hint="eastAsia"/>
          <w:b/>
          <w:sz w:val="24"/>
        </w:rPr>
        <w:t>□</w:t>
      </w:r>
      <w:r>
        <w:rPr>
          <w:b/>
          <w:sz w:val="24"/>
        </w:rPr>
        <w:t>到付邮寄</w:t>
      </w:r>
    </w:p>
    <w:p w14:paraId="3E0AB4E1">
      <w:pPr>
        <w:spacing w:line="360" w:lineRule="auto"/>
        <w:ind w:firstLine="480" w:firstLineChars="200"/>
        <w:rPr>
          <w:sz w:val="24"/>
        </w:rPr>
      </w:pPr>
      <w:r>
        <w:rPr>
          <w:sz w:val="24"/>
        </w:rPr>
        <w:t>邮寄地址</w:t>
      </w:r>
      <w:r>
        <w:rPr>
          <w:rFonts w:hint="eastAsia"/>
          <w:sz w:val="24"/>
        </w:rPr>
        <w:t>、邮编</w:t>
      </w:r>
      <w:r>
        <w:rPr>
          <w:sz w:val="24"/>
        </w:rPr>
        <w:t>：</w:t>
      </w:r>
    </w:p>
    <w:p w14:paraId="33E6B622">
      <w:pPr>
        <w:spacing w:line="360" w:lineRule="auto"/>
        <w:ind w:firstLine="480" w:firstLineChars="200"/>
        <w:rPr>
          <w:sz w:val="24"/>
        </w:rPr>
      </w:pPr>
      <w:r>
        <w:rPr>
          <w:sz w:val="24"/>
        </w:rPr>
        <w:t>邮寄联系人、手机号码：</w:t>
      </w:r>
    </w:p>
    <w:p w14:paraId="677B9193">
      <w:pPr>
        <w:spacing w:line="360" w:lineRule="auto"/>
        <w:ind w:firstLine="480" w:firstLineChars="200"/>
        <w:rPr>
          <w:sz w:val="24"/>
        </w:rPr>
      </w:pPr>
    </w:p>
    <w:p w14:paraId="2509C634">
      <w:pPr>
        <w:spacing w:line="360" w:lineRule="auto"/>
        <w:ind w:firstLine="480" w:firstLineChars="200"/>
        <w:rPr>
          <w:sz w:val="24"/>
        </w:rPr>
      </w:pPr>
    </w:p>
    <w:p w14:paraId="6E54EA2F">
      <w:pPr>
        <w:spacing w:line="360" w:lineRule="auto"/>
        <w:ind w:firstLine="4320" w:firstLineChars="1800"/>
        <w:rPr>
          <w:sz w:val="24"/>
        </w:rPr>
      </w:pPr>
      <w:r>
        <w:rPr>
          <w:rFonts w:hint="eastAsia"/>
          <w:sz w:val="24"/>
        </w:rPr>
        <w:t>供应商单位</w:t>
      </w:r>
      <w:r>
        <w:rPr>
          <w:sz w:val="24"/>
        </w:rPr>
        <w:t>名称：</w:t>
      </w:r>
    </w:p>
    <w:p w14:paraId="7E051572">
      <w:pPr>
        <w:spacing w:line="360" w:lineRule="auto"/>
        <w:ind w:firstLine="4320" w:firstLineChars="1800"/>
        <w:rPr>
          <w:sz w:val="24"/>
        </w:rPr>
      </w:pPr>
    </w:p>
    <w:p w14:paraId="06E0E344">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753424AD">
      <w:pPr>
        <w:widowControl/>
        <w:jc w:val="left"/>
        <w:rPr>
          <w:rFonts w:ascii="宋体" w:hAnsi="宋体"/>
          <w:sz w:val="24"/>
          <w:szCs w:val="24"/>
        </w:rPr>
      </w:pPr>
      <w:r>
        <w:rPr>
          <w:rFonts w:ascii="宋体" w:hAnsi="宋体"/>
          <w:sz w:val="24"/>
          <w:szCs w:val="24"/>
        </w:rPr>
        <w:br w:type="page"/>
      </w:r>
    </w:p>
    <w:p w14:paraId="4FFDEB4C">
      <w:pPr>
        <w:spacing w:line="460" w:lineRule="exact"/>
        <w:rPr>
          <w:b/>
          <w:sz w:val="24"/>
        </w:rPr>
      </w:pPr>
      <w:r>
        <w:rPr>
          <w:b/>
          <w:sz w:val="24"/>
        </w:rPr>
        <w:t>附件2</w:t>
      </w:r>
    </w:p>
    <w:p w14:paraId="6F414813">
      <w:pPr>
        <w:ind w:right="84"/>
        <w:jc w:val="center"/>
        <w:rPr>
          <w:b/>
          <w:sz w:val="24"/>
        </w:rPr>
      </w:pPr>
    </w:p>
    <w:p w14:paraId="1D6EA894">
      <w:pPr>
        <w:ind w:right="84"/>
        <w:jc w:val="center"/>
        <w:rPr>
          <w:b/>
          <w:sz w:val="24"/>
        </w:rPr>
      </w:pPr>
      <w:r>
        <w:rPr>
          <w:rFonts w:hint="eastAsia"/>
          <w:b/>
          <w:sz w:val="24"/>
        </w:rPr>
        <w:t>供应商资格声明函</w:t>
      </w:r>
    </w:p>
    <w:p w14:paraId="3E710633">
      <w:pPr>
        <w:spacing w:line="360" w:lineRule="auto"/>
        <w:ind w:firstLine="420"/>
        <w:jc w:val="center"/>
        <w:rPr>
          <w:b/>
          <w:sz w:val="24"/>
        </w:rPr>
      </w:pPr>
    </w:p>
    <w:p w14:paraId="4B1D7E0B">
      <w:pPr>
        <w:spacing w:line="360" w:lineRule="auto"/>
        <w:rPr>
          <w:sz w:val="24"/>
        </w:rPr>
      </w:pPr>
      <w:r>
        <w:rPr>
          <w:rFonts w:hint="eastAsia"/>
          <w:sz w:val="24"/>
        </w:rPr>
        <w:t>天津市政府采购中心：</w:t>
      </w:r>
    </w:p>
    <w:p w14:paraId="6CA141D2">
      <w:pPr>
        <w:spacing w:line="360" w:lineRule="auto"/>
        <w:ind w:firstLine="480" w:firstLineChars="200"/>
        <w:rPr>
          <w:sz w:val="24"/>
        </w:rPr>
      </w:pPr>
      <w:r>
        <w:rPr>
          <w:rFonts w:hint="eastAsia"/>
          <w:sz w:val="24"/>
        </w:rPr>
        <w:t>我单位自愿参与本项目的政府采购活动，郑重承诺如下：</w:t>
      </w:r>
    </w:p>
    <w:p w14:paraId="72847368">
      <w:pPr>
        <w:spacing w:line="360" w:lineRule="auto"/>
        <w:ind w:firstLine="480" w:firstLineChars="200"/>
        <w:rPr>
          <w:sz w:val="24"/>
        </w:rPr>
      </w:pPr>
      <w:r>
        <w:rPr>
          <w:rFonts w:hint="eastAsia"/>
          <w:sz w:val="24"/>
        </w:rPr>
        <w:t>（一）我单位具有良好的商业信誉和健全的财务会计制度；</w:t>
      </w:r>
    </w:p>
    <w:p w14:paraId="764B2295">
      <w:pPr>
        <w:spacing w:line="360" w:lineRule="auto"/>
        <w:ind w:firstLine="480" w:firstLineChars="200"/>
        <w:rPr>
          <w:sz w:val="24"/>
        </w:rPr>
      </w:pPr>
      <w:r>
        <w:rPr>
          <w:rFonts w:hint="eastAsia"/>
          <w:sz w:val="24"/>
        </w:rPr>
        <w:t>（二）我单位依法缴纳税收和社会保障资金；</w:t>
      </w:r>
    </w:p>
    <w:p w14:paraId="771B7605">
      <w:pPr>
        <w:spacing w:line="360" w:lineRule="auto"/>
        <w:ind w:firstLine="480" w:firstLineChars="200"/>
        <w:rPr>
          <w:sz w:val="24"/>
        </w:rPr>
      </w:pPr>
      <w:r>
        <w:rPr>
          <w:rFonts w:hint="eastAsia"/>
          <w:sz w:val="24"/>
        </w:rPr>
        <w:t>（三）我单位具备履行合同所必需的设备和专业技术能力；</w:t>
      </w:r>
    </w:p>
    <w:p w14:paraId="46B5D2C3">
      <w:pPr>
        <w:spacing w:line="360" w:lineRule="auto"/>
        <w:ind w:firstLine="480" w:firstLineChars="200"/>
        <w:rPr>
          <w:sz w:val="24"/>
        </w:rPr>
      </w:pPr>
      <w:r>
        <w:rPr>
          <w:rFonts w:hint="eastAsia"/>
          <w:sz w:val="24"/>
        </w:rPr>
        <w:t>（四）参加政府采购活动前3年我单位在经营活动中没有重大违法记录；</w:t>
      </w:r>
    </w:p>
    <w:p w14:paraId="083F8EBA">
      <w:pPr>
        <w:spacing w:line="360" w:lineRule="auto"/>
        <w:ind w:firstLine="480" w:firstLineChars="200"/>
        <w:rPr>
          <w:sz w:val="24"/>
        </w:rPr>
      </w:pPr>
    </w:p>
    <w:p w14:paraId="406B4C50">
      <w:pPr>
        <w:spacing w:line="360" w:lineRule="auto"/>
        <w:ind w:firstLine="480" w:firstLineChars="200"/>
        <w:rPr>
          <w:sz w:val="24"/>
        </w:rPr>
      </w:pPr>
    </w:p>
    <w:p w14:paraId="699BF9F6">
      <w:pPr>
        <w:spacing w:line="360" w:lineRule="auto"/>
        <w:ind w:firstLine="480" w:firstLineChars="200"/>
        <w:rPr>
          <w:sz w:val="24"/>
        </w:rPr>
      </w:pPr>
      <w:r>
        <w:rPr>
          <w:rFonts w:hint="eastAsia"/>
          <w:sz w:val="24"/>
        </w:rPr>
        <w:t>上述声明真实有效，否则我单位承担全部责任和不利后果。</w:t>
      </w:r>
    </w:p>
    <w:p w14:paraId="142977F8">
      <w:pPr>
        <w:spacing w:line="360" w:lineRule="auto"/>
        <w:ind w:firstLine="480" w:firstLineChars="200"/>
        <w:rPr>
          <w:sz w:val="24"/>
        </w:rPr>
      </w:pPr>
    </w:p>
    <w:p w14:paraId="0EB872D3">
      <w:pPr>
        <w:spacing w:line="360" w:lineRule="auto"/>
        <w:ind w:firstLine="240" w:firstLineChars="100"/>
        <w:rPr>
          <w:sz w:val="24"/>
        </w:rPr>
      </w:pPr>
      <w:r>
        <w:rPr>
          <w:sz w:val="24"/>
        </w:rPr>
        <w:t>投标人名称：</w:t>
      </w:r>
    </w:p>
    <w:p w14:paraId="69E4D1C6">
      <w:pPr>
        <w:spacing w:line="360" w:lineRule="auto"/>
        <w:ind w:firstLine="240" w:firstLineChars="100"/>
        <w:rPr>
          <w:sz w:val="24"/>
        </w:rPr>
      </w:pPr>
    </w:p>
    <w:p w14:paraId="5E449B21">
      <w:pPr>
        <w:spacing w:line="360" w:lineRule="auto"/>
        <w:ind w:firstLine="240" w:firstLineChars="100"/>
        <w:rPr>
          <w:sz w:val="24"/>
        </w:rPr>
      </w:pPr>
      <w:r>
        <w:rPr>
          <w:sz w:val="24"/>
        </w:rPr>
        <w:t xml:space="preserve">日期：  </w:t>
      </w:r>
    </w:p>
    <w:p w14:paraId="4C5DCBE4">
      <w:pPr>
        <w:spacing w:line="460" w:lineRule="exact"/>
        <w:rPr>
          <w:b/>
          <w:sz w:val="24"/>
        </w:rPr>
      </w:pPr>
    </w:p>
    <w:p w14:paraId="13CA9DE8">
      <w:pPr>
        <w:spacing w:line="460" w:lineRule="exact"/>
        <w:rPr>
          <w:b/>
          <w:sz w:val="24"/>
        </w:rPr>
      </w:pPr>
    </w:p>
    <w:p w14:paraId="63957DD2">
      <w:pPr>
        <w:spacing w:line="460" w:lineRule="exact"/>
        <w:rPr>
          <w:b/>
          <w:sz w:val="24"/>
        </w:rPr>
      </w:pPr>
    </w:p>
    <w:p w14:paraId="279319A3">
      <w:pPr>
        <w:spacing w:line="460" w:lineRule="exact"/>
        <w:rPr>
          <w:b/>
          <w:sz w:val="24"/>
        </w:rPr>
      </w:pPr>
    </w:p>
    <w:p w14:paraId="4B991864">
      <w:pPr>
        <w:spacing w:line="460" w:lineRule="exact"/>
        <w:rPr>
          <w:b/>
          <w:sz w:val="24"/>
        </w:rPr>
      </w:pPr>
    </w:p>
    <w:p w14:paraId="7364CF3B">
      <w:pPr>
        <w:spacing w:line="460" w:lineRule="exact"/>
        <w:rPr>
          <w:b/>
          <w:sz w:val="24"/>
        </w:rPr>
      </w:pPr>
    </w:p>
    <w:p w14:paraId="7485B2D7">
      <w:pPr>
        <w:widowControl/>
        <w:jc w:val="left"/>
        <w:rPr>
          <w:b/>
          <w:bCs/>
          <w:sz w:val="24"/>
        </w:rPr>
      </w:pPr>
      <w:r>
        <w:rPr>
          <w:b/>
          <w:bCs/>
          <w:sz w:val="24"/>
        </w:rPr>
        <w:br w:type="page"/>
      </w:r>
    </w:p>
    <w:p w14:paraId="54207F41">
      <w:pPr>
        <w:spacing w:line="460" w:lineRule="exact"/>
        <w:rPr>
          <w:b/>
          <w:sz w:val="24"/>
        </w:rPr>
      </w:pPr>
      <w:r>
        <w:rPr>
          <w:rFonts w:hint="eastAsia"/>
          <w:b/>
          <w:bCs/>
          <w:sz w:val="24"/>
        </w:rPr>
        <w:t>附件2-1：单一来源采购文件第一部分供应商资格要求的证件</w:t>
      </w:r>
    </w:p>
    <w:p w14:paraId="735DA7B5">
      <w:pPr>
        <w:spacing w:line="620" w:lineRule="exact"/>
        <w:rPr>
          <w:sz w:val="24"/>
        </w:rPr>
      </w:pPr>
    </w:p>
    <w:p w14:paraId="6E47B29A">
      <w:pPr>
        <w:widowControl/>
        <w:jc w:val="left"/>
        <w:rPr>
          <w:rFonts w:ascii="宋体" w:hAnsi="宋体"/>
          <w:sz w:val="24"/>
          <w:szCs w:val="24"/>
        </w:rPr>
      </w:pPr>
      <w:r>
        <w:rPr>
          <w:rFonts w:ascii="宋体" w:hAnsi="宋体"/>
          <w:sz w:val="24"/>
          <w:szCs w:val="24"/>
        </w:rPr>
        <w:br w:type="page"/>
      </w:r>
    </w:p>
    <w:p w14:paraId="713BEB5F">
      <w:pPr>
        <w:tabs>
          <w:tab w:val="left" w:pos="360"/>
        </w:tabs>
        <w:spacing w:line="560" w:lineRule="exact"/>
        <w:jc w:val="left"/>
        <w:rPr>
          <w:b/>
          <w:sz w:val="24"/>
        </w:rPr>
      </w:pPr>
      <w:r>
        <w:rPr>
          <w:b/>
          <w:sz w:val="24"/>
        </w:rPr>
        <w:t>附件</w:t>
      </w:r>
      <w:r>
        <w:rPr>
          <w:rFonts w:hint="eastAsia"/>
          <w:b/>
          <w:sz w:val="24"/>
        </w:rPr>
        <w:t>3</w:t>
      </w:r>
    </w:p>
    <w:p w14:paraId="1A54FB29">
      <w:pPr>
        <w:autoSpaceDN w:val="0"/>
        <w:spacing w:line="360" w:lineRule="auto"/>
        <w:jc w:val="center"/>
        <w:rPr>
          <w:b/>
          <w:bCs/>
          <w:sz w:val="24"/>
        </w:rPr>
      </w:pPr>
      <w:r>
        <w:rPr>
          <w:rFonts w:hint="eastAsia"/>
          <w:b/>
          <w:bCs/>
          <w:sz w:val="24"/>
        </w:rPr>
        <w:t>谈判</w:t>
      </w:r>
      <w:r>
        <w:rPr>
          <w:b/>
          <w:bCs/>
          <w:sz w:val="24"/>
        </w:rPr>
        <w:t>代表人授权书</w:t>
      </w:r>
    </w:p>
    <w:p w14:paraId="7D90F1B7">
      <w:pPr>
        <w:spacing w:line="360" w:lineRule="auto"/>
        <w:rPr>
          <w:sz w:val="24"/>
          <w:szCs w:val="21"/>
        </w:rPr>
      </w:pPr>
    </w:p>
    <w:p w14:paraId="5115B8CF">
      <w:pPr>
        <w:spacing w:line="360" w:lineRule="auto"/>
        <w:rPr>
          <w:sz w:val="24"/>
          <w:szCs w:val="21"/>
        </w:rPr>
      </w:pPr>
      <w:r>
        <w:rPr>
          <w:sz w:val="24"/>
          <w:szCs w:val="21"/>
        </w:rPr>
        <w:t>致：天津市政府采购中心</w:t>
      </w:r>
    </w:p>
    <w:p w14:paraId="07408DB9">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505B049D">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29B51B10">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73FEFC6F">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60F7AD18">
      <w:pPr>
        <w:spacing w:line="360" w:lineRule="auto"/>
        <w:ind w:firstLine="480" w:firstLineChars="200"/>
        <w:rPr>
          <w:sz w:val="24"/>
        </w:rPr>
      </w:pPr>
    </w:p>
    <w:p w14:paraId="60292E88">
      <w:pPr>
        <w:spacing w:line="360" w:lineRule="auto"/>
        <w:ind w:firstLine="480" w:firstLineChars="200"/>
        <w:rPr>
          <w:sz w:val="24"/>
        </w:rPr>
      </w:pPr>
    </w:p>
    <w:p w14:paraId="0E3E858F">
      <w:pPr>
        <w:spacing w:line="480" w:lineRule="auto"/>
        <w:ind w:right="480" w:firstLine="4080" w:firstLineChars="1700"/>
        <w:rPr>
          <w:sz w:val="24"/>
        </w:rPr>
      </w:pPr>
    </w:p>
    <w:p w14:paraId="7EEDB3EB">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9641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5647D3C">
            <w:pPr>
              <w:spacing w:line="360" w:lineRule="auto"/>
              <w:jc w:val="left"/>
              <w:rPr>
                <w:sz w:val="24"/>
              </w:rPr>
            </w:pPr>
            <w:r>
              <w:rPr>
                <w:rFonts w:hint="eastAsia"/>
                <w:sz w:val="24"/>
              </w:rPr>
              <w:t>谈判代表人身份证正面</w:t>
            </w:r>
          </w:p>
          <w:p w14:paraId="30440893">
            <w:pPr>
              <w:spacing w:line="360" w:lineRule="auto"/>
              <w:jc w:val="left"/>
              <w:rPr>
                <w:sz w:val="24"/>
              </w:rPr>
            </w:pPr>
          </w:p>
          <w:p w14:paraId="7440FA81">
            <w:pPr>
              <w:spacing w:line="360" w:lineRule="auto"/>
              <w:jc w:val="left"/>
              <w:rPr>
                <w:sz w:val="24"/>
              </w:rPr>
            </w:pPr>
          </w:p>
          <w:p w14:paraId="5D105878">
            <w:pPr>
              <w:spacing w:line="360" w:lineRule="auto"/>
              <w:jc w:val="left"/>
              <w:rPr>
                <w:sz w:val="24"/>
              </w:rPr>
            </w:pPr>
          </w:p>
          <w:p w14:paraId="1917461D">
            <w:pPr>
              <w:spacing w:line="360" w:lineRule="auto"/>
              <w:jc w:val="left"/>
              <w:rPr>
                <w:sz w:val="24"/>
              </w:rPr>
            </w:pPr>
          </w:p>
          <w:p w14:paraId="618B7965">
            <w:pPr>
              <w:spacing w:line="360" w:lineRule="auto"/>
              <w:jc w:val="left"/>
              <w:rPr>
                <w:sz w:val="24"/>
              </w:rPr>
            </w:pPr>
          </w:p>
        </w:tc>
        <w:tc>
          <w:tcPr>
            <w:tcW w:w="4264" w:type="dxa"/>
            <w:shd w:val="clear" w:color="auto" w:fill="auto"/>
          </w:tcPr>
          <w:p w14:paraId="4BF2A537">
            <w:pPr>
              <w:spacing w:line="360" w:lineRule="auto"/>
              <w:jc w:val="left"/>
              <w:rPr>
                <w:sz w:val="24"/>
              </w:rPr>
            </w:pPr>
            <w:r>
              <w:rPr>
                <w:rFonts w:hint="eastAsia"/>
                <w:sz w:val="24"/>
              </w:rPr>
              <w:t>谈判代表人身份证背面</w:t>
            </w:r>
          </w:p>
        </w:tc>
      </w:tr>
    </w:tbl>
    <w:p w14:paraId="16D62695">
      <w:pPr>
        <w:widowControl/>
        <w:jc w:val="left"/>
        <w:rPr>
          <w:sz w:val="24"/>
        </w:rPr>
      </w:pPr>
    </w:p>
    <w:p w14:paraId="42058FD9">
      <w:pPr>
        <w:widowControl/>
        <w:jc w:val="left"/>
        <w:rPr>
          <w:rFonts w:ascii="宋体" w:hAnsi="宋体"/>
          <w:sz w:val="24"/>
          <w:szCs w:val="24"/>
        </w:rPr>
      </w:pPr>
      <w:r>
        <w:rPr>
          <w:rFonts w:ascii="宋体" w:hAnsi="宋体"/>
          <w:sz w:val="24"/>
          <w:szCs w:val="24"/>
        </w:rPr>
        <w:br w:type="page"/>
      </w:r>
    </w:p>
    <w:p w14:paraId="01EA5158">
      <w:pPr>
        <w:tabs>
          <w:tab w:val="left" w:pos="360"/>
        </w:tabs>
        <w:spacing w:line="560" w:lineRule="exact"/>
        <w:jc w:val="left"/>
        <w:rPr>
          <w:b/>
          <w:sz w:val="24"/>
        </w:rPr>
      </w:pPr>
      <w:r>
        <w:rPr>
          <w:rFonts w:hint="eastAsia"/>
          <w:b/>
          <w:sz w:val="24"/>
        </w:rPr>
        <w:t>附件4</w:t>
      </w:r>
    </w:p>
    <w:p w14:paraId="6FDBBC36">
      <w:pPr>
        <w:tabs>
          <w:tab w:val="left" w:pos="360"/>
        </w:tabs>
        <w:spacing w:line="560" w:lineRule="exact"/>
        <w:jc w:val="center"/>
        <w:rPr>
          <w:b/>
          <w:sz w:val="24"/>
        </w:rPr>
      </w:pPr>
      <w:r>
        <w:rPr>
          <w:b/>
          <w:sz w:val="24"/>
        </w:rPr>
        <w:t>报价一览表</w:t>
      </w:r>
    </w:p>
    <w:p w14:paraId="4B32520D">
      <w:pPr>
        <w:tabs>
          <w:tab w:val="left" w:pos="360"/>
        </w:tabs>
        <w:spacing w:line="560" w:lineRule="exact"/>
        <w:jc w:val="center"/>
        <w:rPr>
          <w:b/>
          <w:sz w:val="24"/>
        </w:rPr>
      </w:pPr>
    </w:p>
    <w:p w14:paraId="56B5CED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D167252">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2D92E5B">
      <w:pPr>
        <w:spacing w:line="460" w:lineRule="exact"/>
        <w:jc w:val="right"/>
        <w:rPr>
          <w:sz w:val="24"/>
        </w:rPr>
      </w:pPr>
      <w:r>
        <w:rPr>
          <w:sz w:val="24"/>
        </w:rPr>
        <w:t xml:space="preserve">                                                                                                                   单位：元</w:t>
      </w:r>
    </w:p>
    <w:tbl>
      <w:tblPr>
        <w:tblStyle w:val="3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387D8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37CDA22">
            <w:pPr>
              <w:spacing w:line="460" w:lineRule="exact"/>
              <w:jc w:val="center"/>
              <w:rPr>
                <w:sz w:val="24"/>
              </w:rPr>
            </w:pPr>
            <w:r>
              <w:rPr>
                <w:rFonts w:hint="eastAsia"/>
                <w:sz w:val="24"/>
              </w:rPr>
              <w:t>包</w:t>
            </w:r>
            <w:r>
              <w:rPr>
                <w:sz w:val="24"/>
              </w:rPr>
              <w:t>号</w:t>
            </w:r>
          </w:p>
        </w:tc>
        <w:tc>
          <w:tcPr>
            <w:tcW w:w="1838" w:type="pct"/>
            <w:vAlign w:val="center"/>
          </w:tcPr>
          <w:p w14:paraId="4A9CD210">
            <w:pPr>
              <w:spacing w:line="460" w:lineRule="exact"/>
              <w:jc w:val="center"/>
              <w:rPr>
                <w:sz w:val="24"/>
              </w:rPr>
            </w:pPr>
            <w:r>
              <w:rPr>
                <w:rFonts w:hint="eastAsia"/>
                <w:sz w:val="24"/>
              </w:rPr>
              <w:t>服务</w:t>
            </w:r>
            <w:r>
              <w:rPr>
                <w:sz w:val="24"/>
              </w:rPr>
              <w:t>名称</w:t>
            </w:r>
          </w:p>
        </w:tc>
        <w:tc>
          <w:tcPr>
            <w:tcW w:w="582" w:type="pct"/>
            <w:vAlign w:val="center"/>
          </w:tcPr>
          <w:p w14:paraId="3E660324">
            <w:pPr>
              <w:spacing w:line="460" w:lineRule="exact"/>
              <w:jc w:val="center"/>
              <w:rPr>
                <w:sz w:val="24"/>
              </w:rPr>
            </w:pPr>
            <w:r>
              <w:rPr>
                <w:rFonts w:hint="eastAsia"/>
                <w:sz w:val="24"/>
              </w:rPr>
              <w:t>数量</w:t>
            </w:r>
          </w:p>
        </w:tc>
        <w:tc>
          <w:tcPr>
            <w:tcW w:w="915" w:type="pct"/>
            <w:vAlign w:val="center"/>
          </w:tcPr>
          <w:p w14:paraId="3A0AD58F">
            <w:pPr>
              <w:spacing w:line="460" w:lineRule="exact"/>
              <w:jc w:val="center"/>
              <w:rPr>
                <w:sz w:val="24"/>
              </w:rPr>
            </w:pPr>
            <w:r>
              <w:rPr>
                <w:sz w:val="24"/>
              </w:rPr>
              <w:t>总价</w:t>
            </w:r>
          </w:p>
        </w:tc>
        <w:tc>
          <w:tcPr>
            <w:tcW w:w="1113" w:type="pct"/>
            <w:vAlign w:val="center"/>
          </w:tcPr>
          <w:p w14:paraId="62F9E25F">
            <w:pPr>
              <w:spacing w:line="460" w:lineRule="exact"/>
              <w:jc w:val="center"/>
              <w:rPr>
                <w:sz w:val="24"/>
              </w:rPr>
            </w:pPr>
            <w:r>
              <w:rPr>
                <w:sz w:val="24"/>
              </w:rPr>
              <w:t>备注</w:t>
            </w:r>
          </w:p>
        </w:tc>
      </w:tr>
      <w:tr w14:paraId="2BCB7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0305376">
            <w:pPr>
              <w:spacing w:line="460" w:lineRule="exact"/>
              <w:jc w:val="center"/>
              <w:rPr>
                <w:sz w:val="24"/>
              </w:rPr>
            </w:pPr>
            <w:r>
              <w:rPr>
                <w:sz w:val="24"/>
              </w:rPr>
              <w:t>1</w:t>
            </w:r>
          </w:p>
        </w:tc>
        <w:tc>
          <w:tcPr>
            <w:tcW w:w="1838" w:type="pct"/>
            <w:vAlign w:val="center"/>
          </w:tcPr>
          <w:p w14:paraId="29F15C0E">
            <w:pPr>
              <w:spacing w:line="460" w:lineRule="exact"/>
              <w:jc w:val="center"/>
              <w:rPr>
                <w:sz w:val="24"/>
              </w:rPr>
            </w:pPr>
          </w:p>
        </w:tc>
        <w:tc>
          <w:tcPr>
            <w:tcW w:w="582" w:type="pct"/>
            <w:vAlign w:val="center"/>
          </w:tcPr>
          <w:p w14:paraId="123CE857">
            <w:pPr>
              <w:spacing w:line="460" w:lineRule="exact"/>
              <w:jc w:val="center"/>
              <w:rPr>
                <w:sz w:val="24"/>
              </w:rPr>
            </w:pPr>
          </w:p>
        </w:tc>
        <w:tc>
          <w:tcPr>
            <w:tcW w:w="915" w:type="pct"/>
            <w:vAlign w:val="center"/>
          </w:tcPr>
          <w:p w14:paraId="302799ED">
            <w:pPr>
              <w:spacing w:line="460" w:lineRule="exact"/>
              <w:jc w:val="center"/>
              <w:rPr>
                <w:sz w:val="24"/>
              </w:rPr>
            </w:pPr>
          </w:p>
        </w:tc>
        <w:tc>
          <w:tcPr>
            <w:tcW w:w="1113" w:type="pct"/>
            <w:vAlign w:val="center"/>
          </w:tcPr>
          <w:p w14:paraId="6E07C03D">
            <w:pPr>
              <w:spacing w:line="460" w:lineRule="exact"/>
              <w:jc w:val="center"/>
              <w:rPr>
                <w:sz w:val="24"/>
              </w:rPr>
            </w:pPr>
          </w:p>
        </w:tc>
      </w:tr>
      <w:tr w14:paraId="3C1F8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7B54D97F">
            <w:pPr>
              <w:spacing w:line="460" w:lineRule="exact"/>
              <w:jc w:val="center"/>
              <w:rPr>
                <w:sz w:val="24"/>
              </w:rPr>
            </w:pPr>
            <w:r>
              <w:rPr>
                <w:rFonts w:hint="eastAsia"/>
                <w:sz w:val="24"/>
              </w:rPr>
              <w:t>2</w:t>
            </w:r>
          </w:p>
        </w:tc>
        <w:tc>
          <w:tcPr>
            <w:tcW w:w="1838" w:type="pct"/>
            <w:vAlign w:val="center"/>
          </w:tcPr>
          <w:p w14:paraId="3D161773">
            <w:pPr>
              <w:spacing w:line="460" w:lineRule="exact"/>
              <w:jc w:val="center"/>
              <w:rPr>
                <w:sz w:val="24"/>
              </w:rPr>
            </w:pPr>
          </w:p>
        </w:tc>
        <w:tc>
          <w:tcPr>
            <w:tcW w:w="582" w:type="pct"/>
            <w:vAlign w:val="center"/>
          </w:tcPr>
          <w:p w14:paraId="3E675DB3">
            <w:pPr>
              <w:spacing w:line="460" w:lineRule="exact"/>
              <w:jc w:val="center"/>
              <w:rPr>
                <w:sz w:val="24"/>
              </w:rPr>
            </w:pPr>
          </w:p>
        </w:tc>
        <w:tc>
          <w:tcPr>
            <w:tcW w:w="915" w:type="pct"/>
            <w:vAlign w:val="center"/>
          </w:tcPr>
          <w:p w14:paraId="5E20B7A0">
            <w:pPr>
              <w:spacing w:line="460" w:lineRule="exact"/>
              <w:jc w:val="center"/>
              <w:rPr>
                <w:sz w:val="24"/>
              </w:rPr>
            </w:pPr>
          </w:p>
        </w:tc>
        <w:tc>
          <w:tcPr>
            <w:tcW w:w="1113" w:type="pct"/>
            <w:vAlign w:val="center"/>
          </w:tcPr>
          <w:p w14:paraId="580030C5">
            <w:pPr>
              <w:spacing w:line="460" w:lineRule="exact"/>
              <w:jc w:val="center"/>
              <w:rPr>
                <w:sz w:val="24"/>
              </w:rPr>
            </w:pPr>
          </w:p>
        </w:tc>
      </w:tr>
      <w:tr w14:paraId="0F9F5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784E2A1">
            <w:pPr>
              <w:spacing w:line="460" w:lineRule="exact"/>
              <w:jc w:val="center"/>
              <w:rPr>
                <w:sz w:val="24"/>
              </w:rPr>
            </w:pPr>
          </w:p>
        </w:tc>
        <w:tc>
          <w:tcPr>
            <w:tcW w:w="1838" w:type="pct"/>
            <w:vAlign w:val="center"/>
          </w:tcPr>
          <w:p w14:paraId="13722E83">
            <w:pPr>
              <w:spacing w:line="460" w:lineRule="exact"/>
              <w:jc w:val="center"/>
              <w:rPr>
                <w:sz w:val="24"/>
              </w:rPr>
            </w:pPr>
          </w:p>
        </w:tc>
        <w:tc>
          <w:tcPr>
            <w:tcW w:w="582" w:type="pct"/>
            <w:vAlign w:val="center"/>
          </w:tcPr>
          <w:p w14:paraId="6FB26E4E">
            <w:pPr>
              <w:spacing w:line="460" w:lineRule="exact"/>
              <w:jc w:val="center"/>
              <w:rPr>
                <w:sz w:val="24"/>
              </w:rPr>
            </w:pPr>
          </w:p>
        </w:tc>
        <w:tc>
          <w:tcPr>
            <w:tcW w:w="915" w:type="pct"/>
            <w:vAlign w:val="center"/>
          </w:tcPr>
          <w:p w14:paraId="17FE95C6">
            <w:pPr>
              <w:spacing w:line="460" w:lineRule="exact"/>
              <w:jc w:val="center"/>
              <w:rPr>
                <w:sz w:val="24"/>
              </w:rPr>
            </w:pPr>
          </w:p>
        </w:tc>
        <w:tc>
          <w:tcPr>
            <w:tcW w:w="1113" w:type="pct"/>
            <w:vAlign w:val="center"/>
          </w:tcPr>
          <w:p w14:paraId="3C9CE78D">
            <w:pPr>
              <w:spacing w:line="460" w:lineRule="exact"/>
              <w:jc w:val="center"/>
              <w:rPr>
                <w:sz w:val="24"/>
              </w:rPr>
            </w:pPr>
          </w:p>
        </w:tc>
      </w:tr>
      <w:tr w14:paraId="5F92B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F598A54">
            <w:pPr>
              <w:spacing w:line="460" w:lineRule="exact"/>
              <w:jc w:val="center"/>
              <w:rPr>
                <w:sz w:val="24"/>
              </w:rPr>
            </w:pPr>
          </w:p>
        </w:tc>
        <w:tc>
          <w:tcPr>
            <w:tcW w:w="1838" w:type="pct"/>
            <w:vAlign w:val="center"/>
          </w:tcPr>
          <w:p w14:paraId="6B00F14D">
            <w:pPr>
              <w:spacing w:line="460" w:lineRule="exact"/>
              <w:jc w:val="center"/>
              <w:rPr>
                <w:sz w:val="24"/>
              </w:rPr>
            </w:pPr>
          </w:p>
        </w:tc>
        <w:tc>
          <w:tcPr>
            <w:tcW w:w="582" w:type="pct"/>
            <w:vAlign w:val="center"/>
          </w:tcPr>
          <w:p w14:paraId="7A407FEB">
            <w:pPr>
              <w:spacing w:line="460" w:lineRule="exact"/>
              <w:jc w:val="center"/>
              <w:rPr>
                <w:sz w:val="24"/>
              </w:rPr>
            </w:pPr>
          </w:p>
        </w:tc>
        <w:tc>
          <w:tcPr>
            <w:tcW w:w="915" w:type="pct"/>
            <w:vAlign w:val="center"/>
          </w:tcPr>
          <w:p w14:paraId="2A5820A1">
            <w:pPr>
              <w:spacing w:line="460" w:lineRule="exact"/>
              <w:jc w:val="center"/>
              <w:rPr>
                <w:sz w:val="24"/>
              </w:rPr>
            </w:pPr>
          </w:p>
        </w:tc>
        <w:tc>
          <w:tcPr>
            <w:tcW w:w="1113" w:type="pct"/>
            <w:vAlign w:val="center"/>
          </w:tcPr>
          <w:p w14:paraId="58C19EEC">
            <w:pPr>
              <w:spacing w:line="460" w:lineRule="exact"/>
              <w:jc w:val="center"/>
              <w:rPr>
                <w:sz w:val="24"/>
              </w:rPr>
            </w:pPr>
          </w:p>
        </w:tc>
      </w:tr>
      <w:tr w14:paraId="5E261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3B7D5DEB">
            <w:pPr>
              <w:spacing w:line="460" w:lineRule="exact"/>
              <w:jc w:val="center"/>
              <w:rPr>
                <w:sz w:val="24"/>
              </w:rPr>
            </w:pPr>
          </w:p>
        </w:tc>
        <w:tc>
          <w:tcPr>
            <w:tcW w:w="1838" w:type="pct"/>
            <w:vAlign w:val="center"/>
          </w:tcPr>
          <w:p w14:paraId="4567DD0A">
            <w:pPr>
              <w:spacing w:line="460" w:lineRule="exact"/>
              <w:jc w:val="center"/>
              <w:rPr>
                <w:sz w:val="24"/>
              </w:rPr>
            </w:pPr>
          </w:p>
        </w:tc>
        <w:tc>
          <w:tcPr>
            <w:tcW w:w="582" w:type="pct"/>
            <w:vAlign w:val="center"/>
          </w:tcPr>
          <w:p w14:paraId="13C91EE6">
            <w:pPr>
              <w:spacing w:line="460" w:lineRule="exact"/>
              <w:jc w:val="center"/>
              <w:rPr>
                <w:sz w:val="24"/>
              </w:rPr>
            </w:pPr>
          </w:p>
        </w:tc>
        <w:tc>
          <w:tcPr>
            <w:tcW w:w="915" w:type="pct"/>
            <w:vAlign w:val="center"/>
          </w:tcPr>
          <w:p w14:paraId="7A556CA6">
            <w:pPr>
              <w:spacing w:line="460" w:lineRule="exact"/>
              <w:jc w:val="center"/>
              <w:rPr>
                <w:sz w:val="24"/>
              </w:rPr>
            </w:pPr>
          </w:p>
        </w:tc>
        <w:tc>
          <w:tcPr>
            <w:tcW w:w="1113" w:type="pct"/>
            <w:vAlign w:val="center"/>
          </w:tcPr>
          <w:p w14:paraId="30E98B0F">
            <w:pPr>
              <w:spacing w:line="460" w:lineRule="exact"/>
              <w:jc w:val="center"/>
              <w:rPr>
                <w:sz w:val="24"/>
              </w:rPr>
            </w:pPr>
          </w:p>
        </w:tc>
      </w:tr>
      <w:tr w14:paraId="675FF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C8812DB">
            <w:pPr>
              <w:spacing w:line="460" w:lineRule="exact"/>
              <w:jc w:val="center"/>
              <w:rPr>
                <w:sz w:val="24"/>
              </w:rPr>
            </w:pPr>
          </w:p>
        </w:tc>
        <w:tc>
          <w:tcPr>
            <w:tcW w:w="1838" w:type="pct"/>
            <w:vAlign w:val="center"/>
          </w:tcPr>
          <w:p w14:paraId="5E13196E">
            <w:pPr>
              <w:spacing w:line="460" w:lineRule="exact"/>
              <w:jc w:val="center"/>
              <w:rPr>
                <w:sz w:val="24"/>
              </w:rPr>
            </w:pPr>
          </w:p>
        </w:tc>
        <w:tc>
          <w:tcPr>
            <w:tcW w:w="582" w:type="pct"/>
            <w:vAlign w:val="center"/>
          </w:tcPr>
          <w:p w14:paraId="77FFFC06">
            <w:pPr>
              <w:spacing w:line="460" w:lineRule="exact"/>
              <w:jc w:val="center"/>
              <w:rPr>
                <w:sz w:val="24"/>
              </w:rPr>
            </w:pPr>
          </w:p>
        </w:tc>
        <w:tc>
          <w:tcPr>
            <w:tcW w:w="915" w:type="pct"/>
            <w:vAlign w:val="center"/>
          </w:tcPr>
          <w:p w14:paraId="2E7A3DC8">
            <w:pPr>
              <w:spacing w:line="460" w:lineRule="exact"/>
              <w:jc w:val="center"/>
              <w:rPr>
                <w:sz w:val="24"/>
              </w:rPr>
            </w:pPr>
          </w:p>
        </w:tc>
        <w:tc>
          <w:tcPr>
            <w:tcW w:w="1113" w:type="pct"/>
            <w:vAlign w:val="center"/>
          </w:tcPr>
          <w:p w14:paraId="51AD0DD4">
            <w:pPr>
              <w:spacing w:line="460" w:lineRule="exact"/>
              <w:jc w:val="center"/>
              <w:rPr>
                <w:sz w:val="24"/>
              </w:rPr>
            </w:pPr>
          </w:p>
        </w:tc>
      </w:tr>
      <w:tr w14:paraId="79B49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AAA9414">
            <w:pPr>
              <w:spacing w:line="460" w:lineRule="exact"/>
              <w:jc w:val="center"/>
              <w:rPr>
                <w:sz w:val="24"/>
              </w:rPr>
            </w:pPr>
          </w:p>
        </w:tc>
        <w:tc>
          <w:tcPr>
            <w:tcW w:w="1838" w:type="pct"/>
            <w:vAlign w:val="center"/>
          </w:tcPr>
          <w:p w14:paraId="03E900F9">
            <w:pPr>
              <w:spacing w:line="460" w:lineRule="exact"/>
              <w:jc w:val="center"/>
              <w:rPr>
                <w:sz w:val="24"/>
              </w:rPr>
            </w:pPr>
          </w:p>
        </w:tc>
        <w:tc>
          <w:tcPr>
            <w:tcW w:w="582" w:type="pct"/>
            <w:vAlign w:val="center"/>
          </w:tcPr>
          <w:p w14:paraId="5AE22EFD">
            <w:pPr>
              <w:spacing w:line="460" w:lineRule="exact"/>
              <w:jc w:val="center"/>
              <w:rPr>
                <w:sz w:val="24"/>
              </w:rPr>
            </w:pPr>
          </w:p>
        </w:tc>
        <w:tc>
          <w:tcPr>
            <w:tcW w:w="915" w:type="pct"/>
            <w:vAlign w:val="center"/>
          </w:tcPr>
          <w:p w14:paraId="6804F13D">
            <w:pPr>
              <w:spacing w:line="460" w:lineRule="exact"/>
              <w:jc w:val="center"/>
              <w:rPr>
                <w:sz w:val="24"/>
              </w:rPr>
            </w:pPr>
          </w:p>
        </w:tc>
        <w:tc>
          <w:tcPr>
            <w:tcW w:w="1113" w:type="pct"/>
            <w:vAlign w:val="center"/>
          </w:tcPr>
          <w:p w14:paraId="091CC219">
            <w:pPr>
              <w:spacing w:line="460" w:lineRule="exact"/>
              <w:jc w:val="center"/>
              <w:rPr>
                <w:sz w:val="24"/>
              </w:rPr>
            </w:pPr>
          </w:p>
        </w:tc>
      </w:tr>
      <w:tr w14:paraId="2BAE0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0205FC4">
            <w:pPr>
              <w:spacing w:line="460" w:lineRule="exact"/>
              <w:jc w:val="center"/>
              <w:rPr>
                <w:sz w:val="24"/>
              </w:rPr>
            </w:pPr>
            <w:r>
              <w:rPr>
                <w:sz w:val="24"/>
              </w:rPr>
              <w:t>…</w:t>
            </w:r>
          </w:p>
        </w:tc>
        <w:tc>
          <w:tcPr>
            <w:tcW w:w="1838" w:type="pct"/>
            <w:vAlign w:val="center"/>
          </w:tcPr>
          <w:p w14:paraId="2E12E5EA">
            <w:pPr>
              <w:spacing w:line="460" w:lineRule="exact"/>
              <w:jc w:val="center"/>
              <w:rPr>
                <w:sz w:val="24"/>
              </w:rPr>
            </w:pPr>
          </w:p>
        </w:tc>
        <w:tc>
          <w:tcPr>
            <w:tcW w:w="582" w:type="pct"/>
            <w:vAlign w:val="center"/>
          </w:tcPr>
          <w:p w14:paraId="144DC415">
            <w:pPr>
              <w:spacing w:line="460" w:lineRule="exact"/>
              <w:jc w:val="center"/>
              <w:rPr>
                <w:sz w:val="24"/>
              </w:rPr>
            </w:pPr>
          </w:p>
        </w:tc>
        <w:tc>
          <w:tcPr>
            <w:tcW w:w="915" w:type="pct"/>
            <w:vAlign w:val="center"/>
          </w:tcPr>
          <w:p w14:paraId="30B69C70">
            <w:pPr>
              <w:spacing w:line="460" w:lineRule="exact"/>
              <w:jc w:val="center"/>
              <w:rPr>
                <w:sz w:val="24"/>
              </w:rPr>
            </w:pPr>
          </w:p>
        </w:tc>
        <w:tc>
          <w:tcPr>
            <w:tcW w:w="1113" w:type="pct"/>
            <w:vAlign w:val="center"/>
          </w:tcPr>
          <w:p w14:paraId="5AF8CB56">
            <w:pPr>
              <w:spacing w:line="460" w:lineRule="exact"/>
              <w:jc w:val="center"/>
              <w:rPr>
                <w:sz w:val="24"/>
              </w:rPr>
            </w:pPr>
          </w:p>
        </w:tc>
      </w:tr>
      <w:tr w14:paraId="5F6F0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1498A90">
            <w:pPr>
              <w:spacing w:line="460" w:lineRule="exact"/>
              <w:jc w:val="center"/>
              <w:rPr>
                <w:sz w:val="24"/>
              </w:rPr>
            </w:pPr>
          </w:p>
        </w:tc>
        <w:tc>
          <w:tcPr>
            <w:tcW w:w="1838" w:type="pct"/>
            <w:vAlign w:val="center"/>
          </w:tcPr>
          <w:p w14:paraId="372A151C">
            <w:pPr>
              <w:spacing w:line="460" w:lineRule="exact"/>
              <w:jc w:val="center"/>
              <w:rPr>
                <w:sz w:val="24"/>
              </w:rPr>
            </w:pPr>
          </w:p>
        </w:tc>
        <w:tc>
          <w:tcPr>
            <w:tcW w:w="582" w:type="pct"/>
            <w:vAlign w:val="center"/>
          </w:tcPr>
          <w:p w14:paraId="0CE9931D">
            <w:pPr>
              <w:spacing w:line="460" w:lineRule="exact"/>
              <w:jc w:val="center"/>
              <w:rPr>
                <w:sz w:val="24"/>
              </w:rPr>
            </w:pPr>
          </w:p>
        </w:tc>
        <w:tc>
          <w:tcPr>
            <w:tcW w:w="915" w:type="pct"/>
            <w:vAlign w:val="center"/>
          </w:tcPr>
          <w:p w14:paraId="0EBC4BCC">
            <w:pPr>
              <w:spacing w:line="460" w:lineRule="exact"/>
              <w:jc w:val="center"/>
              <w:rPr>
                <w:sz w:val="24"/>
              </w:rPr>
            </w:pPr>
          </w:p>
        </w:tc>
        <w:tc>
          <w:tcPr>
            <w:tcW w:w="1113" w:type="pct"/>
            <w:vAlign w:val="center"/>
          </w:tcPr>
          <w:p w14:paraId="248FFA92">
            <w:pPr>
              <w:spacing w:line="460" w:lineRule="exact"/>
              <w:jc w:val="center"/>
              <w:rPr>
                <w:sz w:val="24"/>
              </w:rPr>
            </w:pPr>
          </w:p>
        </w:tc>
      </w:tr>
      <w:tr w14:paraId="727B3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59C831">
            <w:pPr>
              <w:spacing w:line="460" w:lineRule="exact"/>
              <w:jc w:val="center"/>
              <w:rPr>
                <w:sz w:val="24"/>
              </w:rPr>
            </w:pPr>
          </w:p>
        </w:tc>
        <w:tc>
          <w:tcPr>
            <w:tcW w:w="1838" w:type="pct"/>
            <w:vAlign w:val="center"/>
          </w:tcPr>
          <w:p w14:paraId="1F2D3EF5">
            <w:pPr>
              <w:spacing w:line="460" w:lineRule="exact"/>
              <w:jc w:val="center"/>
              <w:rPr>
                <w:sz w:val="24"/>
              </w:rPr>
            </w:pPr>
          </w:p>
        </w:tc>
        <w:tc>
          <w:tcPr>
            <w:tcW w:w="582" w:type="pct"/>
            <w:vAlign w:val="center"/>
          </w:tcPr>
          <w:p w14:paraId="1E6F6DDC">
            <w:pPr>
              <w:spacing w:line="460" w:lineRule="exact"/>
              <w:jc w:val="center"/>
              <w:rPr>
                <w:sz w:val="24"/>
              </w:rPr>
            </w:pPr>
          </w:p>
        </w:tc>
        <w:tc>
          <w:tcPr>
            <w:tcW w:w="915" w:type="pct"/>
            <w:vAlign w:val="center"/>
          </w:tcPr>
          <w:p w14:paraId="48D8D568">
            <w:pPr>
              <w:spacing w:line="460" w:lineRule="exact"/>
              <w:jc w:val="center"/>
              <w:rPr>
                <w:sz w:val="24"/>
              </w:rPr>
            </w:pPr>
          </w:p>
        </w:tc>
        <w:tc>
          <w:tcPr>
            <w:tcW w:w="1113" w:type="pct"/>
            <w:vAlign w:val="center"/>
          </w:tcPr>
          <w:p w14:paraId="22F71E70">
            <w:pPr>
              <w:spacing w:line="460" w:lineRule="exact"/>
              <w:jc w:val="center"/>
              <w:rPr>
                <w:sz w:val="24"/>
              </w:rPr>
            </w:pPr>
          </w:p>
        </w:tc>
      </w:tr>
    </w:tbl>
    <w:p w14:paraId="18B688D4">
      <w:pPr>
        <w:spacing w:line="360" w:lineRule="auto"/>
        <w:ind w:firstLine="4080" w:firstLineChars="1700"/>
        <w:rPr>
          <w:sz w:val="24"/>
          <w:szCs w:val="24"/>
        </w:rPr>
      </w:pPr>
    </w:p>
    <w:p w14:paraId="094B4134">
      <w:pPr>
        <w:spacing w:line="360" w:lineRule="auto"/>
        <w:ind w:firstLine="4080" w:firstLineChars="1700"/>
        <w:rPr>
          <w:sz w:val="24"/>
          <w:szCs w:val="24"/>
        </w:rPr>
      </w:pPr>
    </w:p>
    <w:p w14:paraId="39661100">
      <w:pPr>
        <w:spacing w:line="360" w:lineRule="auto"/>
        <w:ind w:firstLine="4080" w:firstLineChars="1700"/>
        <w:rPr>
          <w:sz w:val="24"/>
          <w:szCs w:val="24"/>
        </w:rPr>
      </w:pPr>
    </w:p>
    <w:p w14:paraId="2564B233">
      <w:pPr>
        <w:spacing w:line="360" w:lineRule="auto"/>
        <w:ind w:firstLine="4080" w:firstLineChars="1700"/>
        <w:rPr>
          <w:sz w:val="24"/>
        </w:rPr>
      </w:pPr>
      <w:r>
        <w:rPr>
          <w:sz w:val="24"/>
        </w:rPr>
        <w:t>供应商名称：</w:t>
      </w:r>
    </w:p>
    <w:p w14:paraId="4C45DC4D">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4356C77">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4A16BC71">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00E8B8DC">
      <w:pPr>
        <w:tabs>
          <w:tab w:val="left" w:pos="360"/>
        </w:tabs>
        <w:spacing w:line="560" w:lineRule="exact"/>
        <w:jc w:val="center"/>
        <w:rPr>
          <w:b/>
          <w:sz w:val="24"/>
        </w:rPr>
      </w:pPr>
      <w:r>
        <w:rPr>
          <w:b/>
          <w:sz w:val="24"/>
        </w:rPr>
        <w:t>报价分项一览表</w:t>
      </w:r>
    </w:p>
    <w:p w14:paraId="7DAF2492">
      <w:pPr>
        <w:tabs>
          <w:tab w:val="left" w:pos="360"/>
        </w:tabs>
        <w:spacing w:line="560" w:lineRule="exact"/>
        <w:jc w:val="center"/>
        <w:rPr>
          <w:b/>
          <w:sz w:val="24"/>
        </w:rPr>
      </w:pPr>
    </w:p>
    <w:p w14:paraId="29BC618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00F03261">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47E6945B">
      <w:pPr>
        <w:spacing w:line="460" w:lineRule="exact"/>
        <w:rPr>
          <w:sz w:val="24"/>
          <w:u w:val="single"/>
        </w:rPr>
      </w:pPr>
      <w:r>
        <w:rPr>
          <w:sz w:val="24"/>
        </w:rPr>
        <w:t>包号：</w:t>
      </w:r>
      <w:r>
        <w:rPr>
          <w:sz w:val="24"/>
          <w:u w:val="single"/>
        </w:rPr>
        <w:t xml:space="preserve">                        </w:t>
      </w:r>
    </w:p>
    <w:p w14:paraId="3687DCBC">
      <w:pPr>
        <w:spacing w:line="460" w:lineRule="exact"/>
        <w:rPr>
          <w:b/>
          <w:sz w:val="24"/>
        </w:rPr>
      </w:pPr>
      <w:r>
        <w:rPr>
          <w:sz w:val="24"/>
        </w:rPr>
        <w:t xml:space="preserve">                                                              单位：元</w:t>
      </w:r>
    </w:p>
    <w:tbl>
      <w:tblPr>
        <w:tblStyle w:val="3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C115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D4D0912">
            <w:pPr>
              <w:widowControl/>
              <w:jc w:val="center"/>
              <w:rPr>
                <w:b/>
                <w:bCs/>
                <w:kern w:val="0"/>
                <w:sz w:val="24"/>
                <w:szCs w:val="24"/>
              </w:rPr>
            </w:pPr>
            <w:r>
              <w:rPr>
                <w:b/>
                <w:bCs/>
                <w:kern w:val="0"/>
                <w:sz w:val="24"/>
                <w:szCs w:val="24"/>
              </w:rPr>
              <w:t>项号</w:t>
            </w:r>
          </w:p>
        </w:tc>
        <w:tc>
          <w:tcPr>
            <w:tcW w:w="2349" w:type="dxa"/>
            <w:vAlign w:val="center"/>
          </w:tcPr>
          <w:p w14:paraId="4EEBAE1A">
            <w:pPr>
              <w:widowControl/>
              <w:jc w:val="center"/>
              <w:rPr>
                <w:b/>
                <w:bCs/>
                <w:kern w:val="0"/>
                <w:sz w:val="24"/>
                <w:szCs w:val="24"/>
              </w:rPr>
            </w:pPr>
            <w:r>
              <w:rPr>
                <w:b/>
                <w:bCs/>
                <w:kern w:val="0"/>
                <w:sz w:val="24"/>
                <w:szCs w:val="24"/>
              </w:rPr>
              <w:t>服务名称</w:t>
            </w:r>
          </w:p>
        </w:tc>
        <w:tc>
          <w:tcPr>
            <w:tcW w:w="1701" w:type="dxa"/>
            <w:vAlign w:val="center"/>
          </w:tcPr>
          <w:p w14:paraId="40A8D602">
            <w:pPr>
              <w:widowControl/>
              <w:jc w:val="center"/>
              <w:rPr>
                <w:b/>
                <w:bCs/>
                <w:kern w:val="0"/>
                <w:sz w:val="24"/>
                <w:szCs w:val="24"/>
              </w:rPr>
            </w:pPr>
            <w:r>
              <w:rPr>
                <w:b/>
                <w:bCs/>
                <w:kern w:val="0"/>
                <w:sz w:val="24"/>
                <w:szCs w:val="24"/>
              </w:rPr>
              <w:t>总价</w:t>
            </w:r>
          </w:p>
        </w:tc>
        <w:tc>
          <w:tcPr>
            <w:tcW w:w="2238" w:type="dxa"/>
            <w:vAlign w:val="center"/>
          </w:tcPr>
          <w:p w14:paraId="5C0DD2F3">
            <w:pPr>
              <w:widowControl/>
              <w:jc w:val="center"/>
              <w:rPr>
                <w:b/>
                <w:bCs/>
                <w:kern w:val="0"/>
                <w:sz w:val="24"/>
                <w:szCs w:val="24"/>
              </w:rPr>
            </w:pPr>
            <w:r>
              <w:rPr>
                <w:b/>
                <w:bCs/>
                <w:kern w:val="0"/>
                <w:sz w:val="24"/>
                <w:szCs w:val="24"/>
              </w:rPr>
              <w:t>数量</w:t>
            </w:r>
          </w:p>
        </w:tc>
        <w:tc>
          <w:tcPr>
            <w:tcW w:w="1848" w:type="dxa"/>
            <w:vAlign w:val="center"/>
          </w:tcPr>
          <w:p w14:paraId="20EB0A68">
            <w:pPr>
              <w:widowControl/>
              <w:jc w:val="center"/>
              <w:rPr>
                <w:b/>
                <w:bCs/>
                <w:kern w:val="0"/>
                <w:sz w:val="24"/>
                <w:szCs w:val="24"/>
              </w:rPr>
            </w:pPr>
            <w:r>
              <w:rPr>
                <w:b/>
                <w:bCs/>
                <w:kern w:val="0"/>
                <w:sz w:val="24"/>
                <w:szCs w:val="24"/>
              </w:rPr>
              <w:t>备注</w:t>
            </w:r>
          </w:p>
        </w:tc>
      </w:tr>
      <w:tr w14:paraId="3076D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415C98F">
            <w:pPr>
              <w:widowControl/>
              <w:jc w:val="center"/>
              <w:rPr>
                <w:kern w:val="0"/>
                <w:sz w:val="24"/>
                <w:szCs w:val="24"/>
              </w:rPr>
            </w:pPr>
            <w:r>
              <w:rPr>
                <w:kern w:val="0"/>
                <w:sz w:val="24"/>
                <w:szCs w:val="24"/>
              </w:rPr>
              <w:t>1</w:t>
            </w:r>
          </w:p>
        </w:tc>
        <w:tc>
          <w:tcPr>
            <w:tcW w:w="2349" w:type="dxa"/>
            <w:vAlign w:val="center"/>
          </w:tcPr>
          <w:p w14:paraId="7D948E71">
            <w:pPr>
              <w:widowControl/>
              <w:jc w:val="center"/>
              <w:rPr>
                <w:kern w:val="0"/>
                <w:sz w:val="24"/>
                <w:szCs w:val="24"/>
              </w:rPr>
            </w:pPr>
          </w:p>
        </w:tc>
        <w:tc>
          <w:tcPr>
            <w:tcW w:w="1701" w:type="dxa"/>
            <w:vAlign w:val="center"/>
          </w:tcPr>
          <w:p w14:paraId="62B35220">
            <w:pPr>
              <w:widowControl/>
              <w:jc w:val="center"/>
              <w:rPr>
                <w:kern w:val="0"/>
                <w:sz w:val="24"/>
                <w:szCs w:val="24"/>
              </w:rPr>
            </w:pPr>
          </w:p>
        </w:tc>
        <w:tc>
          <w:tcPr>
            <w:tcW w:w="2238" w:type="dxa"/>
            <w:vAlign w:val="center"/>
          </w:tcPr>
          <w:p w14:paraId="75918935">
            <w:pPr>
              <w:widowControl/>
              <w:jc w:val="center"/>
              <w:rPr>
                <w:sz w:val="24"/>
                <w:szCs w:val="24"/>
              </w:rPr>
            </w:pPr>
            <w:r>
              <w:rPr>
                <w:sz w:val="24"/>
                <w:szCs w:val="24"/>
              </w:rPr>
              <w:t>1项</w:t>
            </w:r>
          </w:p>
        </w:tc>
        <w:tc>
          <w:tcPr>
            <w:tcW w:w="1848" w:type="dxa"/>
            <w:vAlign w:val="center"/>
          </w:tcPr>
          <w:p w14:paraId="1DED1150">
            <w:pPr>
              <w:widowControl/>
              <w:jc w:val="center"/>
              <w:rPr>
                <w:sz w:val="24"/>
                <w:szCs w:val="24"/>
              </w:rPr>
            </w:pPr>
          </w:p>
        </w:tc>
      </w:tr>
      <w:tr w14:paraId="646D4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152B617">
            <w:pPr>
              <w:widowControl/>
              <w:jc w:val="left"/>
              <w:rPr>
                <w:kern w:val="0"/>
                <w:sz w:val="24"/>
                <w:szCs w:val="24"/>
              </w:rPr>
            </w:pPr>
            <w:r>
              <w:rPr>
                <w:kern w:val="0"/>
                <w:sz w:val="24"/>
                <w:szCs w:val="24"/>
              </w:rPr>
              <w:t>其中</w:t>
            </w:r>
          </w:p>
        </w:tc>
      </w:tr>
      <w:tr w14:paraId="281E9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8E29502">
            <w:pPr>
              <w:widowControl/>
              <w:jc w:val="left"/>
              <w:rPr>
                <w:b/>
                <w:sz w:val="24"/>
                <w:szCs w:val="24"/>
              </w:rPr>
            </w:pPr>
            <w:r>
              <w:rPr>
                <w:b/>
                <w:sz w:val="24"/>
                <w:szCs w:val="24"/>
              </w:rPr>
              <w:t>分项名称</w:t>
            </w:r>
          </w:p>
        </w:tc>
        <w:tc>
          <w:tcPr>
            <w:tcW w:w="1701" w:type="dxa"/>
            <w:vAlign w:val="center"/>
          </w:tcPr>
          <w:p w14:paraId="20BA316A">
            <w:pPr>
              <w:widowControl/>
              <w:jc w:val="center"/>
              <w:rPr>
                <w:b/>
                <w:kern w:val="0"/>
                <w:sz w:val="24"/>
                <w:szCs w:val="24"/>
              </w:rPr>
            </w:pPr>
            <w:r>
              <w:rPr>
                <w:b/>
                <w:kern w:val="0"/>
                <w:sz w:val="24"/>
                <w:szCs w:val="24"/>
              </w:rPr>
              <w:t>价格</w:t>
            </w:r>
          </w:p>
        </w:tc>
        <w:tc>
          <w:tcPr>
            <w:tcW w:w="2238" w:type="dxa"/>
            <w:vAlign w:val="center"/>
          </w:tcPr>
          <w:p w14:paraId="62FAC226">
            <w:pPr>
              <w:widowControl/>
              <w:jc w:val="center"/>
              <w:rPr>
                <w:b/>
                <w:kern w:val="0"/>
                <w:sz w:val="24"/>
                <w:szCs w:val="24"/>
              </w:rPr>
            </w:pPr>
            <w:r>
              <w:rPr>
                <w:b/>
                <w:kern w:val="0"/>
                <w:sz w:val="24"/>
                <w:szCs w:val="24"/>
              </w:rPr>
              <w:t>数量</w:t>
            </w:r>
          </w:p>
        </w:tc>
        <w:tc>
          <w:tcPr>
            <w:tcW w:w="1848" w:type="dxa"/>
            <w:vAlign w:val="center"/>
          </w:tcPr>
          <w:p w14:paraId="3FE4463C">
            <w:pPr>
              <w:widowControl/>
              <w:jc w:val="center"/>
              <w:rPr>
                <w:b/>
                <w:bCs/>
                <w:kern w:val="0"/>
                <w:sz w:val="24"/>
                <w:szCs w:val="24"/>
              </w:rPr>
            </w:pPr>
            <w:r>
              <w:rPr>
                <w:b/>
                <w:bCs/>
                <w:kern w:val="0"/>
                <w:sz w:val="24"/>
                <w:szCs w:val="24"/>
              </w:rPr>
              <w:t>备注</w:t>
            </w:r>
          </w:p>
        </w:tc>
      </w:tr>
      <w:tr w14:paraId="03F87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482F11F">
            <w:pPr>
              <w:widowControl/>
              <w:jc w:val="left"/>
              <w:rPr>
                <w:kern w:val="0"/>
                <w:sz w:val="24"/>
                <w:szCs w:val="24"/>
              </w:rPr>
            </w:pPr>
          </w:p>
        </w:tc>
        <w:tc>
          <w:tcPr>
            <w:tcW w:w="1701" w:type="dxa"/>
            <w:vAlign w:val="center"/>
          </w:tcPr>
          <w:p w14:paraId="373E5350">
            <w:pPr>
              <w:widowControl/>
              <w:jc w:val="center"/>
              <w:rPr>
                <w:kern w:val="0"/>
                <w:sz w:val="24"/>
                <w:szCs w:val="24"/>
              </w:rPr>
            </w:pPr>
          </w:p>
        </w:tc>
        <w:tc>
          <w:tcPr>
            <w:tcW w:w="2238" w:type="dxa"/>
            <w:vAlign w:val="center"/>
          </w:tcPr>
          <w:p w14:paraId="6D0C7303">
            <w:pPr>
              <w:widowControl/>
              <w:jc w:val="center"/>
              <w:rPr>
                <w:kern w:val="0"/>
                <w:sz w:val="24"/>
                <w:szCs w:val="24"/>
              </w:rPr>
            </w:pPr>
          </w:p>
        </w:tc>
        <w:tc>
          <w:tcPr>
            <w:tcW w:w="1848" w:type="dxa"/>
            <w:vAlign w:val="center"/>
          </w:tcPr>
          <w:p w14:paraId="1C60C72C">
            <w:pPr>
              <w:widowControl/>
              <w:jc w:val="center"/>
              <w:rPr>
                <w:sz w:val="24"/>
                <w:szCs w:val="24"/>
              </w:rPr>
            </w:pPr>
          </w:p>
        </w:tc>
      </w:tr>
      <w:tr w14:paraId="1C017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015D88">
            <w:pPr>
              <w:widowControl/>
              <w:jc w:val="left"/>
              <w:rPr>
                <w:kern w:val="0"/>
                <w:sz w:val="24"/>
                <w:szCs w:val="24"/>
              </w:rPr>
            </w:pPr>
          </w:p>
        </w:tc>
        <w:tc>
          <w:tcPr>
            <w:tcW w:w="1701" w:type="dxa"/>
            <w:vAlign w:val="center"/>
          </w:tcPr>
          <w:p w14:paraId="2D8B9286">
            <w:pPr>
              <w:widowControl/>
              <w:jc w:val="center"/>
              <w:rPr>
                <w:kern w:val="0"/>
                <w:sz w:val="24"/>
                <w:szCs w:val="24"/>
              </w:rPr>
            </w:pPr>
          </w:p>
        </w:tc>
        <w:tc>
          <w:tcPr>
            <w:tcW w:w="2238" w:type="dxa"/>
            <w:vAlign w:val="center"/>
          </w:tcPr>
          <w:p w14:paraId="5B483601">
            <w:pPr>
              <w:widowControl/>
              <w:jc w:val="center"/>
              <w:rPr>
                <w:kern w:val="0"/>
                <w:sz w:val="24"/>
                <w:szCs w:val="24"/>
              </w:rPr>
            </w:pPr>
          </w:p>
        </w:tc>
        <w:tc>
          <w:tcPr>
            <w:tcW w:w="1848" w:type="dxa"/>
            <w:vAlign w:val="center"/>
          </w:tcPr>
          <w:p w14:paraId="6EDC0BC0">
            <w:pPr>
              <w:widowControl/>
              <w:jc w:val="center"/>
              <w:rPr>
                <w:sz w:val="24"/>
                <w:szCs w:val="24"/>
              </w:rPr>
            </w:pPr>
          </w:p>
        </w:tc>
      </w:tr>
      <w:tr w14:paraId="229E2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16394CF">
            <w:pPr>
              <w:widowControl/>
              <w:jc w:val="left"/>
              <w:rPr>
                <w:kern w:val="0"/>
                <w:sz w:val="24"/>
                <w:szCs w:val="24"/>
              </w:rPr>
            </w:pPr>
          </w:p>
        </w:tc>
        <w:tc>
          <w:tcPr>
            <w:tcW w:w="1701" w:type="dxa"/>
            <w:vAlign w:val="center"/>
          </w:tcPr>
          <w:p w14:paraId="38B7570E">
            <w:pPr>
              <w:widowControl/>
              <w:jc w:val="center"/>
              <w:rPr>
                <w:kern w:val="0"/>
                <w:sz w:val="24"/>
                <w:szCs w:val="24"/>
              </w:rPr>
            </w:pPr>
          </w:p>
        </w:tc>
        <w:tc>
          <w:tcPr>
            <w:tcW w:w="2238" w:type="dxa"/>
            <w:vAlign w:val="center"/>
          </w:tcPr>
          <w:p w14:paraId="08854B56">
            <w:pPr>
              <w:widowControl/>
              <w:jc w:val="center"/>
              <w:rPr>
                <w:kern w:val="0"/>
                <w:sz w:val="24"/>
                <w:szCs w:val="24"/>
              </w:rPr>
            </w:pPr>
          </w:p>
        </w:tc>
        <w:tc>
          <w:tcPr>
            <w:tcW w:w="1848" w:type="dxa"/>
            <w:vAlign w:val="center"/>
          </w:tcPr>
          <w:p w14:paraId="0319CD72">
            <w:pPr>
              <w:widowControl/>
              <w:jc w:val="center"/>
              <w:rPr>
                <w:sz w:val="24"/>
                <w:szCs w:val="24"/>
              </w:rPr>
            </w:pPr>
          </w:p>
        </w:tc>
      </w:tr>
      <w:tr w14:paraId="4511C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8287334">
            <w:pPr>
              <w:widowControl/>
              <w:jc w:val="left"/>
              <w:rPr>
                <w:kern w:val="0"/>
                <w:sz w:val="24"/>
                <w:szCs w:val="24"/>
              </w:rPr>
            </w:pPr>
          </w:p>
        </w:tc>
        <w:tc>
          <w:tcPr>
            <w:tcW w:w="1701" w:type="dxa"/>
            <w:vAlign w:val="center"/>
          </w:tcPr>
          <w:p w14:paraId="7DD7B7DC">
            <w:pPr>
              <w:widowControl/>
              <w:jc w:val="center"/>
              <w:rPr>
                <w:kern w:val="0"/>
                <w:sz w:val="24"/>
                <w:szCs w:val="24"/>
              </w:rPr>
            </w:pPr>
          </w:p>
        </w:tc>
        <w:tc>
          <w:tcPr>
            <w:tcW w:w="2238" w:type="dxa"/>
            <w:vAlign w:val="center"/>
          </w:tcPr>
          <w:p w14:paraId="0BFDFD17">
            <w:pPr>
              <w:widowControl/>
              <w:jc w:val="center"/>
              <w:rPr>
                <w:kern w:val="0"/>
                <w:sz w:val="24"/>
                <w:szCs w:val="24"/>
              </w:rPr>
            </w:pPr>
          </w:p>
        </w:tc>
        <w:tc>
          <w:tcPr>
            <w:tcW w:w="1848" w:type="dxa"/>
            <w:vAlign w:val="center"/>
          </w:tcPr>
          <w:p w14:paraId="23AA17C5">
            <w:pPr>
              <w:widowControl/>
              <w:jc w:val="center"/>
              <w:rPr>
                <w:sz w:val="24"/>
                <w:szCs w:val="24"/>
              </w:rPr>
            </w:pPr>
          </w:p>
        </w:tc>
      </w:tr>
      <w:tr w14:paraId="0BDD7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EA3EFC">
            <w:pPr>
              <w:widowControl/>
              <w:jc w:val="left"/>
              <w:rPr>
                <w:sz w:val="24"/>
              </w:rPr>
            </w:pPr>
          </w:p>
        </w:tc>
        <w:tc>
          <w:tcPr>
            <w:tcW w:w="1701" w:type="dxa"/>
            <w:vAlign w:val="center"/>
          </w:tcPr>
          <w:p w14:paraId="71314FAC">
            <w:pPr>
              <w:widowControl/>
              <w:jc w:val="center"/>
              <w:rPr>
                <w:kern w:val="0"/>
                <w:sz w:val="24"/>
                <w:szCs w:val="24"/>
              </w:rPr>
            </w:pPr>
          </w:p>
        </w:tc>
        <w:tc>
          <w:tcPr>
            <w:tcW w:w="2238" w:type="dxa"/>
            <w:vAlign w:val="center"/>
          </w:tcPr>
          <w:p w14:paraId="74FB4399">
            <w:pPr>
              <w:widowControl/>
              <w:jc w:val="center"/>
              <w:rPr>
                <w:kern w:val="0"/>
                <w:sz w:val="24"/>
                <w:szCs w:val="24"/>
              </w:rPr>
            </w:pPr>
          </w:p>
        </w:tc>
        <w:tc>
          <w:tcPr>
            <w:tcW w:w="1848" w:type="dxa"/>
            <w:vAlign w:val="center"/>
          </w:tcPr>
          <w:p w14:paraId="36931ADF">
            <w:pPr>
              <w:widowControl/>
              <w:jc w:val="center"/>
              <w:rPr>
                <w:kern w:val="0"/>
                <w:sz w:val="24"/>
                <w:szCs w:val="24"/>
              </w:rPr>
            </w:pPr>
          </w:p>
        </w:tc>
      </w:tr>
      <w:tr w14:paraId="7D9F2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60AFEA">
            <w:pPr>
              <w:widowControl/>
              <w:jc w:val="left"/>
              <w:rPr>
                <w:sz w:val="24"/>
              </w:rPr>
            </w:pPr>
            <w:r>
              <w:rPr>
                <w:sz w:val="24"/>
              </w:rPr>
              <w:t>……</w:t>
            </w:r>
          </w:p>
        </w:tc>
        <w:tc>
          <w:tcPr>
            <w:tcW w:w="1701" w:type="dxa"/>
            <w:vAlign w:val="center"/>
          </w:tcPr>
          <w:p w14:paraId="6F85104A">
            <w:pPr>
              <w:widowControl/>
              <w:jc w:val="center"/>
              <w:rPr>
                <w:kern w:val="0"/>
                <w:sz w:val="24"/>
                <w:szCs w:val="24"/>
              </w:rPr>
            </w:pPr>
          </w:p>
        </w:tc>
        <w:tc>
          <w:tcPr>
            <w:tcW w:w="2238" w:type="dxa"/>
            <w:vAlign w:val="center"/>
          </w:tcPr>
          <w:p w14:paraId="6ECF08E7">
            <w:pPr>
              <w:widowControl/>
              <w:jc w:val="center"/>
              <w:rPr>
                <w:kern w:val="0"/>
                <w:sz w:val="24"/>
                <w:szCs w:val="24"/>
              </w:rPr>
            </w:pPr>
          </w:p>
        </w:tc>
        <w:tc>
          <w:tcPr>
            <w:tcW w:w="1848" w:type="dxa"/>
            <w:vAlign w:val="center"/>
          </w:tcPr>
          <w:p w14:paraId="1D46B5DD">
            <w:pPr>
              <w:widowControl/>
              <w:jc w:val="center"/>
              <w:rPr>
                <w:kern w:val="0"/>
                <w:sz w:val="24"/>
                <w:szCs w:val="24"/>
              </w:rPr>
            </w:pPr>
          </w:p>
        </w:tc>
      </w:tr>
      <w:tr w14:paraId="5C1FE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D36DFA4">
            <w:pPr>
              <w:widowControl/>
              <w:jc w:val="center"/>
              <w:rPr>
                <w:sz w:val="24"/>
              </w:rPr>
            </w:pPr>
          </w:p>
        </w:tc>
        <w:tc>
          <w:tcPr>
            <w:tcW w:w="1701" w:type="dxa"/>
            <w:vAlign w:val="center"/>
          </w:tcPr>
          <w:p w14:paraId="7C2ADA03">
            <w:pPr>
              <w:widowControl/>
              <w:jc w:val="center"/>
              <w:rPr>
                <w:kern w:val="0"/>
                <w:sz w:val="24"/>
                <w:szCs w:val="24"/>
              </w:rPr>
            </w:pPr>
          </w:p>
        </w:tc>
        <w:tc>
          <w:tcPr>
            <w:tcW w:w="2238" w:type="dxa"/>
            <w:vAlign w:val="center"/>
          </w:tcPr>
          <w:p w14:paraId="7FD8205C">
            <w:pPr>
              <w:widowControl/>
              <w:jc w:val="center"/>
              <w:rPr>
                <w:kern w:val="0"/>
                <w:sz w:val="24"/>
                <w:szCs w:val="24"/>
              </w:rPr>
            </w:pPr>
          </w:p>
        </w:tc>
        <w:tc>
          <w:tcPr>
            <w:tcW w:w="1848" w:type="dxa"/>
            <w:vAlign w:val="center"/>
          </w:tcPr>
          <w:p w14:paraId="4441AD2A">
            <w:pPr>
              <w:widowControl/>
              <w:jc w:val="center"/>
              <w:rPr>
                <w:kern w:val="0"/>
                <w:sz w:val="24"/>
                <w:szCs w:val="24"/>
              </w:rPr>
            </w:pPr>
          </w:p>
        </w:tc>
      </w:tr>
    </w:tbl>
    <w:p w14:paraId="5785FF61">
      <w:pPr>
        <w:ind w:left="180"/>
      </w:pPr>
    </w:p>
    <w:p w14:paraId="795B3B88">
      <w:pPr>
        <w:spacing w:line="480" w:lineRule="auto"/>
        <w:ind w:left="181"/>
        <w:rPr>
          <w:sz w:val="24"/>
          <w:szCs w:val="24"/>
        </w:rPr>
      </w:pPr>
      <w:r>
        <w:rPr>
          <w:sz w:val="24"/>
          <w:szCs w:val="24"/>
        </w:rPr>
        <w:t>注：</w:t>
      </w:r>
    </w:p>
    <w:p w14:paraId="6E1390C4">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680DEEE2">
      <w:pPr>
        <w:spacing w:line="480" w:lineRule="auto"/>
        <w:ind w:left="181"/>
        <w:rPr>
          <w:sz w:val="24"/>
          <w:szCs w:val="24"/>
        </w:rPr>
      </w:pPr>
      <w:r>
        <w:rPr>
          <w:sz w:val="24"/>
          <w:szCs w:val="24"/>
        </w:rPr>
        <w:t>2. 下面应填写分项价格及分项名称（分项名称可根据实际情况增减、修改），分项价格汇总应等于总价。</w:t>
      </w:r>
    </w:p>
    <w:p w14:paraId="2F26B8AB">
      <w:pPr>
        <w:spacing w:line="460" w:lineRule="exact"/>
        <w:ind w:left="192" w:firstLine="3948" w:firstLineChars="1645"/>
        <w:rPr>
          <w:sz w:val="24"/>
        </w:rPr>
      </w:pPr>
    </w:p>
    <w:p w14:paraId="456EAAAD">
      <w:pPr>
        <w:spacing w:line="360" w:lineRule="auto"/>
        <w:ind w:firstLine="4080" w:firstLineChars="1700"/>
        <w:rPr>
          <w:sz w:val="24"/>
        </w:rPr>
      </w:pPr>
      <w:r>
        <w:rPr>
          <w:sz w:val="24"/>
        </w:rPr>
        <w:t>供应商名称：</w:t>
      </w:r>
    </w:p>
    <w:p w14:paraId="07F46EC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F42A0E">
      <w:pPr>
        <w:spacing w:line="460" w:lineRule="exact"/>
        <w:ind w:left="192"/>
        <w:rPr>
          <w:rFonts w:ascii="宋体" w:hAnsi="宋体"/>
          <w:sz w:val="24"/>
          <w:szCs w:val="24"/>
        </w:rPr>
      </w:pPr>
    </w:p>
    <w:p w14:paraId="744B02C1">
      <w:pPr>
        <w:widowControl/>
        <w:jc w:val="left"/>
        <w:rPr>
          <w:rFonts w:ascii="宋体" w:hAnsi="宋体"/>
          <w:sz w:val="24"/>
          <w:szCs w:val="24"/>
        </w:rPr>
      </w:pPr>
      <w:r>
        <w:rPr>
          <w:rFonts w:ascii="宋体" w:hAnsi="宋体"/>
          <w:sz w:val="24"/>
          <w:szCs w:val="24"/>
        </w:rPr>
        <w:br w:type="page"/>
      </w:r>
    </w:p>
    <w:p w14:paraId="364F947B">
      <w:pPr>
        <w:spacing w:line="460" w:lineRule="exact"/>
        <w:jc w:val="left"/>
        <w:rPr>
          <w:b/>
          <w:sz w:val="24"/>
        </w:rPr>
      </w:pPr>
      <w:r>
        <w:rPr>
          <w:b/>
          <w:sz w:val="24"/>
        </w:rPr>
        <w:t>附件6</w:t>
      </w:r>
      <w:r>
        <w:rPr>
          <w:rFonts w:hint="eastAsia"/>
          <w:b/>
          <w:sz w:val="24"/>
        </w:rPr>
        <w:t>-1</w:t>
      </w:r>
    </w:p>
    <w:p w14:paraId="6046AC93">
      <w:pPr>
        <w:tabs>
          <w:tab w:val="left" w:pos="360"/>
        </w:tabs>
        <w:spacing w:line="560" w:lineRule="exact"/>
        <w:jc w:val="center"/>
        <w:rPr>
          <w:b/>
          <w:sz w:val="24"/>
        </w:rPr>
      </w:pPr>
      <w:r>
        <w:rPr>
          <w:b/>
          <w:sz w:val="24"/>
        </w:rPr>
        <w:t>商务要求点对点应答表</w:t>
      </w:r>
    </w:p>
    <w:p w14:paraId="3D540770">
      <w:pPr>
        <w:spacing w:line="460" w:lineRule="exact"/>
        <w:rPr>
          <w:sz w:val="24"/>
        </w:rPr>
      </w:pPr>
    </w:p>
    <w:p w14:paraId="352D3B56">
      <w:pPr>
        <w:spacing w:line="460" w:lineRule="exact"/>
        <w:rPr>
          <w:sz w:val="24"/>
        </w:rPr>
      </w:pPr>
      <w:r>
        <w:rPr>
          <w:sz w:val="24"/>
        </w:rPr>
        <w:t>项目名称：</w:t>
      </w:r>
      <w:r>
        <w:rPr>
          <w:sz w:val="24"/>
          <w:u w:val="single"/>
        </w:rPr>
        <w:t xml:space="preserve">                    </w:t>
      </w:r>
    </w:p>
    <w:p w14:paraId="5F384066">
      <w:pPr>
        <w:spacing w:line="460" w:lineRule="exact"/>
        <w:rPr>
          <w:sz w:val="24"/>
        </w:rPr>
      </w:pPr>
      <w:r>
        <w:rPr>
          <w:sz w:val="24"/>
        </w:rPr>
        <w:t>项目编号：</w:t>
      </w:r>
      <w:r>
        <w:rPr>
          <w:sz w:val="24"/>
          <w:u w:val="single"/>
        </w:rPr>
        <w:t xml:space="preserve">                    </w:t>
      </w:r>
    </w:p>
    <w:p w14:paraId="79803A84">
      <w:pPr>
        <w:spacing w:line="460" w:lineRule="exact"/>
        <w:rPr>
          <w:sz w:val="24"/>
          <w:u w:val="single"/>
        </w:rPr>
      </w:pPr>
      <w:r>
        <w:rPr>
          <w:sz w:val="24"/>
        </w:rPr>
        <w:t>包号：</w:t>
      </w:r>
      <w:r>
        <w:rPr>
          <w:sz w:val="24"/>
          <w:u w:val="single"/>
        </w:rPr>
        <w:t xml:space="preserve">                        </w:t>
      </w:r>
    </w:p>
    <w:p w14:paraId="6AF537FA">
      <w:pPr>
        <w:spacing w:line="460" w:lineRule="exact"/>
        <w:rPr>
          <w:sz w:val="24"/>
          <w:u w:val="single"/>
        </w:rPr>
      </w:pPr>
    </w:p>
    <w:tbl>
      <w:tblPr>
        <w:tblStyle w:val="35"/>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32732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C29FB7D">
            <w:pPr>
              <w:widowControl/>
              <w:snapToGrid w:val="0"/>
              <w:jc w:val="center"/>
              <w:rPr>
                <w:kern w:val="0"/>
                <w:sz w:val="24"/>
                <w:szCs w:val="24"/>
              </w:rPr>
            </w:pPr>
            <w:r>
              <w:rPr>
                <w:kern w:val="0"/>
                <w:sz w:val="24"/>
                <w:szCs w:val="24"/>
              </w:rPr>
              <w:t>序号</w:t>
            </w:r>
          </w:p>
        </w:tc>
        <w:tc>
          <w:tcPr>
            <w:tcW w:w="2500" w:type="dxa"/>
            <w:shd w:val="clear" w:color="auto" w:fill="auto"/>
            <w:vAlign w:val="center"/>
          </w:tcPr>
          <w:p w14:paraId="007AF073">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66E96857">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75585E31">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10DC008D">
            <w:pPr>
              <w:widowControl/>
              <w:snapToGrid w:val="0"/>
              <w:jc w:val="center"/>
              <w:rPr>
                <w:kern w:val="0"/>
                <w:sz w:val="24"/>
                <w:szCs w:val="24"/>
              </w:rPr>
            </w:pPr>
            <w:r>
              <w:rPr>
                <w:kern w:val="0"/>
                <w:sz w:val="24"/>
                <w:szCs w:val="24"/>
              </w:rPr>
              <w:t>备注</w:t>
            </w:r>
          </w:p>
        </w:tc>
      </w:tr>
      <w:tr w14:paraId="37188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B07FB06">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74B01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0AEFA21">
            <w:pPr>
              <w:widowControl/>
              <w:snapToGrid w:val="0"/>
              <w:jc w:val="center"/>
              <w:rPr>
                <w:kern w:val="0"/>
                <w:sz w:val="24"/>
                <w:szCs w:val="24"/>
              </w:rPr>
            </w:pPr>
          </w:p>
        </w:tc>
        <w:tc>
          <w:tcPr>
            <w:tcW w:w="2500" w:type="dxa"/>
            <w:shd w:val="clear" w:color="auto" w:fill="auto"/>
            <w:vAlign w:val="center"/>
          </w:tcPr>
          <w:p w14:paraId="441CB49F">
            <w:pPr>
              <w:widowControl/>
              <w:snapToGrid w:val="0"/>
              <w:jc w:val="left"/>
              <w:rPr>
                <w:kern w:val="0"/>
                <w:sz w:val="24"/>
                <w:szCs w:val="24"/>
              </w:rPr>
            </w:pPr>
          </w:p>
        </w:tc>
        <w:tc>
          <w:tcPr>
            <w:tcW w:w="2680" w:type="dxa"/>
            <w:shd w:val="clear" w:color="auto" w:fill="auto"/>
            <w:vAlign w:val="center"/>
          </w:tcPr>
          <w:p w14:paraId="75C5440A">
            <w:pPr>
              <w:widowControl/>
              <w:snapToGrid w:val="0"/>
              <w:jc w:val="left"/>
              <w:rPr>
                <w:kern w:val="0"/>
                <w:sz w:val="24"/>
                <w:szCs w:val="24"/>
              </w:rPr>
            </w:pPr>
          </w:p>
        </w:tc>
        <w:tc>
          <w:tcPr>
            <w:tcW w:w="1979" w:type="dxa"/>
            <w:shd w:val="clear" w:color="auto" w:fill="auto"/>
            <w:vAlign w:val="center"/>
          </w:tcPr>
          <w:p w14:paraId="4A1ACFC6">
            <w:pPr>
              <w:widowControl/>
              <w:snapToGrid w:val="0"/>
              <w:jc w:val="left"/>
              <w:rPr>
                <w:kern w:val="0"/>
                <w:sz w:val="24"/>
                <w:szCs w:val="24"/>
              </w:rPr>
            </w:pPr>
          </w:p>
        </w:tc>
        <w:tc>
          <w:tcPr>
            <w:tcW w:w="1241" w:type="dxa"/>
            <w:shd w:val="clear" w:color="auto" w:fill="auto"/>
            <w:vAlign w:val="center"/>
          </w:tcPr>
          <w:p w14:paraId="11A7B09C">
            <w:pPr>
              <w:widowControl/>
              <w:snapToGrid w:val="0"/>
              <w:jc w:val="left"/>
              <w:rPr>
                <w:kern w:val="0"/>
                <w:sz w:val="24"/>
                <w:szCs w:val="24"/>
              </w:rPr>
            </w:pPr>
          </w:p>
        </w:tc>
      </w:tr>
      <w:tr w14:paraId="0E304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4CA5A77D">
            <w:pPr>
              <w:widowControl/>
              <w:snapToGrid w:val="0"/>
              <w:jc w:val="center"/>
              <w:rPr>
                <w:kern w:val="0"/>
                <w:sz w:val="24"/>
                <w:szCs w:val="24"/>
              </w:rPr>
            </w:pPr>
          </w:p>
        </w:tc>
        <w:tc>
          <w:tcPr>
            <w:tcW w:w="2500" w:type="dxa"/>
            <w:shd w:val="clear" w:color="auto" w:fill="auto"/>
            <w:vAlign w:val="center"/>
          </w:tcPr>
          <w:p w14:paraId="27CAFFB3">
            <w:pPr>
              <w:widowControl/>
              <w:snapToGrid w:val="0"/>
              <w:jc w:val="left"/>
              <w:rPr>
                <w:kern w:val="0"/>
                <w:sz w:val="24"/>
                <w:szCs w:val="24"/>
              </w:rPr>
            </w:pPr>
          </w:p>
        </w:tc>
        <w:tc>
          <w:tcPr>
            <w:tcW w:w="2680" w:type="dxa"/>
            <w:shd w:val="clear" w:color="auto" w:fill="auto"/>
            <w:vAlign w:val="center"/>
          </w:tcPr>
          <w:p w14:paraId="493C20E1">
            <w:pPr>
              <w:widowControl/>
              <w:snapToGrid w:val="0"/>
              <w:jc w:val="left"/>
              <w:rPr>
                <w:kern w:val="0"/>
                <w:sz w:val="24"/>
                <w:szCs w:val="24"/>
              </w:rPr>
            </w:pPr>
          </w:p>
        </w:tc>
        <w:tc>
          <w:tcPr>
            <w:tcW w:w="1979" w:type="dxa"/>
            <w:shd w:val="clear" w:color="auto" w:fill="auto"/>
            <w:vAlign w:val="center"/>
          </w:tcPr>
          <w:p w14:paraId="57B147CA">
            <w:pPr>
              <w:widowControl/>
              <w:snapToGrid w:val="0"/>
              <w:jc w:val="left"/>
              <w:rPr>
                <w:kern w:val="0"/>
                <w:sz w:val="24"/>
                <w:szCs w:val="24"/>
              </w:rPr>
            </w:pPr>
          </w:p>
        </w:tc>
        <w:tc>
          <w:tcPr>
            <w:tcW w:w="1241" w:type="dxa"/>
            <w:shd w:val="clear" w:color="auto" w:fill="auto"/>
            <w:vAlign w:val="center"/>
          </w:tcPr>
          <w:p w14:paraId="5C0055B7">
            <w:pPr>
              <w:widowControl/>
              <w:snapToGrid w:val="0"/>
              <w:jc w:val="left"/>
              <w:rPr>
                <w:kern w:val="0"/>
                <w:sz w:val="24"/>
                <w:szCs w:val="24"/>
              </w:rPr>
            </w:pPr>
          </w:p>
        </w:tc>
      </w:tr>
      <w:tr w14:paraId="042BD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8FD3519">
            <w:pPr>
              <w:widowControl/>
              <w:snapToGrid w:val="0"/>
              <w:jc w:val="left"/>
              <w:rPr>
                <w:kern w:val="0"/>
                <w:sz w:val="24"/>
                <w:szCs w:val="24"/>
              </w:rPr>
            </w:pPr>
            <w:r>
              <w:rPr>
                <w:rFonts w:hint="eastAsia"/>
                <w:kern w:val="0"/>
                <w:sz w:val="24"/>
                <w:szCs w:val="24"/>
              </w:rPr>
              <w:t>（二）</w:t>
            </w:r>
            <w:r>
              <w:rPr>
                <w:sz w:val="24"/>
                <w:szCs w:val="24"/>
              </w:rPr>
              <w:t>时间、地点要求</w:t>
            </w:r>
          </w:p>
        </w:tc>
      </w:tr>
      <w:tr w14:paraId="140E7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DDC3B39">
            <w:pPr>
              <w:widowControl/>
              <w:snapToGrid w:val="0"/>
              <w:jc w:val="center"/>
              <w:rPr>
                <w:kern w:val="0"/>
                <w:sz w:val="24"/>
                <w:szCs w:val="24"/>
              </w:rPr>
            </w:pPr>
          </w:p>
        </w:tc>
        <w:tc>
          <w:tcPr>
            <w:tcW w:w="2500" w:type="dxa"/>
            <w:shd w:val="clear" w:color="auto" w:fill="auto"/>
            <w:vAlign w:val="center"/>
          </w:tcPr>
          <w:p w14:paraId="6767F2D2">
            <w:pPr>
              <w:widowControl/>
              <w:snapToGrid w:val="0"/>
              <w:jc w:val="left"/>
              <w:rPr>
                <w:kern w:val="0"/>
                <w:sz w:val="24"/>
                <w:szCs w:val="24"/>
              </w:rPr>
            </w:pPr>
          </w:p>
        </w:tc>
        <w:tc>
          <w:tcPr>
            <w:tcW w:w="2680" w:type="dxa"/>
            <w:shd w:val="clear" w:color="auto" w:fill="auto"/>
            <w:vAlign w:val="center"/>
          </w:tcPr>
          <w:p w14:paraId="1C08B29F">
            <w:pPr>
              <w:widowControl/>
              <w:snapToGrid w:val="0"/>
              <w:jc w:val="left"/>
              <w:rPr>
                <w:kern w:val="0"/>
                <w:sz w:val="24"/>
                <w:szCs w:val="24"/>
              </w:rPr>
            </w:pPr>
          </w:p>
        </w:tc>
        <w:tc>
          <w:tcPr>
            <w:tcW w:w="1979" w:type="dxa"/>
            <w:shd w:val="clear" w:color="auto" w:fill="auto"/>
            <w:vAlign w:val="center"/>
          </w:tcPr>
          <w:p w14:paraId="2BA259BE">
            <w:pPr>
              <w:widowControl/>
              <w:snapToGrid w:val="0"/>
              <w:jc w:val="left"/>
              <w:rPr>
                <w:kern w:val="0"/>
                <w:sz w:val="24"/>
                <w:szCs w:val="24"/>
              </w:rPr>
            </w:pPr>
          </w:p>
        </w:tc>
        <w:tc>
          <w:tcPr>
            <w:tcW w:w="1241" w:type="dxa"/>
            <w:shd w:val="clear" w:color="auto" w:fill="auto"/>
            <w:vAlign w:val="center"/>
          </w:tcPr>
          <w:p w14:paraId="18D369B2">
            <w:pPr>
              <w:widowControl/>
              <w:snapToGrid w:val="0"/>
              <w:jc w:val="left"/>
              <w:rPr>
                <w:kern w:val="0"/>
                <w:sz w:val="24"/>
                <w:szCs w:val="24"/>
              </w:rPr>
            </w:pPr>
          </w:p>
        </w:tc>
      </w:tr>
      <w:tr w14:paraId="7E27D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F235DE7">
            <w:pPr>
              <w:widowControl/>
              <w:snapToGrid w:val="0"/>
              <w:jc w:val="center"/>
              <w:rPr>
                <w:kern w:val="0"/>
                <w:sz w:val="24"/>
                <w:szCs w:val="24"/>
              </w:rPr>
            </w:pPr>
          </w:p>
        </w:tc>
        <w:tc>
          <w:tcPr>
            <w:tcW w:w="2500" w:type="dxa"/>
            <w:shd w:val="clear" w:color="auto" w:fill="auto"/>
            <w:vAlign w:val="center"/>
          </w:tcPr>
          <w:p w14:paraId="0C2FE10C">
            <w:pPr>
              <w:widowControl/>
              <w:snapToGrid w:val="0"/>
              <w:jc w:val="left"/>
              <w:rPr>
                <w:kern w:val="0"/>
                <w:sz w:val="24"/>
                <w:szCs w:val="24"/>
              </w:rPr>
            </w:pPr>
          </w:p>
        </w:tc>
        <w:tc>
          <w:tcPr>
            <w:tcW w:w="2680" w:type="dxa"/>
            <w:shd w:val="clear" w:color="auto" w:fill="auto"/>
            <w:vAlign w:val="center"/>
          </w:tcPr>
          <w:p w14:paraId="29034834">
            <w:pPr>
              <w:widowControl/>
              <w:snapToGrid w:val="0"/>
              <w:jc w:val="left"/>
              <w:rPr>
                <w:kern w:val="0"/>
                <w:sz w:val="24"/>
                <w:szCs w:val="24"/>
              </w:rPr>
            </w:pPr>
          </w:p>
        </w:tc>
        <w:tc>
          <w:tcPr>
            <w:tcW w:w="1979" w:type="dxa"/>
            <w:shd w:val="clear" w:color="auto" w:fill="auto"/>
            <w:vAlign w:val="center"/>
          </w:tcPr>
          <w:p w14:paraId="071BA779">
            <w:pPr>
              <w:widowControl/>
              <w:snapToGrid w:val="0"/>
              <w:jc w:val="left"/>
              <w:rPr>
                <w:kern w:val="0"/>
                <w:sz w:val="24"/>
                <w:szCs w:val="24"/>
              </w:rPr>
            </w:pPr>
          </w:p>
        </w:tc>
        <w:tc>
          <w:tcPr>
            <w:tcW w:w="1241" w:type="dxa"/>
            <w:shd w:val="clear" w:color="auto" w:fill="auto"/>
            <w:vAlign w:val="center"/>
          </w:tcPr>
          <w:p w14:paraId="335BE5E6">
            <w:pPr>
              <w:widowControl/>
              <w:snapToGrid w:val="0"/>
              <w:jc w:val="left"/>
              <w:rPr>
                <w:kern w:val="0"/>
                <w:sz w:val="24"/>
                <w:szCs w:val="24"/>
              </w:rPr>
            </w:pPr>
          </w:p>
        </w:tc>
      </w:tr>
      <w:tr w14:paraId="5268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7071863A">
            <w:pPr>
              <w:widowControl/>
              <w:snapToGrid w:val="0"/>
              <w:jc w:val="left"/>
              <w:rPr>
                <w:kern w:val="0"/>
                <w:sz w:val="24"/>
                <w:szCs w:val="24"/>
              </w:rPr>
            </w:pPr>
            <w:r>
              <w:rPr>
                <w:rFonts w:hint="eastAsia"/>
                <w:kern w:val="0"/>
                <w:sz w:val="24"/>
                <w:szCs w:val="24"/>
              </w:rPr>
              <w:t>（三）</w:t>
            </w:r>
            <w:r>
              <w:rPr>
                <w:kern w:val="0"/>
                <w:sz w:val="24"/>
                <w:szCs w:val="24"/>
              </w:rPr>
              <w:t>付款方式</w:t>
            </w:r>
          </w:p>
        </w:tc>
      </w:tr>
      <w:tr w14:paraId="4E475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2A8EB7A">
            <w:pPr>
              <w:widowControl/>
              <w:snapToGrid w:val="0"/>
              <w:jc w:val="center"/>
              <w:rPr>
                <w:kern w:val="0"/>
                <w:sz w:val="24"/>
                <w:szCs w:val="24"/>
              </w:rPr>
            </w:pPr>
          </w:p>
        </w:tc>
        <w:tc>
          <w:tcPr>
            <w:tcW w:w="2500" w:type="dxa"/>
            <w:shd w:val="clear" w:color="auto" w:fill="auto"/>
            <w:vAlign w:val="center"/>
          </w:tcPr>
          <w:p w14:paraId="282C2665">
            <w:pPr>
              <w:widowControl/>
              <w:snapToGrid w:val="0"/>
              <w:jc w:val="left"/>
              <w:rPr>
                <w:kern w:val="0"/>
                <w:sz w:val="24"/>
                <w:szCs w:val="24"/>
              </w:rPr>
            </w:pPr>
          </w:p>
        </w:tc>
        <w:tc>
          <w:tcPr>
            <w:tcW w:w="2680" w:type="dxa"/>
            <w:shd w:val="clear" w:color="auto" w:fill="auto"/>
            <w:vAlign w:val="center"/>
          </w:tcPr>
          <w:p w14:paraId="4A6A36AB">
            <w:pPr>
              <w:widowControl/>
              <w:snapToGrid w:val="0"/>
              <w:jc w:val="left"/>
              <w:rPr>
                <w:kern w:val="0"/>
                <w:sz w:val="24"/>
                <w:szCs w:val="24"/>
              </w:rPr>
            </w:pPr>
          </w:p>
        </w:tc>
        <w:tc>
          <w:tcPr>
            <w:tcW w:w="1979" w:type="dxa"/>
            <w:shd w:val="clear" w:color="auto" w:fill="auto"/>
            <w:vAlign w:val="center"/>
          </w:tcPr>
          <w:p w14:paraId="4060FF00">
            <w:pPr>
              <w:widowControl/>
              <w:snapToGrid w:val="0"/>
              <w:jc w:val="left"/>
              <w:rPr>
                <w:kern w:val="0"/>
                <w:sz w:val="24"/>
                <w:szCs w:val="24"/>
              </w:rPr>
            </w:pPr>
          </w:p>
        </w:tc>
        <w:tc>
          <w:tcPr>
            <w:tcW w:w="1241" w:type="dxa"/>
            <w:shd w:val="clear" w:color="auto" w:fill="auto"/>
            <w:vAlign w:val="center"/>
          </w:tcPr>
          <w:p w14:paraId="39722758">
            <w:pPr>
              <w:widowControl/>
              <w:snapToGrid w:val="0"/>
              <w:jc w:val="left"/>
              <w:rPr>
                <w:kern w:val="0"/>
                <w:sz w:val="24"/>
                <w:szCs w:val="24"/>
              </w:rPr>
            </w:pPr>
          </w:p>
        </w:tc>
      </w:tr>
      <w:tr w14:paraId="1DBDE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E488557">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42E08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E36B1FE">
            <w:pPr>
              <w:widowControl/>
              <w:snapToGrid w:val="0"/>
              <w:jc w:val="center"/>
              <w:rPr>
                <w:kern w:val="0"/>
                <w:sz w:val="24"/>
                <w:szCs w:val="24"/>
              </w:rPr>
            </w:pPr>
          </w:p>
        </w:tc>
        <w:tc>
          <w:tcPr>
            <w:tcW w:w="2500" w:type="dxa"/>
            <w:shd w:val="clear" w:color="auto" w:fill="auto"/>
            <w:vAlign w:val="center"/>
          </w:tcPr>
          <w:p w14:paraId="29F2ED74">
            <w:pPr>
              <w:widowControl/>
              <w:snapToGrid w:val="0"/>
              <w:jc w:val="left"/>
              <w:rPr>
                <w:kern w:val="0"/>
                <w:sz w:val="24"/>
                <w:szCs w:val="24"/>
              </w:rPr>
            </w:pPr>
          </w:p>
        </w:tc>
        <w:tc>
          <w:tcPr>
            <w:tcW w:w="2680" w:type="dxa"/>
            <w:shd w:val="clear" w:color="auto" w:fill="auto"/>
            <w:vAlign w:val="center"/>
          </w:tcPr>
          <w:p w14:paraId="73825B4A">
            <w:pPr>
              <w:widowControl/>
              <w:snapToGrid w:val="0"/>
              <w:jc w:val="left"/>
              <w:rPr>
                <w:kern w:val="0"/>
                <w:sz w:val="24"/>
                <w:szCs w:val="24"/>
              </w:rPr>
            </w:pPr>
          </w:p>
        </w:tc>
        <w:tc>
          <w:tcPr>
            <w:tcW w:w="1979" w:type="dxa"/>
            <w:shd w:val="clear" w:color="auto" w:fill="auto"/>
            <w:vAlign w:val="center"/>
          </w:tcPr>
          <w:p w14:paraId="708A5CB7">
            <w:pPr>
              <w:widowControl/>
              <w:snapToGrid w:val="0"/>
              <w:jc w:val="left"/>
              <w:rPr>
                <w:kern w:val="0"/>
                <w:sz w:val="24"/>
                <w:szCs w:val="24"/>
              </w:rPr>
            </w:pPr>
          </w:p>
        </w:tc>
        <w:tc>
          <w:tcPr>
            <w:tcW w:w="1241" w:type="dxa"/>
            <w:shd w:val="clear" w:color="auto" w:fill="auto"/>
            <w:vAlign w:val="center"/>
          </w:tcPr>
          <w:p w14:paraId="0655C9C4">
            <w:pPr>
              <w:widowControl/>
              <w:snapToGrid w:val="0"/>
              <w:jc w:val="left"/>
              <w:rPr>
                <w:kern w:val="0"/>
                <w:sz w:val="24"/>
                <w:szCs w:val="24"/>
              </w:rPr>
            </w:pPr>
          </w:p>
        </w:tc>
      </w:tr>
    </w:tbl>
    <w:p w14:paraId="4EBC1212">
      <w:pPr>
        <w:spacing w:line="620" w:lineRule="exact"/>
        <w:rPr>
          <w:sz w:val="24"/>
        </w:rPr>
      </w:pPr>
      <w:r>
        <w:rPr>
          <w:sz w:val="24"/>
        </w:rPr>
        <w:t>注：</w:t>
      </w:r>
    </w:p>
    <w:p w14:paraId="6058B507">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57675585">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1B11556B">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3D10B9D2">
      <w:pPr>
        <w:spacing w:line="360" w:lineRule="auto"/>
        <w:rPr>
          <w:sz w:val="24"/>
        </w:rPr>
      </w:pPr>
    </w:p>
    <w:p w14:paraId="2C03A41E">
      <w:pPr>
        <w:spacing w:line="360" w:lineRule="auto"/>
        <w:ind w:firstLine="4080" w:firstLineChars="1700"/>
        <w:rPr>
          <w:sz w:val="24"/>
        </w:rPr>
      </w:pPr>
      <w:r>
        <w:rPr>
          <w:sz w:val="24"/>
        </w:rPr>
        <w:t>供应商名称：</w:t>
      </w:r>
    </w:p>
    <w:p w14:paraId="2B86788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A3A9F75">
      <w:pPr>
        <w:spacing w:line="460" w:lineRule="exact"/>
        <w:jc w:val="left"/>
        <w:rPr>
          <w:b/>
          <w:sz w:val="24"/>
        </w:rPr>
      </w:pPr>
      <w:r>
        <w:rPr>
          <w:sz w:val="24"/>
        </w:rPr>
        <w:br w:type="page"/>
      </w:r>
      <w:r>
        <w:rPr>
          <w:b/>
          <w:sz w:val="24"/>
        </w:rPr>
        <w:t>附件</w:t>
      </w:r>
      <w:r>
        <w:rPr>
          <w:rFonts w:hint="eastAsia"/>
          <w:b/>
          <w:sz w:val="24"/>
        </w:rPr>
        <w:t>6</w:t>
      </w:r>
      <w:r>
        <w:rPr>
          <w:b/>
          <w:sz w:val="24"/>
        </w:rPr>
        <w:t>-2</w:t>
      </w:r>
    </w:p>
    <w:p w14:paraId="2B0815D0">
      <w:pPr>
        <w:spacing w:line="360" w:lineRule="auto"/>
        <w:jc w:val="center"/>
        <w:rPr>
          <w:b/>
          <w:bCs/>
          <w:sz w:val="24"/>
          <w:szCs w:val="24"/>
        </w:rPr>
      </w:pPr>
      <w:r>
        <w:rPr>
          <w:rFonts w:ascii="宋体" w:hAnsi="宋体"/>
          <w:b/>
          <w:bCs/>
          <w:sz w:val="24"/>
          <w:szCs w:val="24"/>
        </w:rPr>
        <w:t>技术要求偏离应答表</w:t>
      </w:r>
    </w:p>
    <w:p w14:paraId="2AAF131F">
      <w:pPr>
        <w:spacing w:line="460" w:lineRule="exact"/>
        <w:rPr>
          <w:sz w:val="24"/>
        </w:rPr>
      </w:pPr>
    </w:p>
    <w:p w14:paraId="01B6BCE6">
      <w:pPr>
        <w:spacing w:line="460" w:lineRule="exact"/>
        <w:rPr>
          <w:sz w:val="24"/>
        </w:rPr>
      </w:pPr>
      <w:r>
        <w:rPr>
          <w:sz w:val="24"/>
        </w:rPr>
        <w:t>项目名称：</w:t>
      </w:r>
      <w:r>
        <w:rPr>
          <w:sz w:val="24"/>
          <w:u w:val="single"/>
        </w:rPr>
        <w:t xml:space="preserve">                    </w:t>
      </w:r>
    </w:p>
    <w:p w14:paraId="32463151">
      <w:pPr>
        <w:spacing w:line="460" w:lineRule="exact"/>
        <w:rPr>
          <w:sz w:val="24"/>
        </w:rPr>
      </w:pPr>
      <w:r>
        <w:rPr>
          <w:sz w:val="24"/>
        </w:rPr>
        <w:t>项目编号：</w:t>
      </w:r>
      <w:r>
        <w:rPr>
          <w:sz w:val="24"/>
          <w:u w:val="single"/>
        </w:rPr>
        <w:t xml:space="preserve">                    </w:t>
      </w:r>
    </w:p>
    <w:p w14:paraId="19C7271D">
      <w:pPr>
        <w:spacing w:line="460" w:lineRule="exact"/>
        <w:rPr>
          <w:sz w:val="24"/>
          <w:u w:val="single"/>
        </w:rPr>
      </w:pPr>
      <w:r>
        <w:rPr>
          <w:sz w:val="24"/>
        </w:rPr>
        <w:t>包号：</w:t>
      </w:r>
      <w:r>
        <w:rPr>
          <w:sz w:val="24"/>
          <w:u w:val="single"/>
        </w:rPr>
        <w:t xml:space="preserve">                        </w:t>
      </w:r>
    </w:p>
    <w:p w14:paraId="40A600A9">
      <w:pPr>
        <w:spacing w:line="460" w:lineRule="exact"/>
        <w:rPr>
          <w:sz w:val="24"/>
          <w:szCs w:val="24"/>
          <w:u w:val="single"/>
        </w:rPr>
      </w:pPr>
    </w:p>
    <w:p w14:paraId="2807F6C4">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5"/>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6D320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528B4F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864860F">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8C60176">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4C83BB90">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AA74A07">
            <w:pPr>
              <w:widowControl/>
              <w:snapToGrid w:val="0"/>
              <w:jc w:val="center"/>
              <w:rPr>
                <w:kern w:val="0"/>
                <w:sz w:val="24"/>
                <w:szCs w:val="24"/>
              </w:rPr>
            </w:pPr>
            <w:r>
              <w:rPr>
                <w:rFonts w:ascii="宋体" w:hAnsi="宋体"/>
                <w:kern w:val="0"/>
                <w:sz w:val="24"/>
                <w:szCs w:val="24"/>
              </w:rPr>
              <w:t>备注</w:t>
            </w:r>
          </w:p>
        </w:tc>
      </w:tr>
      <w:tr w14:paraId="18CEC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523766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46F3A44">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382D9047">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40010F05">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5A14CC7">
            <w:pPr>
              <w:widowControl/>
              <w:snapToGrid w:val="0"/>
              <w:jc w:val="center"/>
              <w:rPr>
                <w:kern w:val="0"/>
                <w:sz w:val="24"/>
                <w:szCs w:val="24"/>
              </w:rPr>
            </w:pPr>
          </w:p>
        </w:tc>
      </w:tr>
      <w:tr w14:paraId="1D2DA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91FB7E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3FCD4D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96A9D8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AA217D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E5379DF">
            <w:pPr>
              <w:widowControl/>
              <w:snapToGrid w:val="0"/>
              <w:jc w:val="center"/>
              <w:rPr>
                <w:kern w:val="0"/>
                <w:sz w:val="24"/>
                <w:szCs w:val="24"/>
              </w:rPr>
            </w:pPr>
          </w:p>
        </w:tc>
      </w:tr>
      <w:tr w14:paraId="0F2C7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C02007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43F51F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0403EA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763BED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01B48D3">
            <w:pPr>
              <w:widowControl/>
              <w:snapToGrid w:val="0"/>
              <w:jc w:val="center"/>
              <w:rPr>
                <w:kern w:val="0"/>
                <w:sz w:val="24"/>
                <w:szCs w:val="24"/>
              </w:rPr>
            </w:pPr>
          </w:p>
        </w:tc>
      </w:tr>
      <w:tr w14:paraId="71A55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6D1592">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26D6E2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208CE7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2102F8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96B8ED8">
            <w:pPr>
              <w:widowControl/>
              <w:snapToGrid w:val="0"/>
              <w:jc w:val="center"/>
              <w:rPr>
                <w:kern w:val="0"/>
                <w:sz w:val="24"/>
                <w:szCs w:val="24"/>
              </w:rPr>
            </w:pPr>
          </w:p>
        </w:tc>
      </w:tr>
      <w:tr w14:paraId="31788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952DC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F96186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43A4DA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052301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E132541">
            <w:pPr>
              <w:widowControl/>
              <w:snapToGrid w:val="0"/>
              <w:jc w:val="center"/>
              <w:rPr>
                <w:kern w:val="0"/>
                <w:sz w:val="24"/>
                <w:szCs w:val="24"/>
              </w:rPr>
            </w:pPr>
          </w:p>
        </w:tc>
      </w:tr>
    </w:tbl>
    <w:p w14:paraId="4C193BA9">
      <w:pPr>
        <w:spacing w:line="360" w:lineRule="auto"/>
        <w:ind w:firstLine="480" w:firstLineChars="200"/>
        <w:rPr>
          <w:sz w:val="24"/>
          <w:szCs w:val="24"/>
        </w:rPr>
      </w:pPr>
      <w:r>
        <w:rPr>
          <w:rFonts w:ascii="宋体" w:hAnsi="宋体"/>
          <w:sz w:val="24"/>
          <w:szCs w:val="24"/>
        </w:rPr>
        <w:t>注：</w:t>
      </w:r>
    </w:p>
    <w:p w14:paraId="1F2C4A6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5B98D621">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64C19133">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55301398">
      <w:pPr>
        <w:spacing w:line="360" w:lineRule="auto"/>
        <w:rPr>
          <w:sz w:val="24"/>
        </w:rPr>
      </w:pPr>
    </w:p>
    <w:p w14:paraId="74151BF9">
      <w:pPr>
        <w:spacing w:line="400" w:lineRule="exact"/>
        <w:ind w:firstLine="4080" w:firstLineChars="1700"/>
        <w:rPr>
          <w:sz w:val="24"/>
        </w:rPr>
      </w:pPr>
      <w:r>
        <w:rPr>
          <w:sz w:val="24"/>
        </w:rPr>
        <w:t>供应商名称：</w:t>
      </w:r>
    </w:p>
    <w:p w14:paraId="4B2CD235">
      <w:pPr>
        <w:spacing w:line="400" w:lineRule="exact"/>
        <w:ind w:firstLine="4080" w:firstLineChars="1700"/>
        <w:rPr>
          <w:sz w:val="24"/>
        </w:rPr>
      </w:pPr>
    </w:p>
    <w:p w14:paraId="0C11FDE9">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728DBA">
      <w:pPr>
        <w:widowControl/>
        <w:jc w:val="left"/>
        <w:rPr>
          <w:sz w:val="24"/>
        </w:rPr>
      </w:pPr>
      <w:r>
        <w:rPr>
          <w:sz w:val="24"/>
        </w:rPr>
        <w:br w:type="page"/>
      </w:r>
    </w:p>
    <w:p w14:paraId="411104B4">
      <w:pPr>
        <w:tabs>
          <w:tab w:val="left" w:pos="360"/>
        </w:tabs>
        <w:spacing w:line="560" w:lineRule="exact"/>
        <w:jc w:val="left"/>
        <w:rPr>
          <w:b/>
          <w:sz w:val="24"/>
        </w:rPr>
      </w:pPr>
      <w:r>
        <w:rPr>
          <w:b/>
          <w:sz w:val="24"/>
        </w:rPr>
        <w:t>附件</w:t>
      </w:r>
      <w:r>
        <w:rPr>
          <w:rFonts w:hint="eastAsia"/>
          <w:b/>
          <w:sz w:val="24"/>
        </w:rPr>
        <w:t>7</w:t>
      </w:r>
    </w:p>
    <w:p w14:paraId="7423031B">
      <w:pPr>
        <w:spacing w:line="560" w:lineRule="exact"/>
        <w:jc w:val="center"/>
        <w:rPr>
          <w:b/>
          <w:sz w:val="24"/>
        </w:rPr>
      </w:pPr>
      <w:r>
        <w:rPr>
          <w:b/>
          <w:sz w:val="24"/>
        </w:rPr>
        <w:t>主要相关项目业绩一览表</w:t>
      </w:r>
    </w:p>
    <w:p w14:paraId="13B99598">
      <w:pPr>
        <w:spacing w:line="460" w:lineRule="exact"/>
        <w:rPr>
          <w:sz w:val="24"/>
        </w:rPr>
      </w:pPr>
      <w:r>
        <w:rPr>
          <w:sz w:val="24"/>
        </w:rPr>
        <w:t>项目名称：</w:t>
      </w:r>
      <w:r>
        <w:rPr>
          <w:sz w:val="24"/>
          <w:u w:val="single"/>
        </w:rPr>
        <w:t xml:space="preserve">                    </w:t>
      </w:r>
    </w:p>
    <w:p w14:paraId="33EEA160">
      <w:pPr>
        <w:spacing w:line="460" w:lineRule="exact"/>
        <w:rPr>
          <w:sz w:val="24"/>
        </w:rPr>
      </w:pPr>
      <w:r>
        <w:rPr>
          <w:sz w:val="24"/>
        </w:rPr>
        <w:t>项目编号：</w:t>
      </w:r>
      <w:r>
        <w:rPr>
          <w:sz w:val="24"/>
          <w:u w:val="single"/>
        </w:rPr>
        <w:t xml:space="preserve">                    </w:t>
      </w:r>
    </w:p>
    <w:p w14:paraId="4CC34B1B">
      <w:pPr>
        <w:spacing w:line="460" w:lineRule="exact"/>
        <w:rPr>
          <w:sz w:val="24"/>
          <w:u w:val="single"/>
        </w:rPr>
      </w:pPr>
      <w:r>
        <w:rPr>
          <w:sz w:val="24"/>
        </w:rPr>
        <w:t>包号：</w:t>
      </w:r>
      <w:r>
        <w:rPr>
          <w:sz w:val="24"/>
          <w:u w:val="single"/>
        </w:rPr>
        <w:t xml:space="preserve">                        </w:t>
      </w:r>
    </w:p>
    <w:p w14:paraId="13900CC0">
      <w:pPr>
        <w:spacing w:line="560" w:lineRule="exact"/>
        <w:jc w:val="center"/>
        <w:rPr>
          <w:b/>
          <w:sz w:val="24"/>
        </w:rPr>
      </w:pPr>
    </w:p>
    <w:tbl>
      <w:tblPr>
        <w:tblStyle w:val="35"/>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B024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D0359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4D43D2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6E696DB">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6BC83C8B">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70721F9">
            <w:pPr>
              <w:snapToGrid w:val="0"/>
              <w:jc w:val="center"/>
              <w:rPr>
                <w:sz w:val="24"/>
              </w:rPr>
            </w:pPr>
            <w:r>
              <w:rPr>
                <w:sz w:val="24"/>
              </w:rPr>
              <w:t>项目起止时间</w:t>
            </w:r>
          </w:p>
        </w:tc>
      </w:tr>
      <w:tr w14:paraId="09175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63E1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5899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14716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906D51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269C18">
            <w:pPr>
              <w:snapToGrid w:val="0"/>
              <w:jc w:val="center"/>
              <w:rPr>
                <w:sz w:val="24"/>
              </w:rPr>
            </w:pPr>
          </w:p>
        </w:tc>
      </w:tr>
      <w:tr w14:paraId="6E6AF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8A5B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B22B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1ACC3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7FDEA0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7B5BAD7">
            <w:pPr>
              <w:snapToGrid w:val="0"/>
              <w:jc w:val="center"/>
              <w:rPr>
                <w:sz w:val="24"/>
              </w:rPr>
            </w:pPr>
          </w:p>
        </w:tc>
      </w:tr>
      <w:tr w14:paraId="36317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6BBC0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E71C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7F0E7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579DB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5D24872">
            <w:pPr>
              <w:snapToGrid w:val="0"/>
              <w:jc w:val="center"/>
              <w:rPr>
                <w:sz w:val="24"/>
              </w:rPr>
            </w:pPr>
          </w:p>
        </w:tc>
      </w:tr>
      <w:tr w14:paraId="3DC29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4C6C8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F178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5A5E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1EBCF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908BEE8">
            <w:pPr>
              <w:snapToGrid w:val="0"/>
              <w:jc w:val="center"/>
              <w:rPr>
                <w:sz w:val="24"/>
              </w:rPr>
            </w:pPr>
          </w:p>
        </w:tc>
      </w:tr>
      <w:tr w14:paraId="2A2EA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21F3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5D5DD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99523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425A0F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524780">
            <w:pPr>
              <w:snapToGrid w:val="0"/>
              <w:jc w:val="center"/>
              <w:rPr>
                <w:sz w:val="24"/>
              </w:rPr>
            </w:pPr>
          </w:p>
        </w:tc>
      </w:tr>
      <w:tr w14:paraId="1620E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0D8BF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3CE8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E47CE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45878D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F62CDED">
            <w:pPr>
              <w:snapToGrid w:val="0"/>
              <w:jc w:val="center"/>
              <w:rPr>
                <w:sz w:val="24"/>
              </w:rPr>
            </w:pPr>
          </w:p>
        </w:tc>
      </w:tr>
      <w:tr w14:paraId="78AE6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AF54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7152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BF121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30BBE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ACFDAE">
            <w:pPr>
              <w:snapToGrid w:val="0"/>
              <w:jc w:val="center"/>
              <w:rPr>
                <w:sz w:val="24"/>
              </w:rPr>
            </w:pPr>
          </w:p>
        </w:tc>
      </w:tr>
      <w:tr w14:paraId="3BBAD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9EEE4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3E38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D806F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BF9BE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144CFC0">
            <w:pPr>
              <w:snapToGrid w:val="0"/>
              <w:jc w:val="center"/>
              <w:rPr>
                <w:sz w:val="24"/>
              </w:rPr>
            </w:pPr>
          </w:p>
        </w:tc>
      </w:tr>
      <w:tr w14:paraId="375FC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4FBE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852D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48F54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70D631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F00E299">
            <w:pPr>
              <w:snapToGrid w:val="0"/>
              <w:jc w:val="center"/>
              <w:rPr>
                <w:sz w:val="24"/>
              </w:rPr>
            </w:pPr>
          </w:p>
        </w:tc>
      </w:tr>
      <w:tr w14:paraId="4778E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AAF5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E8E7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C78C4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59703A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468A89F">
            <w:pPr>
              <w:snapToGrid w:val="0"/>
              <w:jc w:val="center"/>
              <w:rPr>
                <w:sz w:val="24"/>
              </w:rPr>
            </w:pPr>
          </w:p>
        </w:tc>
      </w:tr>
      <w:tr w14:paraId="2CF9D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69F0C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DD24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F9FF6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67BBF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D3B3A86">
            <w:pPr>
              <w:snapToGrid w:val="0"/>
              <w:jc w:val="center"/>
              <w:rPr>
                <w:sz w:val="24"/>
              </w:rPr>
            </w:pPr>
          </w:p>
        </w:tc>
      </w:tr>
    </w:tbl>
    <w:p w14:paraId="6E0C84BF">
      <w:pPr>
        <w:spacing w:line="560" w:lineRule="exact"/>
        <w:jc w:val="center"/>
        <w:rPr>
          <w:sz w:val="24"/>
        </w:rPr>
      </w:pPr>
    </w:p>
    <w:p w14:paraId="3A1C2FAE">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166E8C4D">
      <w:pPr>
        <w:spacing w:line="560" w:lineRule="exact"/>
        <w:rPr>
          <w:sz w:val="24"/>
        </w:rPr>
      </w:pPr>
    </w:p>
    <w:p w14:paraId="1B8C2421">
      <w:pPr>
        <w:spacing w:line="360" w:lineRule="auto"/>
        <w:ind w:firstLine="4080" w:firstLineChars="1700"/>
        <w:rPr>
          <w:sz w:val="24"/>
        </w:rPr>
      </w:pPr>
      <w:r>
        <w:rPr>
          <w:sz w:val="24"/>
        </w:rPr>
        <w:t>供应商名称：</w:t>
      </w:r>
    </w:p>
    <w:p w14:paraId="1681F12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775F24">
      <w:pPr>
        <w:spacing w:line="460" w:lineRule="exact"/>
        <w:ind w:left="192" w:firstLine="3948" w:firstLineChars="1645"/>
        <w:rPr>
          <w:sz w:val="24"/>
        </w:rPr>
      </w:pPr>
    </w:p>
    <w:p w14:paraId="13751357">
      <w:pPr>
        <w:spacing w:line="460" w:lineRule="exact"/>
        <w:ind w:left="-178" w:leftChars="-85" w:firstLine="240" w:firstLineChars="100"/>
        <w:rPr>
          <w:rFonts w:ascii="宋体" w:hAnsi="宋体"/>
          <w:sz w:val="24"/>
          <w:szCs w:val="24"/>
        </w:rPr>
      </w:pPr>
    </w:p>
    <w:p w14:paraId="407ACBC4">
      <w:pPr>
        <w:spacing w:line="460" w:lineRule="exact"/>
        <w:rPr>
          <w:sz w:val="24"/>
        </w:rPr>
      </w:pPr>
    </w:p>
    <w:p w14:paraId="506C27EE">
      <w:pPr>
        <w:widowControl/>
        <w:jc w:val="left"/>
        <w:rPr>
          <w:sz w:val="24"/>
        </w:rPr>
      </w:pPr>
      <w:r>
        <w:rPr>
          <w:sz w:val="24"/>
        </w:rPr>
        <w:br w:type="page"/>
      </w:r>
    </w:p>
    <w:p w14:paraId="170B4F61">
      <w:pPr>
        <w:tabs>
          <w:tab w:val="left" w:pos="360"/>
        </w:tabs>
        <w:spacing w:line="560" w:lineRule="exact"/>
        <w:jc w:val="left"/>
        <w:rPr>
          <w:b/>
          <w:sz w:val="24"/>
        </w:rPr>
      </w:pPr>
      <w:r>
        <w:rPr>
          <w:rFonts w:hint="eastAsia"/>
          <w:b/>
          <w:sz w:val="24"/>
        </w:rPr>
        <w:t>附件8</w:t>
      </w:r>
    </w:p>
    <w:p w14:paraId="074F578F">
      <w:pPr>
        <w:autoSpaceDE w:val="0"/>
        <w:autoSpaceDN w:val="0"/>
        <w:spacing w:line="480" w:lineRule="auto"/>
        <w:jc w:val="center"/>
        <w:rPr>
          <w:sz w:val="24"/>
          <w:szCs w:val="24"/>
        </w:rPr>
      </w:pPr>
      <w:r>
        <w:rPr>
          <w:b/>
          <w:sz w:val="24"/>
          <w:szCs w:val="24"/>
        </w:rPr>
        <w:t>中小企业声明函（服务）</w:t>
      </w:r>
    </w:p>
    <w:p w14:paraId="461203A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262918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653A77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DC92F4B">
      <w:pPr>
        <w:autoSpaceDE w:val="0"/>
        <w:autoSpaceDN w:val="0"/>
        <w:spacing w:line="500" w:lineRule="exact"/>
        <w:ind w:left="641"/>
        <w:jc w:val="left"/>
        <w:rPr>
          <w:sz w:val="24"/>
          <w:szCs w:val="24"/>
        </w:rPr>
      </w:pPr>
      <w:r>
        <w:rPr>
          <w:sz w:val="24"/>
          <w:szCs w:val="24"/>
        </w:rPr>
        <w:t>……</w:t>
      </w:r>
    </w:p>
    <w:p w14:paraId="37EDA48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C5D073">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40E257C">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545D3DA4">
      <w:pPr>
        <w:autoSpaceDE w:val="0"/>
        <w:autoSpaceDN w:val="0"/>
        <w:spacing w:line="500" w:lineRule="exact"/>
        <w:ind w:left="3840"/>
        <w:jc w:val="left"/>
        <w:rPr>
          <w:sz w:val="32"/>
        </w:rPr>
      </w:pPr>
      <w:r>
        <w:rPr>
          <w:sz w:val="24"/>
          <w:szCs w:val="24"/>
        </w:rPr>
        <w:t>日期：</w:t>
      </w:r>
    </w:p>
    <w:p w14:paraId="39C054FF">
      <w:pPr>
        <w:spacing w:line="360" w:lineRule="auto"/>
        <w:ind w:right="84" w:firstLine="240" w:firstLineChars="100"/>
        <w:rPr>
          <w:b/>
          <w:sz w:val="24"/>
          <w:szCs w:val="24"/>
        </w:rPr>
      </w:pPr>
      <w:r>
        <w:rPr>
          <w:b/>
          <w:sz w:val="24"/>
          <w:szCs w:val="24"/>
        </w:rPr>
        <w:t>注：</w:t>
      </w:r>
    </w:p>
    <w:p w14:paraId="6F2C100F">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7BAF96A8">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15B3C196">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0B1F8F69">
      <w:pPr>
        <w:widowControl/>
        <w:jc w:val="left"/>
        <w:rPr>
          <w:b/>
          <w:kern w:val="0"/>
          <w:sz w:val="24"/>
          <w:szCs w:val="21"/>
        </w:rPr>
      </w:pPr>
      <w:r>
        <w:rPr>
          <w:b/>
          <w:kern w:val="0"/>
          <w:sz w:val="24"/>
          <w:szCs w:val="21"/>
        </w:rPr>
        <w:br w:type="page"/>
      </w:r>
    </w:p>
    <w:p w14:paraId="7CB1A5D4">
      <w:pPr>
        <w:autoSpaceDN w:val="0"/>
        <w:spacing w:line="360" w:lineRule="auto"/>
        <w:jc w:val="left"/>
        <w:rPr>
          <w:b/>
          <w:bCs/>
          <w:sz w:val="24"/>
        </w:rPr>
      </w:pPr>
      <w:r>
        <w:rPr>
          <w:rFonts w:hint="eastAsia"/>
          <w:b/>
          <w:kern w:val="0"/>
          <w:sz w:val="24"/>
          <w:szCs w:val="21"/>
        </w:rPr>
        <w:t>若不是残疾人福利性单位，响应文件中可不提供此声明函</w:t>
      </w:r>
    </w:p>
    <w:p w14:paraId="29E3C001">
      <w:pPr>
        <w:autoSpaceDN w:val="0"/>
        <w:spacing w:line="360" w:lineRule="auto"/>
        <w:jc w:val="center"/>
        <w:rPr>
          <w:b/>
          <w:bCs/>
          <w:sz w:val="24"/>
        </w:rPr>
      </w:pPr>
    </w:p>
    <w:p w14:paraId="1B6E7C19">
      <w:pPr>
        <w:snapToGrid w:val="0"/>
        <w:spacing w:line="360" w:lineRule="auto"/>
        <w:jc w:val="center"/>
        <w:rPr>
          <w:b/>
          <w:bCs/>
          <w:sz w:val="24"/>
        </w:rPr>
      </w:pPr>
      <w:r>
        <w:rPr>
          <w:rFonts w:hint="eastAsia"/>
          <w:b/>
          <w:bCs/>
          <w:sz w:val="24"/>
        </w:rPr>
        <w:t>残疾人福利性单位声明函</w:t>
      </w:r>
    </w:p>
    <w:p w14:paraId="0ECA3872">
      <w:pPr>
        <w:snapToGrid w:val="0"/>
        <w:spacing w:line="360" w:lineRule="auto"/>
        <w:ind w:firstLine="480" w:firstLineChars="200"/>
        <w:jc w:val="left"/>
        <w:rPr>
          <w:b/>
          <w:bCs/>
          <w:sz w:val="24"/>
        </w:rPr>
      </w:pPr>
    </w:p>
    <w:p w14:paraId="266D7232">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A735C85">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B9A3924">
      <w:pPr>
        <w:snapToGrid w:val="0"/>
        <w:spacing w:line="360" w:lineRule="auto"/>
        <w:ind w:firstLine="480" w:firstLineChars="200"/>
        <w:jc w:val="left"/>
        <w:rPr>
          <w:bCs/>
          <w:sz w:val="24"/>
        </w:rPr>
      </w:pPr>
    </w:p>
    <w:p w14:paraId="2F74481D">
      <w:pPr>
        <w:snapToGrid w:val="0"/>
        <w:spacing w:line="360" w:lineRule="auto"/>
        <w:ind w:firstLine="480" w:firstLineChars="200"/>
        <w:jc w:val="left"/>
        <w:rPr>
          <w:bCs/>
          <w:sz w:val="24"/>
        </w:rPr>
      </w:pPr>
    </w:p>
    <w:p w14:paraId="14C905B9">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C9F9CEA">
      <w:pPr>
        <w:snapToGrid w:val="0"/>
        <w:spacing w:line="360" w:lineRule="auto"/>
        <w:ind w:firstLine="480" w:firstLineChars="200"/>
        <w:jc w:val="left"/>
        <w:rPr>
          <w:bCs/>
          <w:sz w:val="24"/>
        </w:rPr>
      </w:pPr>
    </w:p>
    <w:p w14:paraId="3B111EBF">
      <w:pPr>
        <w:snapToGrid w:val="0"/>
        <w:spacing w:line="360" w:lineRule="auto"/>
        <w:ind w:firstLine="480" w:firstLineChars="200"/>
        <w:jc w:val="left"/>
        <w:rPr>
          <w:sz w:val="24"/>
          <w:szCs w:val="21"/>
        </w:rPr>
      </w:pPr>
      <w:r>
        <w:rPr>
          <w:rFonts w:hint="eastAsia"/>
          <w:bCs/>
          <w:sz w:val="24"/>
        </w:rPr>
        <w:t xml:space="preserve">               日  期：</w:t>
      </w:r>
    </w:p>
    <w:p w14:paraId="75B2857F">
      <w:pPr>
        <w:snapToGrid w:val="0"/>
        <w:spacing w:line="360" w:lineRule="auto"/>
        <w:ind w:firstLine="480" w:firstLineChars="200"/>
        <w:jc w:val="left"/>
        <w:rPr>
          <w:sz w:val="24"/>
          <w:szCs w:val="21"/>
        </w:rPr>
      </w:pPr>
    </w:p>
    <w:p w14:paraId="32997302">
      <w:pPr>
        <w:snapToGrid w:val="0"/>
        <w:spacing w:line="360" w:lineRule="auto"/>
        <w:ind w:firstLine="480" w:firstLineChars="200"/>
        <w:rPr>
          <w:sz w:val="24"/>
          <w:szCs w:val="21"/>
        </w:rPr>
      </w:pPr>
      <w:r>
        <w:rPr>
          <w:sz w:val="24"/>
          <w:szCs w:val="21"/>
        </w:rPr>
        <w:t>注：</w:t>
      </w:r>
    </w:p>
    <w:p w14:paraId="6FBA8F62">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0A01C822">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6973F042">
      <w:pPr>
        <w:widowControl/>
        <w:jc w:val="left"/>
        <w:rPr>
          <w:b/>
          <w:sz w:val="24"/>
        </w:rPr>
      </w:pPr>
      <w:r>
        <w:rPr>
          <w:b/>
          <w:sz w:val="24"/>
        </w:rPr>
        <w:br w:type="page"/>
      </w:r>
    </w:p>
    <w:p w14:paraId="394A757F">
      <w:pPr>
        <w:tabs>
          <w:tab w:val="left" w:pos="360"/>
        </w:tabs>
        <w:spacing w:line="560" w:lineRule="exact"/>
        <w:jc w:val="left"/>
        <w:rPr>
          <w:b/>
          <w:sz w:val="24"/>
        </w:rPr>
      </w:pPr>
      <w:r>
        <w:rPr>
          <w:rFonts w:hint="eastAsia"/>
          <w:b/>
          <w:sz w:val="24"/>
        </w:rPr>
        <w:t>附件9</w:t>
      </w:r>
    </w:p>
    <w:p w14:paraId="488491E3">
      <w:pPr>
        <w:spacing w:line="620" w:lineRule="exact"/>
        <w:jc w:val="center"/>
        <w:rPr>
          <w:b/>
          <w:sz w:val="24"/>
        </w:rPr>
      </w:pPr>
      <w:r>
        <w:rPr>
          <w:rFonts w:hint="eastAsia"/>
          <w:b/>
          <w:sz w:val="24"/>
        </w:rPr>
        <w:t>供应商拥有的与项目相关的专利技术、专有技术情况</w:t>
      </w:r>
    </w:p>
    <w:p w14:paraId="258752DC">
      <w:pPr>
        <w:spacing w:line="620" w:lineRule="exact"/>
        <w:rPr>
          <w:b/>
          <w:sz w:val="24"/>
        </w:rPr>
      </w:pPr>
    </w:p>
    <w:p w14:paraId="50F578BC">
      <w:pPr>
        <w:spacing w:line="620" w:lineRule="exact"/>
        <w:rPr>
          <w:b/>
          <w:sz w:val="24"/>
        </w:rPr>
      </w:pPr>
    </w:p>
    <w:p w14:paraId="47BC22B7">
      <w:pPr>
        <w:spacing w:line="620" w:lineRule="exact"/>
        <w:rPr>
          <w:b/>
          <w:sz w:val="24"/>
        </w:rPr>
      </w:pPr>
    </w:p>
    <w:p w14:paraId="22AE85FA">
      <w:pPr>
        <w:spacing w:line="620" w:lineRule="exact"/>
        <w:rPr>
          <w:b/>
          <w:sz w:val="24"/>
        </w:rPr>
      </w:pPr>
    </w:p>
    <w:p w14:paraId="59C7B61A">
      <w:pPr>
        <w:spacing w:line="620" w:lineRule="exact"/>
        <w:rPr>
          <w:b/>
          <w:sz w:val="24"/>
        </w:rPr>
      </w:pPr>
    </w:p>
    <w:p w14:paraId="175C64C6">
      <w:pPr>
        <w:spacing w:line="620" w:lineRule="exact"/>
        <w:rPr>
          <w:b/>
          <w:sz w:val="24"/>
        </w:rPr>
      </w:pPr>
    </w:p>
    <w:p w14:paraId="10FEE0A6">
      <w:pPr>
        <w:spacing w:line="620" w:lineRule="exact"/>
        <w:rPr>
          <w:b/>
          <w:sz w:val="24"/>
        </w:rPr>
      </w:pPr>
    </w:p>
    <w:p w14:paraId="5B792DD6">
      <w:pPr>
        <w:spacing w:line="620" w:lineRule="exact"/>
        <w:rPr>
          <w:b/>
          <w:sz w:val="24"/>
        </w:rPr>
      </w:pPr>
    </w:p>
    <w:p w14:paraId="59FB1CD8">
      <w:pPr>
        <w:spacing w:line="620" w:lineRule="exact"/>
        <w:rPr>
          <w:b/>
          <w:sz w:val="24"/>
        </w:rPr>
      </w:pPr>
    </w:p>
    <w:p w14:paraId="7E20D1BE">
      <w:pPr>
        <w:spacing w:line="620" w:lineRule="exact"/>
        <w:rPr>
          <w:b/>
          <w:sz w:val="24"/>
        </w:rPr>
      </w:pPr>
    </w:p>
    <w:p w14:paraId="3C989B14">
      <w:pPr>
        <w:spacing w:line="620" w:lineRule="exact"/>
        <w:rPr>
          <w:b/>
          <w:sz w:val="24"/>
        </w:rPr>
      </w:pPr>
    </w:p>
    <w:p w14:paraId="655507B3">
      <w:pPr>
        <w:spacing w:line="620" w:lineRule="exact"/>
        <w:rPr>
          <w:b/>
          <w:sz w:val="24"/>
        </w:rPr>
      </w:pPr>
    </w:p>
    <w:p w14:paraId="734BBFFA">
      <w:pPr>
        <w:spacing w:line="620" w:lineRule="exact"/>
        <w:rPr>
          <w:b/>
          <w:sz w:val="24"/>
        </w:rPr>
      </w:pPr>
    </w:p>
    <w:p w14:paraId="234B8F29">
      <w:pPr>
        <w:spacing w:line="620" w:lineRule="exact"/>
        <w:rPr>
          <w:b/>
          <w:sz w:val="24"/>
        </w:rPr>
      </w:pPr>
    </w:p>
    <w:p w14:paraId="28E40C57">
      <w:pPr>
        <w:spacing w:line="620" w:lineRule="exact"/>
        <w:rPr>
          <w:b/>
          <w:sz w:val="24"/>
        </w:rPr>
      </w:pPr>
    </w:p>
    <w:p w14:paraId="2F073938">
      <w:pPr>
        <w:tabs>
          <w:tab w:val="left" w:pos="360"/>
        </w:tabs>
        <w:spacing w:line="560" w:lineRule="exact"/>
        <w:ind w:right="1223"/>
        <w:jc w:val="right"/>
        <w:rPr>
          <w:b/>
          <w:sz w:val="24"/>
        </w:rPr>
      </w:pPr>
      <w:r>
        <w:rPr>
          <w:rFonts w:hint="eastAsia"/>
          <w:sz w:val="24"/>
        </w:rPr>
        <w:t>供应商</w:t>
      </w:r>
      <w:r>
        <w:rPr>
          <w:sz w:val="24"/>
        </w:rPr>
        <w:t>名称：_____________</w:t>
      </w:r>
    </w:p>
    <w:p w14:paraId="008FF70D">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7F971AB9">
      <w:pPr>
        <w:widowControl/>
        <w:jc w:val="left"/>
        <w:rPr>
          <w:b/>
          <w:sz w:val="24"/>
        </w:rPr>
      </w:pPr>
      <w:r>
        <w:rPr>
          <w:b/>
          <w:sz w:val="24"/>
        </w:rPr>
        <w:br w:type="page"/>
      </w:r>
    </w:p>
    <w:p w14:paraId="174AEC58">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6421DB05"/>
    <w:p w14:paraId="20C5D0B8"/>
    <w:p w14:paraId="3BD9960D"/>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0000000000000000000"/>
    <w:charset w:val="86"/>
    <w:family w:val="auto"/>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ourier New">
    <w:panose1 w:val="02070309020205020404"/>
    <w:charset w:val="00"/>
    <w:family w:val="modern"/>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000101FF" w:csb1="0000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10" w:usb3="00000000" w:csb0="00040000" w:csb1="00000000"/>
  </w:font>
  <w:font w:name="Book Antiqua">
    <w:altName w:val="Georgia"/>
    <w:panose1 w:val="02040602050305030304"/>
    <w:charset w:val="00"/>
    <w:family w:val="roman"/>
    <w:pitch w:val="default"/>
    <w:sig w:usb0="00000000" w:usb1="00000000" w:usb2="00000000" w:usb3="00000000" w:csb0="0000009F"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方正小标宋简体">
    <w:altName w:val="汉仪书宋二KW"/>
    <w:panose1 w:val="00000000000000000000"/>
    <w:charset w:val="86"/>
    <w:family w:val="script"/>
    <w:pitch w:val="default"/>
    <w:sig w:usb0="00000000" w:usb1="00000000" w:usb2="00000000" w:usb3="00000000" w:csb0="00040000" w:csb1="00000000"/>
  </w:font>
  <w:font w:name="Segoe UI">
    <w:altName w:val="Arial"/>
    <w:panose1 w:val="020B0502040204020203"/>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A6748">
    <w:pPr>
      <w:pStyle w:val="22"/>
      <w:jc w:val="center"/>
    </w:pPr>
    <w:r>
      <w:rPr>
        <w:rFonts w:hint="eastAsia"/>
      </w:rPr>
      <w:t>-1-</w:t>
    </w:r>
    <w:r>
      <w:rPr>
        <w:rStyle w:val="39"/>
      </w:rPr>
      <w:fldChar w:fldCharType="begin"/>
    </w:r>
    <w:r>
      <w:rPr>
        <w:rStyle w:val="39"/>
      </w:rPr>
      <w:instrText xml:space="preserve"> PAGE </w:instrText>
    </w:r>
    <w:r>
      <w:rPr>
        <w:rStyle w:val="39"/>
      </w:rPr>
      <w:fldChar w:fldCharType="separate"/>
    </w:r>
    <w:r>
      <w:rPr>
        <w:rStyle w:val="39"/>
      </w:rPr>
      <w:t>6</w:t>
    </w:r>
    <w:r>
      <w:rPr>
        <w:rStyle w:val="39"/>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06186">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5477C">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6"/>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31"/>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1"/>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3"/>
      <w:lvlText w:val="%1. "/>
      <w:lvlJc w:val="left"/>
      <w:pPr>
        <w:tabs>
          <w:tab w:val="left" w:pos="839"/>
        </w:tabs>
        <w:ind w:left="839" w:hanging="419"/>
      </w:pPr>
      <w:rPr>
        <w:rFonts w:hint="eastAsia"/>
      </w:rPr>
    </w:lvl>
    <w:lvl w:ilvl="1" w:tentative="0">
      <w:start w:val="1"/>
      <w:numFmt w:val="upperLetter"/>
      <w:pStyle w:val="144"/>
      <w:lvlText w:val="%2. "/>
      <w:lvlJc w:val="left"/>
      <w:pPr>
        <w:tabs>
          <w:tab w:val="left" w:pos="1049"/>
        </w:tabs>
        <w:ind w:left="1049" w:hanging="420"/>
      </w:pPr>
      <w:rPr>
        <w:rFonts w:hint="eastAsia"/>
      </w:rPr>
    </w:lvl>
    <w:lvl w:ilvl="2" w:tentative="0">
      <w:start w:val="1"/>
      <w:numFmt w:val="lowerLetter"/>
      <w:pStyle w:val="145"/>
      <w:lvlText w:val="%3. "/>
      <w:lvlJc w:val="left"/>
      <w:pPr>
        <w:tabs>
          <w:tab w:val="left" w:pos="1259"/>
        </w:tabs>
        <w:ind w:left="1259" w:hanging="420"/>
      </w:pPr>
      <w:rPr>
        <w:rFonts w:hint="eastAsia"/>
      </w:rPr>
    </w:lvl>
    <w:lvl w:ilvl="3" w:tentative="0">
      <w:start w:val="1"/>
      <w:numFmt w:val="lowerLetter"/>
      <w:pStyle w:val="146"/>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80"/>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3"/>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37D9C"/>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351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62983"/>
    <w:rsid w:val="0026698B"/>
    <w:rsid w:val="002722C6"/>
    <w:rsid w:val="00280CCE"/>
    <w:rsid w:val="002815B7"/>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4F8D"/>
    <w:rsid w:val="003965F5"/>
    <w:rsid w:val="003A708F"/>
    <w:rsid w:val="003B100E"/>
    <w:rsid w:val="003B4DA9"/>
    <w:rsid w:val="003C0DBA"/>
    <w:rsid w:val="003D0977"/>
    <w:rsid w:val="003D5655"/>
    <w:rsid w:val="003E5A68"/>
    <w:rsid w:val="0040301E"/>
    <w:rsid w:val="004049EB"/>
    <w:rsid w:val="00406A1D"/>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0737E"/>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011D"/>
    <w:rsid w:val="007016EA"/>
    <w:rsid w:val="00707B8C"/>
    <w:rsid w:val="00732E79"/>
    <w:rsid w:val="00745A05"/>
    <w:rsid w:val="00756D6A"/>
    <w:rsid w:val="00760DF4"/>
    <w:rsid w:val="007718BD"/>
    <w:rsid w:val="00771CC2"/>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B246E"/>
    <w:rsid w:val="009C3A34"/>
    <w:rsid w:val="009C6BF0"/>
    <w:rsid w:val="009C77F3"/>
    <w:rsid w:val="009D4403"/>
    <w:rsid w:val="009E3E62"/>
    <w:rsid w:val="009E4135"/>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68F2"/>
    <w:rsid w:val="00A776DC"/>
    <w:rsid w:val="00A813F4"/>
    <w:rsid w:val="00A91795"/>
    <w:rsid w:val="00AA12AC"/>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C327C"/>
    <w:rsid w:val="00BD17A8"/>
    <w:rsid w:val="00BD6338"/>
    <w:rsid w:val="00BE3AE1"/>
    <w:rsid w:val="00BE3FCB"/>
    <w:rsid w:val="00BE615B"/>
    <w:rsid w:val="00BF1054"/>
    <w:rsid w:val="00C03F02"/>
    <w:rsid w:val="00C209FA"/>
    <w:rsid w:val="00C2186E"/>
    <w:rsid w:val="00C249CA"/>
    <w:rsid w:val="00C35C7C"/>
    <w:rsid w:val="00C4053E"/>
    <w:rsid w:val="00C73990"/>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37C1F"/>
    <w:rsid w:val="00D410DD"/>
    <w:rsid w:val="00D500BA"/>
    <w:rsid w:val="00D52963"/>
    <w:rsid w:val="00D53B05"/>
    <w:rsid w:val="00D63BEE"/>
    <w:rsid w:val="00D6401B"/>
    <w:rsid w:val="00D74069"/>
    <w:rsid w:val="00D85BCC"/>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305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B51AB"/>
    <w:rsid w:val="00EC51F2"/>
    <w:rsid w:val="00EC614A"/>
    <w:rsid w:val="00EE79D2"/>
    <w:rsid w:val="00F1021F"/>
    <w:rsid w:val="00F13326"/>
    <w:rsid w:val="00F13976"/>
    <w:rsid w:val="00F163CB"/>
    <w:rsid w:val="00F23F15"/>
    <w:rsid w:val="00F34876"/>
    <w:rsid w:val="00F363B4"/>
    <w:rsid w:val="00F36CE6"/>
    <w:rsid w:val="00F42AF8"/>
    <w:rsid w:val="00F42B86"/>
    <w:rsid w:val="00F54BDB"/>
    <w:rsid w:val="00F61BDF"/>
    <w:rsid w:val="00F762A8"/>
    <w:rsid w:val="00F76A53"/>
    <w:rsid w:val="00F830AE"/>
    <w:rsid w:val="00F8380D"/>
    <w:rsid w:val="00F84443"/>
    <w:rsid w:val="00F872A4"/>
    <w:rsid w:val="00F96532"/>
    <w:rsid w:val="00FB3187"/>
    <w:rsid w:val="00FC3225"/>
    <w:rsid w:val="00FC3947"/>
    <w:rsid w:val="00FC54E2"/>
    <w:rsid w:val="00FD0665"/>
    <w:rsid w:val="00FD381E"/>
    <w:rsid w:val="00FD69A1"/>
    <w:rsid w:val="00FD6DE2"/>
    <w:rsid w:val="00FE3CFB"/>
    <w:rsid w:val="00FF5CFD"/>
    <w:rsid w:val="00FF7B22"/>
    <w:rsid w:val="329A6EAC"/>
    <w:rsid w:val="3D8062AD"/>
    <w:rsid w:val="3FEB73C5"/>
    <w:rsid w:val="63A64A7C"/>
    <w:rsid w:val="FFF7A8B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qFormat="1" w:uiPriority="99" w:semiHidden="0"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4"/>
    <w:qFormat/>
    <w:uiPriority w:val="99"/>
    <w:pPr>
      <w:keepNext/>
      <w:outlineLvl w:val="0"/>
    </w:pPr>
    <w:rPr>
      <w:sz w:val="28"/>
    </w:rPr>
  </w:style>
  <w:style w:type="paragraph" w:styleId="3">
    <w:name w:val="heading 2"/>
    <w:basedOn w:val="1"/>
    <w:next w:val="1"/>
    <w:link w:val="56"/>
    <w:qFormat/>
    <w:uiPriority w:val="0"/>
    <w:pPr>
      <w:keepNext/>
      <w:ind w:left="-39" w:leftChars="-19" w:hanging="1"/>
      <w:outlineLvl w:val="1"/>
    </w:pPr>
    <w:rPr>
      <w:rFonts w:ascii="宋体" w:hAnsi="宋体"/>
      <w:sz w:val="28"/>
      <w:szCs w:val="24"/>
    </w:rPr>
  </w:style>
  <w:style w:type="paragraph" w:styleId="4">
    <w:name w:val="heading 3"/>
    <w:basedOn w:val="1"/>
    <w:next w:val="1"/>
    <w:link w:val="47"/>
    <w:qFormat/>
    <w:uiPriority w:val="0"/>
    <w:pPr>
      <w:keepNext/>
      <w:keepLines/>
      <w:spacing w:before="260" w:after="260" w:line="416" w:lineRule="auto"/>
      <w:outlineLvl w:val="2"/>
    </w:pPr>
    <w:rPr>
      <w:b/>
      <w:bCs/>
      <w:sz w:val="32"/>
      <w:szCs w:val="32"/>
    </w:rPr>
  </w:style>
  <w:style w:type="paragraph" w:styleId="5">
    <w:name w:val="heading 4"/>
    <w:basedOn w:val="1"/>
    <w:next w:val="1"/>
    <w:link w:val="48"/>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9"/>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50"/>
    <w:qFormat/>
    <w:uiPriority w:val="0"/>
    <w:pPr>
      <w:keepNext/>
      <w:keepLines/>
      <w:tabs>
        <w:tab w:val="left" w:pos="1152"/>
      </w:tabs>
      <w:spacing w:before="100" w:beforeAutospacing="1" w:after="100" w:afterAutospacing="1"/>
      <w:ind w:left="1152" w:hanging="1152"/>
      <w:outlineLvl w:val="5"/>
    </w:pPr>
    <w:rPr>
      <w:b/>
      <w:bCs/>
      <w:szCs w:val="24"/>
      <w:lang w:val="zh-CN"/>
    </w:rPr>
  </w:style>
  <w:style w:type="paragraph" w:styleId="8">
    <w:name w:val="heading 7"/>
    <w:basedOn w:val="1"/>
    <w:next w:val="1"/>
    <w:link w:val="51"/>
    <w:qFormat/>
    <w:uiPriority w:val="0"/>
    <w:pPr>
      <w:keepNext/>
      <w:keepLines/>
      <w:tabs>
        <w:tab w:val="left" w:pos="1296"/>
      </w:tabs>
      <w:spacing w:before="100" w:beforeAutospacing="1" w:after="100" w:afterAutospacing="1"/>
      <w:ind w:left="1296" w:hanging="1296"/>
      <w:outlineLvl w:val="6"/>
    </w:pPr>
    <w:rPr>
      <w:b/>
      <w:bCs/>
      <w:szCs w:val="24"/>
      <w:lang w:val="zh-CN"/>
    </w:rPr>
  </w:style>
  <w:style w:type="paragraph" w:styleId="9">
    <w:name w:val="heading 8"/>
    <w:basedOn w:val="1"/>
    <w:next w:val="1"/>
    <w:link w:val="52"/>
    <w:qFormat/>
    <w:uiPriority w:val="0"/>
    <w:pPr>
      <w:keepNext/>
      <w:keepLines/>
      <w:tabs>
        <w:tab w:val="left" w:pos="1440"/>
      </w:tabs>
      <w:spacing w:before="100" w:beforeAutospacing="1" w:after="100" w:afterAutospacing="1"/>
      <w:ind w:left="1440" w:hanging="1440"/>
      <w:outlineLvl w:val="7"/>
    </w:pPr>
    <w:rPr>
      <w:b/>
      <w:szCs w:val="24"/>
      <w:lang w:val="zh-CN"/>
    </w:rPr>
  </w:style>
  <w:style w:type="paragraph" w:styleId="10">
    <w:name w:val="heading 9"/>
    <w:basedOn w:val="1"/>
    <w:next w:val="1"/>
    <w:link w:val="53"/>
    <w:qFormat/>
    <w:uiPriority w:val="0"/>
    <w:pPr>
      <w:keepNext/>
      <w:keepLines/>
      <w:tabs>
        <w:tab w:val="left" w:pos="1584"/>
      </w:tabs>
      <w:spacing w:before="100" w:beforeAutospacing="1" w:after="100" w:afterAutospacing="1"/>
      <w:ind w:left="1584" w:hanging="1584"/>
      <w:outlineLvl w:val="8"/>
    </w:pPr>
    <w:rPr>
      <w:b/>
      <w:szCs w:val="21"/>
      <w:lang w:val="zh-CN"/>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7"/>
    <w:qFormat/>
    <w:uiPriority w:val="99"/>
    <w:pPr>
      <w:ind w:firstLine="420"/>
    </w:pPr>
  </w:style>
  <w:style w:type="paragraph" w:styleId="12">
    <w:name w:val="Document Map"/>
    <w:basedOn w:val="1"/>
    <w:link w:val="115"/>
    <w:qFormat/>
    <w:uiPriority w:val="0"/>
    <w:pPr>
      <w:shd w:val="clear" w:color="auto" w:fill="000080"/>
      <w:spacing w:before="100" w:beforeAutospacing="1" w:after="100" w:afterAutospacing="1"/>
    </w:pPr>
    <w:rPr>
      <w:szCs w:val="24"/>
      <w:lang w:val="zh-CN"/>
    </w:rPr>
  </w:style>
  <w:style w:type="paragraph" w:styleId="13">
    <w:name w:val="annotation text"/>
    <w:basedOn w:val="1"/>
    <w:link w:val="89"/>
    <w:semiHidden/>
    <w:qFormat/>
    <w:uiPriority w:val="0"/>
    <w:pPr>
      <w:jc w:val="left"/>
    </w:pPr>
    <w:rPr>
      <w:rFonts w:asciiTheme="minorHAnsi" w:hAnsiTheme="minorHAnsi" w:cstheme="minorBidi"/>
      <w:szCs w:val="24"/>
    </w:rPr>
  </w:style>
  <w:style w:type="paragraph" w:styleId="14">
    <w:name w:val="Body Text"/>
    <w:basedOn w:val="1"/>
    <w:link w:val="63"/>
    <w:qFormat/>
    <w:uiPriority w:val="0"/>
    <w:pPr>
      <w:tabs>
        <w:tab w:val="left" w:pos="2674"/>
      </w:tabs>
      <w:spacing w:line="560" w:lineRule="exact"/>
    </w:pPr>
    <w:rPr>
      <w:rFonts w:ascii="宋体" w:hAnsi="宋体"/>
      <w:sz w:val="24"/>
      <w:lang w:val="zh-CN"/>
    </w:rPr>
  </w:style>
  <w:style w:type="paragraph" w:styleId="15">
    <w:name w:val="Body Text Indent"/>
    <w:basedOn w:val="1"/>
    <w:link w:val="59"/>
    <w:qFormat/>
    <w:uiPriority w:val="0"/>
    <w:pPr>
      <w:spacing w:line="460" w:lineRule="exact"/>
      <w:ind w:firstLine="480"/>
    </w:pPr>
    <w:rPr>
      <w:sz w:val="24"/>
      <w:lang w:val="zh-CN"/>
    </w:rPr>
  </w:style>
  <w:style w:type="paragraph" w:styleId="16">
    <w:name w:val="HTML Address"/>
    <w:basedOn w:val="1"/>
    <w:link w:val="129"/>
    <w:qFormat/>
    <w:uiPriority w:val="0"/>
    <w:pPr>
      <w:widowControl/>
      <w:jc w:val="left"/>
    </w:pPr>
    <w:rPr>
      <w:rFonts w:ascii="宋体" w:hAnsi="宋体"/>
      <w:i/>
      <w:iCs/>
      <w:kern w:val="0"/>
      <w:sz w:val="24"/>
      <w:szCs w:val="24"/>
    </w:rPr>
  </w:style>
  <w:style w:type="paragraph" w:styleId="17">
    <w:name w:val="toc 3"/>
    <w:basedOn w:val="1"/>
    <w:next w:val="1"/>
    <w:autoRedefine/>
    <w:semiHidden/>
    <w:qFormat/>
    <w:uiPriority w:val="0"/>
    <w:pPr>
      <w:ind w:left="840" w:leftChars="400"/>
    </w:pPr>
  </w:style>
  <w:style w:type="paragraph" w:styleId="18">
    <w:name w:val="Plain Text"/>
    <w:basedOn w:val="1"/>
    <w:link w:val="62"/>
    <w:qFormat/>
    <w:uiPriority w:val="0"/>
    <w:rPr>
      <w:rFonts w:ascii="宋体" w:hAnsi="Courier New"/>
      <w:szCs w:val="21"/>
    </w:rPr>
  </w:style>
  <w:style w:type="paragraph" w:styleId="19">
    <w:name w:val="Date"/>
    <w:basedOn w:val="1"/>
    <w:next w:val="1"/>
    <w:link w:val="58"/>
    <w:qFormat/>
    <w:uiPriority w:val="99"/>
    <w:rPr>
      <w:sz w:val="32"/>
    </w:rPr>
  </w:style>
  <w:style w:type="paragraph" w:styleId="20">
    <w:name w:val="Body Text Indent 2"/>
    <w:basedOn w:val="1"/>
    <w:link w:val="60"/>
    <w:qFormat/>
    <w:uiPriority w:val="0"/>
    <w:pPr>
      <w:spacing w:line="460" w:lineRule="exact"/>
      <w:ind w:firstLine="471" w:firstLineChars="200"/>
    </w:pPr>
    <w:rPr>
      <w:rFonts w:ascii="宋体" w:hAnsi="宋体"/>
      <w:sz w:val="24"/>
    </w:rPr>
  </w:style>
  <w:style w:type="paragraph" w:styleId="21">
    <w:name w:val="Balloon Text"/>
    <w:basedOn w:val="1"/>
    <w:link w:val="65"/>
    <w:semiHidden/>
    <w:qFormat/>
    <w:uiPriority w:val="99"/>
    <w:rPr>
      <w:sz w:val="18"/>
      <w:szCs w:val="18"/>
      <w:lang w:val="zh-CN"/>
    </w:rPr>
  </w:style>
  <w:style w:type="paragraph" w:styleId="22">
    <w:name w:val="footer"/>
    <w:basedOn w:val="1"/>
    <w:link w:val="44"/>
    <w:unhideWhenUsed/>
    <w:qFormat/>
    <w:uiPriority w:val="0"/>
    <w:pPr>
      <w:tabs>
        <w:tab w:val="center" w:pos="4153"/>
        <w:tab w:val="right" w:pos="8306"/>
      </w:tabs>
      <w:snapToGrid w:val="0"/>
      <w:jc w:val="left"/>
    </w:pPr>
    <w:rPr>
      <w:sz w:val="18"/>
      <w:szCs w:val="18"/>
    </w:rPr>
  </w:style>
  <w:style w:type="paragraph" w:styleId="23">
    <w:name w:val="header"/>
    <w:basedOn w:val="1"/>
    <w:link w:val="43"/>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autoRedefine/>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7"/>
    <w:qFormat/>
    <w:uiPriority w:val="0"/>
    <w:pPr>
      <w:spacing w:before="240" w:after="60" w:line="312" w:lineRule="auto"/>
      <w:jc w:val="center"/>
      <w:outlineLvl w:val="1"/>
    </w:pPr>
    <w:rPr>
      <w:rFonts w:ascii="Cambria" w:hAnsi="Cambria"/>
      <w:b/>
      <w:bCs/>
      <w:kern w:val="28"/>
      <w:sz w:val="32"/>
      <w:szCs w:val="32"/>
    </w:rPr>
  </w:style>
  <w:style w:type="paragraph" w:styleId="26">
    <w:name w:val="footnote text"/>
    <w:basedOn w:val="1"/>
    <w:next w:val="27"/>
    <w:link w:val="160"/>
    <w:unhideWhenUsed/>
    <w:qFormat/>
    <w:uiPriority w:val="99"/>
    <w:pPr>
      <w:jc w:val="left"/>
    </w:pPr>
    <w:rPr>
      <w:rFonts w:ascii="等线" w:hAnsi="等线" w:eastAsia="等线" w:cstheme="minorBidi"/>
      <w:sz w:val="18"/>
      <w:szCs w:val="18"/>
      <w14:ligatures w14:val="standardContextual"/>
    </w:rPr>
  </w:style>
  <w:style w:type="paragraph" w:styleId="27">
    <w:name w:val="Body Text First Indent 2"/>
    <w:basedOn w:val="15"/>
    <w:link w:val="100"/>
    <w:qFormat/>
    <w:uiPriority w:val="0"/>
    <w:pPr>
      <w:spacing w:after="120" w:line="240" w:lineRule="auto"/>
      <w:ind w:left="420" w:leftChars="200" w:firstLine="420" w:firstLineChars="200"/>
    </w:pPr>
    <w:rPr>
      <w:sz w:val="21"/>
    </w:rPr>
  </w:style>
  <w:style w:type="paragraph" w:styleId="28">
    <w:name w:val="Body Text Indent 3"/>
    <w:basedOn w:val="1"/>
    <w:link w:val="61"/>
    <w:qFormat/>
    <w:uiPriority w:val="0"/>
    <w:pPr>
      <w:spacing w:line="460" w:lineRule="exact"/>
      <w:ind w:firstLine="540" w:firstLineChars="225"/>
    </w:pPr>
    <w:rPr>
      <w:rFonts w:ascii="宋体" w:hAnsi="宋体"/>
      <w:sz w:val="24"/>
    </w:rPr>
  </w:style>
  <w:style w:type="paragraph" w:styleId="29">
    <w:name w:val="toc 2"/>
    <w:basedOn w:val="1"/>
    <w:next w:val="1"/>
    <w:autoRedefine/>
    <w:semiHidden/>
    <w:qFormat/>
    <w:uiPriority w:val="0"/>
    <w:pPr>
      <w:adjustRightInd w:val="0"/>
      <w:spacing w:line="360" w:lineRule="atLeast"/>
      <w:ind w:left="420"/>
      <w:jc w:val="left"/>
      <w:textAlignment w:val="baseline"/>
    </w:pPr>
    <w:rPr>
      <w:kern w:val="0"/>
      <w:sz w:val="24"/>
    </w:rPr>
  </w:style>
  <w:style w:type="paragraph" w:styleId="30">
    <w:name w:val="Body Text 2"/>
    <w:basedOn w:val="1"/>
    <w:link w:val="64"/>
    <w:qFormat/>
    <w:uiPriority w:val="0"/>
    <w:rPr>
      <w:color w:val="000000"/>
      <w:sz w:val="24"/>
      <w:szCs w:val="26"/>
    </w:rPr>
  </w:style>
  <w:style w:type="paragraph" w:styleId="31">
    <w:name w:val="HTML Preformatted"/>
    <w:basedOn w:val="1"/>
    <w:link w:val="79"/>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3">
    <w:name w:val="Title"/>
    <w:basedOn w:val="1"/>
    <w:next w:val="1"/>
    <w:link w:val="154"/>
    <w:qFormat/>
    <w:uiPriority w:val="0"/>
    <w:pPr>
      <w:spacing w:before="240" w:after="60"/>
      <w:jc w:val="center"/>
      <w:outlineLvl w:val="0"/>
    </w:pPr>
    <w:rPr>
      <w:rFonts w:ascii="Cambria" w:hAnsi="Cambria"/>
      <w:b/>
      <w:bCs/>
      <w:sz w:val="32"/>
      <w:szCs w:val="32"/>
    </w:rPr>
  </w:style>
  <w:style w:type="paragraph" w:styleId="34">
    <w:name w:val="annotation subject"/>
    <w:basedOn w:val="13"/>
    <w:next w:val="13"/>
    <w:link w:val="92"/>
    <w:semiHidden/>
    <w:qFormat/>
    <w:uiPriority w:val="99"/>
    <w:rPr>
      <w:b/>
      <w:bCs/>
      <w:sz w:val="24"/>
      <w:szCs w:val="20"/>
      <w:lang w:val="zh-CN"/>
    </w:rPr>
  </w:style>
  <w:style w:type="table" w:styleId="36">
    <w:name w:val="Table Grid"/>
    <w:basedOn w:val="35"/>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8">
    <w:name w:val="Strong"/>
    <w:qFormat/>
    <w:uiPriority w:val="0"/>
    <w:rPr>
      <w:b/>
      <w:bCs/>
    </w:rPr>
  </w:style>
  <w:style w:type="character" w:styleId="39">
    <w:name w:val="page number"/>
    <w:basedOn w:val="37"/>
    <w:qFormat/>
    <w:uiPriority w:val="0"/>
  </w:style>
  <w:style w:type="character" w:styleId="40">
    <w:name w:val="FollowedHyperlink"/>
    <w:qFormat/>
    <w:uiPriority w:val="0"/>
    <w:rPr>
      <w:color w:val="800080"/>
      <w:u w:val="single"/>
    </w:rPr>
  </w:style>
  <w:style w:type="character" w:styleId="41">
    <w:name w:val="Hyperlink"/>
    <w:qFormat/>
    <w:uiPriority w:val="99"/>
    <w:rPr>
      <w:color w:val="0000FF"/>
      <w:u w:val="single"/>
    </w:rPr>
  </w:style>
  <w:style w:type="character" w:styleId="42">
    <w:name w:val="annotation reference"/>
    <w:unhideWhenUsed/>
    <w:qFormat/>
    <w:uiPriority w:val="99"/>
    <w:rPr>
      <w:sz w:val="21"/>
      <w:szCs w:val="21"/>
    </w:rPr>
  </w:style>
  <w:style w:type="character" w:customStyle="1" w:styleId="43">
    <w:name w:val="页眉 Char"/>
    <w:basedOn w:val="37"/>
    <w:link w:val="23"/>
    <w:qFormat/>
    <w:uiPriority w:val="0"/>
    <w:rPr>
      <w:sz w:val="18"/>
      <w:szCs w:val="18"/>
    </w:rPr>
  </w:style>
  <w:style w:type="character" w:customStyle="1" w:styleId="44">
    <w:name w:val="页脚 Char"/>
    <w:basedOn w:val="37"/>
    <w:link w:val="22"/>
    <w:qFormat/>
    <w:uiPriority w:val="0"/>
    <w:rPr>
      <w:sz w:val="18"/>
      <w:szCs w:val="18"/>
    </w:rPr>
  </w:style>
  <w:style w:type="character" w:customStyle="1" w:styleId="45">
    <w:name w:val="标题 1 Char"/>
    <w:basedOn w:val="37"/>
    <w:qFormat/>
    <w:uiPriority w:val="99"/>
    <w:rPr>
      <w:rFonts w:ascii="Times New Roman" w:hAnsi="Times New Roman" w:eastAsia="宋体" w:cs="Times New Roman"/>
      <w:b/>
      <w:bCs/>
      <w:kern w:val="44"/>
      <w:sz w:val="44"/>
      <w:szCs w:val="44"/>
    </w:rPr>
  </w:style>
  <w:style w:type="character" w:customStyle="1" w:styleId="46">
    <w:name w:val="标题 2 Char"/>
    <w:basedOn w:val="37"/>
    <w:qFormat/>
    <w:uiPriority w:val="0"/>
    <w:rPr>
      <w:rFonts w:asciiTheme="majorHAnsi" w:hAnsiTheme="majorHAnsi" w:eastAsiaTheme="majorEastAsia" w:cstheme="majorBidi"/>
      <w:b/>
      <w:bCs/>
      <w:sz w:val="32"/>
      <w:szCs w:val="32"/>
    </w:rPr>
  </w:style>
  <w:style w:type="character" w:customStyle="1" w:styleId="47">
    <w:name w:val="标题 3 Char"/>
    <w:basedOn w:val="37"/>
    <w:link w:val="4"/>
    <w:qFormat/>
    <w:uiPriority w:val="0"/>
    <w:rPr>
      <w:rFonts w:ascii="Times New Roman" w:hAnsi="Times New Roman" w:eastAsia="宋体" w:cs="Times New Roman"/>
      <w:b/>
      <w:bCs/>
      <w:sz w:val="32"/>
      <w:szCs w:val="32"/>
    </w:rPr>
  </w:style>
  <w:style w:type="character" w:customStyle="1" w:styleId="48">
    <w:name w:val="标题 4 Char"/>
    <w:basedOn w:val="37"/>
    <w:link w:val="5"/>
    <w:qFormat/>
    <w:uiPriority w:val="0"/>
    <w:rPr>
      <w:rFonts w:ascii="Arial" w:hAnsi="Arial" w:eastAsia="宋体" w:cs="Times New Roman"/>
      <w:b/>
      <w:bCs/>
      <w:sz w:val="32"/>
      <w:szCs w:val="28"/>
    </w:rPr>
  </w:style>
  <w:style w:type="character" w:customStyle="1" w:styleId="49">
    <w:name w:val="标题 5 Char"/>
    <w:basedOn w:val="37"/>
    <w:link w:val="6"/>
    <w:qFormat/>
    <w:uiPriority w:val="0"/>
    <w:rPr>
      <w:rFonts w:ascii="仿宋_GB2312" w:hAnsi="仿宋_GB2312" w:eastAsia="仿宋_GB2312" w:cs="仿宋_GB2312"/>
      <w:sz w:val="28"/>
      <w:szCs w:val="28"/>
    </w:rPr>
  </w:style>
  <w:style w:type="character" w:customStyle="1" w:styleId="50">
    <w:name w:val="标题 6 Char"/>
    <w:basedOn w:val="37"/>
    <w:link w:val="7"/>
    <w:qFormat/>
    <w:uiPriority w:val="0"/>
    <w:rPr>
      <w:rFonts w:ascii="Times New Roman" w:hAnsi="Times New Roman" w:eastAsia="宋体" w:cs="Times New Roman"/>
      <w:b/>
      <w:bCs/>
      <w:szCs w:val="24"/>
      <w:lang w:val="zh-CN" w:eastAsia="zh-CN"/>
    </w:rPr>
  </w:style>
  <w:style w:type="character" w:customStyle="1" w:styleId="51">
    <w:name w:val="标题 7 Char"/>
    <w:basedOn w:val="37"/>
    <w:link w:val="8"/>
    <w:qFormat/>
    <w:uiPriority w:val="0"/>
    <w:rPr>
      <w:rFonts w:ascii="Times New Roman" w:hAnsi="Times New Roman" w:eastAsia="宋体" w:cs="Times New Roman"/>
      <w:b/>
      <w:bCs/>
      <w:szCs w:val="24"/>
      <w:lang w:val="zh-CN" w:eastAsia="zh-CN"/>
    </w:rPr>
  </w:style>
  <w:style w:type="character" w:customStyle="1" w:styleId="52">
    <w:name w:val="标题 8 Char"/>
    <w:basedOn w:val="37"/>
    <w:link w:val="9"/>
    <w:qFormat/>
    <w:uiPriority w:val="0"/>
    <w:rPr>
      <w:rFonts w:ascii="Times New Roman" w:hAnsi="Times New Roman" w:eastAsia="宋体" w:cs="Times New Roman"/>
      <w:b/>
      <w:szCs w:val="24"/>
      <w:lang w:val="zh-CN" w:eastAsia="zh-CN"/>
    </w:rPr>
  </w:style>
  <w:style w:type="character" w:customStyle="1" w:styleId="53">
    <w:name w:val="标题 9 Char"/>
    <w:basedOn w:val="37"/>
    <w:link w:val="10"/>
    <w:qFormat/>
    <w:uiPriority w:val="0"/>
    <w:rPr>
      <w:rFonts w:ascii="Times New Roman" w:hAnsi="Times New Roman" w:eastAsia="宋体" w:cs="Times New Roman"/>
      <w:b/>
      <w:szCs w:val="21"/>
      <w:lang w:val="zh-CN" w:eastAsia="zh-CN"/>
    </w:rPr>
  </w:style>
  <w:style w:type="character" w:customStyle="1" w:styleId="54">
    <w:name w:val="标题 1 Char1"/>
    <w:link w:val="2"/>
    <w:qFormat/>
    <w:uiPriority w:val="99"/>
    <w:rPr>
      <w:rFonts w:ascii="Times New Roman" w:hAnsi="Times New Roman" w:eastAsia="宋体" w:cs="Times New Roman"/>
      <w:sz w:val="28"/>
      <w:szCs w:val="20"/>
    </w:rPr>
  </w:style>
  <w:style w:type="paragraph" w:customStyle="1" w:styleId="55">
    <w:name w:val="Char1 Char Char Char"/>
    <w:basedOn w:val="1"/>
    <w:qFormat/>
    <w:uiPriority w:val="0"/>
    <w:rPr>
      <w:rFonts w:ascii="Tahoma" w:hAnsi="Tahoma"/>
      <w:sz w:val="24"/>
    </w:rPr>
  </w:style>
  <w:style w:type="character" w:customStyle="1" w:styleId="56">
    <w:name w:val="标题 2 Char1"/>
    <w:link w:val="3"/>
    <w:qFormat/>
    <w:uiPriority w:val="0"/>
    <w:rPr>
      <w:rFonts w:ascii="宋体" w:hAnsi="宋体" w:eastAsia="宋体" w:cs="Times New Roman"/>
      <w:sz w:val="28"/>
      <w:szCs w:val="24"/>
    </w:rPr>
  </w:style>
  <w:style w:type="character" w:customStyle="1" w:styleId="57">
    <w:name w:val="正文缩进 Char"/>
    <w:link w:val="11"/>
    <w:qFormat/>
    <w:uiPriority w:val="99"/>
    <w:rPr>
      <w:rFonts w:ascii="Times New Roman" w:hAnsi="Times New Roman" w:eastAsia="宋体" w:cs="Times New Roman"/>
      <w:szCs w:val="20"/>
    </w:rPr>
  </w:style>
  <w:style w:type="character" w:customStyle="1" w:styleId="58">
    <w:name w:val="日期 Char"/>
    <w:basedOn w:val="37"/>
    <w:link w:val="19"/>
    <w:qFormat/>
    <w:uiPriority w:val="99"/>
    <w:rPr>
      <w:rFonts w:ascii="Times New Roman" w:hAnsi="Times New Roman" w:eastAsia="宋体" w:cs="Times New Roman"/>
      <w:sz w:val="32"/>
      <w:szCs w:val="20"/>
    </w:rPr>
  </w:style>
  <w:style w:type="character" w:customStyle="1" w:styleId="59">
    <w:name w:val="正文文本缩进 Char"/>
    <w:basedOn w:val="37"/>
    <w:link w:val="15"/>
    <w:qFormat/>
    <w:uiPriority w:val="0"/>
    <w:rPr>
      <w:rFonts w:ascii="Times New Roman" w:hAnsi="Times New Roman" w:eastAsia="宋体" w:cs="Times New Roman"/>
      <w:sz w:val="24"/>
      <w:szCs w:val="20"/>
      <w:lang w:val="zh-CN" w:eastAsia="zh-CN"/>
    </w:rPr>
  </w:style>
  <w:style w:type="character" w:customStyle="1" w:styleId="60">
    <w:name w:val="正文文本缩进 2 Char"/>
    <w:basedOn w:val="37"/>
    <w:link w:val="20"/>
    <w:qFormat/>
    <w:uiPriority w:val="0"/>
    <w:rPr>
      <w:rFonts w:ascii="宋体" w:hAnsi="宋体" w:eastAsia="宋体" w:cs="Times New Roman"/>
      <w:sz w:val="24"/>
      <w:szCs w:val="20"/>
    </w:rPr>
  </w:style>
  <w:style w:type="character" w:customStyle="1" w:styleId="61">
    <w:name w:val="正文文本缩进 3 Char"/>
    <w:basedOn w:val="37"/>
    <w:link w:val="28"/>
    <w:qFormat/>
    <w:uiPriority w:val="0"/>
    <w:rPr>
      <w:rFonts w:ascii="宋体" w:hAnsi="宋体" w:eastAsia="宋体" w:cs="Times New Roman"/>
      <w:sz w:val="24"/>
      <w:szCs w:val="20"/>
    </w:rPr>
  </w:style>
  <w:style w:type="character" w:customStyle="1" w:styleId="62">
    <w:name w:val="纯文本 Char"/>
    <w:basedOn w:val="37"/>
    <w:link w:val="18"/>
    <w:qFormat/>
    <w:uiPriority w:val="0"/>
    <w:rPr>
      <w:rFonts w:ascii="宋体" w:hAnsi="Courier New" w:eastAsia="宋体" w:cs="Times New Roman"/>
      <w:szCs w:val="21"/>
    </w:rPr>
  </w:style>
  <w:style w:type="character" w:customStyle="1" w:styleId="63">
    <w:name w:val="正文文本 Char"/>
    <w:basedOn w:val="37"/>
    <w:link w:val="14"/>
    <w:qFormat/>
    <w:uiPriority w:val="0"/>
    <w:rPr>
      <w:rFonts w:ascii="宋体" w:hAnsi="宋体" w:eastAsia="宋体" w:cs="Times New Roman"/>
      <w:sz w:val="24"/>
      <w:szCs w:val="20"/>
      <w:lang w:val="zh-CN" w:eastAsia="zh-CN"/>
    </w:rPr>
  </w:style>
  <w:style w:type="character" w:customStyle="1" w:styleId="64">
    <w:name w:val="正文文本 2 Char"/>
    <w:basedOn w:val="37"/>
    <w:link w:val="30"/>
    <w:qFormat/>
    <w:uiPriority w:val="0"/>
    <w:rPr>
      <w:rFonts w:eastAsia="宋体" w:cs="Times New Roman"/>
      <w:color w:val="000000"/>
      <w:sz w:val="24"/>
      <w:szCs w:val="26"/>
    </w:rPr>
  </w:style>
  <w:style w:type="character" w:customStyle="1" w:styleId="65">
    <w:name w:val="批注框文本 Char"/>
    <w:basedOn w:val="37"/>
    <w:link w:val="21"/>
    <w:semiHidden/>
    <w:qFormat/>
    <w:uiPriority w:val="99"/>
    <w:rPr>
      <w:rFonts w:ascii="Times New Roman" w:hAnsi="Times New Roman" w:eastAsia="宋体" w:cs="Times New Roman"/>
      <w:sz w:val="18"/>
      <w:szCs w:val="18"/>
      <w:lang w:val="zh-CN" w:eastAsia="zh-CN"/>
    </w:rPr>
  </w:style>
  <w:style w:type="paragraph" w:customStyle="1" w:styleId="66">
    <w:name w:val="z-窗体顶端1"/>
    <w:basedOn w:val="1"/>
    <w:next w:val="1"/>
    <w:link w:val="67"/>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7">
    <w:name w:val="z-窗体顶端 Char"/>
    <w:basedOn w:val="37"/>
    <w:link w:val="66"/>
    <w:qFormat/>
    <w:uiPriority w:val="0"/>
    <w:rPr>
      <w:rFonts w:ascii="Arial" w:hAnsi="Arial" w:eastAsia="宋体" w:cs="Arial"/>
      <w:vanish/>
      <w:color w:val="000000"/>
      <w:kern w:val="0"/>
      <w:sz w:val="16"/>
      <w:szCs w:val="16"/>
    </w:rPr>
  </w:style>
  <w:style w:type="paragraph" w:customStyle="1" w:styleId="68">
    <w:name w:val="z-窗体底端1"/>
    <w:basedOn w:val="1"/>
    <w:next w:val="1"/>
    <w:link w:val="69"/>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9">
    <w:name w:val="z-窗体底端 Char"/>
    <w:basedOn w:val="37"/>
    <w:link w:val="68"/>
    <w:qFormat/>
    <w:uiPriority w:val="0"/>
    <w:rPr>
      <w:rFonts w:ascii="Arial" w:hAnsi="Arial" w:eastAsia="宋体" w:cs="Arial"/>
      <w:vanish/>
      <w:color w:val="000000"/>
      <w:kern w:val="0"/>
      <w:sz w:val="16"/>
      <w:szCs w:val="16"/>
    </w:rPr>
  </w:style>
  <w:style w:type="paragraph" w:customStyle="1" w:styleId="70">
    <w:name w:val="Default"/>
    <w:link w:val="159"/>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71">
    <w:name w:val="label1"/>
    <w:qFormat/>
    <w:uiPriority w:val="0"/>
    <w:rPr>
      <w:sz w:val="26"/>
      <w:szCs w:val="26"/>
    </w:rPr>
  </w:style>
  <w:style w:type="paragraph" w:customStyle="1" w:styleId="72">
    <w:name w:val=".."/>
    <w:basedOn w:val="70"/>
    <w:next w:val="70"/>
    <w:qFormat/>
    <w:uiPriority w:val="0"/>
    <w:rPr>
      <w:color w:val="auto"/>
    </w:rPr>
  </w:style>
  <w:style w:type="paragraph" w:customStyle="1" w:styleId="73">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4">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5">
    <w:name w:val="文档正文"/>
    <w:basedOn w:val="1"/>
    <w:qFormat/>
    <w:uiPriority w:val="0"/>
    <w:pPr>
      <w:spacing w:before="120" w:after="120" w:line="360" w:lineRule="auto"/>
    </w:pPr>
    <w:rPr>
      <w:rFonts w:ascii="宋体" w:hAnsi="Arial" w:eastAsia="幼圆"/>
      <w:sz w:val="24"/>
    </w:rPr>
  </w:style>
  <w:style w:type="character" w:customStyle="1" w:styleId="76">
    <w:name w:val="style631"/>
    <w:qFormat/>
    <w:uiPriority w:val="0"/>
    <w:rPr>
      <w:rFonts w:hint="default" w:ascii="Arial" w:hAnsi="Arial" w:cs="Arial"/>
      <w:b/>
      <w:bCs/>
      <w:color w:val="FF6600"/>
      <w:sz w:val="28"/>
      <w:szCs w:val="28"/>
      <w:u w:val="none"/>
    </w:rPr>
  </w:style>
  <w:style w:type="paragraph" w:customStyle="1" w:styleId="77">
    <w:name w:val="Char"/>
    <w:basedOn w:val="1"/>
    <w:autoRedefine/>
    <w:qFormat/>
    <w:uiPriority w:val="0"/>
    <w:pPr>
      <w:tabs>
        <w:tab w:val="left" w:pos="360"/>
      </w:tabs>
    </w:pPr>
    <w:rPr>
      <w:sz w:val="24"/>
      <w:szCs w:val="24"/>
    </w:rPr>
  </w:style>
  <w:style w:type="paragraph" w:customStyle="1" w:styleId="78">
    <w:name w:val="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79">
    <w:name w:val="HTML 预设格式 Char"/>
    <w:basedOn w:val="37"/>
    <w:link w:val="31"/>
    <w:qFormat/>
    <w:uiPriority w:val="0"/>
    <w:rPr>
      <w:rFonts w:ascii="宋体" w:hAnsi="宋体" w:eastAsia="宋体" w:cs="宋体"/>
      <w:kern w:val="0"/>
      <w:sz w:val="24"/>
      <w:szCs w:val="24"/>
    </w:rPr>
  </w:style>
  <w:style w:type="paragraph" w:customStyle="1" w:styleId="80">
    <w:name w:val="Char Char Char Char1 Char Char Char Char"/>
    <w:basedOn w:val="1"/>
    <w:autoRedefine/>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1">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2">
    <w:name w:val="Char2"/>
    <w:basedOn w:val="1"/>
    <w:autoRedefine/>
    <w:qFormat/>
    <w:uiPriority w:val="0"/>
    <w:pPr>
      <w:tabs>
        <w:tab w:val="left" w:pos="360"/>
      </w:tabs>
    </w:pPr>
    <w:rPr>
      <w:sz w:val="24"/>
      <w:szCs w:val="24"/>
    </w:rPr>
  </w:style>
  <w:style w:type="paragraph" w:customStyle="1" w:styleId="83">
    <w:name w:val="段 Char"/>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84">
    <w:name w:val="Heading Bar"/>
    <w:basedOn w:val="3"/>
    <w:next w:val="4"/>
    <w:link w:val="85"/>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5">
    <w:name w:val="Heading Bar Char"/>
    <w:link w:val="84"/>
    <w:qFormat/>
    <w:uiPriority w:val="0"/>
    <w:rPr>
      <w:rFonts w:ascii="宋体" w:hAnsi="Book Antiqua" w:eastAsia="宋体" w:cs="Times New Roman"/>
      <w:b/>
      <w:bCs/>
      <w:spacing w:val="12"/>
      <w:kern w:val="0"/>
      <w:sz w:val="24"/>
      <w:szCs w:val="20"/>
    </w:rPr>
  </w:style>
  <w:style w:type="character" w:customStyle="1" w:styleId="86">
    <w:name w:val="Highlighted Variable"/>
    <w:qFormat/>
    <w:uiPriority w:val="0"/>
    <w:rPr>
      <w:color w:val="0000FF"/>
    </w:rPr>
  </w:style>
  <w:style w:type="paragraph" w:customStyle="1" w:styleId="87">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8">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9">
    <w:name w:val="批注文字 Char"/>
    <w:link w:val="13"/>
    <w:semiHidden/>
    <w:qFormat/>
    <w:uiPriority w:val="0"/>
    <w:rPr>
      <w:rFonts w:eastAsia="宋体"/>
      <w:szCs w:val="24"/>
    </w:rPr>
  </w:style>
  <w:style w:type="character" w:customStyle="1" w:styleId="90">
    <w:name w:val="批注文字 Char1"/>
    <w:basedOn w:val="37"/>
    <w:semiHidden/>
    <w:qFormat/>
    <w:uiPriority w:val="99"/>
    <w:rPr>
      <w:rFonts w:ascii="Times New Roman" w:hAnsi="Times New Roman" w:eastAsia="宋体" w:cs="Times New Roman"/>
      <w:szCs w:val="20"/>
    </w:rPr>
  </w:style>
  <w:style w:type="paragraph" w:customStyle="1" w:styleId="91">
    <w:name w:val="样式2"/>
    <w:basedOn w:val="4"/>
    <w:qFormat/>
    <w:uiPriority w:val="0"/>
    <w:pPr>
      <w:numPr>
        <w:ilvl w:val="1"/>
        <w:numId w:val="3"/>
      </w:numPr>
      <w:spacing w:line="360" w:lineRule="auto"/>
      <w:jc w:val="left"/>
    </w:pPr>
  </w:style>
  <w:style w:type="character" w:customStyle="1" w:styleId="92">
    <w:name w:val="批注主题 Char"/>
    <w:basedOn w:val="90"/>
    <w:link w:val="34"/>
    <w:semiHidden/>
    <w:qFormat/>
    <w:uiPriority w:val="99"/>
    <w:rPr>
      <w:rFonts w:ascii="Times New Roman" w:hAnsi="Times New Roman" w:eastAsia="宋体" w:cs="Times New Roman"/>
      <w:b/>
      <w:bCs/>
      <w:sz w:val="24"/>
      <w:szCs w:val="20"/>
      <w:lang w:val="zh-CN" w:eastAsia="zh-CN"/>
    </w:rPr>
  </w:style>
  <w:style w:type="paragraph" w:customStyle="1" w:styleId="93">
    <w:name w:val="InfoBlue"/>
    <w:basedOn w:val="1"/>
    <w:next w:val="14"/>
    <w:autoRedefine/>
    <w:qFormat/>
    <w:uiPriority w:val="0"/>
    <w:pPr>
      <w:numPr>
        <w:ilvl w:val="0"/>
        <w:numId w:val="4"/>
      </w:numPr>
      <w:spacing w:line="360" w:lineRule="exact"/>
      <w:jc w:val="left"/>
    </w:pPr>
    <w:rPr>
      <w:rFonts w:ascii="宋体"/>
      <w:snapToGrid w:val="0"/>
      <w:color w:val="000000"/>
      <w:kern w:val="0"/>
      <w:sz w:val="20"/>
    </w:rPr>
  </w:style>
  <w:style w:type="paragraph" w:styleId="94">
    <w:name w:val="List Paragraph"/>
    <w:basedOn w:val="1"/>
    <w:link w:val="122"/>
    <w:qFormat/>
    <w:uiPriority w:val="34"/>
    <w:pPr>
      <w:ind w:firstLine="420" w:firstLineChars="200"/>
    </w:pPr>
    <w:rPr>
      <w:rFonts w:ascii="Calibri" w:hAnsi="Calibri"/>
      <w:szCs w:val="22"/>
    </w:rPr>
  </w:style>
  <w:style w:type="paragraph" w:customStyle="1" w:styleId="95">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6">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7">
    <w:name w:val="1级描述"/>
    <w:basedOn w:val="1"/>
    <w:qFormat/>
    <w:uiPriority w:val="0"/>
    <w:pPr>
      <w:ind w:firstLine="420"/>
    </w:pPr>
    <w:rPr>
      <w:szCs w:val="24"/>
    </w:rPr>
  </w:style>
  <w:style w:type="paragraph" w:customStyle="1" w:styleId="98">
    <w:name w:val="Char Char Char"/>
    <w:basedOn w:val="1"/>
    <w:qFormat/>
    <w:uiPriority w:val="0"/>
    <w:rPr>
      <w:szCs w:val="24"/>
    </w:rPr>
  </w:style>
  <w:style w:type="paragraph" w:customStyle="1" w:styleId="99">
    <w:name w:val="Char Char Char Char Char Char"/>
    <w:basedOn w:val="1"/>
    <w:qFormat/>
    <w:uiPriority w:val="0"/>
    <w:pPr>
      <w:adjustRightInd w:val="0"/>
      <w:spacing w:line="360" w:lineRule="auto"/>
    </w:pPr>
    <w:rPr>
      <w:kern w:val="0"/>
      <w:sz w:val="24"/>
    </w:rPr>
  </w:style>
  <w:style w:type="character" w:customStyle="1" w:styleId="100">
    <w:name w:val="正文首行缩进 2 Char"/>
    <w:basedOn w:val="59"/>
    <w:link w:val="27"/>
    <w:qFormat/>
    <w:uiPriority w:val="0"/>
    <w:rPr>
      <w:rFonts w:ascii="Times New Roman" w:hAnsi="Times New Roman" w:eastAsia="宋体" w:cs="Times New Roman"/>
      <w:sz w:val="24"/>
      <w:szCs w:val="20"/>
      <w:lang w:val="zh-CN" w:eastAsia="zh-CN"/>
    </w:rPr>
  </w:style>
  <w:style w:type="paragraph" w:customStyle="1" w:styleId="101">
    <w:name w:val="Char1 Char Char Char Char Char"/>
    <w:basedOn w:val="1"/>
    <w:qFormat/>
    <w:uiPriority w:val="0"/>
    <w:rPr>
      <w:rFonts w:ascii="Tahoma" w:hAnsi="Tahoma"/>
      <w:sz w:val="24"/>
    </w:rPr>
  </w:style>
  <w:style w:type="paragraph" w:customStyle="1" w:styleId="102">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3">
    <w:name w:val="普通文字 Char Char"/>
    <w:qFormat/>
    <w:uiPriority w:val="0"/>
    <w:rPr>
      <w:rFonts w:ascii="宋体" w:hAnsi="Courier New" w:eastAsia="宋体"/>
      <w:kern w:val="2"/>
      <w:sz w:val="21"/>
      <w:lang w:val="en-US" w:eastAsia="zh-CN" w:bidi="ar-SA"/>
    </w:rPr>
  </w:style>
  <w:style w:type="paragraph" w:customStyle="1" w:styleId="104">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5">
    <w:name w:val="style51"/>
    <w:qFormat/>
    <w:uiPriority w:val="0"/>
    <w:rPr>
      <w:color w:val="000000"/>
    </w:rPr>
  </w:style>
  <w:style w:type="paragraph" w:customStyle="1" w:styleId="106">
    <w:name w:val="锐丰正文 Char"/>
    <w:basedOn w:val="1"/>
    <w:link w:val="107"/>
    <w:qFormat/>
    <w:uiPriority w:val="0"/>
    <w:pPr>
      <w:spacing w:line="520" w:lineRule="exact"/>
      <w:ind w:firstLine="200" w:firstLineChars="200"/>
    </w:pPr>
    <w:rPr>
      <w:rFonts w:eastAsia="楷体_GB2312"/>
      <w:sz w:val="28"/>
      <w:szCs w:val="24"/>
    </w:rPr>
  </w:style>
  <w:style w:type="character" w:customStyle="1" w:styleId="107">
    <w:name w:val="锐丰正文 Char Char"/>
    <w:link w:val="106"/>
    <w:qFormat/>
    <w:uiPriority w:val="0"/>
    <w:rPr>
      <w:rFonts w:ascii="Times New Roman" w:hAnsi="Times New Roman" w:eastAsia="楷体_GB2312" w:cs="Times New Roman"/>
      <w:sz w:val="28"/>
      <w:szCs w:val="24"/>
    </w:rPr>
  </w:style>
  <w:style w:type="paragraph" w:customStyle="1" w:styleId="108">
    <w:name w:val="正文（首行缩进2字符）"/>
    <w:basedOn w:val="1"/>
    <w:link w:val="109"/>
    <w:qFormat/>
    <w:uiPriority w:val="0"/>
    <w:pPr>
      <w:spacing w:line="360" w:lineRule="auto"/>
      <w:ind w:firstLine="461" w:firstLineChars="192"/>
    </w:pPr>
    <w:rPr>
      <w:rFonts w:ascii="Arial" w:hAnsi="Arial"/>
      <w:sz w:val="24"/>
      <w:szCs w:val="28"/>
    </w:rPr>
  </w:style>
  <w:style w:type="character" w:customStyle="1" w:styleId="109">
    <w:name w:val="正文（首行缩进2字符） Char"/>
    <w:link w:val="108"/>
    <w:qFormat/>
    <w:uiPriority w:val="0"/>
    <w:rPr>
      <w:rFonts w:ascii="Arial" w:hAnsi="Arial" w:eastAsia="宋体" w:cs="Times New Roman"/>
      <w:sz w:val="24"/>
      <w:szCs w:val="28"/>
    </w:rPr>
  </w:style>
  <w:style w:type="character" w:customStyle="1" w:styleId="110">
    <w:name w:val="Char Char Char Char Char Char Char Char"/>
    <w:link w:val="111"/>
    <w:qFormat/>
    <w:locked/>
    <w:uiPriority w:val="0"/>
    <w:rPr>
      <w:rFonts w:ascii="Tahoma" w:hAnsi="Tahoma" w:eastAsia="宋体" w:cs="Tahoma"/>
      <w:sz w:val="24"/>
    </w:rPr>
  </w:style>
  <w:style w:type="paragraph" w:customStyle="1" w:styleId="111">
    <w:name w:val="Char Char Char Char Char Char Char"/>
    <w:basedOn w:val="1"/>
    <w:link w:val="110"/>
    <w:qFormat/>
    <w:uiPriority w:val="0"/>
    <w:rPr>
      <w:rFonts w:ascii="Tahoma" w:hAnsi="Tahoma" w:cs="Tahoma"/>
      <w:sz w:val="24"/>
      <w:szCs w:val="22"/>
    </w:rPr>
  </w:style>
  <w:style w:type="character" w:customStyle="1" w:styleId="112">
    <w:name w:val="Normal Indent Char Char"/>
    <w:qFormat/>
    <w:uiPriority w:val="0"/>
    <w:rPr>
      <w:rFonts w:eastAsia="宋体"/>
      <w:kern w:val="2"/>
      <w:sz w:val="21"/>
      <w:szCs w:val="24"/>
      <w:lang w:val="en-US" w:eastAsia="zh-CN" w:bidi="ar-SA"/>
    </w:rPr>
  </w:style>
  <w:style w:type="paragraph" w:customStyle="1" w:styleId="113">
    <w:name w:val="p0"/>
    <w:basedOn w:val="1"/>
    <w:qFormat/>
    <w:uiPriority w:val="0"/>
    <w:pPr>
      <w:widowControl/>
    </w:pPr>
    <w:rPr>
      <w:kern w:val="0"/>
      <w:szCs w:val="21"/>
    </w:rPr>
  </w:style>
  <w:style w:type="paragraph" w:customStyle="1" w:styleId="114">
    <w:name w:val="文字"/>
    <w:basedOn w:val="1"/>
    <w:qFormat/>
    <w:uiPriority w:val="0"/>
    <w:pPr>
      <w:tabs>
        <w:tab w:val="left" w:pos="8520"/>
      </w:tabs>
      <w:spacing w:line="312" w:lineRule="auto"/>
      <w:ind w:right="-210" w:firstLine="556"/>
    </w:pPr>
    <w:rPr>
      <w:rFonts w:ascii="宋体"/>
      <w:sz w:val="28"/>
    </w:rPr>
  </w:style>
  <w:style w:type="character" w:customStyle="1" w:styleId="115">
    <w:name w:val="文档结构图 Char"/>
    <w:basedOn w:val="37"/>
    <w:link w:val="12"/>
    <w:qFormat/>
    <w:uiPriority w:val="0"/>
    <w:rPr>
      <w:rFonts w:ascii="Times New Roman" w:hAnsi="Times New Roman" w:eastAsia="宋体" w:cs="Times New Roman"/>
      <w:szCs w:val="24"/>
      <w:shd w:val="clear" w:color="auto" w:fill="000080"/>
      <w:lang w:val="zh-CN" w:eastAsia="zh-CN"/>
    </w:rPr>
  </w:style>
  <w:style w:type="paragraph" w:customStyle="1" w:styleId="116">
    <w:name w:val="列出段落1"/>
    <w:basedOn w:val="1"/>
    <w:qFormat/>
    <w:uiPriority w:val="0"/>
    <w:pPr>
      <w:ind w:firstLine="420" w:firstLineChars="200"/>
    </w:pPr>
    <w:rPr>
      <w:rFonts w:ascii="Calibri" w:hAnsi="Calibri"/>
      <w:szCs w:val="22"/>
    </w:rPr>
  </w:style>
  <w:style w:type="character" w:customStyle="1" w:styleId="117">
    <w:name w:val="副标题 Char"/>
    <w:basedOn w:val="37"/>
    <w:link w:val="25"/>
    <w:qFormat/>
    <w:uiPriority w:val="0"/>
    <w:rPr>
      <w:rFonts w:ascii="Cambria" w:hAnsi="Cambria" w:eastAsia="宋体" w:cs="Times New Roman"/>
      <w:b/>
      <w:bCs/>
      <w:kern w:val="28"/>
      <w:sz w:val="32"/>
      <w:szCs w:val="32"/>
    </w:rPr>
  </w:style>
  <w:style w:type="paragraph" w:customStyle="1" w:styleId="118">
    <w:name w:val="Char1"/>
    <w:basedOn w:val="1"/>
    <w:autoRedefine/>
    <w:qFormat/>
    <w:uiPriority w:val="0"/>
    <w:pPr>
      <w:tabs>
        <w:tab w:val="left" w:pos="360"/>
      </w:tabs>
    </w:pPr>
    <w:rPr>
      <w:sz w:val="24"/>
      <w:szCs w:val="24"/>
    </w:rPr>
  </w:style>
  <w:style w:type="paragraph" w:customStyle="1" w:styleId="11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1">
    <w:name w:val="List Paragraph1"/>
    <w:basedOn w:val="1"/>
    <w:qFormat/>
    <w:uiPriority w:val="99"/>
    <w:pPr>
      <w:ind w:firstLine="420" w:firstLineChars="200"/>
    </w:pPr>
    <w:rPr>
      <w:rFonts w:ascii="Calibri" w:hAnsi="Calibri" w:cs="Calibri"/>
      <w:szCs w:val="21"/>
    </w:rPr>
  </w:style>
  <w:style w:type="character" w:customStyle="1" w:styleId="122">
    <w:name w:val="列出段落 Char"/>
    <w:link w:val="94"/>
    <w:qFormat/>
    <w:uiPriority w:val="34"/>
    <w:rPr>
      <w:rFonts w:ascii="Calibri" w:hAnsi="Calibri" w:eastAsia="宋体" w:cs="Times New Roman"/>
    </w:rPr>
  </w:style>
  <w:style w:type="paragraph" w:styleId="123">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4">
    <w:name w:val="apple-converted-space"/>
    <w:qFormat/>
    <w:uiPriority w:val="0"/>
  </w:style>
  <w:style w:type="character" w:customStyle="1" w:styleId="125">
    <w:name w:val="short_text1"/>
    <w:qFormat/>
    <w:uiPriority w:val="0"/>
    <w:rPr>
      <w:sz w:val="26"/>
      <w:szCs w:val="26"/>
    </w:rPr>
  </w:style>
  <w:style w:type="paragraph" w:customStyle="1" w:styleId="126">
    <w:name w:val="列出段落2"/>
    <w:basedOn w:val="1"/>
    <w:qFormat/>
    <w:uiPriority w:val="0"/>
    <w:pPr>
      <w:ind w:firstLine="420" w:firstLineChars="200"/>
    </w:pPr>
    <w:rPr>
      <w:rFonts w:ascii="Calibri" w:hAnsi="Calibri"/>
      <w:szCs w:val="22"/>
    </w:rPr>
  </w:style>
  <w:style w:type="paragraph" w:customStyle="1" w:styleId="127">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8">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129">
    <w:name w:val="HTML 地址 Char"/>
    <w:basedOn w:val="37"/>
    <w:link w:val="16"/>
    <w:qFormat/>
    <w:uiPriority w:val="0"/>
    <w:rPr>
      <w:rFonts w:ascii="宋体" w:hAnsi="宋体" w:eastAsia="宋体" w:cs="Times New Roman"/>
      <w:i/>
      <w:iCs/>
      <w:kern w:val="0"/>
      <w:sz w:val="24"/>
      <w:szCs w:val="24"/>
    </w:rPr>
  </w:style>
  <w:style w:type="paragraph" w:customStyle="1" w:styleId="130">
    <w:name w:val="附件正文"/>
    <w:basedOn w:val="1"/>
    <w:qFormat/>
    <w:uiPriority w:val="0"/>
    <w:pPr>
      <w:snapToGrid w:val="0"/>
      <w:spacing w:line="480" w:lineRule="exact"/>
    </w:pPr>
    <w:rPr>
      <w:color w:val="000000"/>
      <w:kern w:val="0"/>
      <w:sz w:val="24"/>
      <w:szCs w:val="24"/>
    </w:rPr>
  </w:style>
  <w:style w:type="paragraph" w:customStyle="1" w:styleId="131">
    <w:name w:val="msolistparagraph"/>
    <w:basedOn w:val="1"/>
    <w:qFormat/>
    <w:uiPriority w:val="0"/>
    <w:pPr>
      <w:ind w:firstLine="420" w:firstLineChars="200"/>
    </w:pPr>
    <w:rPr>
      <w:rFonts w:ascii="Calibri" w:hAnsi="Calibri"/>
      <w:szCs w:val="22"/>
    </w:rPr>
  </w:style>
  <w:style w:type="character" w:customStyle="1" w:styleId="132">
    <w:name w:val="font41"/>
    <w:qFormat/>
    <w:uiPriority w:val="0"/>
    <w:rPr>
      <w:rFonts w:hint="eastAsia" w:ascii="宋体" w:hAnsi="宋体" w:eastAsia="宋体" w:cs="宋体"/>
      <w:color w:val="000000"/>
      <w:sz w:val="20"/>
      <w:szCs w:val="20"/>
      <w:u w:val="none"/>
    </w:rPr>
  </w:style>
  <w:style w:type="character" w:customStyle="1" w:styleId="133">
    <w:name w:val="font11"/>
    <w:qFormat/>
    <w:uiPriority w:val="0"/>
    <w:rPr>
      <w:rFonts w:hint="eastAsia" w:ascii="宋体" w:hAnsi="宋体" w:eastAsia="宋体" w:cs="宋体"/>
      <w:color w:val="000000"/>
      <w:sz w:val="21"/>
      <w:szCs w:val="21"/>
      <w:u w:val="none"/>
    </w:rPr>
  </w:style>
  <w:style w:type="paragraph" w:customStyle="1" w:styleId="134">
    <w:name w:val="列出段落3"/>
    <w:basedOn w:val="1"/>
    <w:qFormat/>
    <w:uiPriority w:val="0"/>
    <w:pPr>
      <w:ind w:firstLine="420" w:firstLineChars="200"/>
    </w:pPr>
    <w:rPr>
      <w:szCs w:val="24"/>
    </w:rPr>
  </w:style>
  <w:style w:type="paragraph" w:customStyle="1" w:styleId="135">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6">
    <w:name w:val="UP标题3"/>
    <w:basedOn w:val="1"/>
    <w:link w:val="137"/>
    <w:qFormat/>
    <w:uiPriority w:val="99"/>
    <w:pPr>
      <w:spacing w:line="360" w:lineRule="auto"/>
      <w:ind w:firstLine="149" w:firstLineChars="149"/>
    </w:pPr>
    <w:rPr>
      <w:rFonts w:ascii="黑体" w:eastAsia="黑体"/>
      <w:kern w:val="0"/>
      <w:sz w:val="28"/>
    </w:rPr>
  </w:style>
  <w:style w:type="character" w:customStyle="1" w:styleId="137">
    <w:name w:val="UP标题3 Char Char"/>
    <w:link w:val="136"/>
    <w:qFormat/>
    <w:locked/>
    <w:uiPriority w:val="99"/>
    <w:rPr>
      <w:rFonts w:ascii="黑体" w:hAnsi="Times New Roman" w:eastAsia="黑体" w:cs="Times New Roman"/>
      <w:kern w:val="0"/>
      <w:sz w:val="28"/>
      <w:szCs w:val="20"/>
    </w:rPr>
  </w:style>
  <w:style w:type="paragraph" w:customStyle="1" w:styleId="138">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9">
    <w:name w:val="font61"/>
    <w:qFormat/>
    <w:uiPriority w:val="0"/>
    <w:rPr>
      <w:rFonts w:hint="eastAsia" w:ascii="宋体" w:hAnsi="宋体" w:eastAsia="宋体" w:cs="宋体"/>
      <w:color w:val="000000"/>
      <w:sz w:val="20"/>
      <w:szCs w:val="20"/>
      <w:u w:val="none"/>
    </w:rPr>
  </w:style>
  <w:style w:type="character" w:customStyle="1" w:styleId="140">
    <w:name w:val="font21"/>
    <w:qFormat/>
    <w:uiPriority w:val="0"/>
    <w:rPr>
      <w:rFonts w:hint="default" w:ascii="Times New Roman" w:hAnsi="Times New Roman" w:cs="Times New Roman"/>
      <w:color w:val="000000"/>
      <w:sz w:val="20"/>
      <w:szCs w:val="20"/>
      <w:u w:val="none"/>
    </w:rPr>
  </w:style>
  <w:style w:type="character" w:customStyle="1" w:styleId="141">
    <w:name w:val="font01"/>
    <w:qFormat/>
    <w:uiPriority w:val="0"/>
    <w:rPr>
      <w:rFonts w:ascii="Arial" w:hAnsi="Arial" w:cs="Arial"/>
      <w:color w:val="000000"/>
      <w:sz w:val="20"/>
      <w:szCs w:val="20"/>
      <w:u w:val="none"/>
    </w:rPr>
  </w:style>
  <w:style w:type="character" w:customStyle="1" w:styleId="142">
    <w:name w:val="font31"/>
    <w:qFormat/>
    <w:uiPriority w:val="0"/>
    <w:rPr>
      <w:rFonts w:hint="default" w:ascii="Times New Roman" w:hAnsi="Times New Roman" w:cs="Times New Roman"/>
      <w:b/>
      <w:color w:val="000000"/>
      <w:sz w:val="20"/>
      <w:szCs w:val="20"/>
      <w:u w:val="none"/>
    </w:rPr>
  </w:style>
  <w:style w:type="paragraph" w:customStyle="1" w:styleId="143">
    <w:name w:val="正文序号 1"/>
    <w:basedOn w:val="1"/>
    <w:qFormat/>
    <w:uiPriority w:val="0"/>
    <w:pPr>
      <w:numPr>
        <w:ilvl w:val="0"/>
        <w:numId w:val="6"/>
      </w:numPr>
      <w:spacing w:before="60"/>
    </w:pPr>
    <w:rPr>
      <w:szCs w:val="24"/>
    </w:rPr>
  </w:style>
  <w:style w:type="paragraph" w:customStyle="1" w:styleId="144">
    <w:name w:val="正文序号 2"/>
    <w:basedOn w:val="1"/>
    <w:qFormat/>
    <w:uiPriority w:val="0"/>
    <w:pPr>
      <w:numPr>
        <w:ilvl w:val="1"/>
        <w:numId w:val="6"/>
      </w:numPr>
      <w:spacing w:before="60"/>
    </w:pPr>
    <w:rPr>
      <w:szCs w:val="24"/>
    </w:rPr>
  </w:style>
  <w:style w:type="paragraph" w:customStyle="1" w:styleId="145">
    <w:name w:val="正文序号 3"/>
    <w:basedOn w:val="1"/>
    <w:qFormat/>
    <w:uiPriority w:val="0"/>
    <w:pPr>
      <w:numPr>
        <w:ilvl w:val="2"/>
        <w:numId w:val="6"/>
      </w:numPr>
      <w:spacing w:before="60"/>
    </w:pPr>
    <w:rPr>
      <w:szCs w:val="24"/>
    </w:rPr>
  </w:style>
  <w:style w:type="paragraph" w:customStyle="1" w:styleId="146">
    <w:name w:val="正文序号 4"/>
    <w:basedOn w:val="1"/>
    <w:qFormat/>
    <w:uiPriority w:val="0"/>
    <w:pPr>
      <w:numPr>
        <w:ilvl w:val="3"/>
        <w:numId w:val="6"/>
      </w:numPr>
      <w:spacing w:before="60"/>
    </w:pPr>
    <w:rPr>
      <w:szCs w:val="24"/>
    </w:rPr>
  </w:style>
  <w:style w:type="paragraph" w:customStyle="1" w:styleId="147">
    <w:name w:val="列出段落4"/>
    <w:basedOn w:val="1"/>
    <w:qFormat/>
    <w:uiPriority w:val="34"/>
    <w:pPr>
      <w:ind w:firstLine="420" w:firstLineChars="200"/>
    </w:pPr>
    <w:rPr>
      <w:szCs w:val="24"/>
    </w:rPr>
  </w:style>
  <w:style w:type="paragraph" w:customStyle="1" w:styleId="148">
    <w:name w:val="纯文本1"/>
    <w:basedOn w:val="1"/>
    <w:qFormat/>
    <w:uiPriority w:val="0"/>
    <w:rPr>
      <w:rFonts w:hint="eastAsia" w:ascii="宋体" w:hAnsi="Courier New"/>
    </w:rPr>
  </w:style>
  <w:style w:type="paragraph" w:customStyle="1" w:styleId="149">
    <w:name w:val="正文缩进1"/>
    <w:basedOn w:val="1"/>
    <w:qFormat/>
    <w:uiPriority w:val="0"/>
    <w:pPr>
      <w:ind w:firstLine="420"/>
    </w:pPr>
  </w:style>
  <w:style w:type="paragraph" w:customStyle="1" w:styleId="150">
    <w:name w:val="列出段落5"/>
    <w:basedOn w:val="1"/>
    <w:qFormat/>
    <w:uiPriority w:val="0"/>
    <w:pPr>
      <w:ind w:firstLine="420" w:firstLineChars="200"/>
    </w:pPr>
    <w:rPr>
      <w:rFonts w:ascii="Calibri" w:hAnsi="Calibri"/>
      <w:szCs w:val="22"/>
    </w:rPr>
  </w:style>
  <w:style w:type="paragraph" w:customStyle="1" w:styleId="151">
    <w:name w:val="列出段落6"/>
    <w:basedOn w:val="1"/>
    <w:qFormat/>
    <w:uiPriority w:val="0"/>
    <w:pPr>
      <w:ind w:firstLine="420" w:firstLineChars="200"/>
    </w:pPr>
    <w:rPr>
      <w:rFonts w:ascii="Calibri" w:hAnsi="Calibri"/>
      <w:szCs w:val="22"/>
    </w:rPr>
  </w:style>
  <w:style w:type="character" w:customStyle="1" w:styleId="152">
    <w:name w:val="font71"/>
    <w:qFormat/>
    <w:uiPriority w:val="0"/>
    <w:rPr>
      <w:rFonts w:hint="eastAsia" w:ascii="宋体" w:hAnsi="宋体" w:eastAsia="宋体" w:cs="宋体"/>
      <w:color w:val="000000"/>
      <w:sz w:val="24"/>
      <w:szCs w:val="24"/>
      <w:u w:val="none"/>
    </w:rPr>
  </w:style>
  <w:style w:type="character" w:customStyle="1" w:styleId="153">
    <w:name w:val="font51"/>
    <w:qFormat/>
    <w:uiPriority w:val="0"/>
    <w:rPr>
      <w:rFonts w:ascii="Tahoma" w:hAnsi="Tahoma" w:eastAsia="Tahoma" w:cs="Tahoma"/>
      <w:color w:val="000000"/>
      <w:sz w:val="21"/>
      <w:szCs w:val="21"/>
      <w:u w:val="none"/>
    </w:rPr>
  </w:style>
  <w:style w:type="character" w:customStyle="1" w:styleId="154">
    <w:name w:val="标题 Char"/>
    <w:basedOn w:val="37"/>
    <w:link w:val="33"/>
    <w:qFormat/>
    <w:uiPriority w:val="0"/>
    <w:rPr>
      <w:rFonts w:ascii="Cambria" w:hAnsi="Cambria" w:eastAsia="宋体" w:cs="Times New Roman"/>
      <w:b/>
      <w:bCs/>
      <w:sz w:val="32"/>
      <w:szCs w:val="32"/>
    </w:rPr>
  </w:style>
  <w:style w:type="paragraph" w:customStyle="1" w:styleId="155">
    <w:name w:val="_Style 1"/>
    <w:basedOn w:val="1"/>
    <w:qFormat/>
    <w:uiPriority w:val="0"/>
    <w:pPr>
      <w:ind w:firstLine="420" w:firstLineChars="200"/>
    </w:pPr>
    <w:rPr>
      <w:rFonts w:ascii="Calibri" w:hAnsi="Calibri"/>
      <w:szCs w:val="22"/>
    </w:rPr>
  </w:style>
  <w:style w:type="paragraph" w:customStyle="1" w:styleId="156">
    <w:name w:val="列出段落7"/>
    <w:basedOn w:val="1"/>
    <w:qFormat/>
    <w:uiPriority w:val="34"/>
    <w:pPr>
      <w:widowControl/>
      <w:ind w:firstLine="420" w:firstLineChars="200"/>
      <w:jc w:val="left"/>
    </w:pPr>
    <w:rPr>
      <w:sz w:val="24"/>
      <w:szCs w:val="24"/>
    </w:rPr>
  </w:style>
  <w:style w:type="character" w:customStyle="1" w:styleId="157">
    <w:name w:val="List Paragraph Char"/>
    <w:link w:val="158"/>
    <w:qFormat/>
    <w:locked/>
    <w:uiPriority w:val="0"/>
    <w:rPr>
      <w:szCs w:val="24"/>
    </w:rPr>
  </w:style>
  <w:style w:type="paragraph" w:customStyle="1" w:styleId="158">
    <w:name w:val="列出段落8"/>
    <w:basedOn w:val="1"/>
    <w:link w:val="157"/>
    <w:qFormat/>
    <w:uiPriority w:val="0"/>
    <w:pPr>
      <w:ind w:firstLine="420" w:firstLineChars="200"/>
    </w:pPr>
    <w:rPr>
      <w:rFonts w:asciiTheme="minorHAnsi" w:hAnsiTheme="minorHAnsi" w:eastAsiaTheme="minorEastAsia" w:cstheme="minorBidi"/>
      <w:szCs w:val="24"/>
    </w:rPr>
  </w:style>
  <w:style w:type="character" w:customStyle="1" w:styleId="159">
    <w:name w:val="Default Char"/>
    <w:link w:val="70"/>
    <w:qFormat/>
    <w:locked/>
    <w:uiPriority w:val="0"/>
    <w:rPr>
      <w:rFonts w:ascii="Times New Roman" w:hAnsi="Times New Roman" w:eastAsia="宋体" w:cs="Times New Roman"/>
      <w:color w:val="000000"/>
      <w:kern w:val="0"/>
      <w:sz w:val="24"/>
      <w:szCs w:val="24"/>
    </w:rPr>
  </w:style>
  <w:style w:type="character" w:customStyle="1" w:styleId="160">
    <w:name w:val="脚注文本 Char"/>
    <w:basedOn w:val="37"/>
    <w:link w:val="26"/>
    <w:qFormat/>
    <w:uiPriority w:val="99"/>
    <w:rPr>
      <w:rFonts w:ascii="等线" w:hAnsi="等线" w:eastAsia="等线"/>
      <w:kern w:val="2"/>
      <w:sz w:val="18"/>
      <w:szCs w:val="18"/>
      <w14:ligatures w14:val="standardContextual"/>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44</Pages>
  <Words>4332</Words>
  <Characters>24693</Characters>
  <Lines>205</Lines>
  <Paragraphs>57</Paragraphs>
  <TotalTime>99</TotalTime>
  <ScaleCrop>false</ScaleCrop>
  <LinksUpToDate>false</LinksUpToDate>
  <CharactersWithSpaces>28968</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2024-06-12T14:28:00Z</dcterms:created>
  <dc:creator>未定义</dc:creator>
  <cp:lastModifiedBy>ggzy</cp:lastModifiedBy>
  <dcterms:modified xsi:type="dcterms:W3CDTF">2026-05-11T14:20:03Z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21936496DD4ACCD51375016A041155B9_43</vt:lpwstr>
  </property>
</Properties>
</file>