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BD7D9B">
      <w:pPr>
        <w:rPr>
          <w:rFonts w:eastAsia="仿宋_GB2312"/>
          <w:color w:val="auto"/>
          <w:sz w:val="84"/>
          <w:highlight w:val="none"/>
        </w:rPr>
      </w:pPr>
      <w:bookmarkStart w:id="10" w:name="_GoBack"/>
    </w:p>
    <w:p w14:paraId="4B38D185">
      <w:pPr>
        <w:ind w:right="105"/>
        <w:jc w:val="right"/>
        <w:rPr>
          <w:rFonts w:eastAsia="黑体"/>
          <w:b/>
          <w:color w:val="auto"/>
          <w:spacing w:val="40"/>
          <w:w w:val="66"/>
          <w:sz w:val="60"/>
          <w:szCs w:val="60"/>
          <w:highlight w:val="none"/>
        </w:rPr>
      </w:pPr>
      <w:r>
        <w:rPr>
          <w:rFonts w:eastAsia="黑体"/>
          <w:b/>
          <w:color w:val="auto"/>
          <w:spacing w:val="40"/>
          <w:w w:val="66"/>
          <w:sz w:val="60"/>
          <w:szCs w:val="60"/>
          <w:highlight w:val="none"/>
        </w:rPr>
        <mc:AlternateContent>
          <mc:Choice Requires="wps">
            <w:drawing>
              <wp:anchor distT="0" distB="0" distL="114300" distR="114300" simplePos="0" relativeHeight="251659264" behindDoc="0" locked="0" layoutInCell="1" allowOverlap="1">
                <wp:simplePos x="0" y="0"/>
                <wp:positionH relativeFrom="column">
                  <wp:posOffset>-122555</wp:posOffset>
                </wp:positionH>
                <wp:positionV relativeFrom="paragraph">
                  <wp:posOffset>347980</wp:posOffset>
                </wp:positionV>
                <wp:extent cx="567055" cy="6985"/>
                <wp:effectExtent l="1270" t="95250" r="3175" b="107315"/>
                <wp:wrapNone/>
                <wp:docPr id="3" name="直接连接符 3"/>
                <wp:cNvGraphicFramePr/>
                <a:graphic xmlns:a="http://schemas.openxmlformats.org/drawingml/2006/main">
                  <a:graphicData uri="http://schemas.microsoft.com/office/word/2010/wordprocessingShape">
                    <wps:wsp>
                      <wps:cNvCnPr>
                        <a:cxnSpLocks noChangeShapeType="1"/>
                      </wps:cNvCnPr>
                      <wps:spPr bwMode="auto">
                        <a:xfrm>
                          <a:off x="0" y="0"/>
                          <a:ext cx="567055" cy="6985"/>
                        </a:xfrm>
                        <a:prstGeom prst="line">
                          <a:avLst/>
                        </a:prstGeom>
                        <a:noFill/>
                        <a:ln w="190500">
                          <a:solidFill>
                            <a:srgbClr val="4B69B5"/>
                          </a:solidFill>
                          <a:round/>
                        </a:ln>
                      </wps:spPr>
                      <wps:bodyPr/>
                    </wps:wsp>
                  </a:graphicData>
                </a:graphic>
              </wp:anchor>
            </w:drawing>
          </mc:Choice>
          <mc:Fallback>
            <w:pict>
              <v:line id="_x0000_s1026" o:spid="_x0000_s1026" o:spt="20" style="position:absolute;left:0pt;margin-left:-9.65pt;margin-top:27.4pt;height:0.55pt;width:44.65pt;z-index:251659264;mso-width-relative:page;mso-height-relative:page;" filled="f" stroked="t" coordsize="21600,21600" o:gfxdata="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y0nf&#10;jNYAAAAIAQAADwAAAAAAAAABACAAAAAiAAAAZHJzL2Rvd25yZXYueG1sUEsBAhQAFAAAAAgAh07i&#10;QPSe7a/rAQAArgMAAA4AAAAAAAAAAQAgAAAAJQEAAGRycy9lMm9Eb2MueG1sUEsFBgAAAAAGAAYA&#10;WQEAAIIFAAAAAA==&#10;">
                <v:fill on="f" focussize="0,0"/>
                <v:stroke weight="15pt" color="#4B69B5" joinstyle="round"/>
                <v:imagedata o:title=""/>
                <o:lock v:ext="edit" aspectratio="f"/>
              </v:line>
            </w:pict>
          </mc:Fallback>
        </mc:AlternateContent>
      </w:r>
      <w:r>
        <w:rPr>
          <w:rFonts w:hint="eastAsia" w:eastAsia="黑体"/>
          <w:b/>
          <w:color w:val="auto"/>
          <w:spacing w:val="40"/>
          <w:w w:val="66"/>
          <w:sz w:val="60"/>
          <w:szCs w:val="60"/>
          <w:highlight w:val="none"/>
        </w:rPr>
        <w:t>天津市医疗保障局税务专线租赁</w:t>
      </w:r>
      <w:r>
        <w:rPr>
          <w:rFonts w:eastAsia="黑体"/>
          <w:b/>
          <w:color w:val="auto"/>
          <w:spacing w:val="40"/>
          <w:w w:val="66"/>
          <w:sz w:val="60"/>
          <w:szCs w:val="60"/>
          <w:highlight w:val="none"/>
        </w:rPr>
        <w:t>项目</w:t>
      </w:r>
    </w:p>
    <w:p w14:paraId="57351F1B">
      <w:pPr>
        <w:ind w:right="105"/>
        <w:jc w:val="right"/>
        <w:rPr>
          <w:rFonts w:eastAsia="黑体"/>
          <w:b/>
          <w:color w:val="auto"/>
          <w:spacing w:val="40"/>
          <w:w w:val="66"/>
          <w:sz w:val="60"/>
          <w:szCs w:val="60"/>
          <w:highlight w:val="none"/>
        </w:rPr>
      </w:pPr>
      <w:r>
        <w:rPr>
          <w:rFonts w:eastAsia="黑体"/>
          <w:b/>
          <w:color w:val="auto"/>
          <w:spacing w:val="40"/>
          <w:sz w:val="60"/>
          <w:szCs w:val="60"/>
          <w:highlight w:val="none"/>
        </w:rPr>
        <mc:AlternateContent>
          <mc:Choice Requires="wps">
            <w:drawing>
              <wp:anchor distT="0" distB="0" distL="114300" distR="114300" simplePos="0" relativeHeight="251660288" behindDoc="0" locked="0" layoutInCell="1" allowOverlap="1">
                <wp:simplePos x="0" y="0"/>
                <wp:positionH relativeFrom="column">
                  <wp:posOffset>-122555</wp:posOffset>
                </wp:positionH>
                <wp:positionV relativeFrom="paragraph">
                  <wp:posOffset>361315</wp:posOffset>
                </wp:positionV>
                <wp:extent cx="3308985" cy="0"/>
                <wp:effectExtent l="0" t="95250" r="5715" b="95250"/>
                <wp:wrapNone/>
                <wp:docPr id="2" name="直接连接符 2"/>
                <wp:cNvGraphicFramePr/>
                <a:graphic xmlns:a="http://schemas.openxmlformats.org/drawingml/2006/main">
                  <a:graphicData uri="http://schemas.microsoft.com/office/word/2010/wordprocessingShape">
                    <wps:wsp>
                      <wps:cNvCnPr>
                        <a:cxnSpLocks noChangeShapeType="1"/>
                      </wps:cNvCnPr>
                      <wps:spPr bwMode="auto">
                        <a:xfrm>
                          <a:off x="0" y="0"/>
                          <a:ext cx="3308985" cy="0"/>
                        </a:xfrm>
                        <a:prstGeom prst="line">
                          <a:avLst/>
                        </a:prstGeom>
                        <a:noFill/>
                        <a:ln w="190500">
                          <a:solidFill>
                            <a:srgbClr val="4B69B5"/>
                          </a:solidFill>
                          <a:round/>
                        </a:ln>
                      </wps:spPr>
                      <wps:bodyPr/>
                    </wps:wsp>
                  </a:graphicData>
                </a:graphic>
              </wp:anchor>
            </w:drawing>
          </mc:Choice>
          <mc:Fallback>
            <w:pict>
              <v:line id="_x0000_s1026" o:spid="_x0000_s1026" o:spt="20" style="position:absolute;left:0pt;margin-left:-9.65pt;margin-top:28.45pt;height:0pt;width:260.55pt;z-index:251660288;mso-width-relative:page;mso-height-relative:page;" filled="f" stroked="t" coordsize="21600,21600" o:gfxdata="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gY9&#10;/tYAAAAJAQAADwAAAAAAAAABACAAAAAiAAAAZHJzL2Rvd25yZXYueG1sUEsBAhQAFAAAAAgAh07i&#10;QIqXt5frAQAArAMAAA4AAAAAAAAAAQAgAAAAJQEAAGRycy9lMm9Eb2MueG1sUEsFBgAAAAAGAAYA&#10;WQEAAIIFAAAAAA==&#10;">
                <v:fill on="f" focussize="0,0"/>
                <v:stroke weight="15pt" color="#4B69B5" joinstyle="round"/>
                <v:imagedata o:title=""/>
                <o:lock v:ext="edit" aspectratio="f"/>
              </v:line>
            </w:pict>
          </mc:Fallback>
        </mc:AlternateContent>
      </w:r>
      <w:r>
        <w:rPr>
          <w:rFonts w:eastAsia="黑体"/>
          <w:b/>
          <w:color w:val="auto"/>
          <w:spacing w:val="40"/>
          <w:w w:val="66"/>
          <w:sz w:val="60"/>
          <w:szCs w:val="60"/>
          <w:highlight w:val="none"/>
        </w:rPr>
        <w:t>招标文件</w:t>
      </w:r>
    </w:p>
    <w:p w14:paraId="31C22E7B">
      <w:pPr>
        <w:ind w:right="1025"/>
        <w:jc w:val="center"/>
        <w:rPr>
          <w:rFonts w:eastAsia="黑体"/>
          <w:b/>
          <w:color w:val="auto"/>
          <w:spacing w:val="40"/>
          <w:w w:val="66"/>
          <w:sz w:val="60"/>
          <w:szCs w:val="60"/>
          <w:highlight w:val="none"/>
        </w:rPr>
      </w:pPr>
    </w:p>
    <w:p w14:paraId="2F3BFC26">
      <w:pPr>
        <w:jc w:val="center"/>
        <w:rPr>
          <w:rFonts w:eastAsia="黑体"/>
          <w:b/>
          <w:color w:val="auto"/>
          <w:spacing w:val="40"/>
          <w:w w:val="66"/>
          <w:sz w:val="15"/>
          <w:szCs w:val="15"/>
          <w:highlight w:val="none"/>
        </w:rPr>
      </w:pPr>
      <w:r>
        <w:rPr>
          <w:rFonts w:eastAsia="黑体"/>
          <w:b/>
          <w:color w:val="auto"/>
          <w:spacing w:val="40"/>
          <w:w w:val="66"/>
          <w:sz w:val="56"/>
          <w:szCs w:val="56"/>
          <w:highlight w:val="none"/>
        </w:rPr>
        <w:t xml:space="preserve">            </w:t>
      </w:r>
    </w:p>
    <w:p w14:paraId="35CBD904">
      <w:pPr>
        <w:jc w:val="center"/>
        <w:rPr>
          <w:rFonts w:eastAsia="黑体"/>
          <w:color w:val="auto"/>
          <w:spacing w:val="40"/>
          <w:w w:val="66"/>
          <w:sz w:val="32"/>
          <w:szCs w:val="32"/>
          <w:highlight w:val="none"/>
        </w:rPr>
      </w:pPr>
      <w:r>
        <w:rPr>
          <w:rFonts w:eastAsia="黑体"/>
          <w:color w:val="auto"/>
          <w:spacing w:val="40"/>
          <w:w w:val="66"/>
          <w:sz w:val="32"/>
          <w:szCs w:val="32"/>
          <w:highlight w:val="none"/>
        </w:rPr>
        <w:t>（项目编号：TGPC-202</w:t>
      </w:r>
      <w:r>
        <w:rPr>
          <w:rFonts w:hint="eastAsia" w:eastAsia="黑体"/>
          <w:color w:val="auto"/>
          <w:spacing w:val="40"/>
          <w:w w:val="66"/>
          <w:sz w:val="32"/>
          <w:szCs w:val="32"/>
          <w:highlight w:val="none"/>
        </w:rPr>
        <w:t>6</w:t>
      </w:r>
      <w:r>
        <w:rPr>
          <w:rFonts w:eastAsia="黑体"/>
          <w:color w:val="auto"/>
          <w:spacing w:val="40"/>
          <w:w w:val="66"/>
          <w:sz w:val="32"/>
          <w:szCs w:val="32"/>
          <w:highlight w:val="none"/>
        </w:rPr>
        <w:t>-</w:t>
      </w:r>
      <w:r>
        <w:rPr>
          <w:rFonts w:hint="eastAsia" w:eastAsia="黑体"/>
          <w:color w:val="auto"/>
          <w:spacing w:val="40"/>
          <w:w w:val="66"/>
          <w:sz w:val="32"/>
          <w:szCs w:val="32"/>
          <w:highlight w:val="none"/>
        </w:rPr>
        <w:t>D</w:t>
      </w:r>
      <w:r>
        <w:rPr>
          <w:rFonts w:eastAsia="黑体"/>
          <w:color w:val="auto"/>
          <w:spacing w:val="40"/>
          <w:w w:val="66"/>
          <w:sz w:val="32"/>
          <w:szCs w:val="32"/>
          <w:highlight w:val="none"/>
        </w:rPr>
        <w:t>-</w:t>
      </w:r>
      <w:r>
        <w:rPr>
          <w:rFonts w:hint="eastAsia" w:eastAsia="黑体"/>
          <w:color w:val="auto"/>
          <w:spacing w:val="40"/>
          <w:w w:val="66"/>
          <w:sz w:val="32"/>
          <w:szCs w:val="32"/>
          <w:highlight w:val="none"/>
          <w:lang w:val="en-US" w:eastAsia="zh-CN"/>
        </w:rPr>
        <w:t>1090</w:t>
      </w:r>
      <w:r>
        <w:rPr>
          <w:rFonts w:eastAsia="黑体"/>
          <w:color w:val="auto"/>
          <w:spacing w:val="40"/>
          <w:w w:val="66"/>
          <w:sz w:val="32"/>
          <w:szCs w:val="32"/>
          <w:highlight w:val="none"/>
        </w:rPr>
        <w:t xml:space="preserve">  ）</w:t>
      </w:r>
    </w:p>
    <w:p w14:paraId="01AEA231">
      <w:pPr>
        <w:rPr>
          <w:color w:val="auto"/>
          <w:sz w:val="40"/>
          <w:highlight w:val="none"/>
        </w:rPr>
      </w:pPr>
    </w:p>
    <w:p w14:paraId="341A8440">
      <w:pPr>
        <w:rPr>
          <w:color w:val="auto"/>
          <w:sz w:val="36"/>
          <w:highlight w:val="none"/>
        </w:rPr>
      </w:pPr>
    </w:p>
    <w:p w14:paraId="4E30D1AC">
      <w:pPr>
        <w:rPr>
          <w:color w:val="auto"/>
          <w:sz w:val="36"/>
          <w:highlight w:val="none"/>
        </w:rPr>
      </w:pPr>
    </w:p>
    <w:p w14:paraId="3276AD31">
      <w:pPr>
        <w:rPr>
          <w:color w:val="auto"/>
          <w:sz w:val="36"/>
          <w:highlight w:val="none"/>
        </w:rPr>
      </w:pPr>
    </w:p>
    <w:p w14:paraId="392AFD35">
      <w:pPr>
        <w:rPr>
          <w:color w:val="auto"/>
          <w:sz w:val="36"/>
          <w:highlight w:val="none"/>
        </w:rPr>
      </w:pPr>
    </w:p>
    <w:p w14:paraId="0593CF0C">
      <w:pPr>
        <w:rPr>
          <w:color w:val="auto"/>
          <w:sz w:val="36"/>
          <w:highlight w:val="none"/>
        </w:rPr>
      </w:pPr>
    </w:p>
    <w:p w14:paraId="761FC9F3">
      <w:pPr>
        <w:rPr>
          <w:color w:val="auto"/>
          <w:sz w:val="36"/>
          <w:highlight w:val="none"/>
        </w:rPr>
      </w:pPr>
    </w:p>
    <w:p w14:paraId="1FC6D957">
      <w:pPr>
        <w:rPr>
          <w:color w:val="auto"/>
          <w:sz w:val="36"/>
          <w:highlight w:val="none"/>
        </w:rPr>
      </w:pPr>
    </w:p>
    <w:p w14:paraId="5CB5CA35">
      <w:pPr>
        <w:rPr>
          <w:color w:val="auto"/>
          <w:sz w:val="36"/>
          <w:highlight w:val="none"/>
        </w:rPr>
      </w:pPr>
    </w:p>
    <w:p w14:paraId="5739F946">
      <w:pPr>
        <w:ind w:firstLine="2897" w:firstLineChars="1493"/>
        <w:rPr>
          <w:rFonts w:eastAsia="黑体"/>
          <w:color w:val="auto"/>
          <w:spacing w:val="20"/>
          <w:w w:val="66"/>
          <w:sz w:val="44"/>
          <w:szCs w:val="44"/>
          <w:highlight w:val="none"/>
        </w:rPr>
      </w:pPr>
      <w:r>
        <w:rPr>
          <w:color w:val="auto"/>
          <w:highlight w:val="none"/>
        </w:rPr>
        <w:drawing>
          <wp:anchor distT="0" distB="0" distL="114300" distR="114300" simplePos="0" relativeHeight="251661312" behindDoc="0" locked="0" layoutInCell="1" allowOverlap="1">
            <wp:simplePos x="0" y="0"/>
            <wp:positionH relativeFrom="column">
              <wp:posOffset>1321435</wp:posOffset>
            </wp:positionH>
            <wp:positionV relativeFrom="paragraph">
              <wp:posOffset>-1270</wp:posOffset>
            </wp:positionV>
            <wp:extent cx="480060" cy="434340"/>
            <wp:effectExtent l="0" t="0" r="0" b="3810"/>
            <wp:wrapNone/>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r>
        <w:rPr>
          <w:rFonts w:eastAsia="黑体"/>
          <w:color w:val="auto"/>
          <w:spacing w:val="20"/>
          <w:w w:val="66"/>
          <w:sz w:val="44"/>
          <w:szCs w:val="44"/>
          <w:highlight w:val="none"/>
        </w:rPr>
        <w:t>天津市政府采购中心</w:t>
      </w:r>
    </w:p>
    <w:p w14:paraId="18A35C78">
      <w:pPr>
        <w:tabs>
          <w:tab w:val="left" w:pos="3281"/>
          <w:tab w:val="center" w:pos="4711"/>
        </w:tabs>
        <w:jc w:val="center"/>
        <w:rPr>
          <w:rFonts w:hint="eastAsia" w:eastAsia="仿宋_GB2312"/>
          <w:b/>
          <w:bCs/>
          <w:color w:val="auto"/>
          <w:kern w:val="0"/>
          <w:sz w:val="44"/>
          <w:szCs w:val="44"/>
          <w:highlight w:val="none"/>
          <w:lang w:val="en-US" w:eastAsia="zh-CN"/>
        </w:rPr>
      </w:pPr>
      <w:r>
        <w:rPr>
          <w:rFonts w:eastAsia="仿宋_GB2312"/>
          <w:b/>
          <w:bCs/>
          <w:color w:val="auto"/>
          <w:kern w:val="0"/>
          <w:sz w:val="44"/>
          <w:szCs w:val="44"/>
          <w:highlight w:val="none"/>
        </w:rPr>
        <w:t>202</w:t>
      </w:r>
      <w:r>
        <w:rPr>
          <w:rFonts w:hint="eastAsia" w:eastAsia="仿宋_GB2312"/>
          <w:b/>
          <w:bCs/>
          <w:color w:val="auto"/>
          <w:kern w:val="0"/>
          <w:sz w:val="44"/>
          <w:szCs w:val="44"/>
          <w:highlight w:val="none"/>
        </w:rPr>
        <w:t>6</w:t>
      </w:r>
      <w:r>
        <w:rPr>
          <w:rFonts w:eastAsia="仿宋_GB2312"/>
          <w:b/>
          <w:bCs/>
          <w:color w:val="auto"/>
          <w:kern w:val="0"/>
          <w:sz w:val="44"/>
          <w:szCs w:val="44"/>
          <w:highlight w:val="none"/>
        </w:rPr>
        <w:t xml:space="preserve">. </w:t>
      </w:r>
      <w:r>
        <w:rPr>
          <w:rFonts w:hint="eastAsia" w:eastAsia="仿宋_GB2312"/>
          <w:b/>
          <w:bCs/>
          <w:color w:val="auto"/>
          <w:kern w:val="0"/>
          <w:sz w:val="44"/>
          <w:szCs w:val="44"/>
          <w:highlight w:val="none"/>
          <w:lang w:val="en-US" w:eastAsia="zh-CN"/>
        </w:rPr>
        <w:t>9</w:t>
      </w:r>
    </w:p>
    <w:p w14:paraId="473F956F">
      <w:pPr>
        <w:widowControl/>
        <w:jc w:val="left"/>
        <w:rPr>
          <w:rFonts w:eastAsia="仿宋_GB2312"/>
          <w:b/>
          <w:bCs/>
          <w:color w:val="auto"/>
          <w:kern w:val="0"/>
          <w:sz w:val="44"/>
          <w:szCs w:val="44"/>
          <w:highlight w:val="none"/>
        </w:rPr>
      </w:pPr>
    </w:p>
    <w:p w14:paraId="1D1F78F3">
      <w:pPr>
        <w:ind w:firstLine="408" w:firstLineChars="100"/>
        <w:jc w:val="center"/>
        <w:rPr>
          <w:b/>
          <w:color w:val="auto"/>
          <w:spacing w:val="20"/>
          <w:w w:val="80"/>
          <w:sz w:val="48"/>
          <w:szCs w:val="48"/>
          <w:highlight w:val="none"/>
        </w:rPr>
        <w:sectPr>
          <w:headerReference r:id="rId3" w:type="default"/>
          <w:pgSz w:w="11906" w:h="16838"/>
          <w:pgMar w:top="1440" w:right="1797" w:bottom="1440" w:left="1797" w:header="851" w:footer="992" w:gutter="0"/>
          <w:pgNumType w:start="1"/>
          <w:cols w:space="425" w:num="1"/>
          <w:docGrid w:type="linesAndChars" w:linePitch="285" w:charSpace="-3449"/>
        </w:sectPr>
      </w:pPr>
    </w:p>
    <w:p w14:paraId="4E67F64E">
      <w:pPr>
        <w:ind w:firstLine="408" w:firstLineChars="100"/>
        <w:jc w:val="center"/>
        <w:rPr>
          <w:b/>
          <w:color w:val="auto"/>
          <w:spacing w:val="20"/>
          <w:w w:val="80"/>
          <w:sz w:val="48"/>
          <w:szCs w:val="48"/>
          <w:highlight w:val="none"/>
        </w:rPr>
      </w:pPr>
      <w:r>
        <w:rPr>
          <w:b/>
          <w:color w:val="auto"/>
          <w:spacing w:val="20"/>
          <w:w w:val="80"/>
          <w:sz w:val="48"/>
          <w:szCs w:val="48"/>
          <w:highlight w:val="none"/>
        </w:rPr>
        <w:t>目  录</w:t>
      </w:r>
    </w:p>
    <w:p w14:paraId="15141537">
      <w:pPr>
        <w:spacing w:line="560" w:lineRule="exact"/>
        <w:ind w:right="-141" w:rightChars="-73"/>
        <w:rPr>
          <w:b/>
          <w:color w:val="auto"/>
          <w:sz w:val="24"/>
          <w:highlight w:val="none"/>
        </w:rPr>
      </w:pPr>
      <w:r>
        <w:rPr>
          <w:b/>
          <w:color w:val="auto"/>
          <w:sz w:val="24"/>
          <w:highlight w:val="none"/>
        </w:rPr>
        <w:t>第一部分  投标邀请函</w:t>
      </w:r>
    </w:p>
    <w:p w14:paraId="28E58692">
      <w:pPr>
        <w:spacing w:line="560" w:lineRule="exact"/>
        <w:ind w:right="-141" w:rightChars="-73"/>
        <w:rPr>
          <w:b/>
          <w:color w:val="auto"/>
          <w:sz w:val="24"/>
          <w:highlight w:val="none"/>
        </w:rPr>
      </w:pPr>
    </w:p>
    <w:p w14:paraId="2C156E38">
      <w:pPr>
        <w:spacing w:line="560" w:lineRule="exact"/>
        <w:ind w:right="-141" w:rightChars="-73"/>
        <w:rPr>
          <w:b/>
          <w:color w:val="auto"/>
          <w:sz w:val="24"/>
          <w:highlight w:val="none"/>
        </w:rPr>
      </w:pPr>
      <w:r>
        <w:rPr>
          <w:b/>
          <w:color w:val="auto"/>
          <w:sz w:val="24"/>
          <w:highlight w:val="none"/>
        </w:rPr>
        <w:t>第二部分  招标项目需求</w:t>
      </w:r>
    </w:p>
    <w:p w14:paraId="67613251">
      <w:pPr>
        <w:spacing w:line="560" w:lineRule="exact"/>
        <w:ind w:right="-141" w:rightChars="-73"/>
        <w:rPr>
          <w:b/>
          <w:color w:val="auto"/>
          <w:sz w:val="24"/>
          <w:highlight w:val="none"/>
        </w:rPr>
      </w:pPr>
    </w:p>
    <w:p w14:paraId="48C49472">
      <w:pPr>
        <w:spacing w:line="560" w:lineRule="exact"/>
        <w:ind w:right="-141" w:rightChars="-73"/>
        <w:rPr>
          <w:b/>
          <w:color w:val="auto"/>
          <w:sz w:val="24"/>
          <w:highlight w:val="none"/>
        </w:rPr>
      </w:pPr>
      <w:r>
        <w:rPr>
          <w:b/>
          <w:color w:val="auto"/>
          <w:sz w:val="24"/>
          <w:highlight w:val="none"/>
        </w:rPr>
        <w:t>第三部分  投标须知</w:t>
      </w:r>
    </w:p>
    <w:p w14:paraId="017FFB5D">
      <w:pPr>
        <w:spacing w:line="560" w:lineRule="exact"/>
        <w:ind w:right="-141" w:rightChars="-73"/>
        <w:rPr>
          <w:color w:val="auto"/>
          <w:sz w:val="24"/>
          <w:highlight w:val="none"/>
        </w:rPr>
      </w:pPr>
    </w:p>
    <w:p w14:paraId="1BFBB359">
      <w:pPr>
        <w:spacing w:line="560" w:lineRule="exact"/>
        <w:rPr>
          <w:b/>
          <w:color w:val="auto"/>
          <w:sz w:val="24"/>
          <w:highlight w:val="none"/>
        </w:rPr>
      </w:pPr>
      <w:r>
        <w:rPr>
          <w:b/>
          <w:color w:val="auto"/>
          <w:sz w:val="24"/>
          <w:highlight w:val="none"/>
        </w:rPr>
        <w:t>第四部分  合同条款</w:t>
      </w:r>
    </w:p>
    <w:p w14:paraId="7753A657">
      <w:pPr>
        <w:spacing w:line="560" w:lineRule="exact"/>
        <w:rPr>
          <w:color w:val="auto"/>
          <w:sz w:val="24"/>
          <w:highlight w:val="none"/>
        </w:rPr>
      </w:pPr>
    </w:p>
    <w:p w14:paraId="0756C775">
      <w:pPr>
        <w:spacing w:line="560" w:lineRule="exact"/>
        <w:rPr>
          <w:color w:val="auto"/>
          <w:sz w:val="24"/>
          <w:highlight w:val="none"/>
        </w:rPr>
      </w:pPr>
      <w:r>
        <w:rPr>
          <w:b/>
          <w:color w:val="auto"/>
          <w:sz w:val="24"/>
          <w:highlight w:val="none"/>
        </w:rPr>
        <w:t>第五部分  投标文件格式</w:t>
      </w:r>
    </w:p>
    <w:p w14:paraId="5FCC1B78">
      <w:pPr>
        <w:rPr>
          <w:color w:val="auto"/>
          <w:sz w:val="24"/>
          <w:highlight w:val="none"/>
        </w:rPr>
      </w:pPr>
    </w:p>
    <w:p w14:paraId="46FB666C">
      <w:pPr>
        <w:rPr>
          <w:color w:val="auto"/>
          <w:sz w:val="24"/>
          <w:highlight w:val="none"/>
        </w:rPr>
      </w:pPr>
    </w:p>
    <w:p w14:paraId="67422B71">
      <w:pPr>
        <w:rPr>
          <w:color w:val="auto"/>
          <w:sz w:val="24"/>
          <w:highlight w:val="none"/>
        </w:rPr>
      </w:pPr>
    </w:p>
    <w:p w14:paraId="655DBF7A">
      <w:pPr>
        <w:rPr>
          <w:color w:val="auto"/>
          <w:sz w:val="24"/>
          <w:highlight w:val="none"/>
        </w:rPr>
      </w:pPr>
    </w:p>
    <w:p w14:paraId="490CAA3F">
      <w:pPr>
        <w:rPr>
          <w:color w:val="auto"/>
          <w:sz w:val="24"/>
          <w:highlight w:val="none"/>
        </w:rPr>
      </w:pPr>
    </w:p>
    <w:p w14:paraId="6A3F173C">
      <w:pPr>
        <w:rPr>
          <w:color w:val="auto"/>
          <w:sz w:val="24"/>
          <w:highlight w:val="none"/>
        </w:rPr>
      </w:pPr>
    </w:p>
    <w:p w14:paraId="51798494">
      <w:pPr>
        <w:rPr>
          <w:b/>
          <w:color w:val="auto"/>
          <w:highlight w:val="none"/>
        </w:rPr>
      </w:pPr>
    </w:p>
    <w:p w14:paraId="533CE25B">
      <w:pPr>
        <w:pStyle w:val="17"/>
        <w:rPr>
          <w:rFonts w:ascii="Times New Roman" w:hAnsi="Times New Roman"/>
          <w:color w:val="auto"/>
          <w:highlight w:val="none"/>
        </w:rPr>
        <w:sectPr>
          <w:pgSz w:w="11906" w:h="16838"/>
          <w:pgMar w:top="1440" w:right="1797" w:bottom="1440" w:left="1797" w:header="851" w:footer="992" w:gutter="0"/>
          <w:pgNumType w:start="1"/>
          <w:cols w:space="425" w:num="1"/>
          <w:docGrid w:type="linesAndChars" w:linePitch="285" w:charSpace="-3449"/>
        </w:sectPr>
      </w:pPr>
      <w:bookmarkStart w:id="0" w:name="_Toc412903614"/>
    </w:p>
    <w:p w14:paraId="5984AF9B">
      <w:pPr>
        <w:pStyle w:val="17"/>
        <w:rPr>
          <w:rFonts w:ascii="Times New Roman" w:hAnsi="Times New Roman"/>
          <w:color w:val="auto"/>
          <w:highlight w:val="none"/>
        </w:rPr>
      </w:pPr>
      <w:r>
        <w:rPr>
          <w:rFonts w:ascii="Times New Roman" w:hAnsi="Times New Roman"/>
          <w:color w:val="auto"/>
          <w:highlight w:val="none"/>
        </w:rPr>
        <w:t>第一部分  投标邀请函</w:t>
      </w:r>
      <w:bookmarkEnd w:id="0"/>
    </w:p>
    <w:p w14:paraId="0F5A1602">
      <w:pPr>
        <w:pStyle w:val="30"/>
        <w:spacing w:line="360" w:lineRule="auto"/>
        <w:ind w:firstLine="448" w:firstLineChars="200"/>
        <w:jc w:val="both"/>
        <w:rPr>
          <w:rFonts w:ascii="Times New Roman" w:hAnsi="Times New Roman" w:cs="Times New Roman" w:eastAsiaTheme="minorEastAsia"/>
          <w:color w:val="auto"/>
          <w:szCs w:val="32"/>
          <w:highlight w:val="none"/>
        </w:rPr>
      </w:pPr>
      <w:r>
        <w:rPr>
          <w:rFonts w:ascii="Times New Roman" w:hAnsi="Times New Roman" w:cs="Times New Roman" w:eastAsiaTheme="minorEastAsia"/>
          <w:color w:val="auto"/>
          <w:szCs w:val="32"/>
          <w:highlight w:val="none"/>
        </w:rPr>
        <w:t>受</w:t>
      </w:r>
      <w:r>
        <w:rPr>
          <w:rFonts w:hint="eastAsia" w:ascii="Times New Roman" w:hAnsi="Times New Roman" w:cs="Times New Roman" w:eastAsiaTheme="minorEastAsia"/>
          <w:color w:val="auto"/>
          <w:szCs w:val="32"/>
          <w:highlight w:val="none"/>
        </w:rPr>
        <w:t>天津市医疗保障局</w:t>
      </w:r>
      <w:r>
        <w:rPr>
          <w:rFonts w:ascii="Times New Roman" w:hAnsi="Times New Roman" w:cs="Times New Roman" w:eastAsiaTheme="minorEastAsia"/>
          <w:color w:val="auto"/>
          <w:szCs w:val="32"/>
          <w:highlight w:val="none"/>
        </w:rPr>
        <w:t>委托，天津市政府采购中心对</w:t>
      </w:r>
      <w:r>
        <w:rPr>
          <w:rFonts w:hint="eastAsia" w:ascii="Times New Roman" w:hAnsi="Times New Roman" w:cs="Times New Roman" w:eastAsiaTheme="minorEastAsia"/>
          <w:color w:val="auto"/>
          <w:szCs w:val="32"/>
          <w:highlight w:val="none"/>
        </w:rPr>
        <w:t>天津市医疗保障局税务专线租赁</w:t>
      </w:r>
      <w:r>
        <w:rPr>
          <w:rFonts w:ascii="Times New Roman" w:hAnsi="Times New Roman" w:cs="Times New Roman" w:eastAsiaTheme="minorEastAsia"/>
          <w:color w:val="auto"/>
          <w:szCs w:val="32"/>
          <w:highlight w:val="none"/>
        </w:rPr>
        <w:t>项目实施采购。现欢迎合格的供应商参加投标。</w:t>
      </w:r>
    </w:p>
    <w:p w14:paraId="71E37CE0">
      <w:pPr>
        <w:pStyle w:val="30"/>
        <w:spacing w:line="360" w:lineRule="auto"/>
        <w:ind w:firstLine="448" w:firstLineChars="200"/>
        <w:jc w:val="both"/>
        <w:rPr>
          <w:rFonts w:ascii="Times New Roman" w:hAnsi="Times New Roman" w:eastAsia="宋体" w:cs="Times New Roman"/>
          <w:color w:val="auto"/>
          <w:szCs w:val="32"/>
          <w:highlight w:val="none"/>
        </w:rPr>
      </w:pPr>
      <w:r>
        <w:rPr>
          <w:rFonts w:hint="eastAsia" w:ascii="Times New Roman" w:hAnsi="Times New Roman" w:eastAsia="宋体" w:cs="Times New Roman"/>
          <w:color w:val="auto"/>
          <w:szCs w:val="32"/>
          <w:highlight w:val="none"/>
        </w:rPr>
        <w:t>本项目为远程招投标，一律不接受纸质投标文件，只接受加盖投标人电子签章的电子投标文件（以通过天津公共资源电子签章客户端正确读取签章信息为准）。供应商参加投标前须办理CA数字证书（USBKEY）和电子签章。投标人须按本文件的规定在天津市政府采购中心招投标系统中提交网上应答并上传加盖投标人电子签章的电子投标文件（以通过天津公共资源电子签章客户端正确读取签章信息为准）。投标文件加盖1个</w:t>
      </w:r>
      <w:r>
        <w:rPr>
          <w:rFonts w:hint="eastAsia" w:ascii="Times New Roman" w:hAnsi="Times New Roman" w:eastAsia="宋体" w:cs="Times New Roman"/>
          <w:color w:val="auto"/>
          <w:szCs w:val="32"/>
          <w:highlight w:val="none"/>
          <w:lang w:val="en-US" w:eastAsia="zh-CN"/>
        </w:rPr>
        <w:t>有效</w:t>
      </w:r>
      <w:r>
        <w:rPr>
          <w:rFonts w:hint="eastAsia" w:ascii="Times New Roman" w:hAnsi="Times New Roman" w:eastAsia="宋体" w:cs="Times New Roman"/>
          <w:color w:val="auto"/>
          <w:szCs w:val="32"/>
          <w:highlight w:val="none"/>
        </w:rPr>
        <w:t>电子签章即视同所有页均已盖章。</w:t>
      </w:r>
    </w:p>
    <w:p w14:paraId="74A62106">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一、基本概况</w:t>
      </w:r>
    </w:p>
    <w:p w14:paraId="315F934A">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（一）项目名称：</w:t>
      </w:r>
      <w:r>
        <w:rPr>
          <w:rFonts w:hint="eastAsia" w:ascii="Times New Roman" w:hAnsi="Times New Roman" w:eastAsia="宋体" w:cs="Times New Roman"/>
          <w:color w:val="auto"/>
          <w:highlight w:val="none"/>
        </w:rPr>
        <w:t>天津市医疗保障局税务专线租赁项目</w:t>
      </w:r>
      <w:r>
        <w:rPr>
          <w:rFonts w:ascii="Times New Roman" w:hAnsi="Times New Roman" w:eastAsia="宋体" w:cs="Times New Roman"/>
          <w:color w:val="auto"/>
          <w:highlight w:val="none"/>
        </w:rPr>
        <w:t xml:space="preserve">  </w:t>
      </w:r>
    </w:p>
    <w:p w14:paraId="70985E50">
      <w:pPr>
        <w:pStyle w:val="30"/>
        <w:spacing w:line="360" w:lineRule="auto"/>
        <w:ind w:firstLine="448" w:firstLineChars="200"/>
        <w:jc w:val="both"/>
        <w:rPr>
          <w:rFonts w:hint="default" w:ascii="Times New Roman" w:hAnsi="Times New Roman" w:eastAsia="宋体" w:cs="Times New Roman"/>
          <w:color w:val="auto"/>
          <w:highlight w:val="none"/>
          <w:lang w:val="en-US" w:eastAsia="zh-CN"/>
        </w:rPr>
      </w:pPr>
      <w:r>
        <w:rPr>
          <w:rFonts w:ascii="Times New Roman" w:hAnsi="Times New Roman" w:eastAsia="宋体" w:cs="Times New Roman"/>
          <w:color w:val="auto"/>
          <w:highlight w:val="none"/>
        </w:rPr>
        <w:t>（二）项目编号：TGPC-202</w:t>
      </w:r>
      <w:r>
        <w:rPr>
          <w:rFonts w:hint="eastAsia" w:ascii="Times New Roman" w:hAnsi="Times New Roman" w:eastAsia="宋体" w:cs="Times New Roman"/>
          <w:color w:val="auto"/>
          <w:highlight w:val="none"/>
        </w:rPr>
        <w:t>6</w:t>
      </w:r>
      <w:r>
        <w:rPr>
          <w:rFonts w:ascii="Times New Roman" w:hAnsi="Times New Roman" w:eastAsia="宋体" w:cs="Times New Roman"/>
          <w:color w:val="auto"/>
          <w:highlight w:val="none"/>
        </w:rPr>
        <w:t>-</w:t>
      </w:r>
      <w:r>
        <w:rPr>
          <w:rFonts w:hint="eastAsia" w:ascii="Times New Roman" w:hAnsi="Times New Roman" w:eastAsia="宋体" w:cs="Times New Roman"/>
          <w:color w:val="auto"/>
          <w:highlight w:val="none"/>
        </w:rPr>
        <w:t>D</w:t>
      </w:r>
      <w:r>
        <w:rPr>
          <w:rFonts w:ascii="Times New Roman" w:hAnsi="Times New Roman" w:eastAsia="宋体" w:cs="Times New Roman"/>
          <w:color w:val="auto"/>
          <w:highlight w:val="none"/>
        </w:rPr>
        <w:t>-</w:t>
      </w:r>
      <w:r>
        <w:rPr>
          <w:rFonts w:hint="eastAsia" w:ascii="Times New Roman" w:hAnsi="Times New Roman" w:eastAsia="宋体" w:cs="Times New Roman"/>
          <w:color w:val="auto"/>
          <w:highlight w:val="none"/>
          <w:lang w:val="en-US" w:eastAsia="zh-CN"/>
        </w:rPr>
        <w:t>1090</w:t>
      </w:r>
    </w:p>
    <w:p w14:paraId="5371049A">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（三）采购方式：公开招标</w:t>
      </w:r>
    </w:p>
    <w:p w14:paraId="2C3256B7">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（四）项目属性：</w:t>
      </w:r>
      <w:r>
        <w:rPr>
          <w:rFonts w:hint="eastAsia" w:ascii="Times New Roman" w:hAnsi="Times New Roman" w:eastAsia="宋体" w:cs="Times New Roman"/>
          <w:color w:val="auto"/>
          <w:highlight w:val="none"/>
        </w:rPr>
        <w:t>服务</w:t>
      </w:r>
    </w:p>
    <w:p w14:paraId="00A9E944">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（五）本项目不接受联合体参与。不接受联合体参与的，若有供应商组成联合体参与，视为无效投标。</w:t>
      </w:r>
    </w:p>
    <w:p w14:paraId="1480F77F">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（六）本文件售价：免费。</w:t>
      </w:r>
    </w:p>
    <w:p w14:paraId="5855423E">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二、项目内容</w:t>
      </w:r>
    </w:p>
    <w:tbl>
      <w:tblPr>
        <w:tblStyle w:val="24"/>
        <w:tblW w:w="92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5"/>
        <w:gridCol w:w="1385"/>
        <w:gridCol w:w="1815"/>
        <w:gridCol w:w="1512"/>
        <w:gridCol w:w="2207"/>
        <w:gridCol w:w="1389"/>
      </w:tblGrid>
      <w:tr w14:paraId="62045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5" w:type="dxa"/>
            <w:vAlign w:val="center"/>
          </w:tcPr>
          <w:p w14:paraId="2D56856F">
            <w:pPr>
              <w:pStyle w:val="30"/>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包号</w:t>
            </w:r>
          </w:p>
        </w:tc>
        <w:tc>
          <w:tcPr>
            <w:tcW w:w="1385" w:type="dxa"/>
            <w:vAlign w:val="center"/>
          </w:tcPr>
          <w:p w14:paraId="7112BFD7">
            <w:pPr>
              <w:pStyle w:val="30"/>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包名称</w:t>
            </w:r>
          </w:p>
        </w:tc>
        <w:tc>
          <w:tcPr>
            <w:tcW w:w="1815" w:type="dxa"/>
            <w:vAlign w:val="center"/>
          </w:tcPr>
          <w:p w14:paraId="311C6C28">
            <w:pPr>
              <w:pStyle w:val="30"/>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包预算</w:t>
            </w:r>
          </w:p>
        </w:tc>
        <w:tc>
          <w:tcPr>
            <w:tcW w:w="1512" w:type="dxa"/>
            <w:vAlign w:val="center"/>
          </w:tcPr>
          <w:p w14:paraId="3A891789">
            <w:pPr>
              <w:pStyle w:val="30"/>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包最高限价</w:t>
            </w:r>
          </w:p>
        </w:tc>
        <w:tc>
          <w:tcPr>
            <w:tcW w:w="2207" w:type="dxa"/>
            <w:vAlign w:val="center"/>
          </w:tcPr>
          <w:p w14:paraId="7321FC7B">
            <w:pPr>
              <w:pStyle w:val="30"/>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合同履行期限</w:t>
            </w:r>
          </w:p>
        </w:tc>
        <w:tc>
          <w:tcPr>
            <w:tcW w:w="1389" w:type="dxa"/>
            <w:vAlign w:val="center"/>
          </w:tcPr>
          <w:p w14:paraId="1C868807">
            <w:pPr>
              <w:pStyle w:val="30"/>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所属行业</w:t>
            </w:r>
          </w:p>
        </w:tc>
      </w:tr>
      <w:tr w14:paraId="248E2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5" w:type="dxa"/>
            <w:vAlign w:val="center"/>
          </w:tcPr>
          <w:p w14:paraId="430A6073">
            <w:pPr>
              <w:pStyle w:val="30"/>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1</w:t>
            </w:r>
          </w:p>
        </w:tc>
        <w:tc>
          <w:tcPr>
            <w:tcW w:w="1385" w:type="dxa"/>
            <w:vAlign w:val="center"/>
          </w:tcPr>
          <w:p w14:paraId="1C203072">
            <w:pPr>
              <w:pStyle w:val="3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rPr>
              <w:t>税务专线租赁</w:t>
            </w:r>
            <w:r>
              <w:rPr>
                <w:rFonts w:hint="eastAsia" w:ascii="Times New Roman" w:hAnsi="Times New Roman" w:eastAsia="宋体" w:cs="Times New Roman"/>
                <w:color w:val="auto"/>
                <w:sz w:val="21"/>
                <w:szCs w:val="21"/>
                <w:highlight w:val="none"/>
                <w:lang w:val="en-US" w:eastAsia="zh-CN"/>
              </w:rPr>
              <w:t>1</w:t>
            </w:r>
          </w:p>
        </w:tc>
        <w:tc>
          <w:tcPr>
            <w:tcW w:w="1815" w:type="dxa"/>
            <w:vAlign w:val="center"/>
          </w:tcPr>
          <w:p w14:paraId="78935F3D">
            <w:pPr>
              <w:pStyle w:val="30"/>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33120</w:t>
            </w:r>
            <w:r>
              <w:rPr>
                <w:rFonts w:ascii="Times New Roman" w:hAnsi="Times New Roman" w:eastAsia="宋体" w:cs="Times New Roman"/>
                <w:color w:val="auto"/>
                <w:sz w:val="21"/>
                <w:szCs w:val="21"/>
                <w:highlight w:val="none"/>
              </w:rPr>
              <w:t>元</w:t>
            </w:r>
          </w:p>
        </w:tc>
        <w:tc>
          <w:tcPr>
            <w:tcW w:w="1512" w:type="dxa"/>
            <w:vAlign w:val="center"/>
          </w:tcPr>
          <w:p w14:paraId="0E840558">
            <w:pPr>
              <w:pStyle w:val="30"/>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33120</w:t>
            </w:r>
            <w:r>
              <w:rPr>
                <w:rFonts w:ascii="Times New Roman" w:hAnsi="Times New Roman" w:eastAsia="宋体" w:cs="Times New Roman"/>
                <w:color w:val="auto"/>
                <w:sz w:val="21"/>
                <w:szCs w:val="21"/>
                <w:highlight w:val="none"/>
              </w:rPr>
              <w:t>元</w:t>
            </w:r>
          </w:p>
        </w:tc>
        <w:tc>
          <w:tcPr>
            <w:tcW w:w="2207" w:type="dxa"/>
            <w:vAlign w:val="center"/>
          </w:tcPr>
          <w:p w14:paraId="29F53607">
            <w:pPr>
              <w:pStyle w:val="30"/>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合同规定的服务起始之日起2年的服务期</w:t>
            </w:r>
          </w:p>
        </w:tc>
        <w:tc>
          <w:tcPr>
            <w:tcW w:w="1389" w:type="dxa"/>
            <w:vAlign w:val="center"/>
          </w:tcPr>
          <w:p w14:paraId="69506D92">
            <w:pPr>
              <w:pStyle w:val="30"/>
              <w:jc w:val="center"/>
              <w:rPr>
                <w:rFonts w:ascii="Times New Roman" w:hAnsi="Times New Roman" w:eastAsia="宋体" w:cs="Times New Roman"/>
                <w:color w:val="auto"/>
                <w:sz w:val="21"/>
                <w:szCs w:val="21"/>
                <w:highlight w:val="none"/>
              </w:rPr>
            </w:pPr>
            <w:r>
              <w:rPr>
                <w:rFonts w:hint="eastAsia" w:ascii="宋体" w:hAnsi="宋体"/>
                <w:color w:val="auto"/>
                <w:sz w:val="21"/>
                <w:szCs w:val="21"/>
                <w:highlight w:val="none"/>
              </w:rPr>
              <w:t>信息传输业</w:t>
            </w:r>
          </w:p>
        </w:tc>
      </w:tr>
      <w:tr w14:paraId="106A5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935" w:type="dxa"/>
            <w:vAlign w:val="center"/>
          </w:tcPr>
          <w:p w14:paraId="167CB048">
            <w:pPr>
              <w:pStyle w:val="3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w:t>
            </w:r>
          </w:p>
        </w:tc>
        <w:tc>
          <w:tcPr>
            <w:tcW w:w="1385" w:type="dxa"/>
            <w:vAlign w:val="center"/>
          </w:tcPr>
          <w:p w14:paraId="5BB595A6">
            <w:pPr>
              <w:pStyle w:val="30"/>
              <w:jc w:val="center"/>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税务专线租赁</w:t>
            </w:r>
            <w:r>
              <w:rPr>
                <w:rFonts w:hint="eastAsia" w:ascii="Times New Roman" w:hAnsi="Times New Roman" w:eastAsia="宋体" w:cs="Times New Roman"/>
                <w:color w:val="auto"/>
                <w:sz w:val="21"/>
                <w:szCs w:val="21"/>
                <w:highlight w:val="none"/>
                <w:lang w:val="en-US" w:eastAsia="zh-CN"/>
              </w:rPr>
              <w:t>2</w:t>
            </w:r>
          </w:p>
        </w:tc>
        <w:tc>
          <w:tcPr>
            <w:tcW w:w="1815" w:type="dxa"/>
            <w:vAlign w:val="center"/>
          </w:tcPr>
          <w:p w14:paraId="2DA96F27">
            <w:pPr>
              <w:pStyle w:val="30"/>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24000</w:t>
            </w:r>
            <w:r>
              <w:rPr>
                <w:rFonts w:ascii="Times New Roman" w:hAnsi="Times New Roman" w:eastAsia="宋体" w:cs="Times New Roman"/>
                <w:color w:val="auto"/>
                <w:sz w:val="21"/>
                <w:szCs w:val="21"/>
                <w:highlight w:val="none"/>
              </w:rPr>
              <w:t>元</w:t>
            </w:r>
          </w:p>
        </w:tc>
        <w:tc>
          <w:tcPr>
            <w:tcW w:w="1512" w:type="dxa"/>
            <w:vAlign w:val="center"/>
          </w:tcPr>
          <w:p w14:paraId="16336376">
            <w:pPr>
              <w:pStyle w:val="30"/>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24000</w:t>
            </w:r>
            <w:r>
              <w:rPr>
                <w:rFonts w:ascii="Times New Roman" w:hAnsi="Times New Roman" w:eastAsia="宋体" w:cs="Times New Roman"/>
                <w:color w:val="auto"/>
                <w:sz w:val="21"/>
                <w:szCs w:val="21"/>
                <w:highlight w:val="none"/>
              </w:rPr>
              <w:t>元</w:t>
            </w:r>
          </w:p>
        </w:tc>
        <w:tc>
          <w:tcPr>
            <w:tcW w:w="2207" w:type="dxa"/>
            <w:vAlign w:val="center"/>
          </w:tcPr>
          <w:p w14:paraId="5C083D51">
            <w:pPr>
              <w:pStyle w:val="30"/>
              <w:jc w:val="center"/>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合同规定的服务起始之日起2年的服务期</w:t>
            </w:r>
          </w:p>
        </w:tc>
        <w:tc>
          <w:tcPr>
            <w:tcW w:w="1389" w:type="dxa"/>
            <w:vAlign w:val="center"/>
          </w:tcPr>
          <w:p w14:paraId="2A22B571">
            <w:pPr>
              <w:pStyle w:val="30"/>
              <w:jc w:val="center"/>
              <w:rPr>
                <w:rFonts w:hint="eastAsia" w:ascii="宋体" w:hAnsi="宋体"/>
                <w:color w:val="auto"/>
                <w:sz w:val="21"/>
                <w:szCs w:val="21"/>
                <w:highlight w:val="none"/>
              </w:rPr>
            </w:pPr>
            <w:r>
              <w:rPr>
                <w:rFonts w:hint="eastAsia" w:ascii="宋体" w:hAnsi="宋体"/>
                <w:color w:val="auto"/>
                <w:sz w:val="21"/>
                <w:szCs w:val="21"/>
                <w:highlight w:val="none"/>
              </w:rPr>
              <w:t>信息传输业</w:t>
            </w:r>
          </w:p>
        </w:tc>
      </w:tr>
    </w:tbl>
    <w:p w14:paraId="6F1D120C">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三</w:t>
      </w:r>
      <w:r>
        <w:rPr>
          <w:rFonts w:ascii="Times New Roman" w:hAnsi="Times New Roman" w:eastAsia="宋体" w:cs="Times New Roman"/>
          <w:color w:val="auto"/>
          <w:highlight w:val="none"/>
        </w:rPr>
        <w:t>、供应商资格要求（实质性要求）</w:t>
      </w:r>
    </w:p>
    <w:p w14:paraId="28C50FD0">
      <w:pPr>
        <w:pStyle w:val="30"/>
        <w:spacing w:line="360" w:lineRule="auto"/>
        <w:ind w:firstLine="448" w:firstLineChars="200"/>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（一）投标人须具备电信业务经营许可证（业务种类至少包含</w:t>
      </w:r>
      <w:r>
        <w:rPr>
          <w:rFonts w:hint="eastAsia" w:ascii="Times New Roman" w:hAnsi="Times New Roman" w:eastAsia="宋体" w:cs="Times New Roman"/>
          <w:color w:val="auto"/>
          <w:highlight w:val="none"/>
          <w:lang w:val="en-US" w:eastAsia="zh-CN"/>
        </w:rPr>
        <w:t>固定网国内数据传送业务</w:t>
      </w:r>
      <w:r>
        <w:rPr>
          <w:rFonts w:hint="eastAsia" w:ascii="Times New Roman" w:hAnsi="Times New Roman" w:eastAsia="宋体" w:cs="Times New Roman"/>
          <w:color w:val="auto"/>
          <w:highlight w:val="none"/>
        </w:rPr>
        <w:t>），提供上述证书</w:t>
      </w:r>
      <w:r>
        <w:rPr>
          <w:rFonts w:hint="eastAsia" w:ascii="Times New Roman" w:hAnsi="Times New Roman" w:eastAsia="宋体" w:cs="Times New Roman"/>
          <w:color w:val="auto"/>
          <w:highlight w:val="none"/>
          <w:lang w:eastAsia="zh-CN"/>
        </w:rPr>
        <w:t>电子件</w:t>
      </w:r>
      <w:r>
        <w:rPr>
          <w:rFonts w:hint="eastAsia" w:ascii="Times New Roman" w:hAnsi="Times New Roman" w:eastAsia="宋体" w:cs="Times New Roman"/>
          <w:color w:val="auto"/>
          <w:highlight w:val="none"/>
        </w:rPr>
        <w:t>（若证书有附页需同时提供附页</w:t>
      </w:r>
      <w:r>
        <w:rPr>
          <w:rFonts w:hint="eastAsia" w:ascii="Times New Roman" w:hAnsi="Times New Roman" w:eastAsia="宋体" w:cs="Times New Roman"/>
          <w:color w:val="auto"/>
          <w:highlight w:val="none"/>
          <w:lang w:eastAsia="zh-CN"/>
        </w:rPr>
        <w:t>电子件</w:t>
      </w:r>
      <w:r>
        <w:rPr>
          <w:rFonts w:hint="eastAsia" w:ascii="Times New Roman" w:hAnsi="Times New Roman" w:eastAsia="宋体" w:cs="Times New Roman"/>
          <w:color w:val="auto"/>
          <w:highlight w:val="none"/>
        </w:rPr>
        <w:t>）；</w:t>
      </w:r>
    </w:p>
    <w:p w14:paraId="455BFFDB">
      <w:pPr>
        <w:pStyle w:val="30"/>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（二）供应商应具备《中华人民共和国政府采购法》第二十二条第一款和</w:t>
      </w:r>
      <w:r>
        <w:rPr>
          <w:rFonts w:hint="eastAsia" w:ascii="Times New Roman" w:hAnsi="Times New Roman" w:eastAsia="宋体" w:cs="Times New Roman"/>
          <w:color w:val="auto"/>
          <w:highlight w:val="none"/>
          <w:lang w:eastAsia="zh-CN"/>
        </w:rPr>
        <w:t>《中华人民共和国政府采购法实施条例》</w:t>
      </w:r>
      <w:r>
        <w:rPr>
          <w:rFonts w:hint="eastAsia" w:ascii="Times New Roman" w:hAnsi="Times New Roman" w:eastAsia="宋体" w:cs="Times New Roman"/>
          <w:color w:val="auto"/>
          <w:highlight w:val="none"/>
        </w:rPr>
        <w:t>第十八条规定的条件，</w:t>
      </w:r>
      <w:r>
        <w:rPr>
          <w:rFonts w:ascii="Times New Roman" w:hAnsi="Times New Roman" w:eastAsia="宋体" w:cs="Times New Roman"/>
          <w:color w:val="auto"/>
          <w:highlight w:val="none"/>
        </w:rPr>
        <w:t>提供以下材料：</w:t>
      </w:r>
    </w:p>
    <w:p w14:paraId="195D10D6">
      <w:pPr>
        <w:pStyle w:val="30"/>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1. 营业执照副本或事业单位法人证书或民办非企业单位登记证书或社会团体法人登记证书或基金会法人登记证书</w:t>
      </w:r>
      <w:r>
        <w:rPr>
          <w:rFonts w:hint="eastAsia" w:ascii="Times New Roman" w:hAnsi="Times New Roman" w:eastAsia="宋体" w:cs="Times New Roman"/>
          <w:color w:val="auto"/>
          <w:highlight w:val="none"/>
          <w:lang w:eastAsia="zh-CN"/>
        </w:rPr>
        <w:t>电子件</w:t>
      </w:r>
      <w:r>
        <w:rPr>
          <w:rFonts w:hint="eastAsia" w:ascii="Times New Roman" w:hAnsi="Times New Roman" w:eastAsia="宋体" w:cs="Times New Roman"/>
          <w:color w:val="auto"/>
          <w:highlight w:val="none"/>
        </w:rPr>
        <w:t>或自然人的身份证明</w:t>
      </w:r>
      <w:r>
        <w:rPr>
          <w:rFonts w:hint="eastAsia" w:ascii="Times New Roman" w:hAnsi="Times New Roman" w:eastAsia="宋体" w:cs="Times New Roman"/>
          <w:color w:val="auto"/>
          <w:highlight w:val="none"/>
          <w:lang w:eastAsia="zh-CN"/>
        </w:rPr>
        <w:t>电子件</w:t>
      </w:r>
      <w:r>
        <w:rPr>
          <w:rFonts w:hint="eastAsia" w:ascii="Times New Roman" w:hAnsi="Times New Roman" w:eastAsia="宋体" w:cs="Times New Roman"/>
          <w:color w:val="auto"/>
          <w:highlight w:val="none"/>
        </w:rPr>
        <w:t>。</w:t>
      </w:r>
    </w:p>
    <w:p w14:paraId="42E72979">
      <w:pPr>
        <w:pStyle w:val="30"/>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 提供《供应商资格声明函》（格式见附件2）</w:t>
      </w:r>
    </w:p>
    <w:p w14:paraId="6929CF61">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四</w:t>
      </w:r>
      <w:r>
        <w:rPr>
          <w:rFonts w:ascii="Times New Roman" w:hAnsi="Times New Roman" w:eastAsia="宋体" w:cs="Times New Roman"/>
          <w:color w:val="auto"/>
          <w:highlight w:val="none"/>
        </w:rPr>
        <w:t>、项目需要落实的政府采购政策</w:t>
      </w:r>
    </w:p>
    <w:p w14:paraId="6BC3CF5B">
      <w:pPr>
        <w:pStyle w:val="30"/>
        <w:spacing w:line="360" w:lineRule="auto"/>
        <w:ind w:firstLine="448" w:firstLineChars="200"/>
        <w:rPr>
          <w:rFonts w:ascii="Times New Roman" w:hAnsi="Times New Roman" w:eastAsia="宋体" w:cs="Times New Roman"/>
          <w:color w:val="auto"/>
          <w:highlight w:val="none"/>
        </w:rPr>
      </w:pPr>
      <w:bookmarkStart w:id="1" w:name="OLE_LINK3"/>
      <w:bookmarkStart w:id="2" w:name="OLE_LINK4"/>
      <w:r>
        <w:rPr>
          <w:rFonts w:ascii="Times New Roman" w:hAnsi="Times New Roman" w:eastAsia="宋体" w:cs="Times New Roman"/>
          <w:color w:val="auto"/>
          <w:highlight w:val="none"/>
        </w:rPr>
        <w:t>（一）</w:t>
      </w:r>
      <w:r>
        <w:rPr>
          <w:rFonts w:hint="eastAsia" w:ascii="Times New Roman" w:hAnsi="Times New Roman" w:eastAsia="宋体" w:cs="Times New Roman"/>
          <w:color w:val="auto"/>
          <w:highlight w:val="none"/>
        </w:rPr>
        <w:t>本项目</w:t>
      </w:r>
      <w:r>
        <w:rPr>
          <w:rFonts w:ascii="Times New Roman" w:hAnsi="Times New Roman" w:eastAsia="宋体" w:cs="Times New Roman"/>
          <w:color w:val="auto"/>
          <w:highlight w:val="none"/>
        </w:rPr>
        <w:t>对小微企业</w:t>
      </w:r>
      <w:r>
        <w:rPr>
          <w:rFonts w:hint="eastAsia" w:ascii="Times New Roman" w:hAnsi="Times New Roman" w:eastAsia="宋体" w:cs="Times New Roman"/>
          <w:color w:val="auto"/>
          <w:highlight w:val="none"/>
        </w:rPr>
        <w:t>报价</w:t>
      </w:r>
      <w:r>
        <w:rPr>
          <w:rFonts w:ascii="Times New Roman" w:hAnsi="Times New Roman" w:eastAsia="宋体" w:cs="Times New Roman"/>
          <w:color w:val="auto"/>
          <w:highlight w:val="none"/>
        </w:rPr>
        <w:t>给予</w:t>
      </w:r>
      <w:r>
        <w:rPr>
          <w:rFonts w:hint="eastAsia" w:ascii="Times New Roman" w:hAnsi="Times New Roman" w:eastAsia="宋体" w:cs="Times New Roman"/>
          <w:color w:val="auto"/>
          <w:highlight w:val="none"/>
        </w:rPr>
        <w:t>20</w:t>
      </w:r>
      <w:r>
        <w:rPr>
          <w:rFonts w:ascii="Times New Roman" w:hAnsi="Times New Roman" w:eastAsia="宋体" w:cs="Times New Roman"/>
          <w:color w:val="auto"/>
          <w:highlight w:val="none"/>
        </w:rPr>
        <w:t>%的扣除。</w:t>
      </w:r>
    </w:p>
    <w:p w14:paraId="1669B071">
      <w:pPr>
        <w:pStyle w:val="30"/>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（二）根据财政部发布的《关于政府采购支持监狱企业发展有关问题的通知》规定，监狱企业视同小微企业。</w:t>
      </w:r>
    </w:p>
    <w:p w14:paraId="5574ED49">
      <w:pPr>
        <w:pStyle w:val="30"/>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（三）</w:t>
      </w:r>
      <w:r>
        <w:rPr>
          <w:rFonts w:hint="eastAsia" w:ascii="Times New Roman" w:hAnsi="Times New Roman" w:eastAsia="宋体"/>
          <w:color w:val="auto"/>
          <w:highlight w:val="none"/>
        </w:rPr>
        <w:t>根据财政部、民政部、中国残疾人联合会发布的《关于促进残疾人就业政府采购政策的通知》规定，残疾人福利性单位视同小微企业。</w:t>
      </w:r>
    </w:p>
    <w:p w14:paraId="772CD795">
      <w:pPr>
        <w:pStyle w:val="30"/>
        <w:spacing w:line="360" w:lineRule="auto"/>
        <w:ind w:firstLine="448" w:firstLineChars="200"/>
        <w:jc w:val="both"/>
        <w:rPr>
          <w:rFonts w:ascii="Times New Roman" w:hAnsi="Times New Roman" w:eastAsia="宋体"/>
          <w:color w:val="auto"/>
          <w:highlight w:val="none"/>
        </w:rPr>
      </w:pPr>
      <w:r>
        <w:rPr>
          <w:rFonts w:hint="eastAsia" w:ascii="Times New Roman" w:hAnsi="Times New Roman" w:eastAsia="宋体"/>
          <w:color w:val="auto"/>
          <w:highlight w:val="none"/>
        </w:rPr>
        <w:t>注：中小微企业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14:paraId="46C083F8">
      <w:pPr>
        <w:pStyle w:val="30"/>
        <w:spacing w:line="360" w:lineRule="auto"/>
        <w:ind w:firstLine="448" w:firstLineChars="200"/>
        <w:jc w:val="both"/>
        <w:rPr>
          <w:rFonts w:ascii="Times New Roman" w:hAnsi="Times New Roman" w:eastAsia="宋体"/>
          <w:color w:val="auto"/>
          <w:highlight w:val="none"/>
        </w:rPr>
      </w:pPr>
      <w:r>
        <w:rPr>
          <w:rFonts w:hint="eastAsia" w:ascii="Times New Roman" w:hAnsi="Times New Roman" w:eastAsia="宋体"/>
          <w:color w:val="auto"/>
          <w:highlight w:val="none"/>
        </w:rPr>
        <w:t>（四）涉及商品包装或快递包装的，按照《财政部办公厅、生态环境部办公厅、国家邮政局办公室关于印发&lt;商品包装政府采购需求标准（试行）&gt;、&lt;快递包装政府采购需求标准（试行）&gt;的通知》（财办库〔2020〕123号）要求执行。</w:t>
      </w:r>
    </w:p>
    <w:p w14:paraId="5A8FA3E5">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五）按照《财政部关于在政府采购活动中查询及使用信用记录有关问题的通知》（财库〔2016〕125号）的要求，根据开标当日解密截止时间“信用中国”网站（www.creditchina.gov.cn）、中国政府采购网（www.ccgp.gov.cn）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bookmarkEnd w:id="1"/>
    <w:bookmarkEnd w:id="2"/>
    <w:p w14:paraId="6F67E0AE">
      <w:pPr>
        <w:pStyle w:val="30"/>
        <w:spacing w:line="360" w:lineRule="auto"/>
        <w:ind w:firstLine="448" w:firstLineChars="200"/>
        <w:rPr>
          <w:rFonts w:ascii="Times New Roman" w:hAnsi="Times New Roman" w:eastAsia="宋体"/>
          <w:color w:val="auto"/>
          <w:highlight w:val="none"/>
        </w:rPr>
      </w:pPr>
      <w:r>
        <w:rPr>
          <w:rFonts w:hint="eastAsia" w:ascii="Times New Roman" w:hAnsi="Times New Roman" w:eastAsia="宋体"/>
          <w:color w:val="auto"/>
          <w:highlight w:val="none"/>
        </w:rPr>
        <w:t>（六）</w:t>
      </w:r>
      <w:bookmarkStart w:id="3" w:name="OLE_LINK2"/>
      <w:bookmarkStart w:id="4" w:name="OLE_LINK1"/>
      <w:r>
        <w:rPr>
          <w:rFonts w:hint="eastAsia" w:ascii="Times New Roman" w:hAnsi="Times New Roman" w:eastAsia="宋体"/>
          <w:color w:val="auto"/>
          <w:highlight w:val="none"/>
        </w:rPr>
        <w:t>按照《关于调整优化节能产品、环境标志产品政府采购执行机制的通知》（财库〔2019〕9号）、《关于印发环境标志产品政府采购品目清单的通知》（财库〔2019〕18号）、《关于印发节能产品政府采购品目清单的通知》（财库〔2019〕19号）、《市场监管总局关于发布参与实施政府采购节能产品、环境标志产品认证机构名录的公告》（2019年第16号）等文件要求，对</w:t>
      </w:r>
      <w:r>
        <w:rPr>
          <w:rFonts w:ascii="Times New Roman" w:hAnsi="Times New Roman" w:cs="Times New Roman"/>
          <w:color w:val="auto"/>
          <w:highlight w:val="none"/>
        </w:rPr>
        <w:t>政府采购节能、环境标志品目清单</w:t>
      </w:r>
      <w:r>
        <w:rPr>
          <w:rFonts w:hint="eastAsia" w:ascii="Times New Roman" w:hAnsi="Times New Roman" w:cs="Times New Roman"/>
          <w:color w:val="auto"/>
          <w:highlight w:val="none"/>
        </w:rPr>
        <w:t>内的产品实施</w:t>
      </w:r>
      <w:r>
        <w:rPr>
          <w:rFonts w:hint="eastAsia" w:ascii="Times New Roman" w:hAnsi="Times New Roman" w:eastAsia="宋体"/>
          <w:color w:val="auto"/>
          <w:highlight w:val="none"/>
        </w:rPr>
        <w:t>优先采购和强制采购的评标方法。</w:t>
      </w:r>
      <w:bookmarkEnd w:id="3"/>
      <w:bookmarkEnd w:id="4"/>
    </w:p>
    <w:p w14:paraId="463C184A">
      <w:pPr>
        <w:pStyle w:val="30"/>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（七）根据《关于推动解决政府采购异常低价问题的通知》（财库〔2026〕2号）的要求，当供应商报价出现以下情形之一时，评标委员会应当启动对该供应商的异常低价审查程序：</w:t>
      </w:r>
    </w:p>
    <w:p w14:paraId="638366AF">
      <w:pPr>
        <w:pStyle w:val="30"/>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1. 供应商报价&lt;全部通过符合性审查供应商报价平均值×50%；</w:t>
      </w:r>
    </w:p>
    <w:p w14:paraId="3DB1CA49">
      <w:pPr>
        <w:pStyle w:val="30"/>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 供应商报价&lt;通过符合性审查的次低供应商报价×50%；</w:t>
      </w:r>
    </w:p>
    <w:p w14:paraId="3B083BD9">
      <w:pPr>
        <w:pStyle w:val="30"/>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3. 供应商报价&lt;最高限价×45%；</w:t>
      </w:r>
    </w:p>
    <w:p w14:paraId="51FB8856">
      <w:pPr>
        <w:pStyle w:val="30"/>
        <w:spacing w:line="360" w:lineRule="auto"/>
        <w:ind w:firstLine="448" w:firstLineChars="200"/>
        <w:rPr>
          <w:rFonts w:ascii="Times New Roman" w:hAnsi="Times New Roman" w:eastAsia="宋体"/>
          <w:color w:val="auto"/>
          <w:highlight w:val="none"/>
        </w:rPr>
      </w:pPr>
      <w:r>
        <w:rPr>
          <w:rFonts w:hint="eastAsia" w:ascii="Times New Roman" w:hAnsi="Times New Roman" w:eastAsia="宋体" w:cs="Times New Roman"/>
          <w:color w:val="auto"/>
          <w:highlight w:val="none"/>
        </w:rPr>
        <w:t>4. 评标委员会基于专业判断，认为供应商报价过低，有可能影响产品质量或者不能诚信履约的其他情形。</w:t>
      </w:r>
    </w:p>
    <w:p w14:paraId="68A51590">
      <w:pPr>
        <w:pStyle w:val="30"/>
        <w:spacing w:line="360" w:lineRule="auto"/>
        <w:ind w:firstLine="448" w:firstLineChars="200"/>
        <w:rPr>
          <w:rFonts w:ascii="Times New Roman" w:hAnsi="Times New Roman" w:eastAsia="宋体"/>
          <w:color w:val="auto"/>
          <w:highlight w:val="none"/>
        </w:rPr>
      </w:pPr>
      <w:r>
        <w:rPr>
          <w:rFonts w:hint="eastAsia" w:ascii="Times New Roman" w:hAnsi="Times New Roman" w:eastAsia="宋体"/>
          <w:color w:val="auto"/>
          <w:highlight w:val="none"/>
        </w:rPr>
        <w:t>五、参与本项目的步骤、时间与方式</w:t>
      </w:r>
    </w:p>
    <w:p w14:paraId="2874D078">
      <w:pPr>
        <w:pStyle w:val="30"/>
        <w:spacing w:line="360" w:lineRule="auto"/>
        <w:ind w:firstLine="448" w:firstLineChars="200"/>
        <w:rPr>
          <w:rFonts w:ascii="Times New Roman" w:hAnsi="Times New Roman" w:eastAsia="宋体"/>
          <w:color w:val="auto"/>
          <w:highlight w:val="none"/>
        </w:rPr>
      </w:pPr>
      <w:r>
        <w:rPr>
          <w:rFonts w:hint="eastAsia" w:ascii="Times New Roman" w:hAnsi="Times New Roman" w:eastAsia="宋体"/>
          <w:color w:val="auto"/>
          <w:highlight w:val="none"/>
        </w:rPr>
        <w:t>（一）参与本项目的时间要求</w:t>
      </w:r>
    </w:p>
    <w:tbl>
      <w:tblPr>
        <w:tblStyle w:val="24"/>
        <w:tblW w:w="91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9"/>
        <w:gridCol w:w="1941"/>
        <w:gridCol w:w="1891"/>
        <w:gridCol w:w="1891"/>
        <w:gridCol w:w="2632"/>
      </w:tblGrid>
      <w:tr w14:paraId="6A62B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779" w:type="dxa"/>
            <w:vAlign w:val="center"/>
          </w:tcPr>
          <w:p w14:paraId="32178D56">
            <w:pPr>
              <w:pStyle w:val="30"/>
              <w:snapToGrid w:val="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序号</w:t>
            </w:r>
          </w:p>
        </w:tc>
        <w:tc>
          <w:tcPr>
            <w:tcW w:w="1941" w:type="dxa"/>
            <w:vAlign w:val="center"/>
          </w:tcPr>
          <w:p w14:paraId="07B9C7A7">
            <w:pPr>
              <w:pStyle w:val="30"/>
              <w:snapToGrid w:val="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步骤名称</w:t>
            </w:r>
          </w:p>
        </w:tc>
        <w:tc>
          <w:tcPr>
            <w:tcW w:w="1891" w:type="dxa"/>
            <w:vAlign w:val="center"/>
          </w:tcPr>
          <w:p w14:paraId="26B35CFA">
            <w:pPr>
              <w:pStyle w:val="30"/>
              <w:snapToGrid w:val="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开始时间</w:t>
            </w:r>
          </w:p>
        </w:tc>
        <w:tc>
          <w:tcPr>
            <w:tcW w:w="1891" w:type="dxa"/>
            <w:vAlign w:val="center"/>
          </w:tcPr>
          <w:p w14:paraId="591378FD">
            <w:pPr>
              <w:pStyle w:val="30"/>
              <w:snapToGrid w:val="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截止时间</w:t>
            </w:r>
          </w:p>
        </w:tc>
        <w:tc>
          <w:tcPr>
            <w:tcW w:w="2632" w:type="dxa"/>
            <w:vAlign w:val="center"/>
          </w:tcPr>
          <w:p w14:paraId="37016BDE">
            <w:pPr>
              <w:pStyle w:val="30"/>
              <w:snapToGrid w:val="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备注</w:t>
            </w:r>
          </w:p>
        </w:tc>
      </w:tr>
      <w:tr w14:paraId="7E330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14:paraId="1F0A59BE">
            <w:pPr>
              <w:pStyle w:val="30"/>
              <w:snapToGrid w:val="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1</w:t>
            </w:r>
          </w:p>
        </w:tc>
        <w:tc>
          <w:tcPr>
            <w:tcW w:w="1941" w:type="dxa"/>
            <w:vAlign w:val="center"/>
          </w:tcPr>
          <w:p w14:paraId="5BECC7F8">
            <w:pPr>
              <w:pStyle w:val="30"/>
              <w:snapToGrid w:val="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获取招标文件</w:t>
            </w:r>
          </w:p>
        </w:tc>
        <w:tc>
          <w:tcPr>
            <w:tcW w:w="1891" w:type="dxa"/>
            <w:vAlign w:val="center"/>
          </w:tcPr>
          <w:p w14:paraId="04BC8752">
            <w:pPr>
              <w:pStyle w:val="30"/>
              <w:snapToGrid w:val="0"/>
              <w:jc w:val="center"/>
              <w:rPr>
                <w:rFonts w:ascii="Times New Roman" w:hAnsi="Times New Roman" w:eastAsia="宋体"/>
                <w:color w:val="auto"/>
                <w:sz w:val="21"/>
                <w:szCs w:val="21"/>
                <w:highlight w:val="none"/>
              </w:rPr>
            </w:pPr>
            <w:r>
              <w:rPr>
                <w:rFonts w:ascii="Times New Roman" w:hAnsi="Times New Roman" w:eastAsia="宋体" w:cs="Times New Roman"/>
                <w:color w:val="auto"/>
                <w:sz w:val="21"/>
                <w:szCs w:val="21"/>
                <w:highlight w:val="none"/>
              </w:rPr>
              <w:t>2026年</w:t>
            </w:r>
            <w:r>
              <w:rPr>
                <w:rFonts w:hint="eastAsia" w:ascii="Times New Roman" w:hAnsi="Times New Roman" w:eastAsia="宋体" w:cs="Times New Roman"/>
                <w:color w:val="auto"/>
                <w:sz w:val="21"/>
                <w:szCs w:val="21"/>
                <w:highlight w:val="none"/>
                <w:lang w:val="en-US" w:eastAsia="zh-CN"/>
              </w:rPr>
              <w:t>09</w:t>
            </w:r>
            <w:r>
              <w:rPr>
                <w:rFonts w:ascii="Times New Roman" w:hAnsi="Times New Roman" w:eastAsia="宋体" w:cs="Times New Roman"/>
                <w:color w:val="auto"/>
                <w:sz w:val="21"/>
                <w:szCs w:val="21"/>
                <w:highlight w:val="none"/>
              </w:rPr>
              <w:t>月</w:t>
            </w:r>
            <w:r>
              <w:rPr>
                <w:rFonts w:hint="eastAsia" w:ascii="Times New Roman" w:hAnsi="Times New Roman" w:eastAsia="宋体" w:cs="Times New Roman"/>
                <w:color w:val="auto"/>
                <w:sz w:val="21"/>
                <w:szCs w:val="21"/>
                <w:highlight w:val="none"/>
                <w:lang w:val="en-US" w:eastAsia="zh-CN"/>
              </w:rPr>
              <w:t>30</w:t>
            </w:r>
            <w:r>
              <w:rPr>
                <w:rFonts w:ascii="Times New Roman" w:hAnsi="Times New Roman" w:eastAsia="宋体" w:cs="Times New Roman"/>
                <w:color w:val="auto"/>
                <w:sz w:val="21"/>
                <w:szCs w:val="21"/>
                <w:highlight w:val="none"/>
              </w:rPr>
              <w:t>日</w:t>
            </w:r>
          </w:p>
        </w:tc>
        <w:tc>
          <w:tcPr>
            <w:tcW w:w="1891" w:type="dxa"/>
            <w:vAlign w:val="center"/>
          </w:tcPr>
          <w:p w14:paraId="5B8A93E1">
            <w:pPr>
              <w:pStyle w:val="30"/>
              <w:snapToGrid w:val="0"/>
              <w:jc w:val="center"/>
              <w:rPr>
                <w:rFonts w:ascii="Times New Roman" w:hAnsi="Times New Roman" w:eastAsia="宋体"/>
                <w:color w:val="auto"/>
                <w:sz w:val="21"/>
                <w:szCs w:val="21"/>
                <w:highlight w:val="none"/>
              </w:rPr>
            </w:pPr>
            <w:r>
              <w:rPr>
                <w:rFonts w:ascii="Times New Roman" w:hAnsi="Times New Roman" w:eastAsia="宋体" w:cs="Times New Roman"/>
                <w:color w:val="auto"/>
                <w:sz w:val="21"/>
                <w:szCs w:val="21"/>
                <w:highlight w:val="none"/>
              </w:rPr>
              <w:t>2026年</w:t>
            </w:r>
            <w:r>
              <w:rPr>
                <w:rFonts w:hint="eastAsia" w:ascii="Times New Roman" w:hAnsi="Times New Roman" w:eastAsia="宋体" w:cs="Times New Roman"/>
                <w:color w:val="auto"/>
                <w:sz w:val="21"/>
                <w:szCs w:val="21"/>
                <w:highlight w:val="none"/>
                <w:lang w:val="en-US" w:eastAsia="zh-CN"/>
              </w:rPr>
              <w:t>10</w:t>
            </w:r>
            <w:r>
              <w:rPr>
                <w:rFonts w:ascii="Times New Roman" w:hAnsi="Times New Roman" w:eastAsia="宋体" w:cs="Times New Roman"/>
                <w:color w:val="auto"/>
                <w:sz w:val="21"/>
                <w:szCs w:val="21"/>
                <w:highlight w:val="none"/>
              </w:rPr>
              <w:t>月</w:t>
            </w:r>
            <w:r>
              <w:rPr>
                <w:rFonts w:hint="eastAsia" w:ascii="Times New Roman" w:hAnsi="Times New Roman" w:eastAsia="宋体" w:cs="Times New Roman"/>
                <w:color w:val="auto"/>
                <w:sz w:val="21"/>
                <w:szCs w:val="21"/>
                <w:highlight w:val="none"/>
                <w:lang w:val="en-US" w:eastAsia="zh-CN"/>
              </w:rPr>
              <w:t>13</w:t>
            </w:r>
            <w:r>
              <w:rPr>
                <w:rFonts w:ascii="Times New Roman" w:hAnsi="Times New Roman" w:eastAsia="宋体" w:cs="Times New Roman"/>
                <w:color w:val="auto"/>
                <w:sz w:val="21"/>
                <w:szCs w:val="21"/>
                <w:highlight w:val="none"/>
              </w:rPr>
              <w:t>日</w:t>
            </w:r>
          </w:p>
        </w:tc>
        <w:tc>
          <w:tcPr>
            <w:tcW w:w="2632" w:type="dxa"/>
            <w:vAlign w:val="center"/>
          </w:tcPr>
          <w:p w14:paraId="20027442">
            <w:pPr>
              <w:pStyle w:val="30"/>
              <w:snapToGrid w:val="0"/>
              <w:jc w:val="both"/>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每日9:00至17:00（北京时间，法定节假日除外）。</w:t>
            </w:r>
          </w:p>
          <w:p w14:paraId="5DC5D0BC">
            <w:pPr>
              <w:pStyle w:val="30"/>
              <w:snapToGrid w:val="0"/>
              <w:jc w:val="both"/>
              <w:rPr>
                <w:rFonts w:ascii="Times New Roman" w:hAnsi="Times New Roman" w:eastAsia="宋体"/>
                <w:color w:val="auto"/>
                <w:sz w:val="21"/>
                <w:szCs w:val="21"/>
                <w:highlight w:val="none"/>
              </w:rPr>
            </w:pPr>
            <w:r>
              <w:rPr>
                <w:rFonts w:hint="eastAsia" w:ascii="Times New Roman" w:hAnsi="Times New Roman" w:eastAsia="宋体" w:cs="Times New Roman"/>
                <w:color w:val="auto"/>
                <w:sz w:val="21"/>
                <w:szCs w:val="21"/>
                <w:highlight w:val="none"/>
              </w:rPr>
              <w:t>未按时获取招标文件的，不能参与本项目</w:t>
            </w:r>
          </w:p>
        </w:tc>
      </w:tr>
      <w:tr w14:paraId="7BFD3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14:paraId="17474F6A">
            <w:pPr>
              <w:pStyle w:val="30"/>
              <w:snapToGrid w:val="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2</w:t>
            </w:r>
          </w:p>
        </w:tc>
        <w:tc>
          <w:tcPr>
            <w:tcW w:w="1941" w:type="dxa"/>
            <w:vAlign w:val="center"/>
          </w:tcPr>
          <w:p w14:paraId="2CDA3B1A">
            <w:pPr>
              <w:pStyle w:val="30"/>
              <w:snapToGrid w:val="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网上应答（上传电子投标文件）</w:t>
            </w:r>
          </w:p>
        </w:tc>
        <w:tc>
          <w:tcPr>
            <w:tcW w:w="1891" w:type="dxa"/>
            <w:vAlign w:val="center"/>
          </w:tcPr>
          <w:p w14:paraId="74EFEF2A">
            <w:pPr>
              <w:pStyle w:val="30"/>
              <w:snapToGrid w:val="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2026年</w:t>
            </w:r>
            <w:r>
              <w:rPr>
                <w:rFonts w:hint="eastAsia" w:ascii="Times New Roman" w:hAnsi="Times New Roman" w:eastAsia="宋体"/>
                <w:color w:val="auto"/>
                <w:sz w:val="21"/>
                <w:szCs w:val="21"/>
                <w:highlight w:val="none"/>
                <w:lang w:val="en-US" w:eastAsia="zh-CN"/>
              </w:rPr>
              <w:t>9</w:t>
            </w:r>
            <w:r>
              <w:rPr>
                <w:rFonts w:hint="eastAsia" w:ascii="Times New Roman" w:hAnsi="Times New Roman" w:eastAsia="宋体"/>
                <w:color w:val="auto"/>
                <w:sz w:val="21"/>
                <w:szCs w:val="21"/>
                <w:highlight w:val="none"/>
              </w:rPr>
              <w:t>月</w:t>
            </w:r>
            <w:r>
              <w:rPr>
                <w:rFonts w:hint="eastAsia" w:ascii="Times New Roman" w:hAnsi="Times New Roman" w:eastAsia="宋体"/>
                <w:color w:val="auto"/>
                <w:sz w:val="21"/>
                <w:szCs w:val="21"/>
                <w:highlight w:val="none"/>
                <w:lang w:val="en-US" w:eastAsia="zh-CN"/>
              </w:rPr>
              <w:t>30</w:t>
            </w:r>
            <w:r>
              <w:rPr>
                <w:rFonts w:hint="eastAsia" w:ascii="Times New Roman" w:hAnsi="Times New Roman" w:eastAsia="宋体"/>
                <w:color w:val="auto"/>
                <w:sz w:val="21"/>
                <w:szCs w:val="21"/>
                <w:highlight w:val="none"/>
              </w:rPr>
              <w:t>日9:00</w:t>
            </w:r>
          </w:p>
        </w:tc>
        <w:tc>
          <w:tcPr>
            <w:tcW w:w="1891" w:type="dxa"/>
            <w:vAlign w:val="center"/>
          </w:tcPr>
          <w:p w14:paraId="336B611B">
            <w:pPr>
              <w:pStyle w:val="30"/>
              <w:snapToGrid w:val="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2026年</w:t>
            </w:r>
            <w:r>
              <w:rPr>
                <w:rFonts w:hint="eastAsia" w:ascii="Times New Roman" w:hAnsi="Times New Roman" w:eastAsia="宋体"/>
                <w:color w:val="auto"/>
                <w:sz w:val="21"/>
                <w:szCs w:val="21"/>
                <w:highlight w:val="none"/>
                <w:lang w:val="en-US" w:eastAsia="zh-CN"/>
              </w:rPr>
              <w:t>10</w:t>
            </w:r>
            <w:r>
              <w:rPr>
                <w:rFonts w:hint="eastAsia" w:ascii="Times New Roman" w:hAnsi="Times New Roman" w:eastAsia="宋体"/>
                <w:color w:val="auto"/>
                <w:sz w:val="21"/>
                <w:szCs w:val="21"/>
                <w:highlight w:val="none"/>
              </w:rPr>
              <w:t>月</w:t>
            </w:r>
            <w:r>
              <w:rPr>
                <w:rFonts w:hint="eastAsia" w:ascii="Times New Roman" w:hAnsi="Times New Roman" w:eastAsia="宋体"/>
                <w:color w:val="auto"/>
                <w:sz w:val="21"/>
                <w:szCs w:val="21"/>
                <w:highlight w:val="none"/>
                <w:lang w:val="en-US" w:eastAsia="zh-CN"/>
              </w:rPr>
              <w:t>23</w:t>
            </w:r>
            <w:r>
              <w:rPr>
                <w:rFonts w:hint="eastAsia" w:ascii="Times New Roman" w:hAnsi="Times New Roman" w:eastAsia="宋体"/>
                <w:color w:val="auto"/>
                <w:sz w:val="21"/>
                <w:szCs w:val="21"/>
                <w:highlight w:val="none"/>
              </w:rPr>
              <w:t>日8:30</w:t>
            </w:r>
          </w:p>
        </w:tc>
        <w:tc>
          <w:tcPr>
            <w:tcW w:w="2632" w:type="dxa"/>
            <w:vAlign w:val="center"/>
          </w:tcPr>
          <w:p w14:paraId="01B02A01">
            <w:pPr>
              <w:pStyle w:val="30"/>
              <w:snapToGrid w:val="0"/>
              <w:jc w:val="both"/>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未按时完成网上应答或未按时上传电子投标文件的，视为无效投标。</w:t>
            </w:r>
          </w:p>
        </w:tc>
      </w:tr>
      <w:tr w14:paraId="04EAD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14:paraId="3DF2DF16">
            <w:pPr>
              <w:pStyle w:val="30"/>
              <w:snapToGrid w:val="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3</w:t>
            </w:r>
          </w:p>
        </w:tc>
        <w:tc>
          <w:tcPr>
            <w:tcW w:w="1941" w:type="dxa"/>
            <w:vAlign w:val="center"/>
          </w:tcPr>
          <w:p w14:paraId="2FF1816C">
            <w:pPr>
              <w:pStyle w:val="30"/>
              <w:snapToGrid w:val="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开标解密</w:t>
            </w:r>
          </w:p>
        </w:tc>
        <w:tc>
          <w:tcPr>
            <w:tcW w:w="1891" w:type="dxa"/>
            <w:vAlign w:val="center"/>
          </w:tcPr>
          <w:p w14:paraId="72F03FDD">
            <w:pPr>
              <w:pStyle w:val="30"/>
              <w:snapToGrid w:val="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2026年</w:t>
            </w:r>
            <w:r>
              <w:rPr>
                <w:rFonts w:hint="eastAsia" w:ascii="Times New Roman" w:hAnsi="Times New Roman" w:eastAsia="宋体"/>
                <w:color w:val="auto"/>
                <w:sz w:val="21"/>
                <w:szCs w:val="21"/>
                <w:highlight w:val="none"/>
                <w:lang w:val="en-US" w:eastAsia="zh-CN"/>
              </w:rPr>
              <w:t>10</w:t>
            </w:r>
            <w:r>
              <w:rPr>
                <w:rFonts w:hint="eastAsia" w:ascii="Times New Roman" w:hAnsi="Times New Roman" w:eastAsia="宋体"/>
                <w:color w:val="auto"/>
                <w:sz w:val="21"/>
                <w:szCs w:val="21"/>
                <w:highlight w:val="none"/>
              </w:rPr>
              <w:t>月</w:t>
            </w:r>
            <w:r>
              <w:rPr>
                <w:rFonts w:hint="eastAsia" w:ascii="Times New Roman" w:hAnsi="Times New Roman" w:eastAsia="宋体"/>
                <w:color w:val="auto"/>
                <w:sz w:val="21"/>
                <w:szCs w:val="21"/>
                <w:highlight w:val="none"/>
                <w:lang w:val="en-US" w:eastAsia="zh-CN"/>
              </w:rPr>
              <w:t>23</w:t>
            </w:r>
            <w:r>
              <w:rPr>
                <w:rFonts w:hint="eastAsia" w:ascii="Times New Roman" w:hAnsi="Times New Roman" w:eastAsia="宋体"/>
                <w:color w:val="auto"/>
                <w:sz w:val="21"/>
                <w:szCs w:val="21"/>
                <w:highlight w:val="none"/>
              </w:rPr>
              <w:t>日8:30</w:t>
            </w:r>
          </w:p>
        </w:tc>
        <w:tc>
          <w:tcPr>
            <w:tcW w:w="1891" w:type="dxa"/>
            <w:vAlign w:val="center"/>
          </w:tcPr>
          <w:p w14:paraId="629FC721">
            <w:pPr>
              <w:pStyle w:val="30"/>
              <w:snapToGrid w:val="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2026年</w:t>
            </w:r>
            <w:r>
              <w:rPr>
                <w:rFonts w:hint="eastAsia" w:ascii="Times New Roman" w:hAnsi="Times New Roman" w:eastAsia="宋体"/>
                <w:color w:val="auto"/>
                <w:sz w:val="21"/>
                <w:szCs w:val="21"/>
                <w:highlight w:val="none"/>
                <w:lang w:val="en-US" w:eastAsia="zh-CN"/>
              </w:rPr>
              <w:t>10</w:t>
            </w:r>
            <w:r>
              <w:rPr>
                <w:rFonts w:hint="eastAsia" w:ascii="Times New Roman" w:hAnsi="Times New Roman" w:eastAsia="宋体"/>
                <w:color w:val="auto"/>
                <w:sz w:val="21"/>
                <w:szCs w:val="21"/>
                <w:highlight w:val="none"/>
              </w:rPr>
              <w:t>月</w:t>
            </w:r>
            <w:r>
              <w:rPr>
                <w:rFonts w:hint="eastAsia" w:ascii="Times New Roman" w:hAnsi="Times New Roman" w:eastAsia="宋体"/>
                <w:color w:val="auto"/>
                <w:sz w:val="21"/>
                <w:szCs w:val="21"/>
                <w:highlight w:val="none"/>
                <w:lang w:val="en-US" w:eastAsia="zh-CN"/>
              </w:rPr>
              <w:t>23</w:t>
            </w:r>
            <w:r>
              <w:rPr>
                <w:rFonts w:hint="eastAsia" w:ascii="Times New Roman" w:hAnsi="Times New Roman" w:eastAsia="宋体"/>
                <w:color w:val="auto"/>
                <w:sz w:val="21"/>
                <w:szCs w:val="21"/>
                <w:highlight w:val="none"/>
              </w:rPr>
              <w:t>日9:30</w:t>
            </w:r>
          </w:p>
        </w:tc>
        <w:tc>
          <w:tcPr>
            <w:tcW w:w="2632" w:type="dxa"/>
            <w:vAlign w:val="center"/>
          </w:tcPr>
          <w:p w14:paraId="027533AA">
            <w:pPr>
              <w:pStyle w:val="30"/>
              <w:snapToGrid w:val="0"/>
              <w:jc w:val="both"/>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未按时完成开标解密的，视为无效投标。</w:t>
            </w:r>
          </w:p>
        </w:tc>
      </w:tr>
      <w:tr w14:paraId="1A1E8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vAlign w:val="center"/>
          </w:tcPr>
          <w:p w14:paraId="529436F0">
            <w:pPr>
              <w:pStyle w:val="30"/>
              <w:snapToGrid w:val="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4</w:t>
            </w:r>
          </w:p>
        </w:tc>
        <w:tc>
          <w:tcPr>
            <w:tcW w:w="1941" w:type="dxa"/>
            <w:vAlign w:val="center"/>
          </w:tcPr>
          <w:p w14:paraId="07C4A75D">
            <w:pPr>
              <w:pStyle w:val="30"/>
              <w:snapToGrid w:val="0"/>
              <w:jc w:val="center"/>
              <w:rPr>
                <w:rFonts w:ascii="Times New Roman" w:hAnsi="Times New Roman" w:eastAsia="宋体"/>
                <w:color w:val="auto"/>
                <w:sz w:val="21"/>
                <w:szCs w:val="21"/>
                <w:highlight w:val="none"/>
              </w:rPr>
            </w:pPr>
            <w:r>
              <w:rPr>
                <w:rFonts w:ascii="Times New Roman" w:hAnsi="Times New Roman" w:eastAsia="宋体"/>
                <w:color w:val="auto"/>
                <w:sz w:val="21"/>
                <w:szCs w:val="21"/>
                <w:highlight w:val="none"/>
              </w:rPr>
              <w:t>网上开标公示</w:t>
            </w:r>
          </w:p>
        </w:tc>
        <w:tc>
          <w:tcPr>
            <w:tcW w:w="1891" w:type="dxa"/>
            <w:vAlign w:val="center"/>
          </w:tcPr>
          <w:p w14:paraId="18F7EF35">
            <w:pPr>
              <w:pStyle w:val="30"/>
              <w:snapToGrid w:val="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2026年</w:t>
            </w:r>
            <w:r>
              <w:rPr>
                <w:rFonts w:hint="eastAsia" w:ascii="Times New Roman" w:hAnsi="Times New Roman" w:eastAsia="宋体"/>
                <w:color w:val="auto"/>
                <w:sz w:val="21"/>
                <w:szCs w:val="21"/>
                <w:highlight w:val="none"/>
                <w:lang w:val="en-US" w:eastAsia="zh-CN"/>
              </w:rPr>
              <w:t>10</w:t>
            </w:r>
            <w:r>
              <w:rPr>
                <w:rFonts w:hint="eastAsia" w:ascii="Times New Roman" w:hAnsi="Times New Roman" w:eastAsia="宋体"/>
                <w:color w:val="auto"/>
                <w:sz w:val="21"/>
                <w:szCs w:val="21"/>
                <w:highlight w:val="none"/>
              </w:rPr>
              <w:t>月</w:t>
            </w:r>
            <w:r>
              <w:rPr>
                <w:rFonts w:hint="eastAsia" w:ascii="Times New Roman" w:hAnsi="Times New Roman" w:eastAsia="宋体"/>
                <w:color w:val="auto"/>
                <w:sz w:val="21"/>
                <w:szCs w:val="21"/>
                <w:highlight w:val="none"/>
                <w:lang w:val="en-US" w:eastAsia="zh-CN"/>
              </w:rPr>
              <w:t>23</w:t>
            </w:r>
            <w:r>
              <w:rPr>
                <w:rFonts w:hint="eastAsia" w:ascii="Times New Roman" w:hAnsi="Times New Roman" w:eastAsia="宋体"/>
                <w:color w:val="auto"/>
                <w:sz w:val="21"/>
                <w:szCs w:val="21"/>
                <w:highlight w:val="none"/>
              </w:rPr>
              <w:t>日9:30</w:t>
            </w:r>
          </w:p>
        </w:tc>
        <w:tc>
          <w:tcPr>
            <w:tcW w:w="1891" w:type="dxa"/>
            <w:vAlign w:val="center"/>
          </w:tcPr>
          <w:p w14:paraId="3AB7A4E3">
            <w:pPr>
              <w:pStyle w:val="30"/>
              <w:snapToGrid w:val="0"/>
              <w:jc w:val="center"/>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2026年</w:t>
            </w:r>
            <w:r>
              <w:rPr>
                <w:rFonts w:hint="eastAsia" w:ascii="Times New Roman" w:hAnsi="Times New Roman" w:eastAsia="宋体"/>
                <w:color w:val="auto"/>
                <w:sz w:val="21"/>
                <w:szCs w:val="21"/>
                <w:highlight w:val="none"/>
                <w:lang w:val="en-US" w:eastAsia="zh-CN"/>
              </w:rPr>
              <w:t>10</w:t>
            </w:r>
            <w:r>
              <w:rPr>
                <w:rFonts w:hint="eastAsia" w:ascii="Times New Roman" w:hAnsi="Times New Roman" w:eastAsia="宋体"/>
                <w:color w:val="auto"/>
                <w:sz w:val="21"/>
                <w:szCs w:val="21"/>
                <w:highlight w:val="none"/>
              </w:rPr>
              <w:t>月</w:t>
            </w:r>
            <w:r>
              <w:rPr>
                <w:rFonts w:hint="eastAsia" w:ascii="Times New Roman" w:hAnsi="Times New Roman" w:eastAsia="宋体"/>
                <w:color w:val="auto"/>
                <w:sz w:val="21"/>
                <w:szCs w:val="21"/>
                <w:highlight w:val="none"/>
                <w:lang w:val="en-US" w:eastAsia="zh-CN"/>
              </w:rPr>
              <w:t>23</w:t>
            </w:r>
            <w:r>
              <w:rPr>
                <w:rFonts w:hint="eastAsia" w:ascii="Times New Roman" w:hAnsi="Times New Roman" w:eastAsia="宋体"/>
                <w:color w:val="auto"/>
                <w:sz w:val="21"/>
                <w:szCs w:val="21"/>
                <w:highlight w:val="none"/>
              </w:rPr>
              <w:t>日1</w:t>
            </w:r>
            <w:r>
              <w:rPr>
                <w:rFonts w:hint="eastAsia" w:ascii="Times New Roman" w:hAnsi="Times New Roman" w:eastAsia="宋体"/>
                <w:color w:val="auto"/>
                <w:sz w:val="21"/>
                <w:szCs w:val="21"/>
                <w:highlight w:val="none"/>
                <w:lang w:val="en-US" w:eastAsia="zh-CN"/>
              </w:rPr>
              <w:t>7</w:t>
            </w:r>
            <w:r>
              <w:rPr>
                <w:rFonts w:hint="eastAsia" w:ascii="Times New Roman" w:hAnsi="Times New Roman" w:eastAsia="宋体"/>
                <w:color w:val="auto"/>
                <w:sz w:val="21"/>
                <w:szCs w:val="21"/>
                <w:highlight w:val="none"/>
              </w:rPr>
              <w:t>:00</w:t>
            </w:r>
          </w:p>
        </w:tc>
        <w:tc>
          <w:tcPr>
            <w:tcW w:w="2632" w:type="dxa"/>
            <w:vAlign w:val="center"/>
          </w:tcPr>
          <w:p w14:paraId="6D91B7FD">
            <w:pPr>
              <w:pStyle w:val="30"/>
              <w:snapToGrid w:val="0"/>
              <w:jc w:val="both"/>
              <w:rPr>
                <w:rFonts w:ascii="Times New Roman" w:hAnsi="Times New Roman" w:eastAsia="宋体"/>
                <w:color w:val="auto"/>
                <w:sz w:val="21"/>
                <w:szCs w:val="21"/>
                <w:highlight w:val="none"/>
              </w:rPr>
            </w:pPr>
          </w:p>
        </w:tc>
      </w:tr>
    </w:tbl>
    <w:p w14:paraId="15F10011">
      <w:pPr>
        <w:pStyle w:val="30"/>
        <w:spacing w:line="360" w:lineRule="auto"/>
        <w:ind w:firstLine="448" w:firstLineChars="200"/>
        <w:rPr>
          <w:rFonts w:ascii="Times New Roman" w:hAnsi="Times New Roman" w:eastAsia="宋体"/>
          <w:color w:val="auto"/>
          <w:highlight w:val="none"/>
        </w:rPr>
      </w:pPr>
      <w:r>
        <w:rPr>
          <w:rFonts w:hint="eastAsia" w:ascii="Times New Roman" w:hAnsi="Times New Roman" w:eastAsia="宋体"/>
          <w:color w:val="auto"/>
          <w:highlight w:val="none"/>
        </w:rPr>
        <w:t>（二）参与本项目的方式要求</w:t>
      </w:r>
    </w:p>
    <w:p w14:paraId="4EC161B4">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1. 供应商注册、</w:t>
      </w:r>
      <w:r>
        <w:rPr>
          <w:rFonts w:ascii="Times New Roman" w:hAnsi="Times New Roman" w:eastAsia="宋体" w:cs="Times New Roman"/>
          <w:color w:val="auto"/>
          <w:highlight w:val="none"/>
        </w:rPr>
        <w:t>CA</w:t>
      </w:r>
      <w:r>
        <w:rPr>
          <w:rFonts w:hint="eastAsia" w:ascii="Times New Roman" w:hAnsi="Times New Roman" w:eastAsia="宋体" w:cs="Times New Roman"/>
          <w:color w:val="auto"/>
          <w:highlight w:val="none"/>
        </w:rPr>
        <w:t>数字证书（</w:t>
      </w:r>
      <w:r>
        <w:rPr>
          <w:rFonts w:ascii="Times New Roman" w:hAnsi="Times New Roman" w:eastAsia="宋体" w:cs="Times New Roman"/>
          <w:color w:val="auto"/>
          <w:highlight w:val="none"/>
        </w:rPr>
        <w:t>USBKey</w:t>
      </w:r>
      <w:r>
        <w:rPr>
          <w:rFonts w:hint="eastAsia" w:ascii="Times New Roman" w:hAnsi="Times New Roman" w:eastAsia="宋体" w:cs="Times New Roman"/>
          <w:color w:val="auto"/>
          <w:highlight w:val="none"/>
        </w:rPr>
        <w:t>）领取、</w:t>
      </w:r>
      <w:r>
        <w:rPr>
          <w:rFonts w:hint="eastAsia" w:ascii="Times New Roman" w:hAnsi="Times New Roman" w:eastAsia="宋体"/>
          <w:color w:val="auto"/>
          <w:highlight w:val="none"/>
        </w:rPr>
        <w:t>电子签章办理</w:t>
      </w:r>
      <w:r>
        <w:rPr>
          <w:rFonts w:hint="eastAsia" w:ascii="Times New Roman" w:hAnsi="Times New Roman" w:eastAsia="宋体" w:cs="Times New Roman"/>
          <w:color w:val="auto"/>
          <w:highlight w:val="none"/>
        </w:rPr>
        <w:t>办法：</w:t>
      </w:r>
    </w:p>
    <w:p w14:paraId="6627C0A5">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天津市政府采购中心网注册：登录天津市政府采购中心网（</w:t>
      </w:r>
      <w:r>
        <w:rPr>
          <w:rFonts w:ascii="Times New Roman" w:hAnsi="Times New Roman" w:eastAsia="宋体" w:cs="Times New Roman"/>
          <w:color w:val="auto"/>
          <w:highlight w:val="none"/>
        </w:rPr>
        <w:t>http://tjgpc.zwfwb.tj.gov.cn</w:t>
      </w:r>
      <w:r>
        <w:rPr>
          <w:rFonts w:hint="eastAsia" w:ascii="Times New Roman" w:hAnsi="Times New Roman" w:eastAsia="宋体" w:cs="Times New Roman"/>
          <w:color w:val="auto"/>
          <w:highlight w:val="none"/>
        </w:rPr>
        <w:t>）首页点击“用户注册维护”，填写相关内容。天津市政府采购中心</w:t>
      </w:r>
      <w:r>
        <w:rPr>
          <w:rFonts w:hint="eastAsia" w:ascii="Times New Roman" w:hAnsi="Times New Roman" w:eastAsia="宋体"/>
          <w:color w:val="auto"/>
          <w:highlight w:val="none"/>
        </w:rPr>
        <w:t>注册窗口联系电话：</w:t>
      </w:r>
      <w:r>
        <w:rPr>
          <w:rFonts w:ascii="Times New Roman" w:hAnsi="Times New Roman" w:eastAsia="宋体"/>
          <w:color w:val="auto"/>
          <w:highlight w:val="none"/>
        </w:rPr>
        <w:t>022-</w:t>
      </w:r>
      <w:r>
        <w:rPr>
          <w:rFonts w:ascii="Times New Roman" w:hAnsi="Times New Roman" w:eastAsia="宋体" w:cs="Times New Roman"/>
          <w:color w:val="auto"/>
          <w:highlight w:val="none"/>
        </w:rPr>
        <w:t>24538167</w:t>
      </w:r>
      <w:r>
        <w:rPr>
          <w:rFonts w:hint="eastAsia" w:ascii="Times New Roman" w:hAnsi="Times New Roman" w:eastAsia="宋体"/>
          <w:color w:val="auto"/>
          <w:highlight w:val="none"/>
        </w:rPr>
        <w:t>。</w:t>
      </w:r>
    </w:p>
    <w:p w14:paraId="2D93F3C8">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CA</w:t>
      </w:r>
      <w:r>
        <w:rPr>
          <w:rFonts w:hint="eastAsia" w:ascii="Times New Roman" w:hAnsi="Times New Roman" w:eastAsia="宋体" w:cs="Times New Roman"/>
          <w:color w:val="auto"/>
          <w:highlight w:val="none"/>
        </w:rPr>
        <w:t>数字证书（</w:t>
      </w:r>
      <w:r>
        <w:rPr>
          <w:rFonts w:ascii="Times New Roman" w:hAnsi="Times New Roman" w:eastAsia="宋体" w:cs="Times New Roman"/>
          <w:color w:val="auto"/>
          <w:highlight w:val="none"/>
        </w:rPr>
        <w:t>USBKey</w:t>
      </w:r>
      <w:r>
        <w:rPr>
          <w:rFonts w:hint="eastAsia" w:ascii="Times New Roman" w:hAnsi="Times New Roman" w:eastAsia="宋体" w:cs="Times New Roman"/>
          <w:color w:val="auto"/>
          <w:highlight w:val="none"/>
        </w:rPr>
        <w:t>）领取及</w:t>
      </w:r>
      <w:r>
        <w:rPr>
          <w:rFonts w:hint="eastAsia" w:ascii="Times New Roman" w:hAnsi="Times New Roman" w:eastAsia="宋体"/>
          <w:color w:val="auto"/>
          <w:highlight w:val="none"/>
        </w:rPr>
        <w:t>电子签章办理</w:t>
      </w:r>
      <w:r>
        <w:rPr>
          <w:rFonts w:hint="eastAsia" w:ascii="Times New Roman" w:hAnsi="Times New Roman" w:eastAsia="宋体" w:cs="Times New Roman"/>
          <w:color w:val="auto"/>
          <w:highlight w:val="none"/>
        </w:rPr>
        <w:t>：参见天津市政府采购中心网（</w:t>
      </w:r>
      <w:r>
        <w:rPr>
          <w:rFonts w:ascii="Times New Roman" w:hAnsi="Times New Roman" w:eastAsia="宋体" w:cs="Times New Roman"/>
          <w:color w:val="auto"/>
          <w:highlight w:val="none"/>
        </w:rPr>
        <w:t>http://tjgpc.zwfwb.tj.gov.cn</w:t>
      </w:r>
      <w:r>
        <w:rPr>
          <w:rFonts w:hint="eastAsia" w:ascii="Times New Roman" w:hAnsi="Times New Roman" w:eastAsia="宋体" w:cs="Times New Roman"/>
          <w:color w:val="auto"/>
          <w:highlight w:val="none"/>
        </w:rPr>
        <w:t>）</w:t>
      </w:r>
      <w:r>
        <w:rPr>
          <w:rFonts w:ascii="Times New Roman" w:hAnsi="Times New Roman" w:eastAsia="宋体" w:cs="Times New Roman"/>
          <w:color w:val="auto"/>
          <w:highlight w:val="none"/>
        </w:rPr>
        <w:t>--</w:t>
      </w:r>
      <w:r>
        <w:rPr>
          <w:rFonts w:hint="eastAsia" w:ascii="Times New Roman" w:hAnsi="Times New Roman" w:eastAsia="宋体" w:cs="Times New Roman"/>
          <w:color w:val="auto"/>
          <w:highlight w:val="none"/>
        </w:rPr>
        <w:t>服务指南</w:t>
      </w:r>
      <w:r>
        <w:rPr>
          <w:rFonts w:ascii="Times New Roman" w:hAnsi="Times New Roman" w:eastAsia="宋体" w:cs="Times New Roman"/>
          <w:color w:val="auto"/>
          <w:highlight w:val="none"/>
        </w:rPr>
        <w:t>--</w:t>
      </w:r>
      <w:r>
        <w:rPr>
          <w:rFonts w:hint="eastAsia" w:ascii="Times New Roman" w:hAnsi="Times New Roman" w:eastAsia="宋体" w:cs="Times New Roman"/>
          <w:color w:val="auto"/>
          <w:highlight w:val="none"/>
        </w:rPr>
        <w:t>供应商注册、领取</w:t>
      </w:r>
      <w:r>
        <w:rPr>
          <w:rFonts w:ascii="Times New Roman" w:hAnsi="Times New Roman" w:eastAsia="宋体" w:cs="Times New Roman"/>
          <w:color w:val="auto"/>
          <w:highlight w:val="none"/>
        </w:rPr>
        <w:t>CA</w:t>
      </w:r>
      <w:r>
        <w:rPr>
          <w:rFonts w:hint="eastAsia" w:ascii="Times New Roman" w:hAnsi="Times New Roman" w:eastAsia="宋体" w:cs="Times New Roman"/>
          <w:color w:val="auto"/>
          <w:highlight w:val="none"/>
        </w:rPr>
        <w:t>数字证书（</w:t>
      </w:r>
      <w:r>
        <w:rPr>
          <w:rFonts w:ascii="Times New Roman" w:hAnsi="Times New Roman" w:eastAsia="宋体" w:cs="Times New Roman"/>
          <w:color w:val="auto"/>
          <w:highlight w:val="none"/>
        </w:rPr>
        <w:t>USBKey</w:t>
      </w:r>
      <w:r>
        <w:rPr>
          <w:rFonts w:hint="eastAsia" w:ascii="Times New Roman" w:hAnsi="Times New Roman" w:eastAsia="宋体" w:cs="Times New Roman"/>
          <w:color w:val="auto"/>
          <w:highlight w:val="none"/>
        </w:rPr>
        <w:t>）及电子签章制章的流程。</w:t>
      </w:r>
    </w:p>
    <w:p w14:paraId="169255F0">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CA</w:t>
      </w:r>
      <w:r>
        <w:rPr>
          <w:rFonts w:hint="eastAsia" w:ascii="Times New Roman" w:hAnsi="Times New Roman" w:eastAsia="宋体" w:cs="Times New Roman"/>
          <w:color w:val="auto"/>
          <w:highlight w:val="none"/>
        </w:rPr>
        <w:t>数字证书办理联系电话：</w:t>
      </w:r>
      <w:r>
        <w:rPr>
          <w:rFonts w:ascii="Times New Roman" w:hAnsi="Times New Roman" w:eastAsia="宋体" w:cs="Times New Roman"/>
          <w:color w:val="auto"/>
          <w:highlight w:val="none"/>
        </w:rPr>
        <w:t>400-0566-110</w:t>
      </w:r>
      <w:r>
        <w:rPr>
          <w:rFonts w:hint="eastAsia" w:ascii="Times New Roman" w:hAnsi="Times New Roman" w:eastAsia="宋体" w:cs="Times New Roman"/>
          <w:color w:val="auto"/>
          <w:highlight w:val="none"/>
        </w:rPr>
        <w:t>或</w:t>
      </w:r>
      <w:r>
        <w:rPr>
          <w:rFonts w:ascii="Times New Roman" w:hAnsi="Times New Roman" w:eastAsia="宋体" w:cs="Times New Roman"/>
          <w:color w:val="auto"/>
          <w:highlight w:val="none"/>
        </w:rPr>
        <w:t>022-24538059</w:t>
      </w:r>
      <w:r>
        <w:rPr>
          <w:rFonts w:hint="eastAsia" w:ascii="Times New Roman" w:hAnsi="Times New Roman" w:eastAsia="宋体" w:cs="Times New Roman"/>
          <w:color w:val="auto"/>
          <w:highlight w:val="none"/>
        </w:rPr>
        <w:t>。</w:t>
      </w:r>
    </w:p>
    <w:p w14:paraId="7DD28AA3">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电子签章办理联系电话：</w:t>
      </w:r>
      <w:r>
        <w:rPr>
          <w:rFonts w:ascii="Times New Roman" w:hAnsi="Times New Roman" w:eastAsia="宋体" w:cs="Times New Roman"/>
          <w:color w:val="auto"/>
          <w:highlight w:val="none"/>
        </w:rPr>
        <w:t>022-24538</w:t>
      </w:r>
      <w:r>
        <w:rPr>
          <w:rFonts w:hint="eastAsia" w:ascii="Times New Roman" w:hAnsi="Times New Roman" w:eastAsia="宋体" w:cs="Times New Roman"/>
          <w:color w:val="auto"/>
          <w:highlight w:val="none"/>
        </w:rPr>
        <w:t>059。</w:t>
      </w:r>
    </w:p>
    <w:p w14:paraId="1F472AF9">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2. </w:t>
      </w:r>
      <w:r>
        <w:rPr>
          <w:rFonts w:ascii="Times New Roman" w:hAnsi="Times New Roman" w:eastAsia="宋体" w:cs="Times New Roman"/>
          <w:color w:val="auto"/>
          <w:highlight w:val="none"/>
        </w:rPr>
        <w:t>获取招标文件的方式</w:t>
      </w:r>
    </w:p>
    <w:p w14:paraId="19BE48EA">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采用</w:t>
      </w:r>
      <w:r>
        <w:rPr>
          <w:rFonts w:ascii="Times New Roman" w:hAnsi="Times New Roman" w:eastAsia="宋体" w:cs="Times New Roman"/>
          <w:color w:val="auto"/>
          <w:highlight w:val="none"/>
        </w:rPr>
        <w:t>网上获取电子</w:t>
      </w:r>
      <w:r>
        <w:rPr>
          <w:rFonts w:hint="eastAsia" w:ascii="Times New Roman" w:hAnsi="Times New Roman" w:eastAsia="宋体" w:cs="Times New Roman"/>
          <w:color w:val="auto"/>
          <w:highlight w:val="none"/>
        </w:rPr>
        <w:t>招标</w:t>
      </w:r>
      <w:r>
        <w:rPr>
          <w:rFonts w:ascii="Times New Roman" w:hAnsi="Times New Roman" w:eastAsia="宋体" w:cs="Times New Roman"/>
          <w:color w:val="auto"/>
          <w:highlight w:val="none"/>
        </w:rPr>
        <w:t>文件的方式，供应商应于规定的时间内使用天津数字认证有限公司发出的CA数字证书（原天津市电子认证中心发出尚在有效期内的CA数字证书仍可使用）登录天津市政府采购中心网（网址：</w:t>
      </w:r>
      <w:r>
        <w:rPr>
          <w:color w:val="auto"/>
          <w:highlight w:val="none"/>
        </w:rPr>
        <w:fldChar w:fldCharType="begin"/>
      </w:r>
      <w:r>
        <w:rPr>
          <w:color w:val="auto"/>
          <w:highlight w:val="none"/>
        </w:rPr>
        <w:instrText xml:space="preserve"> HYPERLINK "http://www.tjgpc.gov.cn" </w:instrText>
      </w:r>
      <w:r>
        <w:rPr>
          <w:color w:val="auto"/>
          <w:highlight w:val="none"/>
        </w:rPr>
        <w:fldChar w:fldCharType="separate"/>
      </w:r>
      <w:r>
        <w:rPr>
          <w:rStyle w:val="27"/>
          <w:rFonts w:hint="eastAsia" w:ascii="Times New Roman" w:hAnsi="Times New Roman" w:eastAsia="宋体" w:cs="Times New Roman"/>
          <w:color w:val="auto"/>
          <w:highlight w:val="none"/>
        </w:rPr>
        <w:t>http://tjgpc.zwfwb.tj.gov.cn</w:t>
      </w:r>
      <w:r>
        <w:rPr>
          <w:rStyle w:val="27"/>
          <w:rFonts w:hint="eastAsia" w:ascii="Times New Roman" w:hAnsi="Times New Roman" w:eastAsia="宋体" w:cs="Times New Roman"/>
          <w:color w:val="auto"/>
          <w:highlight w:val="none"/>
        </w:rPr>
        <w:fldChar w:fldCharType="end"/>
      </w:r>
      <w:r>
        <w:rPr>
          <w:rFonts w:hint="eastAsia" w:ascii="Times New Roman" w:hAnsi="Times New Roman" w:eastAsia="宋体" w:cs="Times New Roman"/>
          <w:color w:val="auto"/>
          <w:highlight w:val="none"/>
        </w:rPr>
        <w:t>）-”网上招投标”-“供应商登录”-“市级集采机构入口”</w:t>
      </w:r>
      <w:r>
        <w:rPr>
          <w:rFonts w:ascii="Times New Roman" w:hAnsi="Times New Roman" w:eastAsia="宋体" w:cs="Times New Roman"/>
          <w:color w:val="auto"/>
          <w:highlight w:val="none"/>
        </w:rPr>
        <w:t>下载招标文件。</w:t>
      </w:r>
    </w:p>
    <w:p w14:paraId="67C47E0F">
      <w:pPr>
        <w:pStyle w:val="30"/>
        <w:spacing w:line="360" w:lineRule="auto"/>
        <w:ind w:firstLine="448" w:firstLineChars="200"/>
        <w:jc w:val="both"/>
        <w:rPr>
          <w:rFonts w:ascii="Times New Roman" w:hAnsi="Times New Roman" w:eastAsia="宋体"/>
          <w:color w:val="auto"/>
          <w:highlight w:val="none"/>
        </w:rPr>
      </w:pPr>
      <w:r>
        <w:rPr>
          <w:rFonts w:hint="eastAsia" w:ascii="Times New Roman" w:hAnsi="Times New Roman" w:eastAsia="宋体"/>
          <w:color w:val="auto"/>
          <w:highlight w:val="none"/>
        </w:rPr>
        <w:t>3. 网上应答（上传电子投标文件）方式</w:t>
      </w:r>
    </w:p>
    <w:p w14:paraId="3809058B">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采用网上电子投标方式，投标人</w:t>
      </w:r>
      <w:r>
        <w:rPr>
          <w:rFonts w:hint="eastAsia" w:ascii="Times New Roman" w:hAnsi="Times New Roman" w:eastAsia="宋体" w:cs="Times New Roman"/>
          <w:color w:val="auto"/>
          <w:highlight w:val="none"/>
        </w:rPr>
        <w:t>应</w:t>
      </w:r>
      <w:r>
        <w:rPr>
          <w:rFonts w:ascii="Times New Roman" w:hAnsi="Times New Roman" w:eastAsia="宋体" w:cs="Times New Roman"/>
          <w:color w:val="auto"/>
          <w:highlight w:val="none"/>
        </w:rPr>
        <w:t>于</w:t>
      </w:r>
      <w:r>
        <w:rPr>
          <w:rFonts w:hint="eastAsia" w:ascii="Times New Roman" w:hAnsi="Times New Roman" w:eastAsia="宋体" w:cs="Times New Roman"/>
          <w:color w:val="auto"/>
          <w:highlight w:val="none"/>
        </w:rPr>
        <w:t>规定</w:t>
      </w:r>
      <w:r>
        <w:rPr>
          <w:rFonts w:ascii="Times New Roman" w:hAnsi="Times New Roman" w:eastAsia="宋体" w:cs="Times New Roman"/>
          <w:color w:val="auto"/>
          <w:highlight w:val="none"/>
        </w:rPr>
        <w:t>的时间</w:t>
      </w:r>
      <w:r>
        <w:rPr>
          <w:rFonts w:hint="eastAsia" w:ascii="Times New Roman" w:hAnsi="Times New Roman" w:eastAsia="宋体" w:cs="Times New Roman"/>
          <w:color w:val="auto"/>
          <w:highlight w:val="none"/>
        </w:rPr>
        <w:t>内</w:t>
      </w:r>
      <w:r>
        <w:rPr>
          <w:rFonts w:ascii="Times New Roman" w:hAnsi="Times New Roman" w:eastAsia="宋体" w:cs="Times New Roman"/>
          <w:color w:val="auto"/>
          <w:highlight w:val="none"/>
        </w:rPr>
        <w:t>使用天津数字认证有限公司发出的CA数字证书（原天津市电子认证中心发出尚在有效期内的CA数字证书仍可使用）登录</w:t>
      </w:r>
      <w:r>
        <w:rPr>
          <w:rFonts w:hint="eastAsia" w:ascii="Times New Roman" w:hAnsi="Times New Roman" w:eastAsia="宋体" w:cs="Times New Roman"/>
          <w:color w:val="auto"/>
          <w:highlight w:val="none"/>
        </w:rPr>
        <w:t>天津市政府采购中心网（网址：http://tjgpc.zwfwb.tj.gov.cn）-”网上招投标”-“供应商登录”-“市级集采机构入口”</w:t>
      </w:r>
      <w:r>
        <w:rPr>
          <w:rFonts w:ascii="Times New Roman" w:hAnsi="Times New Roman" w:eastAsia="宋体" w:cs="Times New Roman"/>
          <w:color w:val="auto"/>
          <w:highlight w:val="none"/>
        </w:rPr>
        <w:t xml:space="preserve"> 进行网上应答</w:t>
      </w:r>
      <w:r>
        <w:rPr>
          <w:rFonts w:hint="eastAsia" w:ascii="Times New Roman" w:hAnsi="Times New Roman" w:eastAsia="宋体" w:cs="Times New Roman"/>
          <w:color w:val="auto"/>
          <w:highlight w:val="none"/>
        </w:rPr>
        <w:t>及提交，并上传加盖投标人电子签章的电子投标文件（以通过天津公共资源电子签章客户端正确读取签章信息为准），否则视为无效投标。</w:t>
      </w:r>
    </w:p>
    <w:p w14:paraId="35C801B9">
      <w:pPr>
        <w:pStyle w:val="30"/>
        <w:spacing w:line="360" w:lineRule="auto"/>
        <w:ind w:firstLine="448" w:firstLineChars="200"/>
        <w:rPr>
          <w:rFonts w:ascii="Times New Roman" w:hAnsi="Times New Roman" w:eastAsia="宋体"/>
          <w:color w:val="auto"/>
          <w:highlight w:val="none"/>
        </w:rPr>
      </w:pPr>
      <w:r>
        <w:rPr>
          <w:rFonts w:ascii="Times New Roman" w:hAnsi="Times New Roman" w:eastAsia="宋体" w:cs="Times New Roman"/>
          <w:color w:val="auto"/>
          <w:highlight w:val="none"/>
        </w:rPr>
        <w:t>网上应答帮助链接：http://tjgpc.zwfwb.tj.gov.cn/webInfo/getWebInfoListForwebInfoClass.do?fkWebInfoclassId=W008</w:t>
      </w:r>
    </w:p>
    <w:p w14:paraId="00275BB5">
      <w:pPr>
        <w:pStyle w:val="30"/>
        <w:spacing w:line="360" w:lineRule="auto"/>
        <w:ind w:firstLine="448" w:firstLineChars="200"/>
        <w:rPr>
          <w:rFonts w:ascii="Times New Roman" w:hAnsi="Times New Roman" w:eastAsia="宋体"/>
          <w:color w:val="auto"/>
          <w:highlight w:val="none"/>
        </w:rPr>
      </w:pPr>
      <w:r>
        <w:rPr>
          <w:rFonts w:hint="eastAsia" w:ascii="Times New Roman" w:hAnsi="Times New Roman" w:eastAsia="宋体"/>
          <w:color w:val="auto"/>
          <w:highlight w:val="none"/>
        </w:rPr>
        <w:t>4. 开标解密方式</w:t>
      </w:r>
    </w:p>
    <w:p w14:paraId="58BF7601">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采用网上开标解密方式，投标人</w:t>
      </w:r>
      <w:r>
        <w:rPr>
          <w:rFonts w:hint="eastAsia" w:ascii="Times New Roman" w:hAnsi="Times New Roman" w:eastAsia="宋体" w:cs="Times New Roman"/>
          <w:color w:val="auto"/>
          <w:highlight w:val="none"/>
        </w:rPr>
        <w:t>应</w:t>
      </w:r>
      <w:r>
        <w:rPr>
          <w:rFonts w:ascii="Times New Roman" w:hAnsi="Times New Roman" w:eastAsia="宋体" w:cs="Times New Roman"/>
          <w:color w:val="auto"/>
          <w:highlight w:val="none"/>
        </w:rPr>
        <w:t>于</w:t>
      </w:r>
      <w:r>
        <w:rPr>
          <w:rFonts w:hint="eastAsia" w:ascii="Times New Roman" w:hAnsi="Times New Roman" w:eastAsia="宋体" w:cs="Times New Roman"/>
          <w:color w:val="auto"/>
          <w:highlight w:val="none"/>
        </w:rPr>
        <w:t>规定的时间</w:t>
      </w:r>
      <w:r>
        <w:rPr>
          <w:rFonts w:ascii="Times New Roman" w:hAnsi="Times New Roman" w:eastAsia="宋体" w:cs="Times New Roman"/>
          <w:color w:val="auto"/>
          <w:highlight w:val="none"/>
        </w:rPr>
        <w:t>内使用天津数字认证有限公司发出的CA数字证书（原天津市电子认证中心发出尚在有效期内的CA数字证书仍可使用）</w:t>
      </w:r>
      <w:r>
        <w:rPr>
          <w:rFonts w:hint="eastAsia" w:ascii="Times New Roman" w:hAnsi="Times New Roman" w:eastAsia="宋体" w:cs="Times New Roman"/>
          <w:color w:val="auto"/>
          <w:highlight w:val="none"/>
        </w:rPr>
        <w:t>登录天津市政府采购中心网（网址：http://tjgpc.zwfwb.tj.gov.cn）-”网上招投标”-“供应商登录”-“市级集采机构入口”</w:t>
      </w:r>
      <w:r>
        <w:rPr>
          <w:rFonts w:ascii="Times New Roman" w:hAnsi="Times New Roman" w:eastAsia="宋体" w:cs="Times New Roman"/>
          <w:color w:val="auto"/>
          <w:highlight w:val="none"/>
        </w:rPr>
        <w:t>完成开标解密</w:t>
      </w:r>
      <w:r>
        <w:rPr>
          <w:rFonts w:hint="eastAsia" w:ascii="Times New Roman" w:hAnsi="Times New Roman" w:eastAsia="宋体" w:cs="Times New Roman"/>
          <w:color w:val="auto"/>
          <w:highlight w:val="none"/>
        </w:rPr>
        <w:t>，否则视为无效投标。</w:t>
      </w:r>
    </w:p>
    <w:p w14:paraId="5AF9AC47">
      <w:pPr>
        <w:pStyle w:val="30"/>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5. </w:t>
      </w:r>
      <w:r>
        <w:rPr>
          <w:rFonts w:ascii="Times New Roman" w:hAnsi="Times New Roman" w:eastAsia="宋体" w:cs="Times New Roman"/>
          <w:color w:val="auto"/>
          <w:highlight w:val="none"/>
        </w:rPr>
        <w:t>网上开标公示方式</w:t>
      </w:r>
    </w:p>
    <w:p w14:paraId="74701D59">
      <w:pPr>
        <w:pStyle w:val="30"/>
        <w:spacing w:line="360" w:lineRule="auto"/>
        <w:ind w:firstLine="448" w:firstLineChars="200"/>
        <w:rPr>
          <w:rFonts w:ascii="Times New Roman" w:hAnsi="Times New Roman" w:eastAsia="宋体"/>
          <w:color w:val="auto"/>
          <w:highlight w:val="none"/>
        </w:rPr>
      </w:pPr>
      <w:r>
        <w:rPr>
          <w:rFonts w:hint="eastAsia" w:ascii="Times New Roman" w:hAnsi="Times New Roman" w:eastAsia="宋体" w:cs="Times New Roman"/>
          <w:color w:val="auto"/>
          <w:highlight w:val="none"/>
        </w:rPr>
        <w:t>投标人可在规定时间内使用天津数字认证有限公司发出的CA数字证书（原天津市电子认证中心发出尚在有效期内的CA数字证书仍可使用）登录天津市政府采购中心网（网址：http://tjgpc.zwfwb.tj.gov.cn）-”网上招投标”-“供应商登录”-“市级集采机构入口”自行查看开标信息。</w:t>
      </w:r>
    </w:p>
    <w:p w14:paraId="7472D29C">
      <w:pPr>
        <w:pStyle w:val="30"/>
        <w:spacing w:line="360" w:lineRule="auto"/>
        <w:ind w:firstLine="448" w:firstLineChars="200"/>
        <w:rPr>
          <w:rFonts w:ascii="Times New Roman" w:hAnsi="Times New Roman" w:eastAsia="宋体"/>
          <w:color w:val="auto"/>
          <w:highlight w:val="none"/>
        </w:rPr>
      </w:pPr>
      <w:r>
        <w:rPr>
          <w:rFonts w:hint="eastAsia" w:ascii="Times New Roman" w:hAnsi="Times New Roman" w:eastAsia="宋体"/>
          <w:color w:val="auto"/>
          <w:highlight w:val="none"/>
        </w:rPr>
        <w:t>供应商应按以上步骤顺序、时间及方式要求参与本项目，否则视为不参与本项目。</w:t>
      </w:r>
    </w:p>
    <w:p w14:paraId="77699482">
      <w:pPr>
        <w:pStyle w:val="30"/>
        <w:spacing w:line="360" w:lineRule="auto"/>
        <w:ind w:firstLine="448" w:firstLineChars="200"/>
        <w:jc w:val="both"/>
        <w:rPr>
          <w:rFonts w:ascii="Times New Roman" w:hAnsi="Times New Roman" w:eastAsia="宋体" w:cs="Times New Roman"/>
          <w:color w:val="auto"/>
          <w:highlight w:val="none"/>
        </w:rPr>
      </w:pPr>
      <w:bookmarkStart w:id="5" w:name="_Toc412903615"/>
      <w:r>
        <w:rPr>
          <w:rFonts w:hint="eastAsia" w:ascii="Times New Roman" w:hAnsi="Times New Roman" w:eastAsia="宋体" w:cs="Times New Roman"/>
          <w:color w:val="auto"/>
          <w:highlight w:val="none"/>
        </w:rPr>
        <w:t>六、现场考察、标前答疑会</w:t>
      </w:r>
    </w:p>
    <w:p w14:paraId="56F62BCB">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本项目不组织现场考察，不组织标前答疑会。</w:t>
      </w:r>
    </w:p>
    <w:p w14:paraId="4DE7A84A">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七、采购代理机构</w:t>
      </w:r>
      <w:r>
        <w:rPr>
          <w:rFonts w:hint="eastAsia" w:ascii="Times New Roman" w:hAnsi="Times New Roman" w:eastAsia="宋体" w:cs="Times New Roman"/>
          <w:color w:val="auto"/>
          <w:highlight w:val="none"/>
        </w:rPr>
        <w:t>信息</w:t>
      </w:r>
    </w:p>
    <w:p w14:paraId="136D4603">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（一）</w:t>
      </w:r>
      <w:r>
        <w:rPr>
          <w:rFonts w:hint="eastAsia" w:ascii="Times New Roman" w:hAnsi="Times New Roman" w:eastAsia="宋体" w:cs="Times New Roman"/>
          <w:color w:val="auto"/>
          <w:highlight w:val="none"/>
        </w:rPr>
        <w:t>采购代理机构名称：天津市政府采购中心</w:t>
      </w:r>
    </w:p>
    <w:p w14:paraId="37345C81">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（二）采购代理机构地址：天津市河东区红星路79号二楼</w:t>
      </w:r>
      <w:r>
        <w:rPr>
          <w:rFonts w:hint="eastAsia" w:ascii="Times New Roman" w:hAnsi="Times New Roman" w:eastAsia="宋体" w:cs="Times New Roman"/>
          <w:color w:val="auto"/>
          <w:highlight w:val="none"/>
        </w:rPr>
        <w:t>（邮编</w:t>
      </w:r>
      <w:r>
        <w:rPr>
          <w:rFonts w:ascii="Times New Roman" w:hAnsi="Times New Roman" w:eastAsia="宋体" w:cs="Times New Roman"/>
          <w:color w:val="auto"/>
          <w:highlight w:val="none"/>
        </w:rPr>
        <w:t>：300161</w:t>
      </w:r>
      <w:r>
        <w:rPr>
          <w:rFonts w:hint="eastAsia" w:ascii="Times New Roman" w:hAnsi="Times New Roman" w:eastAsia="宋体" w:cs="Times New Roman"/>
          <w:color w:val="auto"/>
          <w:highlight w:val="none"/>
        </w:rPr>
        <w:t>）</w:t>
      </w:r>
    </w:p>
    <w:p w14:paraId="6BE0DA67">
      <w:pPr>
        <w:pStyle w:val="30"/>
        <w:spacing w:line="360" w:lineRule="auto"/>
        <w:ind w:firstLine="448" w:firstLineChars="200"/>
        <w:jc w:val="both"/>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rPr>
        <w:t>（三）</w:t>
      </w:r>
      <w:r>
        <w:rPr>
          <w:rFonts w:ascii="Times New Roman" w:hAnsi="Times New Roman" w:eastAsia="宋体" w:cs="Times New Roman"/>
          <w:color w:val="auto"/>
          <w:highlight w:val="none"/>
        </w:rPr>
        <w:t>联系人：</w:t>
      </w:r>
      <w:r>
        <w:rPr>
          <w:rFonts w:hint="eastAsia" w:ascii="Times New Roman" w:hAnsi="Times New Roman" w:eastAsia="宋体" w:cs="Times New Roman"/>
          <w:color w:val="auto"/>
          <w:highlight w:val="none"/>
          <w:lang w:val="en-US" w:eastAsia="zh-CN"/>
        </w:rPr>
        <w:t>姜凡 傅耀</w:t>
      </w:r>
    </w:p>
    <w:p w14:paraId="2386E429">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（四）</w:t>
      </w:r>
      <w:r>
        <w:rPr>
          <w:rFonts w:ascii="Times New Roman" w:hAnsi="Times New Roman" w:eastAsia="宋体" w:cs="Times New Roman"/>
          <w:color w:val="auto"/>
          <w:highlight w:val="none"/>
        </w:rPr>
        <w:t>网址：http://tjgpc.zwfwb.tj.gov.cn</w:t>
      </w:r>
    </w:p>
    <w:p w14:paraId="33904FD0">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（五）</w:t>
      </w:r>
      <w:r>
        <w:rPr>
          <w:rFonts w:ascii="Times New Roman" w:hAnsi="Times New Roman" w:eastAsia="宋体" w:cs="Times New Roman"/>
          <w:color w:val="auto"/>
          <w:highlight w:val="none"/>
        </w:rPr>
        <w:t>对外办公时间：</w:t>
      </w:r>
      <w:r>
        <w:rPr>
          <w:rFonts w:hint="eastAsia" w:ascii="Times New Roman" w:hAnsi="Times New Roman" w:eastAsia="宋体" w:cs="Times New Roman"/>
          <w:color w:val="auto"/>
          <w:highlight w:val="none"/>
        </w:rPr>
        <w:t>法定</w:t>
      </w:r>
      <w:r>
        <w:rPr>
          <w:rFonts w:ascii="Times New Roman" w:hAnsi="Times New Roman" w:eastAsia="宋体" w:cs="Times New Roman"/>
          <w:color w:val="auto"/>
          <w:highlight w:val="none"/>
        </w:rPr>
        <w:t>工作日9:00～12:00，14:00～1</w:t>
      </w:r>
      <w:r>
        <w:rPr>
          <w:rFonts w:hint="eastAsia" w:ascii="Times New Roman" w:hAnsi="Times New Roman" w:eastAsia="宋体" w:cs="Times New Roman"/>
          <w:color w:val="auto"/>
          <w:highlight w:val="none"/>
        </w:rPr>
        <w:t>7</w:t>
      </w:r>
      <w:r>
        <w:rPr>
          <w:rFonts w:ascii="Times New Roman" w:hAnsi="Times New Roman" w:eastAsia="宋体" w:cs="Times New Roman"/>
          <w:color w:val="auto"/>
          <w:highlight w:val="none"/>
        </w:rPr>
        <w:t>:00</w:t>
      </w:r>
    </w:p>
    <w:p w14:paraId="055EB041">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（六）咨询服务电话</w:t>
      </w:r>
      <w:r>
        <w:rPr>
          <w:rFonts w:ascii="Times New Roman" w:hAnsi="Times New Roman" w:eastAsia="宋体" w:cs="Times New Roman"/>
          <w:color w:val="auto"/>
          <w:highlight w:val="none"/>
        </w:rPr>
        <w:t>：</w:t>
      </w:r>
    </w:p>
    <w:p w14:paraId="13EA50CF">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 供应商注册咨询</w:t>
      </w:r>
      <w:r>
        <w:rPr>
          <w:rFonts w:hint="eastAsia" w:ascii="Times New Roman" w:hAnsi="Times New Roman" w:eastAsia="宋体" w:cs="Times New Roman"/>
          <w:color w:val="auto"/>
          <w:highlight w:val="none"/>
        </w:rPr>
        <w:t>：</w:t>
      </w:r>
      <w:r>
        <w:rPr>
          <w:rFonts w:ascii="Times New Roman" w:hAnsi="Times New Roman" w:eastAsia="宋体" w:cs="Times New Roman"/>
          <w:color w:val="auto"/>
          <w:highlight w:val="none"/>
        </w:rPr>
        <w:t>022-24538167</w:t>
      </w:r>
    </w:p>
    <w:p w14:paraId="136A9384">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 CA证书和</w:t>
      </w:r>
      <w:r>
        <w:rPr>
          <w:rFonts w:ascii="Times New Roman" w:hAnsi="Times New Roman" w:eastAsia="宋体" w:cs="Times New Roman"/>
          <w:color w:val="auto"/>
          <w:highlight w:val="none"/>
        </w:rPr>
        <w:t>电子签章办理咨询：</w:t>
      </w:r>
      <w:r>
        <w:rPr>
          <w:rFonts w:hint="eastAsia" w:ascii="Times New Roman" w:hAnsi="Times New Roman" w:eastAsia="宋体" w:cs="Times New Roman"/>
          <w:color w:val="auto"/>
          <w:highlight w:val="none"/>
        </w:rPr>
        <w:t>022-24538059</w:t>
      </w:r>
    </w:p>
    <w:p w14:paraId="2C588D8B">
      <w:pPr>
        <w:pStyle w:val="30"/>
        <w:spacing w:line="360" w:lineRule="auto"/>
        <w:ind w:firstLine="448" w:firstLineChars="200"/>
        <w:jc w:val="both"/>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rPr>
        <w:t>3</w:t>
      </w:r>
      <w:r>
        <w:rPr>
          <w:rFonts w:ascii="Times New Roman" w:hAnsi="Times New Roman" w:eastAsia="宋体" w:cs="Times New Roman"/>
          <w:color w:val="auto"/>
          <w:highlight w:val="none"/>
        </w:rPr>
        <w:t>. 采购文件咨询：022-2453</w:t>
      </w:r>
      <w:r>
        <w:rPr>
          <w:rFonts w:hint="eastAsia" w:ascii="Times New Roman" w:hAnsi="Times New Roman" w:eastAsia="宋体" w:cs="Times New Roman"/>
          <w:color w:val="auto"/>
          <w:highlight w:val="none"/>
          <w:lang w:val="en-US" w:eastAsia="zh-CN"/>
        </w:rPr>
        <w:t>8217</w:t>
      </w:r>
    </w:p>
    <w:p w14:paraId="21C0114C">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4</w:t>
      </w:r>
      <w:r>
        <w:rPr>
          <w:rFonts w:ascii="Times New Roman" w:hAnsi="Times New Roman" w:eastAsia="宋体" w:cs="Times New Roman"/>
          <w:color w:val="auto"/>
          <w:highlight w:val="none"/>
        </w:rPr>
        <w:t>. 网上应答</w:t>
      </w:r>
      <w:r>
        <w:rPr>
          <w:rFonts w:hint="eastAsia" w:ascii="Times New Roman" w:hAnsi="Times New Roman" w:eastAsia="宋体" w:cs="Times New Roman"/>
          <w:color w:val="auto"/>
          <w:highlight w:val="none"/>
        </w:rPr>
        <w:t>及</w:t>
      </w:r>
      <w:r>
        <w:rPr>
          <w:rFonts w:ascii="Times New Roman" w:hAnsi="Times New Roman" w:eastAsia="宋体" w:cs="Times New Roman"/>
          <w:color w:val="auto"/>
          <w:highlight w:val="none"/>
        </w:rPr>
        <w:t>解密操作咨询：022-24538309</w:t>
      </w:r>
    </w:p>
    <w:p w14:paraId="5B22A1A6">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八</w:t>
      </w:r>
      <w:r>
        <w:rPr>
          <w:rFonts w:ascii="Times New Roman" w:hAnsi="Times New Roman" w:eastAsia="宋体" w:cs="Times New Roman"/>
          <w:color w:val="auto"/>
          <w:highlight w:val="none"/>
        </w:rPr>
        <w:t>、采购人</w:t>
      </w:r>
      <w:r>
        <w:rPr>
          <w:rFonts w:hint="eastAsia" w:ascii="Times New Roman" w:hAnsi="Times New Roman" w:eastAsia="宋体" w:cs="Times New Roman"/>
          <w:color w:val="auto"/>
          <w:highlight w:val="none"/>
        </w:rPr>
        <w:t>信息</w:t>
      </w:r>
    </w:p>
    <w:p w14:paraId="2AFEF89D">
      <w:pPr>
        <w:pStyle w:val="30"/>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（一）采购人名称： 天津市医疗保障局</w:t>
      </w:r>
    </w:p>
    <w:p w14:paraId="0CC529D5">
      <w:pPr>
        <w:pStyle w:val="30"/>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（二）采购人地址： 天津市南开区咸阳路81号</w:t>
      </w:r>
    </w:p>
    <w:p w14:paraId="409160F3">
      <w:pPr>
        <w:pStyle w:val="30"/>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（三）采购人联系人： 单晓晨</w:t>
      </w:r>
    </w:p>
    <w:p w14:paraId="5FD918B8">
      <w:pPr>
        <w:pStyle w:val="30"/>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（四）采购人联系电话：</w:t>
      </w:r>
      <w:r>
        <w:rPr>
          <w:rFonts w:hint="eastAsia" w:ascii="Times New Roman" w:hAnsi="Times New Roman" w:eastAsia="宋体" w:cs="Times New Roman"/>
          <w:color w:val="auto"/>
          <w:highlight w:val="none"/>
          <w:lang w:val="en-US" w:eastAsia="zh-CN"/>
        </w:rPr>
        <w:t>022-</w:t>
      </w:r>
      <w:r>
        <w:rPr>
          <w:rFonts w:ascii="Times New Roman" w:hAnsi="Times New Roman" w:eastAsia="宋体" w:cs="Times New Roman"/>
          <w:color w:val="auto"/>
          <w:highlight w:val="none"/>
        </w:rPr>
        <w:t xml:space="preserve">63085338 </w:t>
      </w:r>
    </w:p>
    <w:p w14:paraId="66CD2B3B">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九</w:t>
      </w:r>
      <w:r>
        <w:rPr>
          <w:rFonts w:ascii="Times New Roman" w:hAnsi="Times New Roman" w:eastAsia="宋体" w:cs="Times New Roman"/>
          <w:color w:val="auto"/>
          <w:highlight w:val="none"/>
        </w:rPr>
        <w:t>、质疑方式</w:t>
      </w:r>
    </w:p>
    <w:p w14:paraId="5945E510">
      <w:pPr>
        <w:pStyle w:val="30"/>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供应商认为采购文件、采购过程和采购结果使自己的权益受到损害的，可以在知道或者应知其权益受到损害之日起七个工作日内，按照本项目采购文件第三部分《投标须知》“8. 询问与质疑”的相关规定，以书面原件形式针对同一采购程序环节一次性提出质疑，否则不予受理。</w:t>
      </w:r>
    </w:p>
    <w:p w14:paraId="76D8F4D9">
      <w:pPr>
        <w:pStyle w:val="30"/>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采购人质疑受理：</w:t>
      </w:r>
    </w:p>
    <w:p w14:paraId="4FA1B4C2">
      <w:pPr>
        <w:pStyle w:val="30"/>
        <w:spacing w:line="360" w:lineRule="auto"/>
        <w:ind w:firstLine="448" w:firstLineChars="200"/>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1. 联系部门：天津市医疗保障局</w:t>
      </w:r>
    </w:p>
    <w:p w14:paraId="460AA716">
      <w:pPr>
        <w:pStyle w:val="30"/>
        <w:spacing w:line="360" w:lineRule="auto"/>
        <w:ind w:firstLine="448" w:firstLineChars="200"/>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2. 联系地址：天津市南开区咸阳路81号</w:t>
      </w:r>
    </w:p>
    <w:p w14:paraId="506BB315">
      <w:pPr>
        <w:pStyle w:val="30"/>
        <w:spacing w:line="360" w:lineRule="auto"/>
        <w:ind w:firstLine="448" w:firstLineChars="200"/>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3. 联 系 人：刘博</w:t>
      </w:r>
    </w:p>
    <w:p w14:paraId="71B11D84">
      <w:pPr>
        <w:pStyle w:val="30"/>
        <w:spacing w:line="360" w:lineRule="auto"/>
        <w:ind w:firstLine="448" w:firstLineChars="200"/>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rPr>
        <w:t>4. 联系方式：</w:t>
      </w:r>
      <w:r>
        <w:rPr>
          <w:rFonts w:hint="eastAsia" w:ascii="Times New Roman" w:hAnsi="Times New Roman" w:eastAsia="宋体" w:cs="Times New Roman"/>
          <w:color w:val="auto"/>
          <w:highlight w:val="none"/>
          <w:lang w:val="en-US" w:eastAsia="zh-CN"/>
        </w:rPr>
        <w:t>022-</w:t>
      </w:r>
      <w:r>
        <w:rPr>
          <w:rFonts w:hint="eastAsia" w:ascii="Times New Roman" w:hAnsi="Times New Roman" w:eastAsia="宋体" w:cs="Times New Roman"/>
          <w:color w:val="auto"/>
          <w:highlight w:val="none"/>
        </w:rPr>
        <w:t>63085324</w:t>
      </w:r>
    </w:p>
    <w:p w14:paraId="13349B3D">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十、公告期限</w:t>
      </w:r>
    </w:p>
    <w:p w14:paraId="34BB69A2">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招标公告的公告期限为5个工作日。</w:t>
      </w:r>
    </w:p>
    <w:p w14:paraId="3453B5A4">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十</w:t>
      </w:r>
      <w:r>
        <w:rPr>
          <w:rFonts w:hint="eastAsia" w:ascii="Times New Roman" w:hAnsi="Times New Roman" w:eastAsia="宋体" w:cs="Times New Roman"/>
          <w:color w:val="auto"/>
          <w:highlight w:val="none"/>
        </w:rPr>
        <w:t>一</w:t>
      </w:r>
      <w:r>
        <w:rPr>
          <w:rFonts w:ascii="Times New Roman" w:hAnsi="Times New Roman" w:eastAsia="宋体" w:cs="Times New Roman"/>
          <w:color w:val="auto"/>
          <w:highlight w:val="none"/>
        </w:rPr>
        <w:t>、招标代理服务费</w:t>
      </w:r>
    </w:p>
    <w:p w14:paraId="54A9907C">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本项目按以下比例向中标供应商收取招标代理服务费</w:t>
      </w:r>
      <w:r>
        <w:rPr>
          <w:rFonts w:hint="eastAsia" w:ascii="Times New Roman" w:hAnsi="Times New Roman" w:eastAsia="宋体" w:cs="Times New Roman"/>
          <w:color w:val="auto"/>
          <w:highlight w:val="none"/>
        </w:rPr>
        <w:t>：</w:t>
      </w:r>
    </w:p>
    <w:tbl>
      <w:tblPr>
        <w:tblStyle w:val="23"/>
        <w:tblW w:w="73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56"/>
        <w:gridCol w:w="3657"/>
      </w:tblGrid>
      <w:tr w14:paraId="421DE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blHeader/>
          <w:jc w:val="center"/>
        </w:trPr>
        <w:tc>
          <w:tcPr>
            <w:tcW w:w="3656" w:type="dxa"/>
            <w:vAlign w:val="center"/>
          </w:tcPr>
          <w:p w14:paraId="5E85351F">
            <w:pPr>
              <w:tabs>
                <w:tab w:val="left" w:pos="750"/>
                <w:tab w:val="left" w:pos="840"/>
              </w:tabs>
              <w:adjustRightInd w:val="0"/>
              <w:snapToGrid w:val="0"/>
              <w:jc w:val="center"/>
              <w:rPr>
                <w:color w:val="auto"/>
                <w:sz w:val="24"/>
                <w:highlight w:val="none"/>
              </w:rPr>
            </w:pPr>
            <w:r>
              <w:rPr>
                <w:color w:val="auto"/>
                <w:sz w:val="24"/>
                <w:highlight w:val="none"/>
              </w:rPr>
              <w:t>中标金额</w:t>
            </w:r>
            <w:r>
              <w:rPr>
                <w:rFonts w:hint="eastAsia"/>
                <w:color w:val="auto"/>
                <w:sz w:val="24"/>
                <w:highlight w:val="none"/>
              </w:rPr>
              <w:t>（万元）</w:t>
            </w:r>
          </w:p>
        </w:tc>
        <w:tc>
          <w:tcPr>
            <w:tcW w:w="3657" w:type="dxa"/>
            <w:vAlign w:val="center"/>
          </w:tcPr>
          <w:p w14:paraId="07E35652">
            <w:pPr>
              <w:tabs>
                <w:tab w:val="left" w:pos="750"/>
                <w:tab w:val="left" w:pos="840"/>
              </w:tabs>
              <w:adjustRightInd w:val="0"/>
              <w:snapToGrid w:val="0"/>
              <w:jc w:val="center"/>
              <w:rPr>
                <w:color w:val="auto"/>
                <w:sz w:val="24"/>
                <w:highlight w:val="none"/>
              </w:rPr>
            </w:pPr>
            <w:r>
              <w:rPr>
                <w:color w:val="auto"/>
                <w:sz w:val="24"/>
                <w:highlight w:val="none"/>
              </w:rPr>
              <w:t>费率</w:t>
            </w:r>
          </w:p>
        </w:tc>
      </w:tr>
      <w:tr w14:paraId="4F6C7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58AF55DF">
            <w:pPr>
              <w:tabs>
                <w:tab w:val="left" w:pos="750"/>
                <w:tab w:val="left" w:pos="840"/>
              </w:tabs>
              <w:adjustRightInd w:val="0"/>
              <w:snapToGrid w:val="0"/>
              <w:jc w:val="center"/>
              <w:rPr>
                <w:color w:val="auto"/>
                <w:sz w:val="24"/>
                <w:highlight w:val="none"/>
              </w:rPr>
            </w:pPr>
            <w:r>
              <w:rPr>
                <w:color w:val="auto"/>
                <w:sz w:val="24"/>
                <w:highlight w:val="none"/>
              </w:rPr>
              <w:t>100以下</w:t>
            </w:r>
          </w:p>
        </w:tc>
        <w:tc>
          <w:tcPr>
            <w:tcW w:w="3657" w:type="dxa"/>
            <w:vAlign w:val="center"/>
          </w:tcPr>
          <w:p w14:paraId="2777E547">
            <w:pPr>
              <w:tabs>
                <w:tab w:val="left" w:pos="750"/>
                <w:tab w:val="left" w:pos="840"/>
              </w:tabs>
              <w:adjustRightInd w:val="0"/>
              <w:snapToGrid w:val="0"/>
              <w:jc w:val="center"/>
              <w:rPr>
                <w:color w:val="auto"/>
                <w:sz w:val="24"/>
                <w:highlight w:val="none"/>
              </w:rPr>
            </w:pPr>
            <w:r>
              <w:rPr>
                <w:color w:val="auto"/>
                <w:sz w:val="24"/>
                <w:highlight w:val="none"/>
              </w:rPr>
              <w:t>1%</w:t>
            </w:r>
          </w:p>
        </w:tc>
      </w:tr>
      <w:tr w14:paraId="4CC81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0AD445D9">
            <w:pPr>
              <w:tabs>
                <w:tab w:val="left" w:pos="750"/>
                <w:tab w:val="left" w:pos="840"/>
              </w:tabs>
              <w:adjustRightInd w:val="0"/>
              <w:snapToGrid w:val="0"/>
              <w:jc w:val="center"/>
              <w:rPr>
                <w:color w:val="auto"/>
                <w:sz w:val="24"/>
                <w:highlight w:val="none"/>
              </w:rPr>
            </w:pPr>
            <w:r>
              <w:rPr>
                <w:color w:val="auto"/>
                <w:sz w:val="24"/>
                <w:highlight w:val="none"/>
              </w:rPr>
              <w:t>100-500</w:t>
            </w:r>
          </w:p>
        </w:tc>
        <w:tc>
          <w:tcPr>
            <w:tcW w:w="3657" w:type="dxa"/>
            <w:vAlign w:val="center"/>
          </w:tcPr>
          <w:p w14:paraId="1ED76AF4">
            <w:pPr>
              <w:tabs>
                <w:tab w:val="left" w:pos="750"/>
                <w:tab w:val="left" w:pos="840"/>
              </w:tabs>
              <w:adjustRightInd w:val="0"/>
              <w:snapToGrid w:val="0"/>
              <w:jc w:val="center"/>
              <w:rPr>
                <w:color w:val="auto"/>
                <w:sz w:val="24"/>
                <w:highlight w:val="none"/>
              </w:rPr>
            </w:pPr>
            <w:r>
              <w:rPr>
                <w:rFonts w:hint="eastAsia"/>
                <w:color w:val="auto"/>
                <w:sz w:val="24"/>
                <w:highlight w:val="none"/>
              </w:rPr>
              <w:t>0.8</w:t>
            </w:r>
            <w:r>
              <w:rPr>
                <w:color w:val="auto"/>
                <w:sz w:val="24"/>
                <w:highlight w:val="none"/>
              </w:rPr>
              <w:t>%</w:t>
            </w:r>
          </w:p>
        </w:tc>
      </w:tr>
      <w:tr w14:paraId="5D52F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5A769F07">
            <w:pPr>
              <w:tabs>
                <w:tab w:val="left" w:pos="750"/>
                <w:tab w:val="left" w:pos="840"/>
              </w:tabs>
              <w:adjustRightInd w:val="0"/>
              <w:snapToGrid w:val="0"/>
              <w:jc w:val="center"/>
              <w:rPr>
                <w:color w:val="auto"/>
                <w:sz w:val="24"/>
                <w:highlight w:val="none"/>
              </w:rPr>
            </w:pPr>
            <w:r>
              <w:rPr>
                <w:color w:val="auto"/>
                <w:sz w:val="24"/>
                <w:highlight w:val="none"/>
              </w:rPr>
              <w:t>500-1000</w:t>
            </w:r>
          </w:p>
        </w:tc>
        <w:tc>
          <w:tcPr>
            <w:tcW w:w="3657" w:type="dxa"/>
            <w:vAlign w:val="center"/>
          </w:tcPr>
          <w:p w14:paraId="7BCA575D">
            <w:pPr>
              <w:tabs>
                <w:tab w:val="left" w:pos="750"/>
                <w:tab w:val="left" w:pos="840"/>
              </w:tabs>
              <w:adjustRightInd w:val="0"/>
              <w:snapToGrid w:val="0"/>
              <w:jc w:val="center"/>
              <w:rPr>
                <w:color w:val="auto"/>
                <w:sz w:val="24"/>
                <w:highlight w:val="none"/>
              </w:rPr>
            </w:pPr>
            <w:r>
              <w:rPr>
                <w:color w:val="auto"/>
                <w:sz w:val="24"/>
                <w:highlight w:val="none"/>
              </w:rPr>
              <w:t>0.</w:t>
            </w:r>
            <w:r>
              <w:rPr>
                <w:rFonts w:hint="eastAsia"/>
                <w:color w:val="auto"/>
                <w:sz w:val="24"/>
                <w:highlight w:val="none"/>
              </w:rPr>
              <w:t>45</w:t>
            </w:r>
            <w:r>
              <w:rPr>
                <w:color w:val="auto"/>
                <w:sz w:val="24"/>
                <w:highlight w:val="none"/>
              </w:rPr>
              <w:t>%</w:t>
            </w:r>
          </w:p>
        </w:tc>
      </w:tr>
      <w:tr w14:paraId="1B30D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212B2EA9">
            <w:pPr>
              <w:tabs>
                <w:tab w:val="left" w:pos="750"/>
                <w:tab w:val="left" w:pos="840"/>
              </w:tabs>
              <w:adjustRightInd w:val="0"/>
              <w:snapToGrid w:val="0"/>
              <w:jc w:val="center"/>
              <w:rPr>
                <w:color w:val="auto"/>
                <w:sz w:val="24"/>
                <w:highlight w:val="none"/>
              </w:rPr>
            </w:pPr>
            <w:r>
              <w:rPr>
                <w:color w:val="auto"/>
                <w:sz w:val="24"/>
                <w:highlight w:val="none"/>
              </w:rPr>
              <w:t>1000</w:t>
            </w:r>
            <w:r>
              <w:rPr>
                <w:rFonts w:hint="eastAsia"/>
                <w:color w:val="auto"/>
                <w:sz w:val="24"/>
                <w:highlight w:val="none"/>
              </w:rPr>
              <w:t>-5000</w:t>
            </w:r>
          </w:p>
        </w:tc>
        <w:tc>
          <w:tcPr>
            <w:tcW w:w="3657" w:type="dxa"/>
            <w:vAlign w:val="center"/>
          </w:tcPr>
          <w:p w14:paraId="1E6BC580">
            <w:pPr>
              <w:tabs>
                <w:tab w:val="left" w:pos="750"/>
                <w:tab w:val="left" w:pos="840"/>
              </w:tabs>
              <w:adjustRightInd w:val="0"/>
              <w:snapToGrid w:val="0"/>
              <w:jc w:val="center"/>
              <w:rPr>
                <w:color w:val="auto"/>
                <w:sz w:val="24"/>
                <w:highlight w:val="none"/>
              </w:rPr>
            </w:pPr>
            <w:r>
              <w:rPr>
                <w:rFonts w:hint="eastAsia"/>
                <w:color w:val="auto"/>
                <w:sz w:val="24"/>
                <w:highlight w:val="none"/>
              </w:rPr>
              <w:t>0.25%</w:t>
            </w:r>
          </w:p>
        </w:tc>
      </w:tr>
      <w:tr w14:paraId="32AAC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79D81D44">
            <w:pPr>
              <w:tabs>
                <w:tab w:val="left" w:pos="750"/>
                <w:tab w:val="left" w:pos="840"/>
              </w:tabs>
              <w:adjustRightInd w:val="0"/>
              <w:snapToGrid w:val="0"/>
              <w:jc w:val="center"/>
              <w:rPr>
                <w:color w:val="auto"/>
                <w:sz w:val="24"/>
                <w:highlight w:val="none"/>
              </w:rPr>
            </w:pPr>
            <w:r>
              <w:rPr>
                <w:rFonts w:hint="eastAsia"/>
                <w:color w:val="auto"/>
                <w:sz w:val="24"/>
                <w:highlight w:val="none"/>
              </w:rPr>
              <w:t>5000-10000</w:t>
            </w:r>
          </w:p>
        </w:tc>
        <w:tc>
          <w:tcPr>
            <w:tcW w:w="3657" w:type="dxa"/>
            <w:vAlign w:val="center"/>
          </w:tcPr>
          <w:p w14:paraId="37710FCE">
            <w:pPr>
              <w:tabs>
                <w:tab w:val="left" w:pos="750"/>
                <w:tab w:val="left" w:pos="840"/>
              </w:tabs>
              <w:adjustRightInd w:val="0"/>
              <w:snapToGrid w:val="0"/>
              <w:jc w:val="center"/>
              <w:rPr>
                <w:color w:val="auto"/>
                <w:sz w:val="24"/>
                <w:highlight w:val="none"/>
              </w:rPr>
            </w:pPr>
            <w:r>
              <w:rPr>
                <w:rFonts w:hint="eastAsia"/>
                <w:color w:val="auto"/>
                <w:sz w:val="24"/>
                <w:highlight w:val="none"/>
              </w:rPr>
              <w:t>0.1%</w:t>
            </w:r>
          </w:p>
        </w:tc>
      </w:tr>
      <w:tr w14:paraId="63192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3656" w:type="dxa"/>
            <w:vAlign w:val="center"/>
          </w:tcPr>
          <w:p w14:paraId="4048F824">
            <w:pPr>
              <w:tabs>
                <w:tab w:val="left" w:pos="750"/>
                <w:tab w:val="left" w:pos="840"/>
              </w:tabs>
              <w:adjustRightInd w:val="0"/>
              <w:snapToGrid w:val="0"/>
              <w:jc w:val="center"/>
              <w:rPr>
                <w:color w:val="auto"/>
                <w:sz w:val="24"/>
                <w:highlight w:val="none"/>
              </w:rPr>
            </w:pPr>
            <w:r>
              <w:rPr>
                <w:rFonts w:hint="eastAsia"/>
                <w:color w:val="auto"/>
                <w:sz w:val="24"/>
                <w:highlight w:val="none"/>
              </w:rPr>
              <w:t>10000-100000</w:t>
            </w:r>
          </w:p>
        </w:tc>
        <w:tc>
          <w:tcPr>
            <w:tcW w:w="3657" w:type="dxa"/>
            <w:vAlign w:val="center"/>
          </w:tcPr>
          <w:p w14:paraId="66CF2737">
            <w:pPr>
              <w:tabs>
                <w:tab w:val="left" w:pos="750"/>
                <w:tab w:val="left" w:pos="840"/>
              </w:tabs>
              <w:adjustRightInd w:val="0"/>
              <w:snapToGrid w:val="0"/>
              <w:jc w:val="center"/>
              <w:rPr>
                <w:color w:val="auto"/>
                <w:sz w:val="24"/>
                <w:highlight w:val="none"/>
              </w:rPr>
            </w:pPr>
            <w:r>
              <w:rPr>
                <w:rFonts w:hint="eastAsia"/>
                <w:color w:val="auto"/>
                <w:sz w:val="24"/>
                <w:highlight w:val="none"/>
              </w:rPr>
              <w:t>0.05%</w:t>
            </w:r>
          </w:p>
        </w:tc>
      </w:tr>
    </w:tbl>
    <w:p w14:paraId="06D23AF3">
      <w:pPr>
        <w:tabs>
          <w:tab w:val="left" w:pos="700"/>
        </w:tabs>
        <w:autoSpaceDE w:val="0"/>
        <w:autoSpaceDN w:val="0"/>
        <w:adjustRightInd w:val="0"/>
        <w:spacing w:line="360" w:lineRule="auto"/>
        <w:ind w:firstLine="448" w:firstLineChars="200"/>
        <w:rPr>
          <w:color w:val="auto"/>
          <w:sz w:val="24"/>
          <w:highlight w:val="none"/>
          <w:lang w:val="zh-CN"/>
        </w:rPr>
      </w:pPr>
      <w:r>
        <w:rPr>
          <w:color w:val="auto"/>
          <w:sz w:val="24"/>
          <w:highlight w:val="none"/>
          <w:lang w:val="zh-CN"/>
        </w:rPr>
        <w:t>服务费按差额定率累进法计算</w:t>
      </w:r>
      <w:r>
        <w:rPr>
          <w:rFonts w:hint="eastAsia"/>
          <w:color w:val="auto"/>
          <w:sz w:val="24"/>
          <w:highlight w:val="none"/>
          <w:lang w:val="zh-CN"/>
        </w:rPr>
        <w:t>，向下取整，精确到元。</w:t>
      </w:r>
      <w:r>
        <w:rPr>
          <w:color w:val="auto"/>
          <w:sz w:val="24"/>
          <w:highlight w:val="none"/>
          <w:lang w:val="zh-CN"/>
        </w:rPr>
        <w:t>例如</w:t>
      </w:r>
      <w:r>
        <w:rPr>
          <w:color w:val="auto"/>
          <w:sz w:val="24"/>
          <w:highlight w:val="none"/>
        </w:rPr>
        <w:t>中标</w:t>
      </w:r>
      <w:r>
        <w:rPr>
          <w:color w:val="auto"/>
          <w:sz w:val="24"/>
          <w:highlight w:val="none"/>
          <w:lang w:val="zh-CN"/>
        </w:rPr>
        <w:t>金额为680</w:t>
      </w:r>
      <w:r>
        <w:rPr>
          <w:rFonts w:hint="eastAsia"/>
          <w:color w:val="auto"/>
          <w:sz w:val="24"/>
          <w:highlight w:val="none"/>
          <w:lang w:val="zh-CN"/>
        </w:rPr>
        <w:t>5000</w:t>
      </w:r>
      <w:r>
        <w:rPr>
          <w:color w:val="auto"/>
          <w:sz w:val="24"/>
          <w:highlight w:val="none"/>
          <w:lang w:val="zh-CN"/>
        </w:rPr>
        <w:t>元，服务费</w:t>
      </w:r>
      <w:r>
        <w:rPr>
          <w:rFonts w:hint="eastAsia"/>
          <w:color w:val="auto"/>
          <w:sz w:val="24"/>
          <w:highlight w:val="none"/>
          <w:lang w:val="zh-CN"/>
        </w:rPr>
        <w:t>=</w:t>
      </w:r>
      <w:r>
        <w:rPr>
          <w:color w:val="auto"/>
          <w:sz w:val="24"/>
          <w:highlight w:val="none"/>
          <w:lang w:val="zh-CN"/>
        </w:rPr>
        <w:t>100</w:t>
      </w:r>
      <w:r>
        <w:rPr>
          <w:rFonts w:hint="eastAsia"/>
          <w:color w:val="auto"/>
          <w:sz w:val="24"/>
          <w:highlight w:val="none"/>
          <w:lang w:val="zh-CN"/>
        </w:rPr>
        <w:t>0000</w:t>
      </w:r>
      <w:r>
        <w:rPr>
          <w:color w:val="auto"/>
          <w:sz w:val="24"/>
          <w:highlight w:val="none"/>
          <w:lang w:val="zh-CN"/>
        </w:rPr>
        <w:t>×1%+</w:t>
      </w:r>
      <w:r>
        <w:rPr>
          <w:rFonts w:hint="eastAsia"/>
          <w:color w:val="auto"/>
          <w:sz w:val="24"/>
          <w:highlight w:val="none"/>
          <w:lang w:val="zh-CN"/>
        </w:rPr>
        <w:t>（</w:t>
      </w:r>
      <w:r>
        <w:rPr>
          <w:color w:val="auto"/>
          <w:sz w:val="24"/>
          <w:highlight w:val="none"/>
          <w:lang w:val="zh-CN"/>
        </w:rPr>
        <w:t>500</w:t>
      </w:r>
      <w:r>
        <w:rPr>
          <w:rFonts w:hint="eastAsia"/>
          <w:color w:val="auto"/>
          <w:sz w:val="24"/>
          <w:highlight w:val="none"/>
          <w:lang w:val="zh-CN"/>
        </w:rPr>
        <w:t>0000</w:t>
      </w:r>
      <w:r>
        <w:rPr>
          <w:color w:val="auto"/>
          <w:sz w:val="24"/>
          <w:highlight w:val="none"/>
          <w:lang w:val="zh-CN"/>
        </w:rPr>
        <w:t>-100</w:t>
      </w:r>
      <w:r>
        <w:rPr>
          <w:rFonts w:hint="eastAsia"/>
          <w:color w:val="auto"/>
          <w:sz w:val="24"/>
          <w:highlight w:val="none"/>
          <w:lang w:val="zh-CN"/>
        </w:rPr>
        <w:t>0000）</w:t>
      </w:r>
      <w:r>
        <w:rPr>
          <w:color w:val="auto"/>
          <w:sz w:val="24"/>
          <w:highlight w:val="none"/>
          <w:lang w:val="zh-CN"/>
        </w:rPr>
        <w:t>×</w:t>
      </w:r>
      <w:r>
        <w:rPr>
          <w:rFonts w:hint="eastAsia"/>
          <w:color w:val="auto"/>
          <w:sz w:val="24"/>
          <w:highlight w:val="none"/>
          <w:lang w:val="zh-CN"/>
        </w:rPr>
        <w:t>0.8</w:t>
      </w:r>
      <w:r>
        <w:rPr>
          <w:color w:val="auto"/>
          <w:sz w:val="24"/>
          <w:highlight w:val="none"/>
          <w:lang w:val="zh-CN"/>
        </w:rPr>
        <w:t>%+</w:t>
      </w:r>
      <w:r>
        <w:rPr>
          <w:rFonts w:hint="eastAsia"/>
          <w:color w:val="auto"/>
          <w:sz w:val="24"/>
          <w:highlight w:val="none"/>
          <w:lang w:val="zh-CN"/>
        </w:rPr>
        <w:t>（</w:t>
      </w:r>
      <w:r>
        <w:rPr>
          <w:color w:val="auto"/>
          <w:sz w:val="24"/>
          <w:highlight w:val="none"/>
          <w:lang w:val="zh-CN"/>
        </w:rPr>
        <w:t>680</w:t>
      </w:r>
      <w:r>
        <w:rPr>
          <w:rFonts w:hint="eastAsia"/>
          <w:color w:val="auto"/>
          <w:sz w:val="24"/>
          <w:highlight w:val="none"/>
          <w:lang w:val="zh-CN"/>
        </w:rPr>
        <w:t>5000</w:t>
      </w:r>
      <w:r>
        <w:rPr>
          <w:color w:val="auto"/>
          <w:sz w:val="24"/>
          <w:highlight w:val="none"/>
          <w:lang w:val="zh-CN"/>
        </w:rPr>
        <w:t>-500</w:t>
      </w:r>
      <w:r>
        <w:rPr>
          <w:rFonts w:hint="eastAsia"/>
          <w:color w:val="auto"/>
          <w:sz w:val="24"/>
          <w:highlight w:val="none"/>
          <w:lang w:val="zh-CN"/>
        </w:rPr>
        <w:t>0000）</w:t>
      </w:r>
      <w:r>
        <w:rPr>
          <w:color w:val="auto"/>
          <w:sz w:val="24"/>
          <w:highlight w:val="none"/>
          <w:lang w:val="zh-CN"/>
        </w:rPr>
        <w:t>×0.</w:t>
      </w:r>
      <w:r>
        <w:rPr>
          <w:rFonts w:hint="eastAsia"/>
          <w:color w:val="auto"/>
          <w:sz w:val="24"/>
          <w:highlight w:val="none"/>
          <w:lang w:val="zh-CN"/>
        </w:rPr>
        <w:t>45</w:t>
      </w:r>
      <w:r>
        <w:rPr>
          <w:color w:val="auto"/>
          <w:sz w:val="24"/>
          <w:highlight w:val="none"/>
          <w:lang w:val="zh-CN"/>
        </w:rPr>
        <w:t>%=</w:t>
      </w:r>
      <w:r>
        <w:rPr>
          <w:rFonts w:hint="eastAsia"/>
          <w:color w:val="auto"/>
          <w:sz w:val="24"/>
          <w:highlight w:val="none"/>
          <w:lang w:val="zh-CN"/>
        </w:rPr>
        <w:t>50122.5</w:t>
      </w:r>
      <w:r>
        <w:rPr>
          <w:color w:val="auto"/>
          <w:sz w:val="24"/>
          <w:highlight w:val="none"/>
          <w:lang w:val="zh-CN"/>
        </w:rPr>
        <w:t>元，服务费</w:t>
      </w:r>
      <w:r>
        <w:rPr>
          <w:rFonts w:hint="eastAsia"/>
          <w:color w:val="auto"/>
          <w:sz w:val="24"/>
          <w:highlight w:val="none"/>
          <w:lang w:val="zh-CN"/>
        </w:rPr>
        <w:t>缴纳50122元。</w:t>
      </w:r>
      <w:r>
        <w:rPr>
          <w:color w:val="auto"/>
          <w:sz w:val="24"/>
          <w:highlight w:val="none"/>
          <w:lang w:val="zh-CN"/>
        </w:rPr>
        <w:t>其中中标金额以《中标通知书》为准。</w:t>
      </w:r>
    </w:p>
    <w:p w14:paraId="4FDF802E">
      <w:pPr>
        <w:tabs>
          <w:tab w:val="left" w:pos="700"/>
        </w:tabs>
        <w:autoSpaceDE w:val="0"/>
        <w:autoSpaceDN w:val="0"/>
        <w:adjustRightInd w:val="0"/>
        <w:spacing w:line="360" w:lineRule="auto"/>
        <w:ind w:firstLine="448" w:firstLineChars="200"/>
        <w:rPr>
          <w:color w:val="auto"/>
          <w:sz w:val="24"/>
          <w:szCs w:val="24"/>
          <w:highlight w:val="none"/>
          <w:lang w:val="zh-CN"/>
        </w:rPr>
      </w:pPr>
      <w:r>
        <w:rPr>
          <w:rFonts w:hint="eastAsia"/>
          <w:color w:val="auto"/>
          <w:sz w:val="24"/>
          <w:szCs w:val="24"/>
          <w:highlight w:val="none"/>
        </w:rPr>
        <w:t>中标供应商应于中标公告发布之日起5个工作日内缴纳</w:t>
      </w:r>
      <w:r>
        <w:rPr>
          <w:rFonts w:hint="eastAsia"/>
          <w:color w:val="auto"/>
          <w:sz w:val="24"/>
          <w:szCs w:val="24"/>
          <w:highlight w:val="none"/>
          <w:lang w:val="zh-CN"/>
        </w:rPr>
        <w:t>招标代理服务费，缴费单位名称须与投标单位名称一致，缴费时请注明项目编号及中标包号。</w:t>
      </w:r>
    </w:p>
    <w:p w14:paraId="3368A4CD">
      <w:pPr>
        <w:pStyle w:val="30"/>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名        称：天津市公共资源交易中心</w:t>
      </w:r>
    </w:p>
    <w:p w14:paraId="3D548734">
      <w:pPr>
        <w:pStyle w:val="30"/>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 xml:space="preserve">开户行及账号：中国建设银行股份有限公司天津明华支行 </w:t>
      </w:r>
    </w:p>
    <w:p w14:paraId="7D14BA11">
      <w:pPr>
        <w:pStyle w:val="30"/>
        <w:spacing w:line="360" w:lineRule="auto"/>
        <w:ind w:firstLine="2009" w:firstLineChars="897"/>
        <w:rPr>
          <w:rFonts w:ascii="Times New Roman" w:hAnsi="Times New Roman" w:eastAsia="宋体" w:cs="Times New Roman"/>
          <w:color w:val="auto"/>
          <w:highlight w:val="none"/>
        </w:rPr>
      </w:pPr>
      <w:r>
        <w:rPr>
          <w:rFonts w:ascii="Times New Roman" w:hAnsi="Times New Roman" w:eastAsia="宋体" w:cs="Times New Roman"/>
          <w:color w:val="auto"/>
          <w:highlight w:val="none"/>
        </w:rPr>
        <w:t>1205 0162 4900 0000 0675</w:t>
      </w:r>
    </w:p>
    <w:p w14:paraId="1F987251">
      <w:pPr>
        <w:pStyle w:val="30"/>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银行联行号：105110039436</w:t>
      </w:r>
    </w:p>
    <w:p w14:paraId="3D665F58">
      <w:pPr>
        <w:pStyle w:val="30"/>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纳税人识别号：1212 0000 MB1E 44809C</w:t>
      </w:r>
    </w:p>
    <w:p w14:paraId="32B28AE5">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地址：天津市河东区红星路79号</w:t>
      </w:r>
    </w:p>
    <w:p w14:paraId="104087E3">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缴费及开票咨询电话：022-24532012</w:t>
      </w:r>
    </w:p>
    <w:p w14:paraId="43481164">
      <w:pPr>
        <w:pStyle w:val="30"/>
        <w:spacing w:line="360" w:lineRule="auto"/>
        <w:ind w:firstLine="448" w:firstLineChars="200"/>
        <w:jc w:val="both"/>
        <w:rPr>
          <w:rFonts w:ascii="Times New Roman" w:hAnsi="Times New Roman" w:eastAsia="宋体" w:cs="Times New Roman"/>
          <w:color w:val="auto"/>
          <w:highlight w:val="none"/>
        </w:rPr>
      </w:pPr>
    </w:p>
    <w:p w14:paraId="4552652C">
      <w:pPr>
        <w:pStyle w:val="30"/>
        <w:spacing w:line="360" w:lineRule="auto"/>
        <w:jc w:val="both"/>
        <w:rPr>
          <w:rFonts w:ascii="Times New Roman" w:hAnsi="Times New Roman" w:eastAsia="宋体" w:cs="Times New Roman"/>
          <w:color w:val="auto"/>
          <w:highlight w:val="none"/>
        </w:rPr>
      </w:pPr>
    </w:p>
    <w:p w14:paraId="3E16BA98">
      <w:pPr>
        <w:pStyle w:val="30"/>
        <w:spacing w:line="360" w:lineRule="auto"/>
        <w:jc w:val="right"/>
        <w:rPr>
          <w:rFonts w:ascii="Times New Roman" w:hAnsi="Times New Roman" w:eastAsia="宋体" w:cs="Times New Roman"/>
          <w:color w:val="auto"/>
          <w:highlight w:val="none"/>
        </w:rPr>
      </w:pPr>
      <w:r>
        <w:rPr>
          <w:rFonts w:ascii="Times New Roman" w:hAnsi="Times New Roman" w:eastAsia="宋体" w:cs="Times New Roman"/>
          <w:color w:val="auto"/>
          <w:highlight w:val="none"/>
        </w:rPr>
        <w:t>2026年</w:t>
      </w:r>
      <w:r>
        <w:rPr>
          <w:rFonts w:hint="eastAsia" w:ascii="Times New Roman" w:hAnsi="Times New Roman" w:eastAsia="宋体" w:cs="Times New Roman"/>
          <w:color w:val="auto"/>
          <w:highlight w:val="none"/>
          <w:lang w:val="en-US" w:eastAsia="zh-CN"/>
        </w:rPr>
        <w:t>9</w:t>
      </w:r>
      <w:r>
        <w:rPr>
          <w:rFonts w:ascii="Times New Roman" w:hAnsi="Times New Roman" w:eastAsia="宋体" w:cs="Times New Roman"/>
          <w:color w:val="auto"/>
          <w:highlight w:val="none"/>
        </w:rPr>
        <w:t>月</w:t>
      </w:r>
      <w:r>
        <w:rPr>
          <w:rFonts w:hint="eastAsia" w:ascii="Times New Roman" w:hAnsi="Times New Roman" w:eastAsia="宋体" w:cs="Times New Roman"/>
          <w:color w:val="auto"/>
          <w:highlight w:val="none"/>
          <w:lang w:val="en-US" w:eastAsia="zh-CN"/>
        </w:rPr>
        <w:t>30</w:t>
      </w:r>
      <w:r>
        <w:rPr>
          <w:rFonts w:ascii="Times New Roman" w:hAnsi="Times New Roman" w:eastAsia="宋体" w:cs="Times New Roman"/>
          <w:color w:val="auto"/>
          <w:highlight w:val="none"/>
        </w:rPr>
        <w:t>日</w:t>
      </w:r>
    </w:p>
    <w:p w14:paraId="2BB72C0F">
      <w:pPr>
        <w:pStyle w:val="30"/>
        <w:spacing w:line="360" w:lineRule="auto"/>
        <w:ind w:right="892"/>
        <w:rPr>
          <w:rFonts w:ascii="Times New Roman" w:hAnsi="Times New Roman" w:eastAsia="宋体" w:cs="Times New Roman"/>
          <w:color w:val="auto"/>
          <w:highlight w:val="none"/>
        </w:rPr>
      </w:pPr>
    </w:p>
    <w:p w14:paraId="5631059E">
      <w:pPr>
        <w:widowControl/>
        <w:jc w:val="left"/>
        <w:rPr>
          <w:color w:val="auto"/>
          <w:kern w:val="0"/>
          <w:sz w:val="24"/>
          <w:szCs w:val="24"/>
          <w:highlight w:val="none"/>
        </w:rPr>
      </w:pPr>
      <w:r>
        <w:rPr>
          <w:color w:val="auto"/>
          <w:highlight w:val="none"/>
        </w:rPr>
        <w:br w:type="page"/>
      </w:r>
    </w:p>
    <w:p w14:paraId="67F03BBE">
      <w:pPr>
        <w:pStyle w:val="17"/>
        <w:rPr>
          <w:rFonts w:ascii="Times New Roman" w:hAnsi="Times New Roman"/>
          <w:color w:val="auto"/>
          <w:highlight w:val="none"/>
          <w:lang w:eastAsia="zh-CN"/>
        </w:rPr>
      </w:pPr>
      <w:r>
        <w:rPr>
          <w:rFonts w:ascii="Times New Roman" w:hAnsi="Times New Roman"/>
          <w:color w:val="auto"/>
          <w:highlight w:val="none"/>
        </w:rPr>
        <w:t>第</w:t>
      </w:r>
      <w:r>
        <w:rPr>
          <w:rFonts w:ascii="Times New Roman" w:hAnsi="Times New Roman"/>
          <w:color w:val="auto"/>
          <w:highlight w:val="none"/>
          <w:lang w:eastAsia="zh-CN"/>
        </w:rPr>
        <w:t>二</w:t>
      </w:r>
      <w:r>
        <w:rPr>
          <w:rFonts w:ascii="Times New Roman" w:hAnsi="Times New Roman"/>
          <w:color w:val="auto"/>
          <w:highlight w:val="none"/>
        </w:rPr>
        <w:t>部分  招标项目</w:t>
      </w:r>
      <w:bookmarkEnd w:id="5"/>
      <w:r>
        <w:rPr>
          <w:rFonts w:ascii="Times New Roman" w:hAnsi="Times New Roman"/>
          <w:color w:val="auto"/>
          <w:highlight w:val="none"/>
        </w:rPr>
        <w:t>需求</w:t>
      </w:r>
    </w:p>
    <w:p w14:paraId="3A905478">
      <w:pPr>
        <w:autoSpaceDE w:val="0"/>
        <w:autoSpaceDN w:val="0"/>
        <w:adjustRightInd w:val="0"/>
        <w:spacing w:line="360" w:lineRule="auto"/>
        <w:ind w:firstLine="448" w:firstLineChars="200"/>
        <w:rPr>
          <w:color w:val="auto"/>
          <w:sz w:val="24"/>
          <w:highlight w:val="none"/>
        </w:rPr>
      </w:pPr>
      <w:r>
        <w:rPr>
          <w:rFonts w:hint="eastAsia"/>
          <w:color w:val="auto"/>
          <w:sz w:val="24"/>
          <w:highlight w:val="none"/>
        </w:rPr>
        <w:t>加注“★”号条款为不允许偏离的实质性要求，经评标委员会判定任意一条加注“★”号的条款出现偏离，视为无效投标。</w:t>
      </w:r>
    </w:p>
    <w:p w14:paraId="04B30015">
      <w:pPr>
        <w:widowControl/>
        <w:ind w:firstLine="448" w:firstLineChars="200"/>
        <w:jc w:val="left"/>
        <w:rPr>
          <w:color w:val="auto"/>
          <w:sz w:val="24"/>
          <w:highlight w:val="none"/>
        </w:rPr>
      </w:pPr>
      <w:r>
        <w:rPr>
          <w:rFonts w:hint="eastAsia"/>
          <w:color w:val="auto"/>
          <w:sz w:val="24"/>
          <w:highlight w:val="none"/>
        </w:rPr>
        <w:t>一、项目背景</w:t>
      </w:r>
    </w:p>
    <w:p w14:paraId="2242F94B">
      <w:pPr>
        <w:spacing w:line="360" w:lineRule="auto"/>
        <w:ind w:firstLine="448" w:firstLineChars="200"/>
        <w:outlineLvl w:val="0"/>
        <w:rPr>
          <w:rFonts w:ascii="Times New Roman" w:hAnsi="Times New Roman" w:cs="Times New Roman"/>
          <w:color w:val="auto"/>
          <w:sz w:val="24"/>
          <w:highlight w:val="none"/>
        </w:rPr>
      </w:pPr>
      <w:r>
        <w:rPr>
          <w:rFonts w:hint="eastAsia" w:ascii="Times New Roman" w:hAnsi="Times New Roman" w:cs="Times New Roman"/>
          <w:color w:val="auto"/>
          <w:sz w:val="24"/>
          <w:highlight w:val="none"/>
        </w:rPr>
        <w:t>天津市医疗保障局医保信息平台税务专线租赁项目，需要提供天津市医疗保障局到天津市税务局共计两条通信线路。</w:t>
      </w:r>
    </w:p>
    <w:p w14:paraId="2593CD90">
      <w:pPr>
        <w:spacing w:line="360" w:lineRule="auto"/>
        <w:ind w:firstLine="448" w:firstLineChars="200"/>
        <w:outlineLvl w:val="0"/>
        <w:rPr>
          <w:color w:val="auto"/>
          <w:sz w:val="24"/>
          <w:szCs w:val="24"/>
          <w:highlight w:val="none"/>
        </w:rPr>
      </w:pPr>
      <w:r>
        <w:rPr>
          <w:rFonts w:hint="eastAsia" w:ascii="Times New Roman" w:hAnsi="Times New Roman" w:cs="Times New Roman"/>
          <w:color w:val="auto"/>
          <w:sz w:val="24"/>
          <w:highlight w:val="none"/>
        </w:rPr>
        <w:t>本项目属于信息传输业。</w:t>
      </w:r>
    </w:p>
    <w:p w14:paraId="42F7B0C7">
      <w:pPr>
        <w:tabs>
          <w:tab w:val="left" w:pos="210"/>
        </w:tabs>
        <w:autoSpaceDE w:val="0"/>
        <w:autoSpaceDN w:val="0"/>
        <w:adjustRightInd w:val="0"/>
        <w:spacing w:line="360" w:lineRule="auto"/>
        <w:ind w:firstLine="448" w:firstLineChars="200"/>
        <w:outlineLvl w:val="0"/>
        <w:rPr>
          <w:color w:val="auto"/>
          <w:sz w:val="24"/>
          <w:szCs w:val="24"/>
          <w:highlight w:val="none"/>
        </w:rPr>
      </w:pPr>
      <w:r>
        <w:rPr>
          <w:rFonts w:hint="eastAsia"/>
          <w:color w:val="auto"/>
          <w:sz w:val="24"/>
          <w:szCs w:val="24"/>
          <w:highlight w:val="none"/>
        </w:rPr>
        <w:t>二、技术要求</w:t>
      </w:r>
    </w:p>
    <w:p w14:paraId="40508C1F">
      <w:pPr>
        <w:spacing w:line="360" w:lineRule="auto"/>
        <w:ind w:firstLine="448" w:firstLineChars="200"/>
        <w:outlineLvl w:val="0"/>
        <w:rPr>
          <w:color w:val="auto"/>
          <w:sz w:val="24"/>
          <w:highlight w:val="none"/>
        </w:rPr>
      </w:pPr>
      <w:r>
        <w:rPr>
          <w:rFonts w:hint="eastAsia"/>
          <w:color w:val="auto"/>
          <w:sz w:val="24"/>
          <w:highlight w:val="none"/>
        </w:rPr>
        <w:t>★</w:t>
      </w:r>
      <w:r>
        <w:rPr>
          <w:color w:val="auto"/>
          <w:sz w:val="24"/>
          <w:highlight w:val="none"/>
        </w:rPr>
        <w:t>（一）投标人须承诺所提供的服务、人员及设备符合相关强制性规定。</w:t>
      </w:r>
      <w:r>
        <w:rPr>
          <w:rFonts w:hint="eastAsia"/>
          <w:color w:val="auto"/>
          <w:sz w:val="24"/>
          <w:highlight w:val="none"/>
        </w:rPr>
        <w:t>验收时采购人有权要求投标人出具</w:t>
      </w:r>
      <w:r>
        <w:rPr>
          <w:color w:val="auto"/>
          <w:sz w:val="24"/>
          <w:highlight w:val="none"/>
        </w:rPr>
        <w:t>所提供的服务、人员及设备</w:t>
      </w:r>
      <w:r>
        <w:rPr>
          <w:rFonts w:hint="eastAsia"/>
          <w:color w:val="auto"/>
          <w:sz w:val="24"/>
          <w:highlight w:val="none"/>
        </w:rPr>
        <w:t>符合上述规定的证明文件。</w:t>
      </w:r>
    </w:p>
    <w:p w14:paraId="14B4EF9B">
      <w:pPr>
        <w:tabs>
          <w:tab w:val="left" w:pos="210"/>
        </w:tabs>
        <w:autoSpaceDE w:val="0"/>
        <w:autoSpaceDN w:val="0"/>
        <w:adjustRightInd w:val="0"/>
        <w:spacing w:line="360" w:lineRule="auto"/>
        <w:ind w:firstLine="448" w:firstLineChars="200"/>
        <w:outlineLvl w:val="0"/>
        <w:rPr>
          <w:color w:val="auto"/>
          <w:sz w:val="24"/>
          <w:szCs w:val="24"/>
          <w:highlight w:val="none"/>
        </w:rPr>
      </w:pPr>
      <w:r>
        <w:rPr>
          <w:rFonts w:hint="eastAsia"/>
          <w:color w:val="auto"/>
          <w:sz w:val="24"/>
          <w:szCs w:val="24"/>
          <w:highlight w:val="none"/>
        </w:rPr>
        <w:t>（二）具体要求</w:t>
      </w:r>
    </w:p>
    <w:p w14:paraId="653BF13E">
      <w:pPr>
        <w:autoSpaceDE w:val="0"/>
        <w:autoSpaceDN w:val="0"/>
        <w:adjustRightInd w:val="0"/>
        <w:spacing w:line="360" w:lineRule="auto"/>
        <w:ind w:firstLine="448" w:firstLineChars="200"/>
        <w:rPr>
          <w:color w:val="auto"/>
          <w:sz w:val="24"/>
          <w:highlight w:val="none"/>
        </w:rPr>
      </w:pPr>
      <w:r>
        <w:rPr>
          <w:rFonts w:hint="eastAsia"/>
          <w:color w:val="auto"/>
          <w:sz w:val="24"/>
          <w:highlight w:val="none"/>
        </w:rPr>
        <w:t>1. 投标人提供线路维修维护承诺，提供7*24小时的网络状态监控探测。</w:t>
      </w:r>
    </w:p>
    <w:p w14:paraId="03A00B1C">
      <w:pPr>
        <w:autoSpaceDE w:val="0"/>
        <w:autoSpaceDN w:val="0"/>
        <w:adjustRightInd w:val="0"/>
        <w:spacing w:line="360" w:lineRule="auto"/>
        <w:ind w:firstLine="448" w:firstLineChars="200"/>
        <w:rPr>
          <w:color w:val="auto"/>
          <w:sz w:val="24"/>
          <w:highlight w:val="none"/>
        </w:rPr>
      </w:pPr>
      <w:r>
        <w:rPr>
          <w:rFonts w:hint="eastAsia"/>
          <w:color w:val="auto"/>
          <w:sz w:val="24"/>
          <w:highlight w:val="none"/>
        </w:rPr>
        <w:t>2. 遇网络故障，服务人员能够2小时到达现场，一般故障能够2小时解决，重大故障能够8小时解决，有7*24小时售后服务电话</w:t>
      </w:r>
    </w:p>
    <w:p w14:paraId="0C8AFAA5">
      <w:pPr>
        <w:autoSpaceDE w:val="0"/>
        <w:autoSpaceDN w:val="0"/>
        <w:adjustRightInd w:val="0"/>
        <w:spacing w:line="360" w:lineRule="auto"/>
        <w:ind w:firstLine="448" w:firstLineChars="200"/>
        <w:rPr>
          <w:color w:val="auto"/>
          <w:sz w:val="24"/>
          <w:highlight w:val="none"/>
        </w:rPr>
      </w:pPr>
      <w:r>
        <w:rPr>
          <w:rFonts w:hint="eastAsia"/>
          <w:color w:val="auto"/>
          <w:sz w:val="24"/>
          <w:highlight w:val="none"/>
        </w:rPr>
        <w:t>3. 投标人提供应急预案方案。</w:t>
      </w:r>
    </w:p>
    <w:p w14:paraId="62C51102">
      <w:pPr>
        <w:autoSpaceDE w:val="0"/>
        <w:autoSpaceDN w:val="0"/>
        <w:adjustRightInd w:val="0"/>
        <w:spacing w:line="360" w:lineRule="auto"/>
        <w:ind w:firstLine="448" w:firstLineChars="200"/>
        <w:rPr>
          <w:color w:val="auto"/>
          <w:sz w:val="24"/>
          <w:highlight w:val="none"/>
        </w:rPr>
      </w:pPr>
      <w:r>
        <w:rPr>
          <w:rFonts w:hint="eastAsia"/>
          <w:color w:val="auto"/>
          <w:sz w:val="24"/>
          <w:highlight w:val="none"/>
        </w:rPr>
        <w:t>4. 项目服务团队需具备本科以上学历或相关职业认证。</w:t>
      </w:r>
    </w:p>
    <w:p w14:paraId="28A28519">
      <w:pPr>
        <w:autoSpaceDE w:val="0"/>
        <w:autoSpaceDN w:val="0"/>
        <w:adjustRightInd w:val="0"/>
        <w:spacing w:line="360" w:lineRule="auto"/>
        <w:ind w:firstLine="448" w:firstLineChars="200"/>
        <w:rPr>
          <w:color w:val="auto"/>
          <w:sz w:val="24"/>
          <w:highlight w:val="none"/>
        </w:rPr>
      </w:pPr>
      <w:r>
        <w:rPr>
          <w:rFonts w:hint="eastAsia"/>
          <w:color w:val="auto"/>
          <w:sz w:val="24"/>
          <w:highlight w:val="none"/>
        </w:rPr>
        <w:t>5. 投标人需提供免费网络测试服务，测试频率不得低于4次/年。并在每次测试后出具测试报告。</w:t>
      </w:r>
    </w:p>
    <w:p w14:paraId="06E752C2">
      <w:pPr>
        <w:tabs>
          <w:tab w:val="left" w:pos="210"/>
        </w:tabs>
        <w:autoSpaceDE w:val="0"/>
        <w:autoSpaceDN w:val="0"/>
        <w:adjustRightInd w:val="0"/>
        <w:spacing w:line="360" w:lineRule="auto"/>
        <w:ind w:firstLine="448" w:firstLineChars="200"/>
        <w:outlineLvl w:val="0"/>
        <w:rPr>
          <w:color w:val="auto"/>
          <w:sz w:val="24"/>
          <w:szCs w:val="24"/>
          <w:highlight w:val="none"/>
        </w:rPr>
      </w:pPr>
      <w:r>
        <w:rPr>
          <w:rFonts w:hint="eastAsia"/>
          <w:color w:val="auto"/>
          <w:sz w:val="24"/>
          <w:szCs w:val="24"/>
          <w:highlight w:val="none"/>
        </w:rPr>
        <w:t>详见项目需求书。</w:t>
      </w:r>
    </w:p>
    <w:p w14:paraId="4D306090">
      <w:pPr>
        <w:tabs>
          <w:tab w:val="left" w:pos="210"/>
        </w:tabs>
        <w:autoSpaceDE w:val="0"/>
        <w:autoSpaceDN w:val="0"/>
        <w:adjustRightInd w:val="0"/>
        <w:spacing w:line="360" w:lineRule="auto"/>
        <w:ind w:firstLine="448" w:firstLineChars="200"/>
        <w:outlineLvl w:val="0"/>
        <w:rPr>
          <w:color w:val="auto"/>
          <w:sz w:val="24"/>
          <w:szCs w:val="24"/>
          <w:highlight w:val="none"/>
        </w:rPr>
      </w:pPr>
      <w:r>
        <w:rPr>
          <w:rFonts w:hint="eastAsia"/>
          <w:color w:val="auto"/>
          <w:sz w:val="24"/>
          <w:szCs w:val="24"/>
          <w:highlight w:val="none"/>
        </w:rPr>
        <w:t>三</w:t>
      </w:r>
      <w:r>
        <w:rPr>
          <w:color w:val="auto"/>
          <w:sz w:val="24"/>
          <w:szCs w:val="24"/>
          <w:highlight w:val="none"/>
        </w:rPr>
        <w:t>、商务要求</w:t>
      </w:r>
    </w:p>
    <w:p w14:paraId="5433B94F">
      <w:pPr>
        <w:autoSpaceDE w:val="0"/>
        <w:autoSpaceDN w:val="0"/>
        <w:adjustRightInd w:val="0"/>
        <w:spacing w:line="360" w:lineRule="auto"/>
        <w:ind w:firstLine="448" w:firstLineChars="200"/>
        <w:rPr>
          <w:color w:val="auto"/>
          <w:sz w:val="24"/>
          <w:highlight w:val="none"/>
        </w:rPr>
      </w:pPr>
      <w:r>
        <w:rPr>
          <w:rFonts w:eastAsia="......."/>
          <w:color w:val="auto"/>
          <w:kern w:val="0"/>
          <w:sz w:val="24"/>
          <w:szCs w:val="24"/>
          <w:highlight w:val="none"/>
        </w:rPr>
        <w:t>（一）</w:t>
      </w:r>
      <w:r>
        <w:rPr>
          <w:color w:val="auto"/>
          <w:sz w:val="24"/>
          <w:highlight w:val="none"/>
        </w:rPr>
        <w:t>报价要求</w:t>
      </w:r>
    </w:p>
    <w:p w14:paraId="72B39DBE">
      <w:pPr>
        <w:autoSpaceDE w:val="0"/>
        <w:autoSpaceDN w:val="0"/>
        <w:adjustRightInd w:val="0"/>
        <w:spacing w:line="360" w:lineRule="auto"/>
        <w:ind w:firstLine="448" w:firstLineChars="200"/>
        <w:rPr>
          <w:color w:val="auto"/>
          <w:sz w:val="24"/>
          <w:highlight w:val="none"/>
        </w:rPr>
      </w:pPr>
      <w:r>
        <w:rPr>
          <w:color w:val="auto"/>
          <w:sz w:val="24"/>
          <w:highlight w:val="none"/>
        </w:rPr>
        <w:t>1. 投标报价以人民币填列。</w:t>
      </w:r>
    </w:p>
    <w:p w14:paraId="53392562">
      <w:pPr>
        <w:autoSpaceDE w:val="0"/>
        <w:autoSpaceDN w:val="0"/>
        <w:adjustRightInd w:val="0"/>
        <w:spacing w:line="360" w:lineRule="auto"/>
        <w:ind w:firstLine="448" w:firstLineChars="200"/>
        <w:rPr>
          <w:color w:val="auto"/>
          <w:sz w:val="24"/>
          <w:highlight w:val="none"/>
        </w:rPr>
      </w:pPr>
      <w:r>
        <w:rPr>
          <w:color w:val="auto"/>
          <w:sz w:val="24"/>
          <w:highlight w:val="none"/>
        </w:rPr>
        <w:t>2. 投标人的报价应包括：</w:t>
      </w:r>
      <w:r>
        <w:rPr>
          <w:rFonts w:hint="eastAsia"/>
          <w:color w:val="auto"/>
          <w:sz w:val="24"/>
          <w:highlight w:val="none"/>
        </w:rPr>
        <w:t>人员费用、服务费用、材料费用、</w:t>
      </w:r>
      <w:r>
        <w:rPr>
          <w:color w:val="auto"/>
          <w:sz w:val="24"/>
          <w:highlight w:val="none"/>
        </w:rPr>
        <w:t>管理费及税金等为完成</w:t>
      </w:r>
      <w:r>
        <w:rPr>
          <w:rFonts w:hint="eastAsia"/>
          <w:color w:val="auto"/>
          <w:sz w:val="24"/>
          <w:highlight w:val="none"/>
        </w:rPr>
        <w:t>招标</w:t>
      </w:r>
      <w:r>
        <w:rPr>
          <w:color w:val="auto"/>
          <w:sz w:val="24"/>
          <w:highlight w:val="none"/>
        </w:rPr>
        <w:t>文件规定全部任务所需的一切应有费用。</w:t>
      </w:r>
    </w:p>
    <w:p w14:paraId="0E4894CF">
      <w:pPr>
        <w:spacing w:line="360" w:lineRule="auto"/>
        <w:ind w:firstLine="448" w:firstLineChars="200"/>
        <w:rPr>
          <w:color w:val="auto"/>
          <w:kern w:val="0"/>
          <w:sz w:val="24"/>
          <w:szCs w:val="24"/>
          <w:highlight w:val="none"/>
        </w:rPr>
      </w:pPr>
      <w:r>
        <w:rPr>
          <w:rFonts w:hint="eastAsia"/>
          <w:color w:val="auto"/>
          <w:kern w:val="0"/>
          <w:sz w:val="24"/>
          <w:szCs w:val="24"/>
          <w:highlight w:val="none"/>
        </w:rPr>
        <w:t xml:space="preserve">3. </w:t>
      </w:r>
      <w:r>
        <w:rPr>
          <w:color w:val="auto"/>
          <w:sz w:val="24"/>
          <w:highlight w:val="none"/>
        </w:rPr>
        <w:t>验收相关费用由投标人负责。</w:t>
      </w:r>
    </w:p>
    <w:p w14:paraId="37795F61">
      <w:pPr>
        <w:autoSpaceDE w:val="0"/>
        <w:autoSpaceDN w:val="0"/>
        <w:adjustRightInd w:val="0"/>
        <w:spacing w:line="360" w:lineRule="auto"/>
        <w:ind w:firstLine="448" w:firstLineChars="200"/>
        <w:rPr>
          <w:color w:val="auto"/>
          <w:sz w:val="24"/>
          <w:highlight w:val="none"/>
        </w:rPr>
      </w:pPr>
      <w:r>
        <w:rPr>
          <w:color w:val="auto"/>
          <w:sz w:val="24"/>
          <w:highlight w:val="none"/>
        </w:rPr>
        <w:t>（</w:t>
      </w:r>
      <w:r>
        <w:rPr>
          <w:rFonts w:hint="eastAsia"/>
          <w:color w:val="auto"/>
          <w:sz w:val="24"/>
          <w:highlight w:val="none"/>
        </w:rPr>
        <w:t>二</w:t>
      </w:r>
      <w:r>
        <w:rPr>
          <w:color w:val="auto"/>
          <w:sz w:val="24"/>
          <w:highlight w:val="none"/>
        </w:rPr>
        <w:t>）时间、地点要求</w:t>
      </w:r>
    </w:p>
    <w:p w14:paraId="2CED062C">
      <w:pPr>
        <w:autoSpaceDE w:val="0"/>
        <w:autoSpaceDN w:val="0"/>
        <w:adjustRightInd w:val="0"/>
        <w:spacing w:line="360" w:lineRule="auto"/>
        <w:ind w:firstLine="448" w:firstLineChars="200"/>
        <w:rPr>
          <w:color w:val="auto"/>
          <w:sz w:val="24"/>
          <w:highlight w:val="none"/>
        </w:rPr>
      </w:pPr>
      <w:r>
        <w:rPr>
          <w:color w:val="auto"/>
          <w:sz w:val="24"/>
          <w:highlight w:val="none"/>
        </w:rPr>
        <w:t>1. 时间要求：</w:t>
      </w:r>
      <w:r>
        <w:rPr>
          <w:rFonts w:hint="eastAsia"/>
          <w:color w:val="auto"/>
          <w:sz w:val="24"/>
          <w:highlight w:val="none"/>
        </w:rPr>
        <w:t>合同签订之日起7日内完成线路安装、调试并开通服务，开通服务之日起</w:t>
      </w:r>
      <w:r>
        <w:rPr>
          <w:rFonts w:hint="eastAsia"/>
          <w:color w:val="auto"/>
          <w:sz w:val="24"/>
          <w:highlight w:val="none"/>
          <w:lang w:val="en-US" w:eastAsia="zh-CN"/>
        </w:rPr>
        <w:t>2年</w:t>
      </w:r>
      <w:r>
        <w:rPr>
          <w:rFonts w:hint="eastAsia"/>
          <w:color w:val="auto"/>
          <w:sz w:val="24"/>
          <w:highlight w:val="none"/>
        </w:rPr>
        <w:t>的服务期</w:t>
      </w:r>
      <w:r>
        <w:rPr>
          <w:color w:val="auto"/>
          <w:sz w:val="24"/>
          <w:highlight w:val="none"/>
        </w:rPr>
        <w:t>（特殊情况以合同为准）。</w:t>
      </w:r>
    </w:p>
    <w:p w14:paraId="34C8A470">
      <w:pPr>
        <w:autoSpaceDE w:val="0"/>
        <w:autoSpaceDN w:val="0"/>
        <w:adjustRightInd w:val="0"/>
        <w:spacing w:line="360" w:lineRule="auto"/>
        <w:ind w:firstLine="448" w:firstLineChars="200"/>
        <w:rPr>
          <w:color w:val="auto"/>
          <w:sz w:val="24"/>
          <w:highlight w:val="none"/>
        </w:rPr>
      </w:pPr>
      <w:r>
        <w:rPr>
          <w:color w:val="auto"/>
          <w:sz w:val="24"/>
          <w:highlight w:val="none"/>
        </w:rPr>
        <w:t>2. 服务地点：</w:t>
      </w:r>
      <w:r>
        <w:rPr>
          <w:rFonts w:hint="eastAsia"/>
          <w:color w:val="auto"/>
          <w:sz w:val="24"/>
          <w:highlight w:val="none"/>
          <w:lang w:val="en-US" w:eastAsia="zh-CN"/>
        </w:rPr>
        <w:t>咸阳路81号</w:t>
      </w:r>
      <w:r>
        <w:rPr>
          <w:rFonts w:hint="eastAsia"/>
          <w:color w:val="auto"/>
          <w:sz w:val="24"/>
          <w:highlight w:val="none"/>
        </w:rPr>
        <w:t>（特殊情况以合同为准）。</w:t>
      </w:r>
    </w:p>
    <w:p w14:paraId="52995C41">
      <w:pPr>
        <w:autoSpaceDE w:val="0"/>
        <w:autoSpaceDN w:val="0"/>
        <w:adjustRightInd w:val="0"/>
        <w:spacing w:line="360" w:lineRule="auto"/>
        <w:ind w:firstLine="448" w:firstLineChars="200"/>
        <w:rPr>
          <w:color w:val="auto"/>
          <w:sz w:val="24"/>
          <w:highlight w:val="none"/>
        </w:rPr>
      </w:pPr>
      <w:r>
        <w:rPr>
          <w:color w:val="auto"/>
          <w:sz w:val="24"/>
          <w:highlight w:val="none"/>
        </w:rPr>
        <w:t>（</w:t>
      </w:r>
      <w:r>
        <w:rPr>
          <w:rFonts w:hint="eastAsia"/>
          <w:color w:val="auto"/>
          <w:sz w:val="24"/>
          <w:highlight w:val="none"/>
        </w:rPr>
        <w:t>三</w:t>
      </w:r>
      <w:r>
        <w:rPr>
          <w:color w:val="auto"/>
          <w:sz w:val="24"/>
          <w:highlight w:val="none"/>
        </w:rPr>
        <w:t>）付款方式</w:t>
      </w:r>
    </w:p>
    <w:p w14:paraId="25C7E515">
      <w:pPr>
        <w:autoSpaceDE w:val="0"/>
        <w:autoSpaceDN w:val="0"/>
        <w:adjustRightInd w:val="0"/>
        <w:spacing w:line="360" w:lineRule="auto"/>
        <w:ind w:firstLine="448" w:firstLineChars="200"/>
        <w:rPr>
          <w:color w:val="auto"/>
          <w:sz w:val="24"/>
          <w:highlight w:val="none"/>
        </w:rPr>
      </w:pPr>
      <w:r>
        <w:rPr>
          <w:rFonts w:hint="eastAsia"/>
          <w:color w:val="auto"/>
          <w:sz w:val="24"/>
          <w:highlight w:val="none"/>
        </w:rPr>
        <w:t>按</w:t>
      </w:r>
      <w:r>
        <w:rPr>
          <w:rFonts w:hint="eastAsia"/>
          <w:color w:val="auto"/>
          <w:sz w:val="24"/>
          <w:highlight w:val="none"/>
          <w:lang w:val="en-US" w:eastAsia="zh-CN"/>
        </w:rPr>
        <w:t>年</w:t>
      </w:r>
      <w:r>
        <w:rPr>
          <w:rFonts w:hint="eastAsia"/>
          <w:color w:val="auto"/>
          <w:sz w:val="24"/>
          <w:highlight w:val="none"/>
        </w:rPr>
        <w:t>度付款，每年</w:t>
      </w:r>
      <w:r>
        <w:rPr>
          <w:rFonts w:hint="eastAsia"/>
          <w:color w:val="auto"/>
          <w:sz w:val="24"/>
          <w:highlight w:val="none"/>
          <w:lang w:val="en-US" w:eastAsia="zh-CN"/>
        </w:rPr>
        <w:t>度</w:t>
      </w:r>
      <w:r>
        <w:rPr>
          <w:rFonts w:hint="eastAsia"/>
          <w:color w:val="auto"/>
          <w:sz w:val="24"/>
          <w:highlight w:val="none"/>
        </w:rPr>
        <w:t>的15日前支付当</w:t>
      </w:r>
      <w:r>
        <w:rPr>
          <w:rFonts w:hint="eastAsia"/>
          <w:color w:val="auto"/>
          <w:sz w:val="24"/>
          <w:highlight w:val="none"/>
          <w:lang w:val="en-US" w:eastAsia="zh-CN"/>
        </w:rPr>
        <w:t>年</w:t>
      </w:r>
      <w:r>
        <w:rPr>
          <w:rFonts w:hint="eastAsia"/>
          <w:color w:val="auto"/>
          <w:sz w:val="24"/>
          <w:highlight w:val="none"/>
        </w:rPr>
        <w:t>度服务费</w:t>
      </w:r>
      <w:r>
        <w:rPr>
          <w:color w:val="auto"/>
          <w:sz w:val="24"/>
          <w:highlight w:val="none"/>
        </w:rPr>
        <w:t>（特殊情况以合同为准）。</w:t>
      </w:r>
    </w:p>
    <w:p w14:paraId="429D0AC9">
      <w:pPr>
        <w:autoSpaceDE w:val="0"/>
        <w:autoSpaceDN w:val="0"/>
        <w:adjustRightInd w:val="0"/>
        <w:spacing w:line="360" w:lineRule="auto"/>
        <w:ind w:firstLine="448" w:firstLineChars="200"/>
        <w:rPr>
          <w:color w:val="auto"/>
          <w:sz w:val="24"/>
          <w:highlight w:val="none"/>
        </w:rPr>
      </w:pPr>
      <w:r>
        <w:rPr>
          <w:color w:val="auto"/>
          <w:sz w:val="24"/>
          <w:highlight w:val="none"/>
        </w:rPr>
        <w:t>（</w:t>
      </w:r>
      <w:r>
        <w:rPr>
          <w:rFonts w:hint="eastAsia"/>
          <w:color w:val="auto"/>
          <w:sz w:val="24"/>
          <w:highlight w:val="none"/>
        </w:rPr>
        <w:t>四</w:t>
      </w:r>
      <w:r>
        <w:rPr>
          <w:color w:val="auto"/>
          <w:sz w:val="24"/>
          <w:highlight w:val="none"/>
        </w:rPr>
        <w:t>）投标保证金和履约保证金</w:t>
      </w:r>
    </w:p>
    <w:p w14:paraId="776B444D">
      <w:pPr>
        <w:autoSpaceDE w:val="0"/>
        <w:autoSpaceDN w:val="0"/>
        <w:adjustRightInd w:val="0"/>
        <w:spacing w:line="360" w:lineRule="auto"/>
        <w:ind w:firstLine="448" w:firstLineChars="200"/>
        <w:rPr>
          <w:color w:val="auto"/>
          <w:sz w:val="24"/>
          <w:highlight w:val="none"/>
        </w:rPr>
      </w:pPr>
      <w:r>
        <w:rPr>
          <w:color w:val="auto"/>
          <w:sz w:val="24"/>
          <w:highlight w:val="none"/>
        </w:rPr>
        <w:t>本项目不收取投标保证金和履约保证金。</w:t>
      </w:r>
    </w:p>
    <w:p w14:paraId="05063D87">
      <w:pPr>
        <w:autoSpaceDE w:val="0"/>
        <w:autoSpaceDN w:val="0"/>
        <w:adjustRightInd w:val="0"/>
        <w:spacing w:line="360" w:lineRule="auto"/>
        <w:ind w:firstLine="448" w:firstLineChars="200"/>
        <w:rPr>
          <w:color w:val="auto"/>
          <w:sz w:val="24"/>
          <w:highlight w:val="none"/>
        </w:rPr>
      </w:pPr>
      <w:r>
        <w:rPr>
          <w:rFonts w:hint="eastAsia"/>
          <w:color w:val="auto"/>
          <w:sz w:val="24"/>
          <w:highlight w:val="none"/>
        </w:rPr>
        <w:t>（五）验收方法及标准</w:t>
      </w:r>
    </w:p>
    <w:p w14:paraId="5DA22D09">
      <w:pPr>
        <w:autoSpaceDE w:val="0"/>
        <w:autoSpaceDN w:val="0"/>
        <w:adjustRightInd w:val="0"/>
        <w:spacing w:line="360" w:lineRule="auto"/>
        <w:ind w:firstLine="448" w:firstLineChars="200"/>
        <w:rPr>
          <w:color w:val="auto"/>
          <w:sz w:val="24"/>
          <w:highlight w:val="none"/>
        </w:rPr>
      </w:pPr>
      <w:r>
        <w:rPr>
          <w:rFonts w:hint="eastAsia"/>
          <w:color w:val="auto"/>
          <w:sz w:val="24"/>
          <w:highlight w:val="none"/>
        </w:rPr>
        <w:t>按照采购合同的约定和现行国家标准、行业标准或企业标准对每一服务环节、安全标准的履约情况进行考核与验收。必要时，采购人有权邀请参加本项目的其他投标人或者第三方机构参与验收。参与验收的投标人或者第三方机构的意见作为验收书的参考资料一并存档。验收结束后，应当出具验收书，列明各项服务的考核验收情况及项目总体评价，由验收双方共同签署。</w:t>
      </w:r>
    </w:p>
    <w:p w14:paraId="6C3DF658">
      <w:pPr>
        <w:spacing w:line="360" w:lineRule="auto"/>
        <w:ind w:firstLine="448" w:firstLineChars="200"/>
        <w:outlineLvl w:val="0"/>
        <w:rPr>
          <w:color w:val="auto"/>
          <w:sz w:val="24"/>
          <w:highlight w:val="none"/>
        </w:rPr>
      </w:pPr>
      <w:r>
        <w:rPr>
          <w:color w:val="auto"/>
          <w:sz w:val="24"/>
          <w:highlight w:val="none"/>
        </w:rPr>
        <w:t>四、评分因素及评标标准</w:t>
      </w:r>
    </w:p>
    <w:p w14:paraId="22F0F88F">
      <w:pPr>
        <w:spacing w:line="360" w:lineRule="auto"/>
        <w:ind w:firstLine="448" w:firstLineChars="200"/>
        <w:rPr>
          <w:rFonts w:hint="eastAsia"/>
          <w:color w:val="auto"/>
          <w:sz w:val="24"/>
          <w:highlight w:val="none"/>
        </w:rPr>
      </w:pPr>
      <w:r>
        <w:rPr>
          <w:rFonts w:hint="eastAsia"/>
          <w:color w:val="auto"/>
          <w:sz w:val="24"/>
          <w:highlight w:val="none"/>
        </w:rPr>
        <w:t>本项目兼投不兼中，评标委员会按包的顺序进行评审。若某投标人获得某包中标候选供应商第一名资格，则该投标人不入围后续其他包的评标阶段。</w:t>
      </w:r>
    </w:p>
    <w:p w14:paraId="768AFCDA">
      <w:pPr>
        <w:spacing w:line="360" w:lineRule="auto"/>
        <w:ind w:firstLine="448" w:firstLineChars="200"/>
        <w:outlineLvl w:val="0"/>
        <w:rPr>
          <w:rFonts w:hint="default" w:eastAsia="宋体"/>
          <w:color w:val="auto"/>
          <w:sz w:val="24"/>
          <w:highlight w:val="none"/>
          <w:lang w:val="en-US" w:eastAsia="zh-CN"/>
        </w:rPr>
      </w:pPr>
      <w:r>
        <w:rPr>
          <w:rFonts w:hint="eastAsia"/>
          <w:color w:val="auto"/>
          <w:sz w:val="24"/>
          <w:highlight w:val="none"/>
          <w:lang w:val="en-US" w:eastAsia="zh-CN"/>
        </w:rPr>
        <w:t>第一包和第二包</w:t>
      </w:r>
    </w:p>
    <w:tbl>
      <w:tblPr>
        <w:tblStyle w:val="23"/>
        <w:tblW w:w="103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3"/>
        <w:gridCol w:w="1419"/>
        <w:gridCol w:w="7311"/>
        <w:gridCol w:w="932"/>
      </w:tblGrid>
      <w:tr w14:paraId="76182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9393" w:type="dxa"/>
            <w:gridSpan w:val="3"/>
            <w:shd w:val="clear" w:color="auto" w:fill="auto"/>
            <w:vAlign w:val="center"/>
          </w:tcPr>
          <w:p w14:paraId="1F98C6F0">
            <w:pPr>
              <w:widowControl/>
              <w:adjustRightInd w:val="0"/>
              <w:snapToGrid w:val="0"/>
              <w:jc w:val="center"/>
              <w:rPr>
                <w:color w:val="auto"/>
                <w:kern w:val="0"/>
                <w:sz w:val="24"/>
                <w:szCs w:val="24"/>
                <w:highlight w:val="none"/>
              </w:rPr>
            </w:pPr>
            <w:r>
              <w:rPr>
                <w:color w:val="auto"/>
                <w:kern w:val="0"/>
                <w:sz w:val="24"/>
                <w:szCs w:val="24"/>
                <w:highlight w:val="none"/>
              </w:rPr>
              <w:t>第一部分 价格（</w:t>
            </w:r>
            <w:r>
              <w:rPr>
                <w:rFonts w:hint="eastAsia"/>
                <w:color w:val="auto"/>
                <w:kern w:val="0"/>
                <w:sz w:val="24"/>
                <w:szCs w:val="24"/>
                <w:highlight w:val="none"/>
                <w:lang w:val="en-US" w:eastAsia="zh-CN"/>
              </w:rPr>
              <w:t>2</w:t>
            </w:r>
            <w:r>
              <w:rPr>
                <w:color w:val="auto"/>
                <w:kern w:val="0"/>
                <w:sz w:val="24"/>
                <w:szCs w:val="24"/>
                <w:highlight w:val="none"/>
              </w:rPr>
              <w:t>0分）</w:t>
            </w:r>
          </w:p>
        </w:tc>
        <w:tc>
          <w:tcPr>
            <w:tcW w:w="932" w:type="dxa"/>
            <w:shd w:val="clear" w:color="auto" w:fill="auto"/>
            <w:vAlign w:val="center"/>
          </w:tcPr>
          <w:p w14:paraId="40F82C54">
            <w:pPr>
              <w:widowControl/>
              <w:adjustRightInd w:val="0"/>
              <w:snapToGrid w:val="0"/>
              <w:jc w:val="center"/>
              <w:rPr>
                <w:color w:val="auto"/>
                <w:kern w:val="0"/>
                <w:sz w:val="24"/>
                <w:szCs w:val="24"/>
                <w:highlight w:val="none"/>
              </w:rPr>
            </w:pPr>
            <w:r>
              <w:rPr>
                <w:color w:val="auto"/>
                <w:kern w:val="0"/>
                <w:sz w:val="24"/>
                <w:szCs w:val="24"/>
                <w:highlight w:val="none"/>
              </w:rPr>
              <w:t>分值</w:t>
            </w:r>
          </w:p>
        </w:tc>
      </w:tr>
      <w:tr w14:paraId="318C0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663" w:type="dxa"/>
            <w:shd w:val="clear" w:color="auto" w:fill="auto"/>
            <w:vAlign w:val="center"/>
          </w:tcPr>
          <w:p w14:paraId="780BDB66">
            <w:pPr>
              <w:widowControl/>
              <w:adjustRightInd w:val="0"/>
              <w:snapToGrid w:val="0"/>
              <w:jc w:val="center"/>
              <w:rPr>
                <w:color w:val="auto"/>
                <w:kern w:val="0"/>
                <w:sz w:val="24"/>
                <w:szCs w:val="24"/>
                <w:highlight w:val="none"/>
              </w:rPr>
            </w:pPr>
            <w:r>
              <w:rPr>
                <w:color w:val="auto"/>
                <w:kern w:val="0"/>
                <w:sz w:val="24"/>
                <w:szCs w:val="24"/>
                <w:highlight w:val="none"/>
              </w:rPr>
              <w:t>1</w:t>
            </w:r>
          </w:p>
        </w:tc>
        <w:tc>
          <w:tcPr>
            <w:tcW w:w="1419" w:type="dxa"/>
            <w:shd w:val="clear" w:color="auto" w:fill="auto"/>
            <w:vAlign w:val="center"/>
          </w:tcPr>
          <w:p w14:paraId="28EE1CDB">
            <w:pPr>
              <w:widowControl/>
              <w:adjustRightInd w:val="0"/>
              <w:snapToGrid w:val="0"/>
              <w:jc w:val="center"/>
              <w:rPr>
                <w:color w:val="auto"/>
                <w:kern w:val="0"/>
                <w:sz w:val="24"/>
                <w:szCs w:val="24"/>
                <w:highlight w:val="none"/>
              </w:rPr>
            </w:pPr>
            <w:r>
              <w:rPr>
                <w:color w:val="auto"/>
                <w:kern w:val="0"/>
                <w:sz w:val="24"/>
                <w:szCs w:val="24"/>
                <w:highlight w:val="none"/>
              </w:rPr>
              <w:t>价格</w:t>
            </w:r>
          </w:p>
        </w:tc>
        <w:tc>
          <w:tcPr>
            <w:tcW w:w="7311" w:type="dxa"/>
            <w:shd w:val="clear" w:color="auto" w:fill="auto"/>
            <w:vAlign w:val="center"/>
          </w:tcPr>
          <w:p w14:paraId="5487E30D">
            <w:pPr>
              <w:widowControl/>
              <w:adjustRightInd w:val="0"/>
              <w:snapToGrid w:val="0"/>
              <w:rPr>
                <w:color w:val="auto"/>
                <w:kern w:val="0"/>
                <w:sz w:val="24"/>
                <w:szCs w:val="24"/>
                <w:highlight w:val="none"/>
              </w:rPr>
            </w:pPr>
            <w:r>
              <w:rPr>
                <w:color w:val="auto"/>
                <w:kern w:val="0"/>
                <w:sz w:val="24"/>
                <w:szCs w:val="24"/>
                <w:highlight w:val="none"/>
              </w:rPr>
              <w:t>（1）投标报价超过采购预算的，投标无效，未超过采购预算的投标报价按以下公式进行计算。</w:t>
            </w:r>
          </w:p>
          <w:p w14:paraId="017A8601">
            <w:pPr>
              <w:widowControl/>
              <w:adjustRightInd w:val="0"/>
              <w:snapToGrid w:val="0"/>
              <w:rPr>
                <w:color w:val="auto"/>
                <w:kern w:val="0"/>
                <w:sz w:val="24"/>
                <w:szCs w:val="24"/>
                <w:highlight w:val="none"/>
              </w:rPr>
            </w:pPr>
            <w:r>
              <w:rPr>
                <w:color w:val="auto"/>
                <w:kern w:val="0"/>
                <w:sz w:val="24"/>
                <w:szCs w:val="24"/>
                <w:highlight w:val="none"/>
              </w:rPr>
              <w:t>（2）投标报价得分=（评标基准价/投标报价）×</w:t>
            </w:r>
            <w:r>
              <w:rPr>
                <w:rFonts w:hint="eastAsia"/>
                <w:color w:val="auto"/>
                <w:kern w:val="0"/>
                <w:sz w:val="24"/>
                <w:szCs w:val="24"/>
                <w:highlight w:val="none"/>
                <w:lang w:val="en-US" w:eastAsia="zh-CN"/>
              </w:rPr>
              <w:t>2</w:t>
            </w:r>
            <w:r>
              <w:rPr>
                <w:color w:val="auto"/>
                <w:kern w:val="0"/>
                <w:sz w:val="24"/>
                <w:szCs w:val="24"/>
                <w:highlight w:val="none"/>
              </w:rPr>
              <w:t>0</w:t>
            </w:r>
          </w:p>
          <w:p w14:paraId="7D0E1F51">
            <w:pPr>
              <w:widowControl/>
              <w:adjustRightInd w:val="0"/>
              <w:snapToGrid w:val="0"/>
              <w:rPr>
                <w:color w:val="auto"/>
                <w:kern w:val="0"/>
                <w:sz w:val="24"/>
                <w:szCs w:val="24"/>
                <w:highlight w:val="none"/>
              </w:rPr>
            </w:pPr>
            <w:r>
              <w:rPr>
                <w:color w:val="auto"/>
                <w:kern w:val="0"/>
                <w:sz w:val="24"/>
                <w:szCs w:val="24"/>
                <w:highlight w:val="none"/>
              </w:rPr>
              <w:t>注：满足</w:t>
            </w:r>
            <w:r>
              <w:rPr>
                <w:rFonts w:hint="eastAsia"/>
                <w:color w:val="auto"/>
                <w:kern w:val="0"/>
                <w:sz w:val="24"/>
                <w:szCs w:val="24"/>
                <w:highlight w:val="none"/>
              </w:rPr>
              <w:t>采购</w:t>
            </w:r>
            <w:r>
              <w:rPr>
                <w:color w:val="auto"/>
                <w:kern w:val="0"/>
                <w:sz w:val="24"/>
                <w:szCs w:val="24"/>
                <w:highlight w:val="none"/>
              </w:rPr>
              <w:t>文件要求且投标报价最低的投标报价为评标基准价。</w:t>
            </w:r>
          </w:p>
        </w:tc>
        <w:tc>
          <w:tcPr>
            <w:tcW w:w="932" w:type="dxa"/>
            <w:shd w:val="clear" w:color="auto" w:fill="auto"/>
            <w:vAlign w:val="center"/>
          </w:tcPr>
          <w:p w14:paraId="21F943F8">
            <w:pPr>
              <w:widowControl/>
              <w:adjustRightInd w:val="0"/>
              <w:snapToGrid w:val="0"/>
              <w:jc w:val="center"/>
              <w:rPr>
                <w:rFonts w:hint="default" w:eastAsia="宋体"/>
                <w:color w:val="auto"/>
                <w:kern w:val="0"/>
                <w:sz w:val="24"/>
                <w:szCs w:val="24"/>
                <w:highlight w:val="none"/>
                <w:lang w:val="en-US" w:eastAsia="zh-CN"/>
              </w:rPr>
            </w:pPr>
            <w:r>
              <w:rPr>
                <w:rFonts w:hint="eastAsia"/>
                <w:color w:val="auto"/>
                <w:kern w:val="0"/>
                <w:sz w:val="24"/>
                <w:szCs w:val="24"/>
                <w:highlight w:val="none"/>
                <w:lang w:val="en-US" w:eastAsia="zh-CN"/>
              </w:rPr>
              <w:t>20</w:t>
            </w:r>
          </w:p>
        </w:tc>
      </w:tr>
      <w:tr w14:paraId="48A77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 w:hRule="atLeast"/>
          <w:jc w:val="center"/>
        </w:trPr>
        <w:tc>
          <w:tcPr>
            <w:tcW w:w="9393" w:type="dxa"/>
            <w:gridSpan w:val="3"/>
            <w:shd w:val="clear" w:color="auto" w:fill="auto"/>
            <w:vAlign w:val="center"/>
          </w:tcPr>
          <w:p w14:paraId="35737CB1">
            <w:pPr>
              <w:widowControl/>
              <w:adjustRightInd w:val="0"/>
              <w:snapToGrid w:val="0"/>
              <w:jc w:val="center"/>
              <w:rPr>
                <w:color w:val="auto"/>
                <w:kern w:val="0"/>
                <w:sz w:val="24"/>
                <w:szCs w:val="24"/>
                <w:highlight w:val="none"/>
              </w:rPr>
            </w:pPr>
            <w:r>
              <w:rPr>
                <w:color w:val="auto"/>
                <w:kern w:val="0"/>
                <w:sz w:val="24"/>
                <w:szCs w:val="24"/>
                <w:highlight w:val="none"/>
              </w:rPr>
              <w:t>第二部分 客观分</w:t>
            </w:r>
            <w:r>
              <w:rPr>
                <w:rFonts w:hint="eastAsia"/>
                <w:color w:val="auto"/>
                <w:kern w:val="0"/>
                <w:sz w:val="24"/>
                <w:szCs w:val="24"/>
                <w:highlight w:val="none"/>
              </w:rPr>
              <w:t>（25</w:t>
            </w:r>
            <w:r>
              <w:rPr>
                <w:color w:val="auto"/>
                <w:kern w:val="0"/>
                <w:sz w:val="24"/>
                <w:szCs w:val="24"/>
                <w:highlight w:val="none"/>
              </w:rPr>
              <w:t>分）</w:t>
            </w:r>
          </w:p>
        </w:tc>
        <w:tc>
          <w:tcPr>
            <w:tcW w:w="932" w:type="dxa"/>
            <w:shd w:val="clear" w:color="auto" w:fill="auto"/>
            <w:vAlign w:val="center"/>
          </w:tcPr>
          <w:p w14:paraId="3F399320">
            <w:pPr>
              <w:widowControl/>
              <w:adjustRightInd w:val="0"/>
              <w:snapToGrid w:val="0"/>
              <w:jc w:val="center"/>
              <w:rPr>
                <w:color w:val="auto"/>
                <w:kern w:val="0"/>
                <w:sz w:val="24"/>
                <w:szCs w:val="24"/>
                <w:highlight w:val="none"/>
              </w:rPr>
            </w:pPr>
            <w:r>
              <w:rPr>
                <w:color w:val="auto"/>
                <w:kern w:val="0"/>
                <w:sz w:val="24"/>
                <w:szCs w:val="24"/>
                <w:highlight w:val="none"/>
              </w:rPr>
              <w:t>分值</w:t>
            </w:r>
          </w:p>
        </w:tc>
      </w:tr>
      <w:tr w14:paraId="3787E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4" w:hRule="atLeast"/>
          <w:jc w:val="center"/>
        </w:trPr>
        <w:tc>
          <w:tcPr>
            <w:tcW w:w="663" w:type="dxa"/>
            <w:shd w:val="clear" w:color="auto" w:fill="auto"/>
            <w:vAlign w:val="center"/>
          </w:tcPr>
          <w:p w14:paraId="220E7E98">
            <w:pPr>
              <w:widowControl/>
              <w:adjustRightInd w:val="0"/>
              <w:snapToGrid w:val="0"/>
              <w:jc w:val="center"/>
              <w:rPr>
                <w:color w:val="auto"/>
                <w:kern w:val="0"/>
                <w:sz w:val="24"/>
                <w:szCs w:val="24"/>
                <w:highlight w:val="none"/>
              </w:rPr>
            </w:pPr>
            <w:r>
              <w:rPr>
                <w:color w:val="auto"/>
                <w:kern w:val="0"/>
                <w:sz w:val="24"/>
                <w:szCs w:val="24"/>
                <w:highlight w:val="none"/>
              </w:rPr>
              <w:t>1</w:t>
            </w:r>
          </w:p>
        </w:tc>
        <w:tc>
          <w:tcPr>
            <w:tcW w:w="1419" w:type="dxa"/>
            <w:shd w:val="clear" w:color="auto" w:fill="auto"/>
            <w:vAlign w:val="center"/>
          </w:tcPr>
          <w:p w14:paraId="455191F8">
            <w:pPr>
              <w:widowControl/>
              <w:adjustRightInd w:val="0"/>
              <w:snapToGrid w:val="0"/>
              <w:jc w:val="center"/>
              <w:rPr>
                <w:color w:val="auto"/>
                <w:kern w:val="0"/>
                <w:sz w:val="24"/>
                <w:szCs w:val="24"/>
                <w:highlight w:val="none"/>
              </w:rPr>
            </w:pPr>
            <w:r>
              <w:rPr>
                <w:color w:val="auto"/>
                <w:kern w:val="0"/>
                <w:sz w:val="24"/>
                <w:szCs w:val="24"/>
                <w:highlight w:val="none"/>
              </w:rPr>
              <w:t>投标人业绩</w:t>
            </w:r>
          </w:p>
        </w:tc>
        <w:tc>
          <w:tcPr>
            <w:tcW w:w="7311" w:type="dxa"/>
            <w:shd w:val="clear" w:color="auto" w:fill="auto"/>
            <w:vAlign w:val="center"/>
          </w:tcPr>
          <w:p w14:paraId="1B5907B3">
            <w:pPr>
              <w:widowControl/>
              <w:adjustRightInd w:val="0"/>
              <w:snapToGrid w:val="0"/>
              <w:rPr>
                <w:color w:val="auto"/>
                <w:kern w:val="0"/>
                <w:sz w:val="24"/>
                <w:szCs w:val="24"/>
                <w:highlight w:val="none"/>
              </w:rPr>
            </w:pPr>
            <w:r>
              <w:rPr>
                <w:color w:val="auto"/>
                <w:kern w:val="0"/>
                <w:sz w:val="24"/>
                <w:szCs w:val="24"/>
                <w:highlight w:val="none"/>
              </w:rPr>
              <w:t>完全按照以下要求提供</w:t>
            </w:r>
            <w:r>
              <w:rPr>
                <w:rFonts w:hint="eastAsia"/>
                <w:color w:val="auto"/>
                <w:kern w:val="0"/>
                <w:sz w:val="24"/>
                <w:szCs w:val="24"/>
                <w:highlight w:val="none"/>
              </w:rPr>
              <w:t>互联网接入服务业绩</w:t>
            </w:r>
            <w:r>
              <w:rPr>
                <w:color w:val="auto"/>
                <w:kern w:val="0"/>
                <w:sz w:val="24"/>
                <w:szCs w:val="24"/>
                <w:highlight w:val="none"/>
              </w:rPr>
              <w:t>，提供的证明材料均不得遮挡涂黑，否则不予认定加分。</w:t>
            </w:r>
          </w:p>
          <w:p w14:paraId="00F75E6F">
            <w:pPr>
              <w:widowControl/>
              <w:adjustRightInd w:val="0"/>
              <w:snapToGrid w:val="0"/>
              <w:rPr>
                <w:color w:val="auto"/>
                <w:kern w:val="0"/>
                <w:sz w:val="24"/>
                <w:szCs w:val="24"/>
                <w:highlight w:val="none"/>
              </w:rPr>
            </w:pPr>
            <w:r>
              <w:rPr>
                <w:rFonts w:hint="eastAsia"/>
                <w:color w:val="auto"/>
                <w:kern w:val="0"/>
                <w:sz w:val="24"/>
                <w:szCs w:val="24"/>
                <w:highlight w:val="none"/>
              </w:rPr>
              <w:t>A</w:t>
            </w:r>
            <w:r>
              <w:rPr>
                <w:color w:val="auto"/>
                <w:kern w:val="0"/>
                <w:sz w:val="24"/>
                <w:szCs w:val="24"/>
                <w:highlight w:val="none"/>
              </w:rPr>
              <w:t>. 合同</w:t>
            </w:r>
            <w:r>
              <w:rPr>
                <w:rFonts w:hint="eastAsia"/>
                <w:color w:val="auto"/>
                <w:kern w:val="0"/>
                <w:sz w:val="24"/>
                <w:szCs w:val="24"/>
                <w:highlight w:val="none"/>
              </w:rPr>
              <w:t>原件</w:t>
            </w:r>
            <w:r>
              <w:rPr>
                <w:rFonts w:hint="eastAsia"/>
                <w:color w:val="auto"/>
                <w:kern w:val="0"/>
                <w:sz w:val="24"/>
                <w:szCs w:val="24"/>
                <w:highlight w:val="none"/>
                <w:lang w:eastAsia="zh-CN"/>
              </w:rPr>
              <w:t>电子件</w:t>
            </w:r>
            <w:r>
              <w:rPr>
                <w:color w:val="auto"/>
                <w:kern w:val="0"/>
                <w:sz w:val="24"/>
                <w:szCs w:val="24"/>
                <w:highlight w:val="none"/>
              </w:rPr>
              <w:t>。包括买卖双方名称及盖章、服务内容</w:t>
            </w:r>
            <w:r>
              <w:rPr>
                <w:rFonts w:hint="eastAsia"/>
                <w:bCs/>
                <w:color w:val="auto"/>
                <w:sz w:val="24"/>
                <w:highlight w:val="none"/>
              </w:rPr>
              <w:t>、合同签订日期（应为2023年1月1日或以后）</w:t>
            </w:r>
            <w:r>
              <w:rPr>
                <w:color w:val="auto"/>
                <w:kern w:val="0"/>
                <w:sz w:val="24"/>
                <w:szCs w:val="24"/>
                <w:highlight w:val="none"/>
              </w:rPr>
              <w:t>。</w:t>
            </w:r>
          </w:p>
          <w:p w14:paraId="78FB848D">
            <w:pPr>
              <w:adjustRightInd w:val="0"/>
              <w:snapToGrid w:val="0"/>
              <w:rPr>
                <w:color w:val="auto"/>
                <w:kern w:val="0"/>
                <w:sz w:val="24"/>
                <w:szCs w:val="24"/>
                <w:highlight w:val="none"/>
              </w:rPr>
            </w:pPr>
            <w:r>
              <w:rPr>
                <w:color w:val="auto"/>
                <w:kern w:val="0"/>
                <w:sz w:val="24"/>
                <w:szCs w:val="24"/>
                <w:highlight w:val="none"/>
              </w:rPr>
              <w:t>B.</w:t>
            </w:r>
            <w:r>
              <w:rPr>
                <w:rFonts w:hint="eastAsia"/>
                <w:color w:val="auto"/>
                <w:kern w:val="0"/>
                <w:sz w:val="24"/>
                <w:szCs w:val="24"/>
                <w:highlight w:val="none"/>
              </w:rPr>
              <w:t xml:space="preserve"> 上述</w:t>
            </w:r>
            <w:r>
              <w:rPr>
                <w:color w:val="auto"/>
                <w:kern w:val="0"/>
                <w:sz w:val="24"/>
                <w:szCs w:val="24"/>
                <w:highlight w:val="none"/>
              </w:rPr>
              <w:t>合同履行</w:t>
            </w:r>
            <w:r>
              <w:rPr>
                <w:rFonts w:hint="eastAsia"/>
                <w:color w:val="auto"/>
                <w:kern w:val="0"/>
                <w:sz w:val="24"/>
                <w:szCs w:val="24"/>
                <w:highlight w:val="none"/>
              </w:rPr>
              <w:t>良好</w:t>
            </w:r>
            <w:r>
              <w:rPr>
                <w:color w:val="auto"/>
                <w:kern w:val="0"/>
                <w:sz w:val="24"/>
                <w:szCs w:val="24"/>
                <w:highlight w:val="none"/>
              </w:rPr>
              <w:t>的相关证明材料</w:t>
            </w:r>
            <w:r>
              <w:rPr>
                <w:rFonts w:hint="eastAsia"/>
                <w:color w:val="auto"/>
                <w:kern w:val="0"/>
                <w:sz w:val="24"/>
                <w:szCs w:val="24"/>
                <w:highlight w:val="none"/>
              </w:rPr>
              <w:t>原件</w:t>
            </w:r>
            <w:r>
              <w:rPr>
                <w:rFonts w:hint="eastAsia"/>
                <w:color w:val="auto"/>
                <w:kern w:val="0"/>
                <w:sz w:val="24"/>
                <w:szCs w:val="24"/>
                <w:highlight w:val="none"/>
                <w:lang w:eastAsia="zh-CN"/>
              </w:rPr>
              <w:t>电子件</w:t>
            </w:r>
            <w:r>
              <w:rPr>
                <w:rFonts w:hint="eastAsia"/>
                <w:color w:val="auto"/>
                <w:kern w:val="0"/>
                <w:sz w:val="24"/>
                <w:szCs w:val="24"/>
                <w:highlight w:val="none"/>
              </w:rPr>
              <w:t>（加盖上述合同甲方单位公章或上述合同中所盖的甲方印章）</w:t>
            </w:r>
            <w:r>
              <w:rPr>
                <w:color w:val="auto"/>
                <w:kern w:val="0"/>
                <w:sz w:val="24"/>
                <w:szCs w:val="24"/>
                <w:highlight w:val="none"/>
              </w:rPr>
              <w:t>。</w:t>
            </w:r>
          </w:p>
          <w:p w14:paraId="6AB6243B">
            <w:pPr>
              <w:widowControl/>
              <w:adjustRightInd w:val="0"/>
              <w:snapToGrid w:val="0"/>
              <w:rPr>
                <w:color w:val="auto"/>
                <w:kern w:val="0"/>
                <w:sz w:val="24"/>
                <w:szCs w:val="24"/>
                <w:highlight w:val="none"/>
              </w:rPr>
            </w:pPr>
            <w:r>
              <w:rPr>
                <w:color w:val="auto"/>
                <w:kern w:val="0"/>
                <w:sz w:val="24"/>
                <w:szCs w:val="24"/>
                <w:highlight w:val="none"/>
              </w:rPr>
              <w:t>每个</w:t>
            </w:r>
            <w:r>
              <w:rPr>
                <w:rFonts w:hint="eastAsia"/>
                <w:color w:val="auto"/>
                <w:kern w:val="0"/>
                <w:sz w:val="24"/>
                <w:szCs w:val="24"/>
                <w:highlight w:val="none"/>
              </w:rPr>
              <w:t>业绩2</w:t>
            </w:r>
            <w:r>
              <w:rPr>
                <w:color w:val="auto"/>
                <w:kern w:val="0"/>
                <w:sz w:val="24"/>
                <w:szCs w:val="24"/>
                <w:highlight w:val="none"/>
              </w:rPr>
              <w:t>分，最多</w:t>
            </w:r>
            <w:r>
              <w:rPr>
                <w:rFonts w:hint="eastAsia"/>
                <w:color w:val="auto"/>
                <w:kern w:val="0"/>
                <w:sz w:val="24"/>
                <w:szCs w:val="24"/>
                <w:highlight w:val="none"/>
              </w:rPr>
              <w:t>10</w:t>
            </w:r>
            <w:r>
              <w:rPr>
                <w:color w:val="auto"/>
                <w:kern w:val="0"/>
                <w:sz w:val="24"/>
                <w:szCs w:val="24"/>
                <w:highlight w:val="none"/>
              </w:rPr>
              <w:t>分</w:t>
            </w:r>
          </w:p>
        </w:tc>
        <w:tc>
          <w:tcPr>
            <w:tcW w:w="932" w:type="dxa"/>
            <w:shd w:val="clear" w:color="auto" w:fill="auto"/>
            <w:vAlign w:val="center"/>
          </w:tcPr>
          <w:p w14:paraId="48E12637">
            <w:pPr>
              <w:widowControl/>
              <w:adjustRightInd w:val="0"/>
              <w:snapToGrid w:val="0"/>
              <w:jc w:val="center"/>
              <w:rPr>
                <w:color w:val="auto"/>
                <w:kern w:val="0"/>
                <w:sz w:val="24"/>
                <w:szCs w:val="24"/>
                <w:highlight w:val="none"/>
              </w:rPr>
            </w:pPr>
            <w:r>
              <w:rPr>
                <w:rFonts w:hint="eastAsia"/>
                <w:color w:val="auto"/>
                <w:kern w:val="0"/>
                <w:sz w:val="24"/>
                <w:szCs w:val="24"/>
                <w:highlight w:val="none"/>
              </w:rPr>
              <w:t>10</w:t>
            </w:r>
          </w:p>
        </w:tc>
      </w:tr>
      <w:tr w14:paraId="47E7A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663" w:type="dxa"/>
            <w:shd w:val="clear" w:color="auto" w:fill="auto"/>
            <w:vAlign w:val="center"/>
          </w:tcPr>
          <w:p w14:paraId="5D9900A6">
            <w:pPr>
              <w:widowControl/>
              <w:adjustRightInd w:val="0"/>
              <w:snapToGrid w:val="0"/>
              <w:jc w:val="center"/>
              <w:rPr>
                <w:rFonts w:hint="eastAsia" w:eastAsia="宋体"/>
                <w:color w:val="auto"/>
                <w:kern w:val="0"/>
                <w:sz w:val="24"/>
                <w:szCs w:val="24"/>
                <w:highlight w:val="none"/>
                <w:lang w:eastAsia="zh-CN"/>
              </w:rPr>
            </w:pPr>
            <w:r>
              <w:rPr>
                <w:rFonts w:hint="eastAsia"/>
                <w:color w:val="auto"/>
                <w:kern w:val="0"/>
                <w:sz w:val="24"/>
                <w:szCs w:val="24"/>
                <w:highlight w:val="none"/>
                <w:lang w:val="en-US" w:eastAsia="zh-CN"/>
              </w:rPr>
              <w:t>2</w:t>
            </w:r>
          </w:p>
        </w:tc>
        <w:tc>
          <w:tcPr>
            <w:tcW w:w="1419" w:type="dxa"/>
            <w:shd w:val="clear" w:color="auto" w:fill="auto"/>
            <w:vAlign w:val="center"/>
          </w:tcPr>
          <w:p w14:paraId="10C7C336">
            <w:pPr>
              <w:widowControl/>
              <w:adjustRightInd w:val="0"/>
              <w:snapToGrid w:val="0"/>
              <w:jc w:val="center"/>
              <w:rPr>
                <w:color w:val="auto"/>
                <w:sz w:val="24"/>
                <w:highlight w:val="none"/>
              </w:rPr>
            </w:pPr>
            <w:r>
              <w:rPr>
                <w:rFonts w:hint="eastAsia"/>
                <w:color w:val="auto"/>
                <w:sz w:val="24"/>
                <w:highlight w:val="none"/>
              </w:rPr>
              <w:t>投标人承诺评价</w:t>
            </w:r>
          </w:p>
        </w:tc>
        <w:tc>
          <w:tcPr>
            <w:tcW w:w="7311" w:type="dxa"/>
            <w:shd w:val="clear" w:color="auto" w:fill="auto"/>
            <w:vAlign w:val="center"/>
          </w:tcPr>
          <w:p w14:paraId="3ED91B47">
            <w:pPr>
              <w:widowControl/>
              <w:adjustRightInd w:val="0"/>
              <w:snapToGrid w:val="0"/>
              <w:rPr>
                <w:color w:val="auto"/>
                <w:kern w:val="0"/>
                <w:sz w:val="24"/>
                <w:szCs w:val="24"/>
                <w:highlight w:val="none"/>
              </w:rPr>
            </w:pPr>
            <w:r>
              <w:rPr>
                <w:rFonts w:hint="eastAsia"/>
                <w:color w:val="auto"/>
                <w:kern w:val="0"/>
                <w:sz w:val="24"/>
                <w:szCs w:val="24"/>
                <w:highlight w:val="none"/>
              </w:rPr>
              <w:t>承诺完全满足招标文件“报价要求”、“时间地点要求”、“付款方式要求”和技术要求的：</w:t>
            </w:r>
            <w:r>
              <w:rPr>
                <w:rFonts w:hint="eastAsia"/>
                <w:color w:val="auto"/>
                <w:kern w:val="0"/>
                <w:sz w:val="24"/>
                <w:szCs w:val="24"/>
                <w:highlight w:val="none"/>
                <w:lang w:val="en-US" w:eastAsia="zh-CN"/>
              </w:rPr>
              <w:t>15</w:t>
            </w:r>
            <w:r>
              <w:rPr>
                <w:rFonts w:hint="eastAsia"/>
                <w:color w:val="auto"/>
                <w:kern w:val="0"/>
                <w:sz w:val="24"/>
                <w:szCs w:val="24"/>
                <w:highlight w:val="none"/>
              </w:rPr>
              <w:t>分，其他0分。</w:t>
            </w:r>
          </w:p>
        </w:tc>
        <w:tc>
          <w:tcPr>
            <w:tcW w:w="932" w:type="dxa"/>
            <w:shd w:val="clear" w:color="auto" w:fill="auto"/>
            <w:vAlign w:val="center"/>
          </w:tcPr>
          <w:p w14:paraId="608D0340">
            <w:pPr>
              <w:widowControl/>
              <w:adjustRightInd w:val="0"/>
              <w:snapToGrid w:val="0"/>
              <w:jc w:val="center"/>
              <w:rPr>
                <w:rFonts w:hint="default" w:eastAsia="宋体"/>
                <w:color w:val="auto"/>
                <w:kern w:val="0"/>
                <w:sz w:val="24"/>
                <w:szCs w:val="24"/>
                <w:highlight w:val="none"/>
                <w:lang w:val="en-US" w:eastAsia="zh-CN"/>
              </w:rPr>
            </w:pPr>
            <w:r>
              <w:rPr>
                <w:rFonts w:hint="eastAsia"/>
                <w:color w:val="auto"/>
                <w:kern w:val="0"/>
                <w:sz w:val="24"/>
                <w:szCs w:val="24"/>
                <w:highlight w:val="none"/>
                <w:lang w:val="en-US" w:eastAsia="zh-CN"/>
              </w:rPr>
              <w:t>15</w:t>
            </w:r>
          </w:p>
        </w:tc>
      </w:tr>
      <w:tr w14:paraId="2FE37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9393" w:type="dxa"/>
            <w:gridSpan w:val="3"/>
            <w:shd w:val="clear" w:color="auto" w:fill="auto"/>
            <w:vAlign w:val="center"/>
          </w:tcPr>
          <w:p w14:paraId="6046BD24">
            <w:pPr>
              <w:widowControl/>
              <w:adjustRightInd w:val="0"/>
              <w:snapToGrid w:val="0"/>
              <w:jc w:val="center"/>
              <w:rPr>
                <w:color w:val="auto"/>
                <w:kern w:val="0"/>
                <w:sz w:val="24"/>
                <w:szCs w:val="24"/>
                <w:highlight w:val="none"/>
              </w:rPr>
            </w:pPr>
            <w:r>
              <w:rPr>
                <w:color w:val="auto"/>
                <w:kern w:val="0"/>
                <w:sz w:val="24"/>
                <w:szCs w:val="24"/>
                <w:highlight w:val="none"/>
              </w:rPr>
              <w:t>第三部分 主观分（</w:t>
            </w:r>
            <w:r>
              <w:rPr>
                <w:rFonts w:hint="eastAsia"/>
                <w:color w:val="auto"/>
                <w:kern w:val="0"/>
                <w:sz w:val="24"/>
                <w:szCs w:val="24"/>
                <w:highlight w:val="none"/>
                <w:lang w:val="en-US" w:eastAsia="zh-CN"/>
              </w:rPr>
              <w:t>55</w:t>
            </w:r>
            <w:r>
              <w:rPr>
                <w:color w:val="auto"/>
                <w:kern w:val="0"/>
                <w:sz w:val="24"/>
                <w:szCs w:val="24"/>
                <w:highlight w:val="none"/>
              </w:rPr>
              <w:t>分）</w:t>
            </w:r>
          </w:p>
        </w:tc>
        <w:tc>
          <w:tcPr>
            <w:tcW w:w="932" w:type="dxa"/>
            <w:shd w:val="clear" w:color="auto" w:fill="auto"/>
            <w:vAlign w:val="center"/>
          </w:tcPr>
          <w:p w14:paraId="33551CBE">
            <w:pPr>
              <w:widowControl/>
              <w:adjustRightInd w:val="0"/>
              <w:snapToGrid w:val="0"/>
              <w:jc w:val="center"/>
              <w:rPr>
                <w:color w:val="auto"/>
                <w:kern w:val="0"/>
                <w:sz w:val="24"/>
                <w:szCs w:val="24"/>
                <w:highlight w:val="none"/>
              </w:rPr>
            </w:pPr>
            <w:r>
              <w:rPr>
                <w:color w:val="auto"/>
                <w:kern w:val="0"/>
                <w:sz w:val="24"/>
                <w:szCs w:val="24"/>
                <w:highlight w:val="none"/>
              </w:rPr>
              <w:t>分值</w:t>
            </w:r>
          </w:p>
        </w:tc>
      </w:tr>
      <w:tr w14:paraId="7346D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663" w:type="dxa"/>
            <w:shd w:val="clear" w:color="auto" w:fill="auto"/>
            <w:vAlign w:val="center"/>
          </w:tcPr>
          <w:p w14:paraId="6AD1D775">
            <w:pPr>
              <w:widowControl/>
              <w:adjustRightInd w:val="0"/>
              <w:snapToGrid w:val="0"/>
              <w:jc w:val="center"/>
              <w:rPr>
                <w:color w:val="auto"/>
                <w:kern w:val="0"/>
                <w:sz w:val="24"/>
                <w:szCs w:val="24"/>
                <w:highlight w:val="none"/>
              </w:rPr>
            </w:pPr>
            <w:r>
              <w:rPr>
                <w:rFonts w:hint="eastAsia"/>
                <w:color w:val="auto"/>
                <w:kern w:val="0"/>
                <w:sz w:val="24"/>
                <w:szCs w:val="24"/>
                <w:highlight w:val="none"/>
              </w:rPr>
              <w:t>1</w:t>
            </w:r>
          </w:p>
        </w:tc>
        <w:tc>
          <w:tcPr>
            <w:tcW w:w="1419" w:type="dxa"/>
            <w:shd w:val="clear" w:color="auto" w:fill="auto"/>
            <w:vAlign w:val="center"/>
          </w:tcPr>
          <w:p w14:paraId="7EEF4360">
            <w:pPr>
              <w:adjustRightInd w:val="0"/>
              <w:snapToGrid w:val="0"/>
              <w:jc w:val="center"/>
              <w:rPr>
                <w:color w:val="auto"/>
                <w:kern w:val="0"/>
                <w:sz w:val="24"/>
                <w:szCs w:val="24"/>
                <w:highlight w:val="none"/>
              </w:rPr>
            </w:pPr>
            <w:r>
              <w:rPr>
                <w:rFonts w:hint="eastAsia" w:cs="宋体"/>
                <w:color w:val="auto"/>
                <w:sz w:val="24"/>
                <w:szCs w:val="24"/>
                <w:highlight w:val="none"/>
                <w:lang w:val="zh-CN"/>
              </w:rPr>
              <w:t>对本项目任务、需求的理解程度评价</w:t>
            </w:r>
          </w:p>
        </w:tc>
        <w:tc>
          <w:tcPr>
            <w:tcW w:w="7311" w:type="dxa"/>
            <w:shd w:val="clear" w:color="auto" w:fill="auto"/>
            <w:vAlign w:val="center"/>
          </w:tcPr>
          <w:p w14:paraId="2F65ED92">
            <w:pPr>
              <w:widowControl/>
              <w:adjustRightInd w:val="0"/>
              <w:snapToGrid w:val="0"/>
              <w:rPr>
                <w:rFonts w:cs="宋体"/>
                <w:color w:val="auto"/>
                <w:sz w:val="24"/>
                <w:szCs w:val="24"/>
                <w:highlight w:val="none"/>
                <w:lang w:val="zh-CN"/>
              </w:rPr>
            </w:pPr>
            <w:r>
              <w:rPr>
                <w:rFonts w:hint="eastAsia" w:cs="宋体"/>
                <w:color w:val="auto"/>
                <w:sz w:val="24"/>
                <w:szCs w:val="24"/>
                <w:highlight w:val="none"/>
                <w:lang w:val="zh-CN"/>
              </w:rPr>
              <w:t>至少包含用户系统现状、网络性能要求、实施要求等内容</w:t>
            </w:r>
          </w:p>
          <w:p w14:paraId="1385EF1F">
            <w:pPr>
              <w:widowControl/>
              <w:adjustRightInd w:val="0"/>
              <w:snapToGrid w:val="0"/>
              <w:rPr>
                <w:color w:val="auto"/>
                <w:kern w:val="0"/>
                <w:sz w:val="24"/>
                <w:szCs w:val="24"/>
                <w:highlight w:val="none"/>
              </w:rPr>
            </w:pPr>
            <w:r>
              <w:rPr>
                <w:rFonts w:hint="eastAsia"/>
                <w:color w:val="auto"/>
                <w:kern w:val="0"/>
                <w:sz w:val="24"/>
                <w:szCs w:val="24"/>
                <w:highlight w:val="none"/>
              </w:rPr>
              <w:t>满足本文件要求，无瑕疵得满分；</w:t>
            </w:r>
          </w:p>
          <w:p w14:paraId="43459207">
            <w:pPr>
              <w:adjustRightInd w:val="0"/>
              <w:snapToGrid w:val="0"/>
              <w:rPr>
                <w:color w:val="auto"/>
                <w:kern w:val="0"/>
                <w:sz w:val="24"/>
                <w:szCs w:val="24"/>
                <w:highlight w:val="none"/>
              </w:rPr>
            </w:pPr>
            <w:r>
              <w:rPr>
                <w:rFonts w:hint="eastAsia"/>
                <w:color w:val="auto"/>
                <w:kern w:val="0"/>
                <w:sz w:val="24"/>
                <w:szCs w:val="24"/>
                <w:highlight w:val="none"/>
              </w:rPr>
              <w:t>方案内容每出现1处瑕疵减</w:t>
            </w:r>
            <w:r>
              <w:rPr>
                <w:rFonts w:hint="eastAsia"/>
                <w:color w:val="auto"/>
                <w:kern w:val="0"/>
                <w:sz w:val="24"/>
                <w:szCs w:val="24"/>
                <w:highlight w:val="none"/>
                <w:lang w:val="en-US" w:eastAsia="zh-CN"/>
              </w:rPr>
              <w:t>2.5</w:t>
            </w:r>
            <w:r>
              <w:rPr>
                <w:rFonts w:hint="eastAsia"/>
                <w:color w:val="auto"/>
                <w:kern w:val="0"/>
                <w:sz w:val="24"/>
                <w:szCs w:val="24"/>
                <w:highlight w:val="none"/>
              </w:rPr>
              <w:t>分，最低0分。</w:t>
            </w:r>
          </w:p>
        </w:tc>
        <w:tc>
          <w:tcPr>
            <w:tcW w:w="932" w:type="dxa"/>
            <w:shd w:val="clear" w:color="auto" w:fill="auto"/>
            <w:vAlign w:val="center"/>
          </w:tcPr>
          <w:p w14:paraId="1646E3FF">
            <w:pPr>
              <w:widowControl/>
              <w:adjustRightInd w:val="0"/>
              <w:snapToGrid w:val="0"/>
              <w:jc w:val="center"/>
              <w:rPr>
                <w:rFonts w:hint="default" w:eastAsia="宋体"/>
                <w:color w:val="auto"/>
                <w:kern w:val="0"/>
                <w:sz w:val="24"/>
                <w:szCs w:val="24"/>
                <w:highlight w:val="none"/>
                <w:lang w:val="en-US" w:eastAsia="zh-CN"/>
              </w:rPr>
            </w:pPr>
            <w:r>
              <w:rPr>
                <w:rFonts w:hint="eastAsia"/>
                <w:color w:val="auto"/>
                <w:kern w:val="0"/>
                <w:sz w:val="24"/>
                <w:szCs w:val="24"/>
                <w:highlight w:val="none"/>
                <w:lang w:val="en-US" w:eastAsia="zh-CN"/>
              </w:rPr>
              <w:t>10</w:t>
            </w:r>
          </w:p>
        </w:tc>
      </w:tr>
      <w:tr w14:paraId="4F212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shd w:val="clear" w:color="auto" w:fill="auto"/>
            <w:vAlign w:val="center"/>
          </w:tcPr>
          <w:p w14:paraId="7A89D83D">
            <w:pPr>
              <w:widowControl/>
              <w:adjustRightInd w:val="0"/>
              <w:snapToGrid w:val="0"/>
              <w:jc w:val="center"/>
              <w:rPr>
                <w:color w:val="auto"/>
                <w:kern w:val="0"/>
                <w:sz w:val="24"/>
                <w:szCs w:val="24"/>
                <w:highlight w:val="none"/>
              </w:rPr>
            </w:pPr>
            <w:r>
              <w:rPr>
                <w:rFonts w:hint="eastAsia"/>
                <w:color w:val="auto"/>
                <w:kern w:val="0"/>
                <w:sz w:val="24"/>
                <w:szCs w:val="24"/>
                <w:highlight w:val="none"/>
              </w:rPr>
              <w:t>2</w:t>
            </w:r>
          </w:p>
        </w:tc>
        <w:tc>
          <w:tcPr>
            <w:tcW w:w="1419" w:type="dxa"/>
            <w:shd w:val="clear" w:color="auto" w:fill="auto"/>
            <w:vAlign w:val="center"/>
          </w:tcPr>
          <w:p w14:paraId="2DB65BFF">
            <w:pPr>
              <w:widowControl/>
              <w:adjustRightInd w:val="0"/>
              <w:snapToGrid w:val="0"/>
              <w:jc w:val="center"/>
              <w:rPr>
                <w:color w:val="auto"/>
                <w:kern w:val="0"/>
                <w:sz w:val="24"/>
                <w:szCs w:val="24"/>
                <w:highlight w:val="none"/>
              </w:rPr>
            </w:pPr>
            <w:r>
              <w:rPr>
                <w:rFonts w:hint="eastAsia"/>
                <w:color w:val="auto"/>
                <w:sz w:val="24"/>
                <w:highlight w:val="none"/>
              </w:rPr>
              <w:t>线路质量保障方案评价</w:t>
            </w:r>
          </w:p>
        </w:tc>
        <w:tc>
          <w:tcPr>
            <w:tcW w:w="7311" w:type="dxa"/>
            <w:shd w:val="clear" w:color="auto" w:fill="auto"/>
            <w:vAlign w:val="center"/>
          </w:tcPr>
          <w:p w14:paraId="6FAEA43D">
            <w:pPr>
              <w:adjustRightInd w:val="0"/>
              <w:snapToGrid w:val="0"/>
              <w:rPr>
                <w:rFonts w:cs="宋体"/>
                <w:color w:val="auto"/>
                <w:sz w:val="24"/>
                <w:szCs w:val="24"/>
                <w:highlight w:val="none"/>
                <w:lang w:val="zh-CN"/>
              </w:rPr>
            </w:pPr>
            <w:r>
              <w:rPr>
                <w:rFonts w:hint="eastAsia" w:cs="宋体"/>
                <w:color w:val="auto"/>
                <w:sz w:val="24"/>
                <w:szCs w:val="24"/>
                <w:highlight w:val="none"/>
                <w:lang w:val="zh-CN"/>
              </w:rPr>
              <w:t>至少包含保证带宽速率、数据连接畅通不丢包的解决方案</w:t>
            </w:r>
          </w:p>
          <w:p w14:paraId="61EEF143">
            <w:pPr>
              <w:widowControl/>
              <w:adjustRightInd w:val="0"/>
              <w:snapToGrid w:val="0"/>
              <w:rPr>
                <w:color w:val="auto"/>
                <w:kern w:val="0"/>
                <w:sz w:val="24"/>
                <w:szCs w:val="24"/>
                <w:highlight w:val="none"/>
              </w:rPr>
            </w:pPr>
            <w:r>
              <w:rPr>
                <w:rFonts w:hint="eastAsia"/>
                <w:color w:val="auto"/>
                <w:kern w:val="0"/>
                <w:sz w:val="24"/>
                <w:szCs w:val="24"/>
                <w:highlight w:val="none"/>
              </w:rPr>
              <w:t>满足本文件要求，无瑕疵得满分；</w:t>
            </w:r>
          </w:p>
          <w:p w14:paraId="71B1DA9B">
            <w:pPr>
              <w:adjustRightInd w:val="0"/>
              <w:snapToGrid w:val="0"/>
              <w:rPr>
                <w:rFonts w:cs="宋体"/>
                <w:color w:val="auto"/>
                <w:sz w:val="24"/>
                <w:szCs w:val="24"/>
                <w:highlight w:val="none"/>
                <w:lang w:val="zh-CN"/>
              </w:rPr>
            </w:pPr>
            <w:r>
              <w:rPr>
                <w:rFonts w:hint="eastAsia"/>
                <w:color w:val="auto"/>
                <w:kern w:val="0"/>
                <w:sz w:val="24"/>
                <w:szCs w:val="24"/>
                <w:highlight w:val="none"/>
              </w:rPr>
              <w:t>方案内容每出现1处瑕疵减3分，最低0分。</w:t>
            </w:r>
          </w:p>
        </w:tc>
        <w:tc>
          <w:tcPr>
            <w:tcW w:w="932" w:type="dxa"/>
            <w:shd w:val="clear" w:color="auto" w:fill="auto"/>
            <w:vAlign w:val="center"/>
          </w:tcPr>
          <w:p w14:paraId="2978B776">
            <w:pPr>
              <w:widowControl/>
              <w:adjustRightInd w:val="0"/>
              <w:snapToGrid w:val="0"/>
              <w:jc w:val="center"/>
              <w:rPr>
                <w:rFonts w:hint="default" w:eastAsia="宋体"/>
                <w:color w:val="auto"/>
                <w:kern w:val="0"/>
                <w:sz w:val="24"/>
                <w:szCs w:val="24"/>
                <w:highlight w:val="none"/>
                <w:lang w:val="en-US" w:eastAsia="zh-CN"/>
              </w:rPr>
            </w:pPr>
            <w:r>
              <w:rPr>
                <w:rFonts w:hint="eastAsia"/>
                <w:color w:val="auto"/>
                <w:kern w:val="0"/>
                <w:sz w:val="24"/>
                <w:szCs w:val="24"/>
                <w:highlight w:val="none"/>
                <w:lang w:val="en-US" w:eastAsia="zh-CN"/>
              </w:rPr>
              <w:t>15</w:t>
            </w:r>
          </w:p>
        </w:tc>
      </w:tr>
      <w:tr w14:paraId="115A3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shd w:val="clear" w:color="auto" w:fill="auto"/>
            <w:vAlign w:val="center"/>
          </w:tcPr>
          <w:p w14:paraId="55882301">
            <w:pPr>
              <w:widowControl/>
              <w:adjustRightInd w:val="0"/>
              <w:snapToGrid w:val="0"/>
              <w:jc w:val="center"/>
              <w:rPr>
                <w:color w:val="auto"/>
                <w:kern w:val="0"/>
                <w:sz w:val="24"/>
                <w:szCs w:val="24"/>
                <w:highlight w:val="none"/>
              </w:rPr>
            </w:pPr>
            <w:r>
              <w:rPr>
                <w:rFonts w:hint="eastAsia"/>
                <w:color w:val="auto"/>
                <w:kern w:val="0"/>
                <w:sz w:val="24"/>
                <w:szCs w:val="24"/>
                <w:highlight w:val="none"/>
              </w:rPr>
              <w:t>3</w:t>
            </w:r>
          </w:p>
        </w:tc>
        <w:tc>
          <w:tcPr>
            <w:tcW w:w="1419" w:type="dxa"/>
            <w:shd w:val="clear" w:color="auto" w:fill="auto"/>
            <w:vAlign w:val="center"/>
          </w:tcPr>
          <w:p w14:paraId="04826B50">
            <w:pPr>
              <w:widowControl/>
              <w:adjustRightInd w:val="0"/>
              <w:snapToGrid w:val="0"/>
              <w:jc w:val="center"/>
              <w:rPr>
                <w:color w:val="auto"/>
                <w:kern w:val="0"/>
                <w:sz w:val="24"/>
                <w:szCs w:val="24"/>
                <w:highlight w:val="none"/>
              </w:rPr>
            </w:pPr>
            <w:r>
              <w:rPr>
                <w:rFonts w:hint="eastAsia"/>
                <w:color w:val="auto"/>
                <w:sz w:val="24"/>
                <w:highlight w:val="none"/>
              </w:rPr>
              <w:t>运维服务方案评价</w:t>
            </w:r>
          </w:p>
        </w:tc>
        <w:tc>
          <w:tcPr>
            <w:tcW w:w="7311" w:type="dxa"/>
            <w:shd w:val="clear" w:color="auto" w:fill="auto"/>
            <w:vAlign w:val="center"/>
          </w:tcPr>
          <w:p w14:paraId="5C7F3611">
            <w:pPr>
              <w:adjustRightInd w:val="0"/>
              <w:snapToGrid w:val="0"/>
              <w:rPr>
                <w:rFonts w:cs="宋体"/>
                <w:color w:val="auto"/>
                <w:sz w:val="24"/>
                <w:szCs w:val="24"/>
                <w:highlight w:val="none"/>
                <w:lang w:val="zh-CN"/>
              </w:rPr>
            </w:pPr>
            <w:r>
              <w:rPr>
                <w:rFonts w:hint="eastAsia" w:cs="宋体"/>
                <w:color w:val="auto"/>
                <w:sz w:val="24"/>
                <w:szCs w:val="24"/>
                <w:highlight w:val="none"/>
                <w:lang w:val="zh-CN"/>
              </w:rPr>
              <w:t>至少包含运维管理服务人员资质，运维能力、运维经验、运维流程等方面</w:t>
            </w:r>
          </w:p>
          <w:p w14:paraId="3DBB2612">
            <w:pPr>
              <w:widowControl/>
              <w:adjustRightInd w:val="0"/>
              <w:snapToGrid w:val="0"/>
              <w:rPr>
                <w:color w:val="auto"/>
                <w:kern w:val="0"/>
                <w:sz w:val="24"/>
                <w:szCs w:val="24"/>
                <w:highlight w:val="none"/>
              </w:rPr>
            </w:pPr>
            <w:r>
              <w:rPr>
                <w:rFonts w:hint="eastAsia"/>
                <w:color w:val="auto"/>
                <w:kern w:val="0"/>
                <w:sz w:val="24"/>
                <w:szCs w:val="24"/>
                <w:highlight w:val="none"/>
              </w:rPr>
              <w:t>满足本文件要求，无瑕疵得满分；</w:t>
            </w:r>
          </w:p>
          <w:p w14:paraId="104E25BB">
            <w:pPr>
              <w:adjustRightInd w:val="0"/>
              <w:snapToGrid w:val="0"/>
              <w:rPr>
                <w:rFonts w:cs="宋体"/>
                <w:color w:val="auto"/>
                <w:sz w:val="24"/>
                <w:szCs w:val="24"/>
                <w:highlight w:val="none"/>
                <w:lang w:val="zh-CN"/>
              </w:rPr>
            </w:pPr>
            <w:r>
              <w:rPr>
                <w:rFonts w:hint="eastAsia"/>
                <w:color w:val="auto"/>
                <w:kern w:val="0"/>
                <w:sz w:val="24"/>
                <w:szCs w:val="24"/>
                <w:highlight w:val="none"/>
              </w:rPr>
              <w:t>方案内容每出现1处瑕疵减</w:t>
            </w:r>
            <w:r>
              <w:rPr>
                <w:rFonts w:hint="eastAsia"/>
                <w:color w:val="auto"/>
                <w:kern w:val="0"/>
                <w:sz w:val="24"/>
                <w:szCs w:val="24"/>
                <w:highlight w:val="none"/>
                <w:lang w:val="en-US" w:eastAsia="zh-CN"/>
              </w:rPr>
              <w:t>2.5</w:t>
            </w:r>
            <w:r>
              <w:rPr>
                <w:rFonts w:hint="eastAsia"/>
                <w:color w:val="auto"/>
                <w:kern w:val="0"/>
                <w:sz w:val="24"/>
                <w:szCs w:val="24"/>
                <w:highlight w:val="none"/>
              </w:rPr>
              <w:t>分，最低0分。</w:t>
            </w:r>
          </w:p>
        </w:tc>
        <w:tc>
          <w:tcPr>
            <w:tcW w:w="932" w:type="dxa"/>
            <w:shd w:val="clear" w:color="auto" w:fill="auto"/>
            <w:vAlign w:val="center"/>
          </w:tcPr>
          <w:p w14:paraId="6E8CA99C">
            <w:pPr>
              <w:widowControl/>
              <w:adjustRightInd w:val="0"/>
              <w:snapToGrid w:val="0"/>
              <w:jc w:val="center"/>
              <w:rPr>
                <w:rFonts w:hint="default" w:eastAsia="宋体"/>
                <w:color w:val="auto"/>
                <w:kern w:val="0"/>
                <w:sz w:val="24"/>
                <w:szCs w:val="24"/>
                <w:highlight w:val="none"/>
                <w:lang w:val="en-US" w:eastAsia="zh-CN"/>
              </w:rPr>
            </w:pPr>
            <w:r>
              <w:rPr>
                <w:rFonts w:hint="eastAsia"/>
                <w:color w:val="auto"/>
                <w:kern w:val="0"/>
                <w:sz w:val="24"/>
                <w:szCs w:val="24"/>
                <w:highlight w:val="none"/>
                <w:lang w:val="en-US" w:eastAsia="zh-CN"/>
              </w:rPr>
              <w:t>10</w:t>
            </w:r>
          </w:p>
        </w:tc>
      </w:tr>
      <w:tr w14:paraId="3967A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shd w:val="clear" w:color="auto" w:fill="auto"/>
            <w:vAlign w:val="center"/>
          </w:tcPr>
          <w:p w14:paraId="398468B4">
            <w:pPr>
              <w:widowControl/>
              <w:adjustRightInd w:val="0"/>
              <w:snapToGrid w:val="0"/>
              <w:jc w:val="center"/>
              <w:rPr>
                <w:color w:val="auto"/>
                <w:kern w:val="0"/>
                <w:sz w:val="24"/>
                <w:szCs w:val="24"/>
                <w:highlight w:val="none"/>
              </w:rPr>
            </w:pPr>
            <w:r>
              <w:rPr>
                <w:rFonts w:hint="eastAsia"/>
                <w:color w:val="auto"/>
                <w:kern w:val="0"/>
                <w:sz w:val="24"/>
                <w:szCs w:val="24"/>
                <w:highlight w:val="none"/>
              </w:rPr>
              <w:t>4</w:t>
            </w:r>
          </w:p>
        </w:tc>
        <w:tc>
          <w:tcPr>
            <w:tcW w:w="1419" w:type="dxa"/>
            <w:shd w:val="clear" w:color="auto" w:fill="auto"/>
            <w:vAlign w:val="center"/>
          </w:tcPr>
          <w:p w14:paraId="7E97A66E">
            <w:pPr>
              <w:widowControl/>
              <w:adjustRightInd w:val="0"/>
              <w:snapToGrid w:val="0"/>
              <w:jc w:val="center"/>
              <w:rPr>
                <w:color w:val="auto"/>
                <w:kern w:val="0"/>
                <w:sz w:val="24"/>
                <w:szCs w:val="24"/>
                <w:highlight w:val="none"/>
              </w:rPr>
            </w:pPr>
            <w:r>
              <w:rPr>
                <w:rFonts w:hint="eastAsia"/>
                <w:color w:val="auto"/>
                <w:kern w:val="0"/>
                <w:sz w:val="24"/>
                <w:szCs w:val="24"/>
                <w:highlight w:val="none"/>
              </w:rPr>
              <w:t>应急预案评价</w:t>
            </w:r>
          </w:p>
        </w:tc>
        <w:tc>
          <w:tcPr>
            <w:tcW w:w="7311" w:type="dxa"/>
            <w:shd w:val="clear" w:color="auto" w:fill="auto"/>
            <w:vAlign w:val="center"/>
          </w:tcPr>
          <w:p w14:paraId="2BAF5FAB">
            <w:pPr>
              <w:widowControl/>
              <w:adjustRightInd w:val="0"/>
              <w:snapToGrid w:val="0"/>
              <w:rPr>
                <w:color w:val="auto"/>
                <w:kern w:val="0"/>
                <w:sz w:val="24"/>
                <w:szCs w:val="24"/>
                <w:highlight w:val="none"/>
              </w:rPr>
            </w:pPr>
            <w:r>
              <w:rPr>
                <w:rFonts w:hint="eastAsia"/>
                <w:color w:val="auto"/>
                <w:kern w:val="0"/>
                <w:sz w:val="24"/>
                <w:szCs w:val="24"/>
                <w:highlight w:val="none"/>
              </w:rPr>
              <w:t>至少包含当出现不可预知紧急情况时（例如极端天气、线路物理损坏、链路接连</w:t>
            </w:r>
            <w:r>
              <w:rPr>
                <w:rFonts w:hint="eastAsia"/>
                <w:color w:val="auto"/>
                <w:kern w:val="0"/>
                <w:sz w:val="24"/>
                <w:szCs w:val="24"/>
                <w:highlight w:val="none"/>
              </w:rPr>
              <w:t>不畅，可根据项目具体情况列举），</w:t>
            </w:r>
            <w:r>
              <w:rPr>
                <w:rFonts w:hint="eastAsia"/>
                <w:color w:val="auto"/>
                <w:kern w:val="0"/>
                <w:sz w:val="24"/>
                <w:szCs w:val="24"/>
                <w:highlight w:val="none"/>
              </w:rPr>
              <w:t>如何保证服务正常运转或最大限度地缩短异常时间等措施。</w:t>
            </w:r>
          </w:p>
          <w:p w14:paraId="33001C09">
            <w:pPr>
              <w:widowControl/>
              <w:adjustRightInd w:val="0"/>
              <w:snapToGrid w:val="0"/>
              <w:rPr>
                <w:color w:val="auto"/>
                <w:kern w:val="0"/>
                <w:sz w:val="24"/>
                <w:szCs w:val="24"/>
                <w:highlight w:val="none"/>
              </w:rPr>
            </w:pPr>
            <w:r>
              <w:rPr>
                <w:rFonts w:hint="eastAsia"/>
                <w:color w:val="auto"/>
                <w:kern w:val="0"/>
                <w:sz w:val="24"/>
                <w:szCs w:val="24"/>
                <w:highlight w:val="none"/>
              </w:rPr>
              <w:t>满足本文件要求，无瑕疵得满分；</w:t>
            </w:r>
          </w:p>
          <w:p w14:paraId="2E65315E">
            <w:pPr>
              <w:adjustRightInd w:val="0"/>
              <w:snapToGrid w:val="0"/>
              <w:rPr>
                <w:rFonts w:cs="宋体"/>
                <w:color w:val="auto"/>
                <w:sz w:val="24"/>
                <w:szCs w:val="24"/>
                <w:highlight w:val="none"/>
                <w:lang w:val="zh-CN"/>
              </w:rPr>
            </w:pPr>
            <w:r>
              <w:rPr>
                <w:rFonts w:hint="eastAsia"/>
                <w:color w:val="auto"/>
                <w:kern w:val="0"/>
                <w:sz w:val="24"/>
                <w:szCs w:val="24"/>
                <w:highlight w:val="none"/>
              </w:rPr>
              <w:t>方案内容每出现1处瑕疵减</w:t>
            </w:r>
            <w:r>
              <w:rPr>
                <w:rFonts w:hint="eastAsia"/>
                <w:color w:val="auto"/>
                <w:kern w:val="0"/>
                <w:sz w:val="24"/>
                <w:szCs w:val="24"/>
                <w:highlight w:val="none"/>
                <w:lang w:val="en-US" w:eastAsia="zh-CN"/>
              </w:rPr>
              <w:t>2.5</w:t>
            </w:r>
            <w:r>
              <w:rPr>
                <w:rFonts w:hint="eastAsia"/>
                <w:color w:val="auto"/>
                <w:kern w:val="0"/>
                <w:sz w:val="24"/>
                <w:szCs w:val="24"/>
                <w:highlight w:val="none"/>
              </w:rPr>
              <w:t>分，最低0分。</w:t>
            </w:r>
          </w:p>
        </w:tc>
        <w:tc>
          <w:tcPr>
            <w:tcW w:w="932" w:type="dxa"/>
            <w:shd w:val="clear" w:color="auto" w:fill="auto"/>
            <w:vAlign w:val="center"/>
          </w:tcPr>
          <w:p w14:paraId="6BEC993F">
            <w:pPr>
              <w:widowControl/>
              <w:adjustRightInd w:val="0"/>
              <w:snapToGrid w:val="0"/>
              <w:jc w:val="center"/>
              <w:rPr>
                <w:rFonts w:hint="default" w:eastAsia="宋体"/>
                <w:color w:val="auto"/>
                <w:kern w:val="0"/>
                <w:sz w:val="24"/>
                <w:szCs w:val="24"/>
                <w:highlight w:val="none"/>
                <w:lang w:val="en-US" w:eastAsia="zh-CN"/>
              </w:rPr>
            </w:pPr>
            <w:r>
              <w:rPr>
                <w:rFonts w:hint="eastAsia"/>
                <w:color w:val="auto"/>
                <w:kern w:val="0"/>
                <w:sz w:val="24"/>
                <w:szCs w:val="24"/>
                <w:highlight w:val="none"/>
                <w:lang w:val="en-US" w:eastAsia="zh-CN"/>
              </w:rPr>
              <w:t>10</w:t>
            </w:r>
          </w:p>
        </w:tc>
      </w:tr>
      <w:tr w14:paraId="343F7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663" w:type="dxa"/>
            <w:shd w:val="clear" w:color="auto" w:fill="auto"/>
            <w:vAlign w:val="center"/>
          </w:tcPr>
          <w:p w14:paraId="1457D7FE">
            <w:pPr>
              <w:widowControl/>
              <w:adjustRightInd w:val="0"/>
              <w:snapToGrid w:val="0"/>
              <w:jc w:val="center"/>
              <w:rPr>
                <w:color w:val="auto"/>
                <w:kern w:val="0"/>
                <w:sz w:val="24"/>
                <w:szCs w:val="24"/>
                <w:highlight w:val="none"/>
              </w:rPr>
            </w:pPr>
            <w:r>
              <w:rPr>
                <w:rFonts w:hint="eastAsia"/>
                <w:color w:val="auto"/>
                <w:kern w:val="0"/>
                <w:sz w:val="24"/>
                <w:szCs w:val="24"/>
                <w:highlight w:val="none"/>
              </w:rPr>
              <w:t>5</w:t>
            </w:r>
          </w:p>
        </w:tc>
        <w:tc>
          <w:tcPr>
            <w:tcW w:w="1419" w:type="dxa"/>
            <w:shd w:val="clear" w:color="auto" w:fill="auto"/>
            <w:vAlign w:val="center"/>
          </w:tcPr>
          <w:p w14:paraId="395FCD40">
            <w:pPr>
              <w:widowControl/>
              <w:adjustRightInd w:val="0"/>
              <w:snapToGrid w:val="0"/>
              <w:jc w:val="center"/>
              <w:rPr>
                <w:color w:val="auto"/>
                <w:kern w:val="0"/>
                <w:sz w:val="24"/>
                <w:szCs w:val="24"/>
                <w:highlight w:val="none"/>
              </w:rPr>
            </w:pPr>
            <w:r>
              <w:rPr>
                <w:color w:val="auto"/>
                <w:sz w:val="24"/>
                <w:highlight w:val="none"/>
              </w:rPr>
              <w:t>投诉流程、满意度调查</w:t>
            </w:r>
            <w:r>
              <w:rPr>
                <w:rFonts w:hint="eastAsia"/>
                <w:color w:val="auto"/>
                <w:sz w:val="24"/>
                <w:highlight w:val="none"/>
              </w:rPr>
              <w:t>方案</w:t>
            </w:r>
            <w:r>
              <w:rPr>
                <w:color w:val="auto"/>
                <w:sz w:val="24"/>
                <w:highlight w:val="none"/>
              </w:rPr>
              <w:t>评价</w:t>
            </w:r>
          </w:p>
        </w:tc>
        <w:tc>
          <w:tcPr>
            <w:tcW w:w="7311" w:type="dxa"/>
            <w:shd w:val="clear" w:color="auto" w:fill="auto"/>
            <w:vAlign w:val="center"/>
          </w:tcPr>
          <w:p w14:paraId="7C7C4E21">
            <w:pPr>
              <w:widowControl/>
              <w:adjustRightInd w:val="0"/>
              <w:snapToGrid w:val="0"/>
              <w:rPr>
                <w:color w:val="auto"/>
                <w:kern w:val="0"/>
                <w:sz w:val="24"/>
                <w:szCs w:val="24"/>
                <w:highlight w:val="none"/>
              </w:rPr>
            </w:pPr>
            <w:r>
              <w:rPr>
                <w:rFonts w:hint="eastAsia"/>
                <w:color w:val="auto"/>
                <w:kern w:val="0"/>
                <w:sz w:val="24"/>
                <w:szCs w:val="24"/>
                <w:highlight w:val="none"/>
              </w:rPr>
              <w:t>至少包含投诉接受范围、投诉处理流程、满意度调查范围、满意度调查方法，提高服务对象满意度方案</w:t>
            </w:r>
          </w:p>
          <w:p w14:paraId="6799FB9D">
            <w:pPr>
              <w:widowControl/>
              <w:adjustRightInd w:val="0"/>
              <w:snapToGrid w:val="0"/>
              <w:rPr>
                <w:color w:val="auto"/>
                <w:kern w:val="0"/>
                <w:sz w:val="24"/>
                <w:szCs w:val="24"/>
                <w:highlight w:val="none"/>
              </w:rPr>
            </w:pPr>
            <w:r>
              <w:rPr>
                <w:rFonts w:hint="eastAsia"/>
                <w:color w:val="auto"/>
                <w:kern w:val="0"/>
                <w:sz w:val="24"/>
                <w:szCs w:val="24"/>
                <w:highlight w:val="none"/>
              </w:rPr>
              <w:t>满足本文件要求，无瑕疵得满分；</w:t>
            </w:r>
          </w:p>
          <w:p w14:paraId="1D9B5AF8">
            <w:pPr>
              <w:adjustRightInd w:val="0"/>
              <w:snapToGrid w:val="0"/>
              <w:rPr>
                <w:rFonts w:cs="宋体"/>
                <w:color w:val="auto"/>
                <w:sz w:val="24"/>
                <w:szCs w:val="24"/>
                <w:highlight w:val="none"/>
                <w:lang w:val="zh-CN"/>
              </w:rPr>
            </w:pPr>
            <w:r>
              <w:rPr>
                <w:rFonts w:hint="eastAsia"/>
                <w:color w:val="auto"/>
                <w:kern w:val="0"/>
                <w:sz w:val="24"/>
                <w:szCs w:val="24"/>
                <w:highlight w:val="none"/>
              </w:rPr>
              <w:t>方案内容每出现1处瑕疵减</w:t>
            </w:r>
            <w:r>
              <w:rPr>
                <w:rFonts w:hint="eastAsia"/>
                <w:color w:val="auto"/>
                <w:kern w:val="0"/>
                <w:sz w:val="24"/>
                <w:szCs w:val="24"/>
                <w:highlight w:val="none"/>
                <w:lang w:val="en-US" w:eastAsia="zh-CN"/>
              </w:rPr>
              <w:t>2.5</w:t>
            </w:r>
            <w:r>
              <w:rPr>
                <w:rFonts w:hint="eastAsia"/>
                <w:color w:val="auto"/>
                <w:kern w:val="0"/>
                <w:sz w:val="24"/>
                <w:szCs w:val="24"/>
                <w:highlight w:val="none"/>
              </w:rPr>
              <w:t>分，最低0分。</w:t>
            </w:r>
          </w:p>
        </w:tc>
        <w:tc>
          <w:tcPr>
            <w:tcW w:w="932" w:type="dxa"/>
            <w:shd w:val="clear" w:color="auto" w:fill="auto"/>
            <w:vAlign w:val="center"/>
          </w:tcPr>
          <w:p w14:paraId="03E15E68">
            <w:pPr>
              <w:widowControl/>
              <w:adjustRightInd w:val="0"/>
              <w:snapToGrid w:val="0"/>
              <w:jc w:val="center"/>
              <w:rPr>
                <w:rFonts w:hint="default" w:eastAsia="宋体"/>
                <w:color w:val="auto"/>
                <w:kern w:val="0"/>
                <w:sz w:val="24"/>
                <w:szCs w:val="24"/>
                <w:highlight w:val="none"/>
                <w:lang w:val="en-US" w:eastAsia="zh-CN"/>
              </w:rPr>
            </w:pPr>
            <w:r>
              <w:rPr>
                <w:rFonts w:hint="eastAsia"/>
                <w:color w:val="auto"/>
                <w:kern w:val="0"/>
                <w:sz w:val="24"/>
                <w:szCs w:val="24"/>
                <w:highlight w:val="none"/>
                <w:lang w:val="en-US" w:eastAsia="zh-CN"/>
              </w:rPr>
              <w:t>10</w:t>
            </w:r>
          </w:p>
        </w:tc>
      </w:tr>
      <w:tr w14:paraId="09C03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2082" w:type="dxa"/>
            <w:gridSpan w:val="2"/>
            <w:shd w:val="clear" w:color="auto" w:fill="auto"/>
            <w:vAlign w:val="center"/>
          </w:tcPr>
          <w:p w14:paraId="4DD59CB6">
            <w:pPr>
              <w:widowControl/>
              <w:adjustRightInd w:val="0"/>
              <w:snapToGrid w:val="0"/>
              <w:jc w:val="center"/>
              <w:rPr>
                <w:color w:val="auto"/>
                <w:sz w:val="24"/>
                <w:highlight w:val="none"/>
              </w:rPr>
            </w:pPr>
            <w:r>
              <w:rPr>
                <w:color w:val="auto"/>
                <w:sz w:val="24"/>
                <w:highlight w:val="none"/>
              </w:rPr>
              <w:t>合计</w:t>
            </w:r>
          </w:p>
        </w:tc>
        <w:tc>
          <w:tcPr>
            <w:tcW w:w="7311" w:type="dxa"/>
            <w:shd w:val="clear" w:color="auto" w:fill="auto"/>
            <w:vAlign w:val="center"/>
          </w:tcPr>
          <w:p w14:paraId="6834FE0E">
            <w:pPr>
              <w:widowControl/>
              <w:adjustRightInd w:val="0"/>
              <w:snapToGrid w:val="0"/>
              <w:jc w:val="center"/>
              <w:rPr>
                <w:rFonts w:cs="宋体"/>
                <w:color w:val="auto"/>
                <w:sz w:val="24"/>
                <w:szCs w:val="24"/>
                <w:highlight w:val="none"/>
                <w:lang w:val="zh-CN"/>
              </w:rPr>
            </w:pPr>
            <w:r>
              <w:rPr>
                <w:color w:val="auto"/>
                <w:sz w:val="24"/>
                <w:highlight w:val="none"/>
              </w:rPr>
              <w:t>合计</w:t>
            </w:r>
          </w:p>
        </w:tc>
        <w:tc>
          <w:tcPr>
            <w:tcW w:w="932" w:type="dxa"/>
            <w:shd w:val="clear" w:color="auto" w:fill="auto"/>
            <w:vAlign w:val="center"/>
          </w:tcPr>
          <w:p w14:paraId="008F6242">
            <w:pPr>
              <w:widowControl/>
              <w:adjustRightInd w:val="0"/>
              <w:snapToGrid w:val="0"/>
              <w:jc w:val="center"/>
              <w:rPr>
                <w:color w:val="auto"/>
                <w:kern w:val="0"/>
                <w:sz w:val="24"/>
                <w:szCs w:val="24"/>
                <w:highlight w:val="none"/>
              </w:rPr>
            </w:pPr>
            <w:r>
              <w:rPr>
                <w:color w:val="auto"/>
                <w:kern w:val="0"/>
                <w:sz w:val="24"/>
                <w:szCs w:val="24"/>
                <w:highlight w:val="none"/>
              </w:rPr>
              <w:t>100</w:t>
            </w:r>
          </w:p>
        </w:tc>
      </w:tr>
    </w:tbl>
    <w:p w14:paraId="2551AE4E">
      <w:pPr>
        <w:spacing w:line="360" w:lineRule="auto"/>
        <w:ind w:firstLine="448" w:firstLineChars="200"/>
        <w:outlineLvl w:val="0"/>
        <w:rPr>
          <w:color w:val="auto"/>
          <w:sz w:val="24"/>
          <w:highlight w:val="none"/>
        </w:rPr>
      </w:pPr>
      <w:r>
        <w:rPr>
          <w:rFonts w:hint="eastAsia"/>
          <w:color w:val="auto"/>
          <w:kern w:val="0"/>
          <w:sz w:val="24"/>
          <w:szCs w:val="24"/>
          <w:highlight w:val="none"/>
        </w:rPr>
        <w:t>主观分中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p w14:paraId="3C253AB8">
      <w:pPr>
        <w:widowControl/>
        <w:jc w:val="left"/>
        <w:rPr>
          <w:color w:val="auto"/>
          <w:sz w:val="24"/>
          <w:highlight w:val="none"/>
        </w:rPr>
      </w:pPr>
      <w:r>
        <w:rPr>
          <w:color w:val="auto"/>
          <w:sz w:val="24"/>
          <w:highlight w:val="none"/>
        </w:rPr>
        <w:br w:type="page"/>
      </w:r>
    </w:p>
    <w:p w14:paraId="5268596A">
      <w:pPr>
        <w:spacing w:line="360" w:lineRule="auto"/>
        <w:jc w:val="center"/>
        <w:outlineLvl w:val="0"/>
        <w:rPr>
          <w:rFonts w:hint="default" w:eastAsia="宋体"/>
          <w:color w:val="auto"/>
          <w:sz w:val="24"/>
          <w:highlight w:val="none"/>
          <w:lang w:val="en-US" w:eastAsia="zh-CN"/>
        </w:rPr>
      </w:pPr>
      <w:r>
        <w:rPr>
          <w:rFonts w:hint="eastAsia"/>
          <w:color w:val="auto"/>
          <w:sz w:val="24"/>
          <w:highlight w:val="none"/>
          <w:lang w:val="en-US" w:eastAsia="zh-CN"/>
        </w:rPr>
        <w:t>项目需求书</w:t>
      </w:r>
    </w:p>
    <w:p w14:paraId="2234C954">
      <w:pPr>
        <w:spacing w:line="360" w:lineRule="auto"/>
        <w:ind w:firstLine="448" w:firstLineChars="200"/>
        <w:outlineLvl w:val="0"/>
        <w:rPr>
          <w:color w:val="auto"/>
          <w:sz w:val="24"/>
          <w:highlight w:val="none"/>
        </w:rPr>
      </w:pPr>
      <w:r>
        <w:rPr>
          <w:color w:val="auto"/>
          <w:sz w:val="24"/>
          <w:highlight w:val="none"/>
        </w:rPr>
        <w:t>第一包：</w:t>
      </w:r>
    </w:p>
    <w:p w14:paraId="75C8ED21">
      <w:pPr>
        <w:spacing w:line="360" w:lineRule="auto"/>
        <w:ind w:firstLine="448" w:firstLineChars="200"/>
        <w:outlineLvl w:val="0"/>
        <w:rPr>
          <w:color w:val="auto"/>
          <w:sz w:val="24"/>
          <w:highlight w:val="none"/>
        </w:rPr>
      </w:pPr>
      <w:r>
        <w:rPr>
          <w:rFonts w:hint="eastAsia"/>
          <w:color w:val="auto"/>
          <w:sz w:val="24"/>
          <w:highlight w:val="none"/>
        </w:rPr>
        <w:t>1）专线技术要求：</w:t>
      </w:r>
    </w:p>
    <w:p w14:paraId="3D3A411D">
      <w:pPr>
        <w:spacing w:line="360" w:lineRule="auto"/>
        <w:ind w:firstLine="448" w:firstLineChars="200"/>
        <w:outlineLvl w:val="0"/>
        <w:rPr>
          <w:color w:val="auto"/>
          <w:sz w:val="24"/>
          <w:highlight w:val="none"/>
        </w:rPr>
      </w:pPr>
      <w:r>
        <w:rPr>
          <w:rFonts w:hint="eastAsia" w:cs="宋体"/>
          <w:color w:val="auto"/>
          <w:kern w:val="0"/>
          <w:sz w:val="24"/>
          <w:szCs w:val="24"/>
          <w:highlight w:val="none"/>
        </w:rPr>
        <w:t>★1、</w:t>
      </w:r>
      <w:r>
        <w:rPr>
          <w:rFonts w:hint="eastAsia"/>
          <w:color w:val="auto"/>
          <w:kern w:val="0"/>
          <w:sz w:val="24"/>
          <w:szCs w:val="24"/>
          <w:highlight w:val="none"/>
        </w:rPr>
        <w:t>天津市医疗保障局到天津市税务局间</w:t>
      </w:r>
      <w:r>
        <w:rPr>
          <w:rFonts w:hint="eastAsia" w:cs="宋体"/>
          <w:color w:val="auto"/>
          <w:kern w:val="0"/>
          <w:sz w:val="24"/>
          <w:szCs w:val="24"/>
          <w:highlight w:val="none"/>
        </w:rPr>
        <w:t>使用专线链路，带宽50M。</w:t>
      </w:r>
    </w:p>
    <w:p w14:paraId="6C66382A">
      <w:pPr>
        <w:spacing w:line="360" w:lineRule="auto"/>
        <w:ind w:firstLine="672" w:firstLineChars="300"/>
        <w:outlineLvl w:val="0"/>
        <w:rPr>
          <w:rFonts w:cs="宋体"/>
          <w:color w:val="auto"/>
          <w:kern w:val="0"/>
          <w:sz w:val="24"/>
          <w:szCs w:val="24"/>
          <w:highlight w:val="none"/>
        </w:rPr>
      </w:pPr>
      <w:r>
        <w:rPr>
          <w:rFonts w:hint="eastAsia" w:cs="宋体"/>
          <w:color w:val="auto"/>
          <w:kern w:val="0"/>
          <w:sz w:val="24"/>
          <w:szCs w:val="24"/>
          <w:highlight w:val="none"/>
        </w:rPr>
        <w:t>2、各项服务时间2年，提供数据专线迁移服务一次。</w:t>
      </w:r>
    </w:p>
    <w:p w14:paraId="3674D005">
      <w:pPr>
        <w:spacing w:line="360" w:lineRule="auto"/>
        <w:ind w:firstLine="448" w:firstLineChars="200"/>
        <w:outlineLvl w:val="0"/>
        <w:rPr>
          <w:color w:val="auto"/>
          <w:sz w:val="24"/>
          <w:highlight w:val="none"/>
        </w:rPr>
      </w:pPr>
      <w:r>
        <w:rPr>
          <w:rFonts w:hint="eastAsia"/>
          <w:color w:val="auto"/>
          <w:sz w:val="24"/>
          <w:highlight w:val="none"/>
        </w:rPr>
        <w:t>3、派出具有同类型项目经验、能力较强的人员负责该项目的组织及实施，投标文件中列出拟参加项目的自有人员名单、基本信息、工作内容。</w:t>
      </w:r>
    </w:p>
    <w:p w14:paraId="3683A3A7">
      <w:pPr>
        <w:spacing w:line="360" w:lineRule="auto"/>
        <w:ind w:firstLine="448" w:firstLineChars="200"/>
        <w:outlineLvl w:val="0"/>
        <w:rPr>
          <w:color w:val="auto"/>
          <w:sz w:val="24"/>
          <w:highlight w:val="none"/>
        </w:rPr>
      </w:pPr>
      <w:r>
        <w:rPr>
          <w:rFonts w:hint="eastAsia"/>
          <w:color w:val="auto"/>
          <w:sz w:val="24"/>
          <w:highlight w:val="none"/>
        </w:rPr>
        <w:t>4、建立完备的资料档案，待网络建设完毕后，将对相应的电路、设备进行标记，以保证相关维护资料的准确性；建立详细、完备的线路相关资料档案和网络运行档案。</w:t>
      </w:r>
    </w:p>
    <w:p w14:paraId="3C5C34A2">
      <w:pPr>
        <w:spacing w:line="360" w:lineRule="auto"/>
        <w:ind w:firstLine="448" w:firstLineChars="200"/>
        <w:outlineLvl w:val="0"/>
        <w:rPr>
          <w:color w:val="auto"/>
          <w:sz w:val="24"/>
          <w:highlight w:val="none"/>
        </w:rPr>
      </w:pPr>
      <w:r>
        <w:rPr>
          <w:rFonts w:hint="eastAsia"/>
          <w:color w:val="auto"/>
          <w:sz w:val="24"/>
          <w:highlight w:val="none"/>
        </w:rPr>
        <w:t>5、服务期限到期后，应无条件协助线路的迁移工作。</w:t>
      </w:r>
    </w:p>
    <w:p w14:paraId="02FC577B">
      <w:pPr>
        <w:spacing w:line="360" w:lineRule="auto"/>
        <w:ind w:firstLine="448" w:firstLineChars="200"/>
        <w:outlineLvl w:val="0"/>
        <w:rPr>
          <w:color w:val="auto"/>
          <w:sz w:val="24"/>
          <w:highlight w:val="none"/>
        </w:rPr>
      </w:pPr>
      <w:r>
        <w:rPr>
          <w:rFonts w:hint="eastAsia"/>
          <w:color w:val="auto"/>
          <w:sz w:val="24"/>
          <w:highlight w:val="none"/>
        </w:rPr>
        <w:t>2）运维服务要求</w:t>
      </w:r>
    </w:p>
    <w:p w14:paraId="7A73EFAF">
      <w:pPr>
        <w:spacing w:line="360" w:lineRule="auto"/>
        <w:ind w:firstLine="448" w:firstLineChars="200"/>
        <w:outlineLvl w:val="0"/>
        <w:rPr>
          <w:color w:val="auto"/>
          <w:sz w:val="24"/>
          <w:highlight w:val="none"/>
        </w:rPr>
      </w:pPr>
      <w:r>
        <w:rPr>
          <w:rFonts w:hint="eastAsia"/>
          <w:color w:val="auto"/>
          <w:sz w:val="24"/>
          <w:highlight w:val="none"/>
        </w:rPr>
        <w:t>1、中标单位应在项目建设方案中说明技术指导和技术支持的范围和程度，投标方应提供技术服务流程、技术支持与售后服务体系，需根据本次招标文件所制定的目标和范围，提出相应的技术支持服务和售后服务方案。</w:t>
      </w:r>
    </w:p>
    <w:p w14:paraId="7913392A">
      <w:pPr>
        <w:spacing w:line="360" w:lineRule="auto"/>
        <w:ind w:firstLine="448" w:firstLineChars="200"/>
        <w:outlineLvl w:val="0"/>
        <w:rPr>
          <w:color w:val="auto"/>
          <w:sz w:val="24"/>
          <w:highlight w:val="none"/>
        </w:rPr>
      </w:pPr>
      <w:r>
        <w:rPr>
          <w:rFonts w:hint="eastAsia"/>
          <w:color w:val="auto"/>
          <w:sz w:val="24"/>
          <w:highlight w:val="none"/>
        </w:rPr>
        <w:t>2、提供便捷化的服务方案。提供定期售后服务联席会议，定期与采购人共同对售后服务的质量进行检查和评估，发现现状和目标的差距、系统和流程问题，完善服务措施。</w:t>
      </w:r>
    </w:p>
    <w:p w14:paraId="36D48CA3">
      <w:pPr>
        <w:spacing w:line="360" w:lineRule="auto"/>
        <w:ind w:firstLine="448" w:firstLineChars="200"/>
        <w:outlineLvl w:val="0"/>
        <w:rPr>
          <w:color w:val="auto"/>
          <w:sz w:val="24"/>
          <w:highlight w:val="none"/>
        </w:rPr>
      </w:pPr>
      <w:r>
        <w:rPr>
          <w:rFonts w:hint="eastAsia"/>
          <w:color w:val="auto"/>
          <w:sz w:val="24"/>
          <w:highlight w:val="none"/>
        </w:rPr>
        <w:t>3、提供灵活、多样的通信手段（包括但不限于场地、设备及人员、专用服务电话），保证在任何时候招标方人员都能及时找到投标方的服务人员。如遇现场人员无法解决的问题或招标方认为需要，中标单位的技术人员应在2小时内赶到现场支持。</w:t>
      </w:r>
    </w:p>
    <w:p w14:paraId="11BEAF0E">
      <w:pPr>
        <w:spacing w:line="360" w:lineRule="auto"/>
        <w:ind w:firstLine="448" w:firstLineChars="200"/>
        <w:outlineLvl w:val="0"/>
        <w:rPr>
          <w:color w:val="auto"/>
          <w:sz w:val="24"/>
          <w:highlight w:val="none"/>
        </w:rPr>
      </w:pPr>
      <w:r>
        <w:rPr>
          <w:rFonts w:hint="eastAsia"/>
          <w:color w:val="auto"/>
          <w:sz w:val="24"/>
          <w:highlight w:val="none"/>
        </w:rPr>
        <w:t>4、应承诺对采购人的故障申告响应时间小于15分钟。</w:t>
      </w:r>
    </w:p>
    <w:p w14:paraId="408A346F">
      <w:pPr>
        <w:spacing w:line="360" w:lineRule="auto"/>
        <w:ind w:firstLine="448" w:firstLineChars="200"/>
        <w:outlineLvl w:val="0"/>
        <w:rPr>
          <w:color w:val="auto"/>
          <w:sz w:val="24"/>
          <w:highlight w:val="none"/>
        </w:rPr>
      </w:pPr>
      <w:r>
        <w:rPr>
          <w:rFonts w:hint="eastAsia"/>
          <w:color w:val="auto"/>
          <w:sz w:val="24"/>
          <w:highlight w:val="none"/>
        </w:rPr>
        <w:t>5、运维团队成员需包括项目经理1人，技术专家2人，其他专业技术人员不少于8人。</w:t>
      </w:r>
    </w:p>
    <w:p w14:paraId="25D1B23E">
      <w:pPr>
        <w:spacing w:line="360" w:lineRule="auto"/>
        <w:ind w:firstLine="896" w:firstLineChars="400"/>
        <w:outlineLvl w:val="0"/>
        <w:rPr>
          <w:color w:val="auto"/>
          <w:sz w:val="24"/>
          <w:highlight w:val="none"/>
        </w:rPr>
      </w:pPr>
      <w:r>
        <w:rPr>
          <w:rFonts w:hint="eastAsia"/>
          <w:color w:val="auto"/>
          <w:sz w:val="24"/>
          <w:highlight w:val="none"/>
        </w:rPr>
        <w:t>三、线路质量保证要求</w:t>
      </w:r>
    </w:p>
    <w:p w14:paraId="496AA148">
      <w:pPr>
        <w:spacing w:line="360" w:lineRule="auto"/>
        <w:ind w:firstLine="448" w:firstLineChars="200"/>
        <w:outlineLvl w:val="0"/>
        <w:rPr>
          <w:color w:val="auto"/>
          <w:sz w:val="24"/>
          <w:highlight w:val="none"/>
        </w:rPr>
      </w:pPr>
      <w:r>
        <w:rPr>
          <w:rFonts w:hint="eastAsia"/>
          <w:color w:val="auto"/>
          <w:sz w:val="24"/>
          <w:highlight w:val="none"/>
        </w:rPr>
        <w:t>1、按原信息产业部颁布的《电信服务规范》的电路质量要求，保证服务质量。若合同执行期间出台新的法律法规和服务标准，需与采购人协商修改服务协议或按照新的法律法规和服务标准执行。</w:t>
      </w:r>
    </w:p>
    <w:p w14:paraId="143EFDE6">
      <w:pPr>
        <w:spacing w:line="360" w:lineRule="auto"/>
        <w:ind w:firstLine="448" w:firstLineChars="200"/>
        <w:outlineLvl w:val="0"/>
        <w:rPr>
          <w:color w:val="auto"/>
          <w:sz w:val="24"/>
          <w:highlight w:val="none"/>
        </w:rPr>
      </w:pPr>
      <w:r>
        <w:rPr>
          <w:rFonts w:hint="eastAsia"/>
          <w:color w:val="auto"/>
          <w:sz w:val="24"/>
          <w:highlight w:val="none"/>
        </w:rPr>
        <w:t>2、投标人如需中断线路，应提前48小时通知采购人，经协商同意后实施，并不能影响采购人的正常业务。</w:t>
      </w:r>
    </w:p>
    <w:p w14:paraId="1182C4C2">
      <w:pPr>
        <w:spacing w:line="360" w:lineRule="auto"/>
        <w:ind w:firstLine="448" w:firstLineChars="200"/>
        <w:outlineLvl w:val="0"/>
        <w:rPr>
          <w:color w:val="auto"/>
          <w:sz w:val="24"/>
          <w:highlight w:val="none"/>
        </w:rPr>
      </w:pPr>
      <w:r>
        <w:rPr>
          <w:rFonts w:hint="eastAsia"/>
          <w:color w:val="auto"/>
          <w:sz w:val="24"/>
          <w:highlight w:val="none"/>
        </w:rPr>
        <w:t>3、应按采购人要求免费提供重要时段的特殊保障，具体包括春节、元宵节、两会、劳动节、国庆节等重点时间段及紧急情况的24小时专人电话响应、故障保修、故障处理等应急保障服务。</w:t>
      </w:r>
    </w:p>
    <w:p w14:paraId="30786DD6">
      <w:pPr>
        <w:spacing w:line="360" w:lineRule="auto"/>
        <w:ind w:firstLine="448" w:firstLineChars="200"/>
        <w:outlineLvl w:val="0"/>
        <w:rPr>
          <w:color w:val="auto"/>
          <w:sz w:val="24"/>
          <w:highlight w:val="none"/>
        </w:rPr>
      </w:pPr>
      <w:r>
        <w:rPr>
          <w:rFonts w:hint="eastAsia"/>
          <w:color w:val="auto"/>
          <w:sz w:val="24"/>
          <w:highlight w:val="none"/>
        </w:rPr>
        <w:t>4、应提供日常巡检服务，对业务线路运行情况开展主动性、预防性的检查，对涉及的设备告警、性能、运行状态进行检查分析和处理。</w:t>
      </w:r>
    </w:p>
    <w:p w14:paraId="2A7A4734">
      <w:pPr>
        <w:spacing w:line="360" w:lineRule="auto"/>
        <w:ind w:firstLine="672" w:firstLineChars="300"/>
        <w:outlineLvl w:val="0"/>
        <w:rPr>
          <w:color w:val="auto"/>
          <w:sz w:val="24"/>
          <w:highlight w:val="none"/>
        </w:rPr>
      </w:pPr>
      <w:r>
        <w:rPr>
          <w:color w:val="auto"/>
          <w:sz w:val="24"/>
          <w:highlight w:val="none"/>
        </w:rPr>
        <w:t>四、其他要求</w:t>
      </w:r>
    </w:p>
    <w:p w14:paraId="764A9990">
      <w:pPr>
        <w:spacing w:line="360" w:lineRule="auto"/>
        <w:ind w:firstLine="448" w:firstLineChars="200"/>
        <w:outlineLvl w:val="0"/>
        <w:rPr>
          <w:color w:val="auto"/>
          <w:sz w:val="24"/>
          <w:highlight w:val="none"/>
        </w:rPr>
      </w:pPr>
      <w:r>
        <w:rPr>
          <w:rFonts w:hint="eastAsia"/>
          <w:color w:val="auto"/>
          <w:sz w:val="24"/>
          <w:highlight w:val="none"/>
        </w:rPr>
        <w:t>1、应具备应急通信的能力，制定完善的紧急故障处理流程及应急方案，如遇不可抗力因素（如地震、洪水等）造成的线路阻断，投标人应在短期内采用应急手段恢复通信。</w:t>
      </w:r>
    </w:p>
    <w:p w14:paraId="235B4B2F">
      <w:pPr>
        <w:spacing w:line="360" w:lineRule="auto"/>
        <w:ind w:firstLine="448" w:firstLineChars="200"/>
        <w:outlineLvl w:val="0"/>
        <w:rPr>
          <w:color w:val="auto"/>
          <w:sz w:val="24"/>
          <w:highlight w:val="none"/>
        </w:rPr>
      </w:pPr>
      <w:r>
        <w:rPr>
          <w:rFonts w:hint="eastAsia"/>
          <w:color w:val="auto"/>
          <w:sz w:val="24"/>
          <w:highlight w:val="none"/>
        </w:rPr>
        <w:t>2、中标单位要能在充分理解本项目的基础上，对可能出现的各类风险进行评估和制定应对措施，以保证本项目的顺利交付服务。</w:t>
      </w:r>
    </w:p>
    <w:p w14:paraId="7198C0A4">
      <w:pPr>
        <w:spacing w:line="360" w:lineRule="auto"/>
        <w:ind w:firstLine="448" w:firstLineChars="200"/>
        <w:outlineLvl w:val="0"/>
        <w:rPr>
          <w:color w:val="auto"/>
          <w:sz w:val="24"/>
          <w:highlight w:val="none"/>
        </w:rPr>
      </w:pPr>
      <w:r>
        <w:rPr>
          <w:rFonts w:hint="eastAsia"/>
          <w:color w:val="auto"/>
          <w:sz w:val="24"/>
          <w:highlight w:val="none"/>
        </w:rPr>
        <w:t>3.中标供应商必须对项目技术文件以及由采购人提供的所有内部资料、技术文档和信息予以保密。在本次项目实施过程中采购人向中标供应商提供的所有有关的采购人资料、信息和数据，均属于中标供应商应严格保密的范围。对于这些资料、信息和数据，中标供应商应给予严格保密，未经采购人书面同意，不得向第三方（包括项目组之外乙方人员）透露。</w:t>
      </w:r>
    </w:p>
    <w:p w14:paraId="35E432A7">
      <w:pPr>
        <w:spacing w:line="360" w:lineRule="auto"/>
        <w:ind w:firstLine="448" w:firstLineChars="200"/>
        <w:outlineLvl w:val="0"/>
        <w:rPr>
          <w:color w:val="auto"/>
          <w:sz w:val="24"/>
          <w:highlight w:val="none"/>
        </w:rPr>
      </w:pPr>
      <w:r>
        <w:rPr>
          <w:color w:val="auto"/>
          <w:sz w:val="24"/>
          <w:highlight w:val="none"/>
        </w:rPr>
        <w:t>第</w:t>
      </w:r>
      <w:r>
        <w:rPr>
          <w:rFonts w:hint="eastAsia"/>
          <w:color w:val="auto"/>
          <w:sz w:val="24"/>
          <w:highlight w:val="none"/>
        </w:rPr>
        <w:t>二</w:t>
      </w:r>
      <w:r>
        <w:rPr>
          <w:color w:val="auto"/>
          <w:sz w:val="24"/>
          <w:highlight w:val="none"/>
        </w:rPr>
        <w:t>包：</w:t>
      </w:r>
    </w:p>
    <w:p w14:paraId="4EA51217">
      <w:pPr>
        <w:spacing w:line="360" w:lineRule="auto"/>
        <w:ind w:firstLine="448" w:firstLineChars="200"/>
        <w:outlineLvl w:val="0"/>
        <w:rPr>
          <w:color w:val="auto"/>
          <w:sz w:val="24"/>
          <w:highlight w:val="none"/>
        </w:rPr>
      </w:pPr>
      <w:r>
        <w:rPr>
          <w:rFonts w:hint="eastAsia"/>
          <w:color w:val="auto"/>
          <w:sz w:val="24"/>
          <w:highlight w:val="none"/>
        </w:rPr>
        <w:t>1）专线技术要求：</w:t>
      </w:r>
    </w:p>
    <w:p w14:paraId="3705633C">
      <w:pPr>
        <w:spacing w:line="360" w:lineRule="auto"/>
        <w:ind w:firstLine="448" w:firstLineChars="200"/>
        <w:outlineLvl w:val="0"/>
        <w:rPr>
          <w:color w:val="auto"/>
          <w:sz w:val="24"/>
          <w:highlight w:val="none"/>
        </w:rPr>
      </w:pPr>
      <w:r>
        <w:rPr>
          <w:rFonts w:hint="eastAsia" w:cs="宋体"/>
          <w:color w:val="auto"/>
          <w:kern w:val="0"/>
          <w:sz w:val="24"/>
          <w:szCs w:val="24"/>
          <w:highlight w:val="none"/>
        </w:rPr>
        <w:t>★1、</w:t>
      </w:r>
      <w:r>
        <w:rPr>
          <w:rFonts w:hint="eastAsia"/>
          <w:color w:val="auto"/>
          <w:kern w:val="0"/>
          <w:sz w:val="24"/>
          <w:szCs w:val="24"/>
          <w:highlight w:val="none"/>
        </w:rPr>
        <w:t>天津市医疗保障局到天津市税务局间</w:t>
      </w:r>
      <w:r>
        <w:rPr>
          <w:rFonts w:hint="eastAsia" w:cs="宋体"/>
          <w:color w:val="auto"/>
          <w:kern w:val="0"/>
          <w:sz w:val="24"/>
          <w:szCs w:val="24"/>
          <w:highlight w:val="none"/>
        </w:rPr>
        <w:t>使用专线链路，带宽50M。</w:t>
      </w:r>
    </w:p>
    <w:p w14:paraId="3457E9BC">
      <w:pPr>
        <w:spacing w:line="360" w:lineRule="auto"/>
        <w:ind w:firstLine="672" w:firstLineChars="300"/>
        <w:outlineLvl w:val="0"/>
        <w:rPr>
          <w:rFonts w:cs="宋体"/>
          <w:color w:val="auto"/>
          <w:kern w:val="0"/>
          <w:sz w:val="24"/>
          <w:szCs w:val="24"/>
          <w:highlight w:val="none"/>
        </w:rPr>
      </w:pPr>
      <w:r>
        <w:rPr>
          <w:rFonts w:hint="eastAsia" w:cs="宋体"/>
          <w:color w:val="auto"/>
          <w:kern w:val="0"/>
          <w:sz w:val="24"/>
          <w:szCs w:val="24"/>
          <w:highlight w:val="none"/>
        </w:rPr>
        <w:t>2、各项服务时间2年，提供数据专线迁移服务一次。</w:t>
      </w:r>
    </w:p>
    <w:p w14:paraId="6A8573C4">
      <w:pPr>
        <w:spacing w:line="360" w:lineRule="auto"/>
        <w:ind w:firstLine="448" w:firstLineChars="200"/>
        <w:outlineLvl w:val="0"/>
        <w:rPr>
          <w:color w:val="auto"/>
          <w:sz w:val="24"/>
          <w:highlight w:val="none"/>
        </w:rPr>
      </w:pPr>
      <w:r>
        <w:rPr>
          <w:rFonts w:hint="eastAsia"/>
          <w:color w:val="auto"/>
          <w:sz w:val="24"/>
          <w:highlight w:val="none"/>
        </w:rPr>
        <w:t>3、派出具有同类型项目经验、能力较强的人员负责该项目的组织及实施，投标文件中列出拟参加项目的自有人员名单、基本信息、工作内容。</w:t>
      </w:r>
    </w:p>
    <w:p w14:paraId="795D7F78">
      <w:pPr>
        <w:spacing w:line="360" w:lineRule="auto"/>
        <w:ind w:firstLine="448" w:firstLineChars="200"/>
        <w:outlineLvl w:val="0"/>
        <w:rPr>
          <w:color w:val="auto"/>
          <w:sz w:val="24"/>
          <w:highlight w:val="none"/>
        </w:rPr>
      </w:pPr>
      <w:r>
        <w:rPr>
          <w:rFonts w:hint="eastAsia"/>
          <w:color w:val="auto"/>
          <w:sz w:val="24"/>
          <w:highlight w:val="none"/>
        </w:rPr>
        <w:t>4、建立完备的资料档案，待网络建设完毕后，将对相应的电路、设备进行标记，以保证相关维护资料的准确性；建立详细、完备的线路相关资料档案和网络运行档案。</w:t>
      </w:r>
    </w:p>
    <w:p w14:paraId="6E6D3221">
      <w:pPr>
        <w:spacing w:line="360" w:lineRule="auto"/>
        <w:ind w:firstLine="448" w:firstLineChars="200"/>
        <w:outlineLvl w:val="0"/>
        <w:rPr>
          <w:color w:val="auto"/>
          <w:sz w:val="24"/>
          <w:highlight w:val="none"/>
        </w:rPr>
      </w:pPr>
      <w:r>
        <w:rPr>
          <w:rFonts w:hint="eastAsia"/>
          <w:color w:val="auto"/>
          <w:sz w:val="24"/>
          <w:highlight w:val="none"/>
        </w:rPr>
        <w:t>5、服务期限到期后，应无条件协助线路的迁移工作。</w:t>
      </w:r>
    </w:p>
    <w:p w14:paraId="1020B2C8">
      <w:pPr>
        <w:spacing w:line="360" w:lineRule="auto"/>
        <w:ind w:firstLine="448" w:firstLineChars="200"/>
        <w:outlineLvl w:val="0"/>
        <w:rPr>
          <w:color w:val="auto"/>
          <w:sz w:val="24"/>
          <w:highlight w:val="none"/>
        </w:rPr>
      </w:pPr>
      <w:r>
        <w:rPr>
          <w:rFonts w:hint="eastAsia"/>
          <w:color w:val="auto"/>
          <w:sz w:val="24"/>
          <w:highlight w:val="none"/>
        </w:rPr>
        <w:t>2）运维服务要求</w:t>
      </w:r>
    </w:p>
    <w:p w14:paraId="33C86557">
      <w:pPr>
        <w:spacing w:line="360" w:lineRule="auto"/>
        <w:ind w:firstLine="448" w:firstLineChars="200"/>
        <w:outlineLvl w:val="0"/>
        <w:rPr>
          <w:color w:val="auto"/>
          <w:sz w:val="24"/>
          <w:highlight w:val="none"/>
        </w:rPr>
      </w:pPr>
      <w:r>
        <w:rPr>
          <w:rFonts w:hint="eastAsia"/>
          <w:color w:val="auto"/>
          <w:sz w:val="24"/>
          <w:highlight w:val="none"/>
        </w:rPr>
        <w:t>1、中标单位应在项目建设方案中说明技术指导和技术支持的范围和程度，投标方应提供技术服务流程、技术支持与售后服务体系，需根据本次招标文件所制定的目标和范围，提出相应的技术支持服务和售后服务方案。</w:t>
      </w:r>
    </w:p>
    <w:p w14:paraId="0BE05093">
      <w:pPr>
        <w:spacing w:line="360" w:lineRule="auto"/>
        <w:ind w:firstLine="448" w:firstLineChars="200"/>
        <w:outlineLvl w:val="0"/>
        <w:rPr>
          <w:color w:val="auto"/>
          <w:sz w:val="24"/>
          <w:highlight w:val="none"/>
        </w:rPr>
      </w:pPr>
      <w:r>
        <w:rPr>
          <w:rFonts w:hint="eastAsia"/>
          <w:color w:val="auto"/>
          <w:sz w:val="24"/>
          <w:highlight w:val="none"/>
        </w:rPr>
        <w:t>2、提供便捷化的服务方案。提供定期售后服务联席会议，定期与采购人共同对售后服务的质量进行检查和评估，发现现状和目标的差距、系统和流程问题，完善服务措施。</w:t>
      </w:r>
    </w:p>
    <w:p w14:paraId="02432ED6">
      <w:pPr>
        <w:spacing w:line="360" w:lineRule="auto"/>
        <w:ind w:firstLine="448" w:firstLineChars="200"/>
        <w:outlineLvl w:val="0"/>
        <w:rPr>
          <w:color w:val="auto"/>
          <w:sz w:val="24"/>
          <w:highlight w:val="none"/>
        </w:rPr>
      </w:pPr>
      <w:r>
        <w:rPr>
          <w:rFonts w:hint="eastAsia"/>
          <w:color w:val="auto"/>
          <w:sz w:val="24"/>
          <w:highlight w:val="none"/>
        </w:rPr>
        <w:t>3、提供灵活、多样的通信手段（包括但不限于场地、设备及人员、专用服务电话），保证在任何时候招标方人员都能及时找到投标方的服务人员。如遇现场人员无法解决的问题或招标方认为需要，中标单位的技术人员应在2小时内赶到现场支持。</w:t>
      </w:r>
    </w:p>
    <w:p w14:paraId="0F3816D7">
      <w:pPr>
        <w:spacing w:line="360" w:lineRule="auto"/>
        <w:ind w:firstLine="448" w:firstLineChars="200"/>
        <w:outlineLvl w:val="0"/>
        <w:rPr>
          <w:color w:val="auto"/>
          <w:sz w:val="24"/>
          <w:highlight w:val="none"/>
        </w:rPr>
      </w:pPr>
      <w:r>
        <w:rPr>
          <w:rFonts w:hint="eastAsia"/>
          <w:color w:val="auto"/>
          <w:sz w:val="24"/>
          <w:highlight w:val="none"/>
        </w:rPr>
        <w:t>4、应承诺对采购人的故障申告响应时间小于15分钟。</w:t>
      </w:r>
    </w:p>
    <w:p w14:paraId="316D3D81">
      <w:pPr>
        <w:spacing w:line="360" w:lineRule="auto"/>
        <w:ind w:firstLine="448" w:firstLineChars="200"/>
        <w:outlineLvl w:val="0"/>
        <w:rPr>
          <w:color w:val="auto"/>
          <w:sz w:val="24"/>
          <w:highlight w:val="none"/>
        </w:rPr>
      </w:pPr>
      <w:r>
        <w:rPr>
          <w:rFonts w:hint="eastAsia"/>
          <w:color w:val="auto"/>
          <w:sz w:val="24"/>
          <w:highlight w:val="none"/>
        </w:rPr>
        <w:t>5、运维团队成员需包括项目经理1人，技术专家2人，其他专业技术人员不少于8人。</w:t>
      </w:r>
    </w:p>
    <w:p w14:paraId="0EC2AC2A">
      <w:pPr>
        <w:spacing w:line="360" w:lineRule="auto"/>
        <w:ind w:firstLine="896" w:firstLineChars="400"/>
        <w:outlineLvl w:val="0"/>
        <w:rPr>
          <w:color w:val="auto"/>
          <w:sz w:val="24"/>
          <w:highlight w:val="none"/>
        </w:rPr>
      </w:pPr>
      <w:r>
        <w:rPr>
          <w:rFonts w:hint="eastAsia"/>
          <w:color w:val="auto"/>
          <w:sz w:val="24"/>
          <w:highlight w:val="none"/>
        </w:rPr>
        <w:t>三、线路质量保证要求</w:t>
      </w:r>
    </w:p>
    <w:p w14:paraId="79E859F8">
      <w:pPr>
        <w:spacing w:line="360" w:lineRule="auto"/>
        <w:ind w:firstLine="448" w:firstLineChars="200"/>
        <w:outlineLvl w:val="0"/>
        <w:rPr>
          <w:color w:val="auto"/>
          <w:sz w:val="24"/>
          <w:highlight w:val="none"/>
        </w:rPr>
      </w:pPr>
      <w:r>
        <w:rPr>
          <w:rFonts w:hint="eastAsia"/>
          <w:color w:val="auto"/>
          <w:sz w:val="24"/>
          <w:highlight w:val="none"/>
        </w:rPr>
        <w:t>1、按原信息产业部颁布的《电信服务规范》的电路质量要求，保证服务质量。若合同执行期间出台新的法律法规和服务标准，需与采购人协商修改服务协议或按照新的法律法规和服务标准执行。</w:t>
      </w:r>
    </w:p>
    <w:p w14:paraId="347A1BE5">
      <w:pPr>
        <w:spacing w:line="360" w:lineRule="auto"/>
        <w:ind w:firstLine="448" w:firstLineChars="200"/>
        <w:outlineLvl w:val="0"/>
        <w:rPr>
          <w:color w:val="auto"/>
          <w:sz w:val="24"/>
          <w:highlight w:val="none"/>
        </w:rPr>
      </w:pPr>
      <w:r>
        <w:rPr>
          <w:rFonts w:hint="eastAsia"/>
          <w:color w:val="auto"/>
          <w:sz w:val="24"/>
          <w:highlight w:val="none"/>
        </w:rPr>
        <w:t>2、投标人如需中断线路，应提前48小时通知采购人，经协商同意后实施，并不能影响采购人的正常业务。</w:t>
      </w:r>
    </w:p>
    <w:p w14:paraId="05EEDEAE">
      <w:pPr>
        <w:spacing w:line="360" w:lineRule="auto"/>
        <w:ind w:firstLine="448" w:firstLineChars="200"/>
        <w:outlineLvl w:val="0"/>
        <w:rPr>
          <w:color w:val="auto"/>
          <w:sz w:val="24"/>
          <w:highlight w:val="none"/>
        </w:rPr>
      </w:pPr>
      <w:r>
        <w:rPr>
          <w:rFonts w:hint="eastAsia"/>
          <w:color w:val="auto"/>
          <w:sz w:val="24"/>
          <w:highlight w:val="none"/>
        </w:rPr>
        <w:t>3、应按采购人要求免费提供重要时段的特殊保障，具体包括春节、元宵节、两会、劳动节、国庆节等重点时间段及紧急情况的24小时专人电话响应、故障保修、故障处理等应急保障服务。</w:t>
      </w:r>
    </w:p>
    <w:p w14:paraId="7BE87D92">
      <w:pPr>
        <w:spacing w:line="360" w:lineRule="auto"/>
        <w:ind w:firstLine="448" w:firstLineChars="200"/>
        <w:outlineLvl w:val="0"/>
        <w:rPr>
          <w:color w:val="auto"/>
          <w:sz w:val="24"/>
          <w:highlight w:val="none"/>
        </w:rPr>
      </w:pPr>
      <w:r>
        <w:rPr>
          <w:rFonts w:hint="eastAsia"/>
          <w:color w:val="auto"/>
          <w:sz w:val="24"/>
          <w:highlight w:val="none"/>
        </w:rPr>
        <w:t>4、应提供日常巡检服务，对业务线路运行情况开展主动性、预防性的检查，对涉及的设备告警、性能、运行状态进行检查分析和处理。</w:t>
      </w:r>
    </w:p>
    <w:p w14:paraId="064F69DD">
      <w:pPr>
        <w:spacing w:line="360" w:lineRule="auto"/>
        <w:ind w:firstLine="672" w:firstLineChars="300"/>
        <w:outlineLvl w:val="0"/>
        <w:rPr>
          <w:color w:val="auto"/>
          <w:sz w:val="24"/>
          <w:highlight w:val="none"/>
        </w:rPr>
      </w:pPr>
      <w:r>
        <w:rPr>
          <w:color w:val="auto"/>
          <w:sz w:val="24"/>
          <w:highlight w:val="none"/>
        </w:rPr>
        <w:t>四、其他要求</w:t>
      </w:r>
    </w:p>
    <w:p w14:paraId="1D5F5D54">
      <w:pPr>
        <w:spacing w:line="360" w:lineRule="auto"/>
        <w:ind w:firstLine="448" w:firstLineChars="200"/>
        <w:outlineLvl w:val="0"/>
        <w:rPr>
          <w:color w:val="auto"/>
          <w:sz w:val="24"/>
          <w:highlight w:val="none"/>
        </w:rPr>
      </w:pPr>
      <w:r>
        <w:rPr>
          <w:rFonts w:hint="eastAsia"/>
          <w:color w:val="auto"/>
          <w:sz w:val="24"/>
          <w:highlight w:val="none"/>
        </w:rPr>
        <w:t>1、应具备应急通信的能力，制定完善的紧急故障处理流程及应急方案，如遇不可抗力因素（如地震、洪水等）造成的线路阻断，投标人应在短期内采用应急手段恢复通信。</w:t>
      </w:r>
    </w:p>
    <w:p w14:paraId="58FCAE10">
      <w:pPr>
        <w:spacing w:line="360" w:lineRule="auto"/>
        <w:ind w:firstLine="448" w:firstLineChars="200"/>
        <w:outlineLvl w:val="0"/>
        <w:rPr>
          <w:color w:val="auto"/>
          <w:sz w:val="24"/>
          <w:highlight w:val="none"/>
        </w:rPr>
      </w:pPr>
      <w:r>
        <w:rPr>
          <w:rFonts w:hint="eastAsia"/>
          <w:color w:val="auto"/>
          <w:sz w:val="24"/>
          <w:highlight w:val="none"/>
        </w:rPr>
        <w:t>2、中标单位要能在充分理解本项目的基础上，对可能出现的各类风险进行评估和制定应对措施，以保证本项目的顺利交付服务。</w:t>
      </w:r>
    </w:p>
    <w:p w14:paraId="1EBB67EB">
      <w:pPr>
        <w:spacing w:line="360" w:lineRule="auto"/>
        <w:ind w:firstLine="448" w:firstLineChars="200"/>
        <w:jc w:val="left"/>
        <w:rPr>
          <w:rFonts w:hint="eastAsia"/>
          <w:color w:val="auto"/>
          <w:sz w:val="24"/>
          <w:highlight w:val="none"/>
        </w:rPr>
      </w:pPr>
      <w:r>
        <w:rPr>
          <w:rFonts w:hint="eastAsia"/>
          <w:color w:val="auto"/>
          <w:sz w:val="24"/>
          <w:highlight w:val="none"/>
        </w:rPr>
        <w:t>3.中标供应商必须对项目技术文件以及由采购人提供的所有内部资料、技术文档和信息予以保密。在本次项目实施过程中采购人向中标供应商提供的所有有关的采购人资料、信息和数据，均属于中标供应商应严格保密的范围。对于这些资料、信息和数据，中标供应商应给予严格保密，未经采购人书面同意，不得向第三方（包括项目组之外乙方人员）透露。</w:t>
      </w:r>
    </w:p>
    <w:p w14:paraId="3926F4BC">
      <w:pPr>
        <w:pStyle w:val="2"/>
        <w:rPr>
          <w:rFonts w:hint="eastAsia"/>
          <w:color w:val="auto"/>
          <w:sz w:val="24"/>
          <w:highlight w:val="none"/>
        </w:rPr>
      </w:pPr>
    </w:p>
    <w:p w14:paraId="0240A303">
      <w:pPr>
        <w:pStyle w:val="2"/>
        <w:rPr>
          <w:rFonts w:hint="eastAsia"/>
          <w:color w:val="auto"/>
          <w:sz w:val="24"/>
          <w:highlight w:val="none"/>
        </w:rPr>
      </w:pPr>
    </w:p>
    <w:p w14:paraId="2FDFFBDB">
      <w:pPr>
        <w:pStyle w:val="2"/>
        <w:rPr>
          <w:rFonts w:hint="eastAsia"/>
          <w:color w:val="auto"/>
          <w:sz w:val="24"/>
          <w:highlight w:val="none"/>
        </w:rPr>
      </w:pPr>
    </w:p>
    <w:p w14:paraId="0AC69D07">
      <w:pPr>
        <w:pStyle w:val="2"/>
        <w:rPr>
          <w:rFonts w:hint="eastAsia"/>
          <w:color w:val="auto"/>
          <w:sz w:val="24"/>
          <w:highlight w:val="none"/>
        </w:rPr>
      </w:pPr>
    </w:p>
    <w:p w14:paraId="6292F939">
      <w:pPr>
        <w:pStyle w:val="2"/>
        <w:rPr>
          <w:rFonts w:hint="eastAsia"/>
          <w:color w:val="auto"/>
          <w:sz w:val="24"/>
          <w:highlight w:val="none"/>
        </w:rPr>
      </w:pPr>
    </w:p>
    <w:p w14:paraId="39F68067">
      <w:pPr>
        <w:pStyle w:val="2"/>
        <w:rPr>
          <w:rFonts w:hint="eastAsia"/>
          <w:color w:val="auto"/>
          <w:sz w:val="24"/>
          <w:highlight w:val="none"/>
        </w:rPr>
      </w:pPr>
    </w:p>
    <w:p w14:paraId="6786FD27">
      <w:pPr>
        <w:pStyle w:val="2"/>
        <w:rPr>
          <w:rFonts w:hint="eastAsia"/>
          <w:color w:val="auto"/>
          <w:sz w:val="24"/>
          <w:highlight w:val="none"/>
        </w:rPr>
      </w:pPr>
    </w:p>
    <w:p w14:paraId="119F7B52">
      <w:pPr>
        <w:pStyle w:val="2"/>
        <w:rPr>
          <w:rFonts w:hint="eastAsia"/>
          <w:color w:val="auto"/>
          <w:sz w:val="24"/>
          <w:highlight w:val="none"/>
        </w:rPr>
      </w:pPr>
    </w:p>
    <w:p w14:paraId="59E30EF2">
      <w:pPr>
        <w:pStyle w:val="2"/>
        <w:rPr>
          <w:rFonts w:hint="eastAsia"/>
          <w:color w:val="auto"/>
          <w:sz w:val="24"/>
          <w:highlight w:val="none"/>
        </w:rPr>
      </w:pPr>
    </w:p>
    <w:p w14:paraId="74EDA0B8">
      <w:pPr>
        <w:pStyle w:val="2"/>
        <w:rPr>
          <w:rFonts w:hint="eastAsia"/>
          <w:color w:val="auto"/>
          <w:sz w:val="24"/>
          <w:highlight w:val="none"/>
        </w:rPr>
      </w:pPr>
    </w:p>
    <w:p w14:paraId="7FB9EAF6">
      <w:pPr>
        <w:pStyle w:val="2"/>
        <w:rPr>
          <w:rFonts w:hint="eastAsia"/>
          <w:color w:val="auto"/>
          <w:sz w:val="24"/>
          <w:highlight w:val="none"/>
        </w:rPr>
      </w:pPr>
    </w:p>
    <w:p w14:paraId="7761A7ED">
      <w:pPr>
        <w:pStyle w:val="2"/>
        <w:rPr>
          <w:rFonts w:hint="eastAsia"/>
          <w:color w:val="auto"/>
          <w:sz w:val="24"/>
          <w:highlight w:val="none"/>
        </w:rPr>
      </w:pPr>
    </w:p>
    <w:p w14:paraId="493905E8">
      <w:pPr>
        <w:widowControl/>
        <w:jc w:val="left"/>
        <w:rPr>
          <w:color w:val="auto"/>
          <w:sz w:val="24"/>
          <w:highlight w:val="none"/>
        </w:rPr>
      </w:pPr>
    </w:p>
    <w:p w14:paraId="0D0FD23D">
      <w:pPr>
        <w:pStyle w:val="17"/>
        <w:rPr>
          <w:rFonts w:ascii="Times New Roman" w:hAnsi="Times New Roman"/>
          <w:color w:val="auto"/>
          <w:highlight w:val="none"/>
        </w:rPr>
      </w:pPr>
      <w:r>
        <w:rPr>
          <w:rFonts w:ascii="Times New Roman" w:hAnsi="Times New Roman"/>
          <w:color w:val="auto"/>
          <w:highlight w:val="none"/>
        </w:rPr>
        <w:t>第</w:t>
      </w:r>
      <w:r>
        <w:rPr>
          <w:rFonts w:ascii="Times New Roman" w:hAnsi="Times New Roman"/>
          <w:color w:val="auto"/>
          <w:highlight w:val="none"/>
          <w:lang w:eastAsia="zh-CN"/>
        </w:rPr>
        <w:t>三</w:t>
      </w:r>
      <w:r>
        <w:rPr>
          <w:rFonts w:ascii="Times New Roman" w:hAnsi="Times New Roman"/>
          <w:color w:val="auto"/>
          <w:highlight w:val="none"/>
        </w:rPr>
        <w:t>部分  投标须知</w:t>
      </w:r>
    </w:p>
    <w:p w14:paraId="4747354C">
      <w:pPr>
        <w:pStyle w:val="30"/>
        <w:spacing w:line="360" w:lineRule="auto"/>
        <w:jc w:val="center"/>
        <w:rPr>
          <w:rFonts w:ascii="Times New Roman" w:hAnsi="Times New Roman" w:eastAsia="宋体" w:cs="Times New Roman"/>
          <w:color w:val="auto"/>
          <w:highlight w:val="none"/>
        </w:rPr>
      </w:pPr>
      <w:r>
        <w:rPr>
          <w:rFonts w:ascii="Times New Roman" w:hAnsi="Times New Roman" w:eastAsia="宋体" w:cs="Times New Roman"/>
          <w:color w:val="auto"/>
          <w:highlight w:val="none"/>
        </w:rPr>
        <w:t>A  说明</w:t>
      </w:r>
    </w:p>
    <w:p w14:paraId="0DB24D51">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 概述</w:t>
      </w:r>
    </w:p>
    <w:p w14:paraId="54BB9D36">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1.1 根据《中华人民共和国政府采购法》、《中华人民共和国政府采购法实施条例》等有关法律、法规和规章的规定，本采购项目已具备招标条件。</w:t>
      </w:r>
    </w:p>
    <w:p w14:paraId="5A7C363F">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1.2 本招标文件仅适用于投标邀请函中所叙述项目货物和服务的采购。</w:t>
      </w:r>
    </w:p>
    <w:p w14:paraId="3C600CA6">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1.3 参与招标投标活动的所有各方，对在参与招标投标过程中获悉的国家、商业和技术秘密以及其它依法应当保密的内容，均负有保密义务，违者应对由此造成的后果承担全部法律责任。</w:t>
      </w:r>
    </w:p>
    <w:p w14:paraId="33B584BF">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 定义</w:t>
      </w:r>
    </w:p>
    <w:p w14:paraId="025C8664">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2.1 “采购人”和“招标人”系指本次招标活动的采购单位。“采购代理机构”系指组织本次招标活动的机构，即“天津市政府采购中心”。 </w:t>
      </w:r>
    </w:p>
    <w:p w14:paraId="4E150458">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2.2 “投标人”和“供应商”系指</w:t>
      </w:r>
      <w:r>
        <w:rPr>
          <w:rFonts w:hint="eastAsia" w:ascii="Times New Roman" w:hAnsi="Times New Roman" w:eastAsia="宋体" w:cs="Times New Roman"/>
          <w:color w:val="auto"/>
          <w:highlight w:val="none"/>
        </w:rPr>
        <w:t>响应招标、参加投标竞争的法人、其他组织或者自然人。</w:t>
      </w:r>
    </w:p>
    <w:p w14:paraId="4900E245">
      <w:pPr>
        <w:pStyle w:val="30"/>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2.3</w:t>
      </w:r>
      <w:r>
        <w:rPr>
          <w:rFonts w:hint="eastAsia" w:ascii="Times New Roman" w:hAnsi="Times New Roman" w:eastAsia="宋体" w:cs="Times New Roman"/>
          <w:color w:val="auto"/>
          <w:highlight w:val="none"/>
        </w:rPr>
        <w:t xml:space="preserve"> “货物”</w:t>
      </w:r>
      <w:r>
        <w:rPr>
          <w:rFonts w:ascii="Times New Roman" w:hAnsi="Times New Roman" w:eastAsia="宋体" w:cs="Times New Roman"/>
          <w:color w:val="auto"/>
          <w:highlight w:val="none"/>
        </w:rPr>
        <w:t>系指</w:t>
      </w:r>
      <w:r>
        <w:rPr>
          <w:rFonts w:hint="eastAsia" w:ascii="Times New Roman" w:hAnsi="Times New Roman" w:eastAsia="宋体" w:cs="Times New Roman"/>
          <w:color w:val="auto"/>
          <w:highlight w:val="none"/>
        </w:rPr>
        <w:t>各种形态和种类的物品，包括原材料、燃料、设备、产品等；“工程”</w:t>
      </w:r>
      <w:r>
        <w:rPr>
          <w:rFonts w:ascii="Times New Roman" w:hAnsi="Times New Roman" w:eastAsia="宋体" w:cs="Times New Roman"/>
          <w:color w:val="auto"/>
          <w:highlight w:val="none"/>
        </w:rPr>
        <w:t>系指</w:t>
      </w:r>
      <w:r>
        <w:rPr>
          <w:rFonts w:hint="eastAsia" w:ascii="Times New Roman" w:hAnsi="Times New Roman" w:eastAsia="宋体" w:cs="Times New Roman"/>
          <w:color w:val="auto"/>
          <w:highlight w:val="none"/>
        </w:rPr>
        <w:t>建设工程，包括建筑物和构筑物的新建、改建、扩建、装修、拆除、修缮等；“服务”</w:t>
      </w:r>
      <w:r>
        <w:rPr>
          <w:rFonts w:ascii="Times New Roman" w:hAnsi="Times New Roman" w:eastAsia="宋体" w:cs="Times New Roman"/>
          <w:color w:val="auto"/>
          <w:highlight w:val="none"/>
        </w:rPr>
        <w:t>系指</w:t>
      </w:r>
      <w:r>
        <w:rPr>
          <w:rFonts w:hint="eastAsia" w:ascii="Times New Roman" w:hAnsi="Times New Roman" w:eastAsia="宋体" w:cs="Times New Roman"/>
          <w:color w:val="auto"/>
          <w:highlight w:val="none"/>
        </w:rPr>
        <w:t>除货物和工程以外的其他政府采购对象。</w:t>
      </w:r>
    </w:p>
    <w:p w14:paraId="5877F524">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3. 解释权</w:t>
      </w:r>
    </w:p>
    <w:p w14:paraId="118F1C36">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3.1 本次招投标的最终解释权归为采购人、采购代理机构。</w:t>
      </w:r>
    </w:p>
    <w:p w14:paraId="341495DD">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3.2 本文件未作须知明示，而又有相关法律、法规规定的，采购人、采购代理机构将对此解释为依据有关法律、法规的规定。</w:t>
      </w:r>
    </w:p>
    <w:p w14:paraId="7B6EC4ED">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4. 合格的投标人</w:t>
      </w:r>
    </w:p>
    <w:p w14:paraId="53F35120">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4.1 符合《中华人民共和国政府采购法》第二十二条供应商参加政府采购活动应当具备的条件及其他有关法律、法规关于供应商的有关规定，有能力提供</w:t>
      </w:r>
      <w:r>
        <w:rPr>
          <w:rFonts w:hint="eastAsia" w:ascii="Times New Roman" w:hAnsi="Times New Roman" w:eastAsia="宋体" w:cs="Times New Roman"/>
          <w:color w:val="auto"/>
          <w:highlight w:val="none"/>
        </w:rPr>
        <w:t>采购</w:t>
      </w:r>
      <w:r>
        <w:rPr>
          <w:rFonts w:ascii="Times New Roman" w:hAnsi="Times New Roman" w:eastAsia="宋体" w:cs="Times New Roman"/>
          <w:color w:val="auto"/>
          <w:highlight w:val="none"/>
        </w:rPr>
        <w:t>标的的供应商。</w:t>
      </w:r>
    </w:p>
    <w:p w14:paraId="2E1605A7">
      <w:pPr>
        <w:pStyle w:val="30"/>
        <w:spacing w:line="360" w:lineRule="auto"/>
        <w:ind w:firstLine="448" w:firstLineChars="200"/>
        <w:jc w:val="both"/>
        <w:rPr>
          <w:rFonts w:ascii="Times New Roman" w:hAnsi="Times New Roman" w:cs="Times New Roman"/>
          <w:color w:val="auto"/>
          <w:highlight w:val="none"/>
        </w:rPr>
      </w:pPr>
      <w:r>
        <w:rPr>
          <w:rFonts w:ascii="Times New Roman" w:hAnsi="Times New Roman" w:eastAsia="宋体" w:cs="Times New Roman"/>
          <w:color w:val="auto"/>
          <w:highlight w:val="none"/>
        </w:rPr>
        <w:t xml:space="preserve">4.2 </w:t>
      </w:r>
      <w:r>
        <w:rPr>
          <w:rFonts w:ascii="Times New Roman" w:hAnsi="Times New Roman" w:cs="Times New Roman"/>
          <w:color w:val="auto"/>
          <w:highlight w:val="none"/>
        </w:rPr>
        <w:t>符合《投标邀请函》中关于供应商资格要求（实质性要求）的规定。</w:t>
      </w:r>
    </w:p>
    <w:p w14:paraId="2954A3A5">
      <w:pPr>
        <w:pStyle w:val="30"/>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4.3 关于联合体投标</w:t>
      </w:r>
    </w:p>
    <w:p w14:paraId="38D07D64">
      <w:pPr>
        <w:pStyle w:val="30"/>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若</w:t>
      </w:r>
      <w:r>
        <w:rPr>
          <w:rFonts w:ascii="Times New Roman" w:hAnsi="Times New Roman" w:eastAsia="宋体" w:cs="Times New Roman"/>
          <w:color w:val="auto"/>
          <w:highlight w:val="none"/>
        </w:rPr>
        <w:t>《投标邀请函》接受联合体投标的：</w:t>
      </w:r>
    </w:p>
    <w:p w14:paraId="648C798F">
      <w:pPr>
        <w:pStyle w:val="30"/>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（1）两个以上的自然人、法人或者其他组织可以组成一个联合体，以一个供应商的身份共同参加政府采购。</w:t>
      </w:r>
    </w:p>
    <w:p w14:paraId="040BC144">
      <w:pPr>
        <w:pStyle w:val="30"/>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（2）联合体各方均应当符合</w:t>
      </w:r>
      <w:r>
        <w:rPr>
          <w:rFonts w:hint="eastAsia" w:ascii="Times New Roman" w:hAnsi="Times New Roman" w:eastAsia="宋体" w:cs="Times New Roman"/>
          <w:color w:val="auto"/>
          <w:highlight w:val="none"/>
          <w:lang w:eastAsia="zh-CN"/>
        </w:rPr>
        <w:t>《中华人民共和国政府采购法》</w:t>
      </w:r>
      <w:r>
        <w:rPr>
          <w:rFonts w:ascii="Times New Roman" w:hAnsi="Times New Roman" w:eastAsia="宋体" w:cs="Times New Roman"/>
          <w:color w:val="auto"/>
          <w:highlight w:val="none"/>
        </w:rPr>
        <w:t>第二十二条第一款规定的条件，根据采购项目的特殊要求规定投标人特定条件的，联合体各方中至少应当有一方符合《投标邀请函》规定的供应商资格条件（实质性</w:t>
      </w:r>
      <w:r>
        <w:rPr>
          <w:rFonts w:hint="eastAsia" w:ascii="Times New Roman" w:hAnsi="Times New Roman" w:eastAsia="宋体" w:cs="Times New Roman"/>
          <w:color w:val="auto"/>
          <w:highlight w:val="none"/>
        </w:rPr>
        <w:t>要求</w:t>
      </w:r>
      <w:r>
        <w:rPr>
          <w:rFonts w:ascii="Times New Roman" w:hAnsi="Times New Roman" w:eastAsia="宋体" w:cs="Times New Roman"/>
          <w:color w:val="auto"/>
          <w:highlight w:val="none"/>
        </w:rPr>
        <w:t>）。</w:t>
      </w:r>
    </w:p>
    <w:p w14:paraId="0CFB530B">
      <w:pPr>
        <w:pStyle w:val="30"/>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（3）联合体各方之间应当签订共同投标协议并在投标文件内提交，明确约定联合体主体及联合体各方承担的工作和相应的责任。联合体各方签订共同投标协议后，不得再以自己名义单独在</w:t>
      </w:r>
      <w:r>
        <w:rPr>
          <w:rFonts w:hint="eastAsia" w:ascii="Times New Roman" w:hAnsi="Times New Roman" w:eastAsia="宋体" w:cs="Times New Roman"/>
          <w:color w:val="auto"/>
          <w:highlight w:val="none"/>
        </w:rPr>
        <w:t>同一合同项下</w:t>
      </w:r>
      <w:r>
        <w:rPr>
          <w:rFonts w:ascii="Times New Roman" w:hAnsi="Times New Roman" w:eastAsia="宋体" w:cs="Times New Roman"/>
          <w:color w:val="auto"/>
          <w:highlight w:val="none"/>
        </w:rPr>
        <w:t>投标，也不得组成新的联合体参加同一</w:t>
      </w:r>
      <w:r>
        <w:rPr>
          <w:rFonts w:hint="eastAsia" w:ascii="Times New Roman" w:hAnsi="Times New Roman" w:eastAsia="宋体" w:cs="Times New Roman"/>
          <w:color w:val="auto"/>
          <w:highlight w:val="none"/>
        </w:rPr>
        <w:t>合同</w:t>
      </w:r>
      <w:r>
        <w:rPr>
          <w:rFonts w:ascii="Times New Roman" w:hAnsi="Times New Roman" w:eastAsia="宋体" w:cs="Times New Roman"/>
          <w:color w:val="auto"/>
          <w:highlight w:val="none"/>
        </w:rPr>
        <w:t>项下的投标。</w:t>
      </w:r>
    </w:p>
    <w:p w14:paraId="1290AF52">
      <w:pPr>
        <w:pStyle w:val="30"/>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（4）</w:t>
      </w:r>
      <w:r>
        <w:rPr>
          <w:rFonts w:hint="eastAsia" w:ascii="Times New Roman" w:hAnsi="Times New Roman" w:eastAsia="宋体" w:cs="Times New Roman"/>
          <w:color w:val="auto"/>
          <w:highlight w:val="none"/>
        </w:rPr>
        <w:t>下载招标文件</w:t>
      </w:r>
      <w:r>
        <w:rPr>
          <w:rFonts w:ascii="Times New Roman" w:hAnsi="Times New Roman" w:eastAsia="宋体" w:cs="Times New Roman"/>
          <w:color w:val="auto"/>
          <w:highlight w:val="none"/>
        </w:rPr>
        <w:t>时，应以联合体协议中确定的主体方名义</w:t>
      </w:r>
      <w:r>
        <w:rPr>
          <w:rFonts w:hint="eastAsia" w:ascii="Times New Roman" w:hAnsi="Times New Roman" w:eastAsia="宋体" w:cs="Times New Roman"/>
          <w:color w:val="auto"/>
          <w:highlight w:val="none"/>
        </w:rPr>
        <w:t>下载</w:t>
      </w:r>
      <w:r>
        <w:rPr>
          <w:rFonts w:ascii="Times New Roman" w:hAnsi="Times New Roman" w:eastAsia="宋体" w:cs="Times New Roman"/>
          <w:color w:val="auto"/>
          <w:highlight w:val="none"/>
        </w:rPr>
        <w:t>。</w:t>
      </w:r>
    </w:p>
    <w:p w14:paraId="1BAC9181">
      <w:pPr>
        <w:pStyle w:val="30"/>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（5）联合体投标的，应以主体方名义提交投标保证金（如有），对联合体各方均具有约束力。</w:t>
      </w:r>
    </w:p>
    <w:p w14:paraId="70916B25">
      <w:pPr>
        <w:pStyle w:val="30"/>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6）由同一专业的单位组成的联合体，按照同一项资质等级较低的单位确定资质等级。业绩等有关打分内容根据共同投标协议约定的各方承担的工作和相应责任，确定一方打分，不累加打分；评审标准无明确或难以明确对应哪一方的打分内容按主体方打分。</w:t>
      </w:r>
    </w:p>
    <w:p w14:paraId="2CCFAC0D">
      <w:pPr>
        <w:pStyle w:val="30"/>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（7）联合体中任意一方为中小企业的，该方应提供《中小企业声明函》。</w:t>
      </w:r>
    </w:p>
    <w:p w14:paraId="3448A950">
      <w:pPr>
        <w:pStyle w:val="30"/>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（8）联合体各方应当共同与采购人签订采购合同，就采购合同约定的事项对采购人承担连带责任。</w:t>
      </w:r>
    </w:p>
    <w:p w14:paraId="040E793B">
      <w:pPr>
        <w:pStyle w:val="30"/>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4.4 关于关联企业</w:t>
      </w:r>
    </w:p>
    <w:p w14:paraId="59AE0398">
      <w:pPr>
        <w:pStyle w:val="30"/>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除联合体外，法定代表人或单位负责人为同一个人或者存在直接控股、管理关系的不同供应商，不得同时参加同一</w:t>
      </w:r>
      <w:r>
        <w:rPr>
          <w:rFonts w:hint="eastAsia" w:ascii="Times New Roman" w:hAnsi="Times New Roman" w:eastAsia="宋体" w:cs="Times New Roman"/>
          <w:color w:val="auto"/>
          <w:highlight w:val="none"/>
        </w:rPr>
        <w:t>合同</w:t>
      </w:r>
      <w:r>
        <w:rPr>
          <w:rFonts w:ascii="Times New Roman" w:hAnsi="Times New Roman" w:eastAsia="宋体" w:cs="Times New Roman"/>
          <w:color w:val="auto"/>
          <w:highlight w:val="none"/>
        </w:rPr>
        <w:t>项下的投标。如同时参加，则评审时将同时被拒绝。</w:t>
      </w:r>
    </w:p>
    <w:p w14:paraId="761ED614">
      <w:pPr>
        <w:pStyle w:val="30"/>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4.5 关于分公司投标</w:t>
      </w:r>
    </w:p>
    <w:p w14:paraId="7FC98443">
      <w:pPr>
        <w:pStyle w:val="30"/>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分公司作为投标人参与本项目政府采购活动的，应提供具有法人资格的总公司的营业执照副本</w:t>
      </w:r>
      <w:r>
        <w:rPr>
          <w:rFonts w:hint="eastAsia" w:ascii="Times New Roman" w:hAnsi="Times New Roman" w:eastAsia="宋体" w:cs="Times New Roman"/>
          <w:color w:val="auto"/>
          <w:highlight w:val="none"/>
          <w:lang w:eastAsia="zh-CN"/>
        </w:rPr>
        <w:t>电子件</w:t>
      </w:r>
      <w:r>
        <w:rPr>
          <w:rFonts w:hint="eastAsia" w:ascii="Times New Roman" w:hAnsi="Times New Roman" w:eastAsia="宋体" w:cs="Times New Roman"/>
          <w:color w:val="auto"/>
          <w:highlight w:val="none"/>
        </w:rPr>
        <w:t>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14:paraId="4D5E0B03">
      <w:pPr>
        <w:pStyle w:val="30"/>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4.6 关于提供前期服务的供应商</w:t>
      </w:r>
    </w:p>
    <w:p w14:paraId="0BECAFB5">
      <w:pPr>
        <w:pStyle w:val="30"/>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为采购项目提供整体设计、规范编制或者项目管理、监理、检测等服务的供应商，不得再参加该采购项目的其他采购活动。</w:t>
      </w:r>
    </w:p>
    <w:p w14:paraId="6270D2A3">
      <w:pPr>
        <w:pStyle w:val="30"/>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4.7 关于中小微企业参与投标</w:t>
      </w:r>
    </w:p>
    <w:p w14:paraId="5AB148D5">
      <w:pPr>
        <w:pStyle w:val="30"/>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中小微企业是指符合《政府采购促进中小企业发展管理办法》（财库[2020]46号）规定的供应商。中小微企业参与投标应提供《中小企业声明函》。</w:t>
      </w:r>
    </w:p>
    <w:p w14:paraId="34890D03">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根据财库〔2014〕68号《财政部 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14:paraId="01293DB3">
      <w:pPr>
        <w:pStyle w:val="30"/>
        <w:spacing w:line="360" w:lineRule="auto"/>
        <w:ind w:firstLine="448" w:firstLineChars="200"/>
        <w:jc w:val="both"/>
        <w:rPr>
          <w:rFonts w:ascii="Times New Roman" w:hAnsi="Times New Roman" w:eastAsia="宋体" w:cs="Times New Roman"/>
          <w:color w:val="auto"/>
          <w:highlight w:val="none"/>
        </w:rPr>
      </w:pPr>
      <w:bookmarkStart w:id="6" w:name="OLE_LINK5"/>
      <w:bookmarkStart w:id="7" w:name="OLE_LINK6"/>
      <w:r>
        <w:rPr>
          <w:rFonts w:ascii="Times New Roman" w:hAnsi="Times New Roman" w:eastAsia="宋体" w:cs="Times New Roman"/>
          <w:color w:val="auto"/>
          <w:highlight w:val="none"/>
        </w:rPr>
        <w:t>根据《财政部 民政部 中国残疾人联合会关于促进残疾人就业政府采购政策的通知》（财库〔2017〕141号）的规定，残疾人福利性单位视同为小型、微型企业。</w:t>
      </w:r>
    </w:p>
    <w:p w14:paraId="760D7417">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5. 合格的货物和相关服务</w:t>
      </w:r>
    </w:p>
    <w:p w14:paraId="491FA376">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5.1 投标人对所提供的货物应当享有合法的所有权，没有侵犯任何第三方的知识产权、技术秘密等权利，而且不存在任何抵押、留置、查封等产权瑕疵。如有第三方向采购人提出侵犯其专利权、商标权或其它知识产权的主张，该责任应由投标人承担。</w:t>
      </w:r>
    </w:p>
    <w:p w14:paraId="34A00490">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5.2 投标人提供的货物服务应符合招标文件要求，质量应当完全符合现行的国家标准、行业标准或地方标准。除《招标项目需求》有特殊规定外，投标人提供的货物应当是全新的、未使用过的。</w:t>
      </w:r>
    </w:p>
    <w:p w14:paraId="46D01C94">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5.3 投标人应当说明投标货物的来源地，如投标的货物非投标人生产或制造的，则交货时有义务提供其从合法途径获得该货物的相关证明。</w:t>
      </w:r>
    </w:p>
    <w:p w14:paraId="2256534F">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5.4 系统软件、通用软件必须是具有在中国境内的合法使用权或版权的正版软件，涉及到第三方提出侵权或知识产权的起诉及支付版税等费用由投标人承担所有责任及费用。</w:t>
      </w:r>
    </w:p>
    <w:p w14:paraId="701EC198">
      <w:pPr>
        <w:pStyle w:val="30"/>
        <w:spacing w:line="360" w:lineRule="auto"/>
        <w:ind w:firstLine="448" w:firstLineChars="200"/>
        <w:jc w:val="both"/>
        <w:rPr>
          <w:rFonts w:ascii="Times New Roman" w:hAnsi="Times New Roman" w:eastAsia="宋体" w:cs="Times New Roman"/>
          <w:color w:val="auto"/>
          <w:highlight w:val="none"/>
        </w:rPr>
      </w:pPr>
    </w:p>
    <w:bookmarkEnd w:id="6"/>
    <w:bookmarkEnd w:id="7"/>
    <w:p w14:paraId="526EFB53">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6. 投标费用</w:t>
      </w:r>
    </w:p>
    <w:p w14:paraId="57E252B5">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无论投标过程中的做法和结果如何，投标人自行承担所有与参加投标有关的费用。</w:t>
      </w:r>
    </w:p>
    <w:p w14:paraId="597267C9">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7. 信息发布</w:t>
      </w:r>
    </w:p>
    <w:p w14:paraId="2A92FABF">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本项目需要公开的有关信息，包括招标公告、更正公告、中标公告、终止公告等与招标活动有关的通知，采购人、采购代理机构均将通过“天津市政府采购网（http://tjgp.cz.tj.gov.cn）”和“天津市政府采购中心网（http://tjgpc.zwfwb.tj.gov.cn）”公开发布。投标人在参与本采购项目招投标活动期间，请及时关注上述媒体和天津市政府采购中心招投标系统“查看项目文件”的相关信息。因没有及时关注而未能如期获取相关信息，投标人自行承担由此可能产生的风险。</w:t>
      </w:r>
    </w:p>
    <w:p w14:paraId="7A4E9727">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8. 询问与质疑</w:t>
      </w:r>
    </w:p>
    <w:p w14:paraId="3B5CFEA5">
      <w:pPr>
        <w:pStyle w:val="30"/>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8.1 根据《政府采购质疑和投诉办法》（财政部令第94号）、《天津市财政局关于转发&lt;财政部关于进一步加强政府采购需求和履约验收管理的指导意见&gt;的通知》（津财采[2017]4号）的要求及委托代理协议的授权范围，针对采购文件的询问、质疑应当向采购人提出；针对采购过程、采购结果的询问、质疑应当向天津市政府采购中心提出。</w:t>
      </w:r>
    </w:p>
    <w:p w14:paraId="1B1A3540">
      <w:pPr>
        <w:pStyle w:val="30"/>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8.2 询问</w:t>
      </w:r>
    </w:p>
    <w:p w14:paraId="32C82520">
      <w:pPr>
        <w:pStyle w:val="30"/>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（1）询问可以采取电话、当面或书面等形式。</w:t>
      </w:r>
    </w:p>
    <w:p w14:paraId="11B912D1">
      <w:pPr>
        <w:pStyle w:val="30"/>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（2）采购人应当自收到供应商询问之日起3个工作日内作出答复，但答复的内容不得涉及商业秘密或者依法应当保密的内容。</w:t>
      </w:r>
    </w:p>
    <w:p w14:paraId="31E33E92">
      <w:pPr>
        <w:pStyle w:val="30"/>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8.3 质疑</w:t>
      </w:r>
    </w:p>
    <w:p w14:paraId="5FEA71E2">
      <w:pPr>
        <w:pStyle w:val="30"/>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（1）提出质疑的供应商应当是参与所质疑项目采购活动的供应商。</w:t>
      </w:r>
    </w:p>
    <w:p w14:paraId="2812B5D4">
      <w:pPr>
        <w:pStyle w:val="30"/>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（2）供应商认为采购文件、采购过程和采购结果使自己的权益受到损害的，可以在知道或者应知其权益受到损害之日起七个工作日内，以书面原件形式针对同一采购程序环节一次性提出质疑，否则不予受理。</w:t>
      </w:r>
    </w:p>
    <w:p w14:paraId="433086B7">
      <w:pPr>
        <w:pStyle w:val="30"/>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针对采购结果的质疑，供应商可通过天津市政府采购中心招投标系统“质疑”模块在线提出。</w:t>
      </w:r>
    </w:p>
    <w:p w14:paraId="38F6B3B9">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3）质疑函应当符合《政府采购质疑和投诉办法》（财政部令第94号）第十二条的规定，并按照统一格式提出（具体格式可参照天津市政府采购网（http://tjgp.cz.tj.gov.cn）“下载专区”中的“质疑函格式文本”）。质疑函应当明确阐述采购文件、采购过程、采购结果使自己的合法权益受到损害的法律依据、事实依据、相关证明材料及证据来源，以便于有关单位调查、答复和处理。</w:t>
      </w:r>
    </w:p>
    <w:p w14:paraId="4016F4FB">
      <w:pPr>
        <w:pStyle w:val="30"/>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4）供应商质疑应当有明确的请求和必要的证明材料。质疑内容不得含有虚假、恶意成份。依照谁主张谁举证的原则，提出质疑者必须同时提交相关确凿的证据材料和注明证据的确切来源，证据来源必须合法，采购人或天津市政府采购中心有权将质疑函转发质疑事项各关联方，请其作出解释说明。对捏造事实、滥用维权扰乱采购秩序的恶意质疑者，将上报天津市财政局政府采购处依法处理。</w:t>
      </w:r>
    </w:p>
    <w:p w14:paraId="4108AE00">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8.4 针对询问或质疑的答复内容需要修改采购文件的，其修改内容应当以政府采购网发布的更正公告为准。</w:t>
      </w:r>
    </w:p>
    <w:p w14:paraId="6EB35BBB">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9. 其他</w:t>
      </w:r>
    </w:p>
    <w:p w14:paraId="4CBE89A8">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本《投标须知》的条款如与《投标邀请函》、《招标项目需求》就同一内容的表述不一致的，以《投标邀请函》、《招标项目需求》中规定的内容为准。</w:t>
      </w:r>
    </w:p>
    <w:p w14:paraId="60D3F7E3">
      <w:pPr>
        <w:pStyle w:val="30"/>
        <w:spacing w:line="360" w:lineRule="auto"/>
        <w:jc w:val="center"/>
        <w:rPr>
          <w:rFonts w:ascii="Times New Roman" w:hAnsi="Times New Roman" w:eastAsia="宋体" w:cs="Times New Roman"/>
          <w:color w:val="auto"/>
          <w:highlight w:val="none"/>
        </w:rPr>
      </w:pPr>
      <w:r>
        <w:rPr>
          <w:rFonts w:ascii="Times New Roman" w:hAnsi="Times New Roman" w:eastAsia="宋体" w:cs="Times New Roman"/>
          <w:color w:val="auto"/>
          <w:highlight w:val="none"/>
        </w:rPr>
        <w:t>B  招标文件说明</w:t>
      </w:r>
    </w:p>
    <w:p w14:paraId="6E85EFF9">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10. 招标文件的构成</w:t>
      </w:r>
    </w:p>
    <w:p w14:paraId="334B2C38">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10.1招标文件由下述部分组成：</w:t>
      </w:r>
    </w:p>
    <w:p w14:paraId="2421B2D3">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（1）投标邀请函</w:t>
      </w:r>
    </w:p>
    <w:p w14:paraId="1F655379">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（2）招标项目需求</w:t>
      </w:r>
    </w:p>
    <w:p w14:paraId="5B047AA3">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（3）投标须知</w:t>
      </w:r>
    </w:p>
    <w:p w14:paraId="11B29BF5">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（4）</w:t>
      </w:r>
      <w:r>
        <w:rPr>
          <w:rFonts w:ascii="Times New Roman" w:hAnsi="Times New Roman" w:cs="Times New Roman"/>
          <w:color w:val="auto"/>
          <w:highlight w:val="none"/>
        </w:rPr>
        <w:t>合同条款</w:t>
      </w:r>
    </w:p>
    <w:p w14:paraId="3705AF61">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（5）投标文件格式</w:t>
      </w:r>
    </w:p>
    <w:p w14:paraId="36FACCC4">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（6）</w:t>
      </w:r>
      <w:r>
        <w:rPr>
          <w:rFonts w:ascii="Times New Roman" w:hAnsi="Times New Roman" w:cs="Times New Roman"/>
          <w:color w:val="auto"/>
          <w:highlight w:val="none"/>
        </w:rPr>
        <w:t>本项目招标文件的更正公告内容（如有）</w:t>
      </w:r>
    </w:p>
    <w:p w14:paraId="16838B21">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10.2 除非有特殊要求，招标文件不单独提供招标项目使用地的自然环境、气候条件、公用设施等情况，投标人被视为熟悉上述与履行合同有关的一切情况。</w:t>
      </w:r>
    </w:p>
    <w:p w14:paraId="098C5B06">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10.3 加注“★”号条款为不允许偏离的实质性要求，经评标委员会判定任意一条加注“★”号的条款出现偏离，视为无效投标。</w:t>
      </w:r>
    </w:p>
    <w:p w14:paraId="3D3022CA">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10.4 招标文件中涉及的参照品牌、型号仅起说明作用，并没有任何限制性，投标人在投标中可以选用其他替代品牌或型号，但这些替代要实质上优于或相当于招标要求。</w:t>
      </w:r>
    </w:p>
    <w:p w14:paraId="280AA7C5">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10.5 除招标文件另有规定外，招标文件中要求的每一项产品只允许一种产品投标，每一项产品的采购数量不允许变更。</w:t>
      </w:r>
    </w:p>
    <w:p w14:paraId="58B6A29C">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11. 招标文件的澄清和修改</w:t>
      </w:r>
    </w:p>
    <w:p w14:paraId="4D562178">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11.1 投标截止前，采购人、采购代理机构需要对招标文件进行补充或修改的，采购人、采购代理机构将会通过“天津市政府采购网”、“天津市政府采购中心网”以更正公告形式发布。</w:t>
      </w:r>
    </w:p>
    <w:p w14:paraId="75D82A14">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11.2 更正公告一经在“天津市政府采购网”、“天津市政府采购中心网”发布，天津市政府采购中心招投标系统将自动发送通知至已</w:t>
      </w:r>
      <w:r>
        <w:rPr>
          <w:rFonts w:hint="eastAsia" w:ascii="Times New Roman" w:hAnsi="Times New Roman" w:eastAsia="宋体" w:cs="Times New Roman"/>
          <w:color w:val="auto"/>
          <w:highlight w:val="none"/>
        </w:rPr>
        <w:t>获取招标文件</w:t>
      </w:r>
      <w:r>
        <w:rPr>
          <w:rFonts w:ascii="Times New Roman" w:hAnsi="Times New Roman" w:eastAsia="宋体" w:cs="Times New Roman"/>
          <w:color w:val="auto"/>
          <w:highlight w:val="none"/>
        </w:rPr>
        <w:t>供应商的“查看项目文件”，视同已书面通知所有招标文件的收受人。请参与项目的供应商及时关注更正公告，由此导致的风险由投标人自行承担，采购人、采购代理机构不承担任何责任。</w:t>
      </w:r>
    </w:p>
    <w:p w14:paraId="27401C14">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11.3 更正公告的内容为招标文件的组成部分。当招标文件与更正公告就同一内容的表述不一致时，以最后发出的更正公告内容为准。</w:t>
      </w:r>
    </w:p>
    <w:p w14:paraId="5043389B">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11.4 招标文件的澄清、答复、修改或补充都应由采购代理机构以更正公告形式发布，除此以外的其他任何澄清、修改方式及澄清、修改内容均属无效，不得作为投标的依据，由此导致的风险由投标人自行承担，采购人、采购代理机构不承担任何责任。</w:t>
      </w:r>
    </w:p>
    <w:p w14:paraId="4FE20CC0">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 xml:space="preserve">12. </w:t>
      </w:r>
      <w:r>
        <w:rPr>
          <w:rFonts w:ascii="Times New Roman" w:hAnsi="Times New Roman" w:cs="Times New Roman"/>
          <w:color w:val="auto"/>
          <w:highlight w:val="none"/>
        </w:rPr>
        <w:t>答疑会和现场考察</w:t>
      </w:r>
    </w:p>
    <w:p w14:paraId="23C7C7FF">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12.1 采购人、采购代理机构召开答疑会的，所有投标人应按《投标邀请函》规定的时间、地点参加答疑会。投标人如不参加，其风险由投标人自行承担，采购人、采购代理机构不承担任何责任。</w:t>
      </w:r>
    </w:p>
    <w:p w14:paraId="6CF8E367">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12.2 采购人、采购代理机构组织现场考察的，所有投标人按《投标邀请函》规定的时间、地点参加现场考察活动。投标人如不参加，其风险由投标人自行承担，采购人、采购代理机构不承担任何责任。</w:t>
      </w:r>
    </w:p>
    <w:p w14:paraId="4B909EA2">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12.3 采购人、采购代理机构在答疑会或现场考察中口头介绍的情况，除经“天津市政府采购网”、“天津市政府采购中心网”以更正公告的形式发布外，不构成对招标文件的修改，不作为投标人编制投标文件的依据。</w:t>
      </w:r>
    </w:p>
    <w:p w14:paraId="591B604C">
      <w:pPr>
        <w:pStyle w:val="30"/>
        <w:spacing w:line="360" w:lineRule="auto"/>
        <w:jc w:val="center"/>
        <w:rPr>
          <w:rFonts w:ascii="Times New Roman" w:hAnsi="Times New Roman" w:eastAsia="宋体" w:cs="Times New Roman"/>
          <w:color w:val="auto"/>
          <w:highlight w:val="none"/>
        </w:rPr>
      </w:pPr>
      <w:r>
        <w:rPr>
          <w:rFonts w:ascii="Times New Roman" w:hAnsi="Times New Roman" w:eastAsia="宋体" w:cs="Times New Roman"/>
          <w:color w:val="auto"/>
          <w:highlight w:val="none"/>
        </w:rPr>
        <w:t>C  投标文件的编制</w:t>
      </w:r>
    </w:p>
    <w:p w14:paraId="515A1D1E">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13. 要求</w:t>
      </w:r>
    </w:p>
    <w:p w14:paraId="5D9A7797">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13.1 投标人应仔细阅读招标文件的所有内容，按招标文件要求编制投标文件，以使其投标对招标文件做出实质性响应。否则，其投标文件可能被拒绝，投标人须自行承担由此引起的风险和责任。</w:t>
      </w:r>
    </w:p>
    <w:p w14:paraId="65FF7C00">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13.2 投标人应根据招标项目需求和投标文件格式编制投标文件，保证其真实有效，并承担相应的法律责任。</w:t>
      </w:r>
    </w:p>
    <w:p w14:paraId="342B9AF9">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13.3 投标人应对投标文件所提供的全部资料的真实性承担法律责任，并无条件接受采购人、采购代理机构对其中任何资料进行核实（核对原件）的要求。采购人、采购代理机构核对发现有不一致或供应商无正当理由不按时提供原件的，按有关规定执行。</w:t>
      </w:r>
    </w:p>
    <w:p w14:paraId="1F9EF52B">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14. 投标语言及计量单位</w:t>
      </w:r>
    </w:p>
    <w:p w14:paraId="513A7809">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14.1 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评标委员会有权拒绝其投标。</w:t>
      </w:r>
    </w:p>
    <w:p w14:paraId="76E51374">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14.2 除招标文件中另有规定，投标文件所使用的计量单位均应使用中华人民共和国法定计量单位。</w:t>
      </w:r>
    </w:p>
    <w:p w14:paraId="289D3883">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15. 投标文件格式</w:t>
      </w:r>
    </w:p>
    <w:p w14:paraId="304027E5">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15.1 投标人应按招标文件中提供的投标文件格式完整填写。因不按要求编制而引起系统无法检索、读取相关信息时，其后果由投标人自行承担。</w:t>
      </w:r>
    </w:p>
    <w:p w14:paraId="5674113C">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15.2 投标人可对招标文件</w:t>
      </w:r>
      <w:r>
        <w:rPr>
          <w:rFonts w:hint="eastAsia" w:ascii="Times New Roman" w:hAnsi="Times New Roman" w:eastAsia="宋体" w:cs="Times New Roman"/>
          <w:color w:val="auto"/>
          <w:highlight w:val="none"/>
        </w:rPr>
        <w:t>全部</w:t>
      </w:r>
      <w:r>
        <w:rPr>
          <w:rFonts w:ascii="Times New Roman" w:hAnsi="Times New Roman" w:eastAsia="宋体" w:cs="Times New Roman"/>
          <w:color w:val="auto"/>
          <w:highlight w:val="none"/>
        </w:rPr>
        <w:t>采购包进行投标，也可只对其中一包或几包进行投标；若无特殊说明，每一包的内容不得分项投标，原则上按照整包确定中标供应商。</w:t>
      </w:r>
    </w:p>
    <w:p w14:paraId="42B82138">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15.3 投标人根据招标文件的规定和采购项目的实际情况，拟在中标后将中标项目的非主体、非关键性工作分包的，应当在投标文件中载明分包承担主体，分包承担主体应当具备相应资质条件且不得再次分包。</w:t>
      </w:r>
    </w:p>
    <w:p w14:paraId="15595F68">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15.</w:t>
      </w:r>
      <w:r>
        <w:rPr>
          <w:rFonts w:hint="eastAsia" w:ascii="Times New Roman" w:hAnsi="Times New Roman" w:eastAsia="宋体" w:cs="Times New Roman"/>
          <w:color w:val="auto"/>
          <w:highlight w:val="none"/>
        </w:rPr>
        <w:t>4</w:t>
      </w:r>
      <w:r>
        <w:rPr>
          <w:rFonts w:ascii="Times New Roman" w:hAnsi="Times New Roman" w:eastAsia="宋体" w:cs="Times New Roman"/>
          <w:color w:val="auto"/>
          <w:highlight w:val="none"/>
        </w:rPr>
        <w:t xml:space="preserve"> 如投标多个包的，要求按包分别独立制作投标文件。</w:t>
      </w:r>
    </w:p>
    <w:p w14:paraId="565BD50E">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15.</w:t>
      </w:r>
      <w:r>
        <w:rPr>
          <w:rFonts w:hint="eastAsia" w:ascii="Times New Roman" w:hAnsi="Times New Roman" w:eastAsia="宋体" w:cs="Times New Roman"/>
          <w:color w:val="auto"/>
          <w:highlight w:val="none"/>
        </w:rPr>
        <w:t>5</w:t>
      </w:r>
      <w:r>
        <w:rPr>
          <w:rFonts w:ascii="Times New Roman" w:hAnsi="Times New Roman" w:eastAsia="宋体" w:cs="Times New Roman"/>
          <w:color w:val="auto"/>
          <w:highlight w:val="none"/>
        </w:rPr>
        <w:t xml:space="preserve"> 投标文件（包括封面和目录）的每一页，从封面开始按阿拉伯数字1、2、3…顺序编制页码。</w:t>
      </w:r>
    </w:p>
    <w:p w14:paraId="242A380C">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16. 投标报价</w:t>
      </w:r>
    </w:p>
    <w:p w14:paraId="7C3D9C1B">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16.1 投标书、开标一览表等各表中的报价，若无特殊说明应采用人民币填报。</w:t>
      </w:r>
    </w:p>
    <w:p w14:paraId="0E070509">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16.2 投标报价是</w:t>
      </w:r>
      <w:r>
        <w:rPr>
          <w:rFonts w:ascii="Times New Roman" w:hAnsi="Times New Roman" w:cs="Times New Roman"/>
          <w:color w:val="auto"/>
          <w:highlight w:val="none"/>
        </w:rPr>
        <w:t>为完成招标文件规定的一切工作所需的全部费用的最终优惠价格。</w:t>
      </w:r>
    </w:p>
    <w:p w14:paraId="326AA974">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16.3 除《招标项目需求》中说明并允许外，投标的每一个货物、服务的单项报价以及采购项目的投标总价均只允许有一个报价，任何有选择的报价，采购人、采购代理机构均将予以拒绝。</w:t>
      </w:r>
    </w:p>
    <w:p w14:paraId="4A1284FF">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17. 投标人资格证明文件</w:t>
      </w:r>
    </w:p>
    <w:p w14:paraId="636E8C45">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投标人必须提交证明其有资格进行投标和有能力履行合同的文件，作为投标文件的一部分。</w:t>
      </w:r>
    </w:p>
    <w:p w14:paraId="15B8C985">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（1）《投标邀请函》中规定的供应商资格要求（实质性要求）证明文件；</w:t>
      </w:r>
    </w:p>
    <w:p w14:paraId="7A482DC1">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（2）若国家及行业对投标项目有特殊资格要求的，还须提供特殊资格证明文件；</w:t>
      </w:r>
    </w:p>
    <w:p w14:paraId="5DAA35CE">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w:t>
      </w:r>
      <w:r>
        <w:rPr>
          <w:rFonts w:hint="eastAsia" w:ascii="Times New Roman" w:hAnsi="Times New Roman" w:eastAsia="宋体" w:cs="Times New Roman"/>
          <w:color w:val="auto"/>
          <w:highlight w:val="none"/>
        </w:rPr>
        <w:t>3</w:t>
      </w:r>
      <w:r>
        <w:rPr>
          <w:rFonts w:ascii="Times New Roman" w:hAnsi="Times New Roman" w:eastAsia="宋体" w:cs="Times New Roman"/>
          <w:color w:val="auto"/>
          <w:highlight w:val="none"/>
        </w:rPr>
        <w:t>）涉及本须知中“4. 合格的投标人”相关要求的，按其要求执行。</w:t>
      </w:r>
    </w:p>
    <w:p w14:paraId="6298346E">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18. 技术响应文件</w:t>
      </w:r>
    </w:p>
    <w:p w14:paraId="5A6CE7D2">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18.1 投标人须提交证明其拟提供的服务符合招标文件规定的技术响应文件，作为投标文件的一部分。</w:t>
      </w:r>
    </w:p>
    <w:p w14:paraId="37EA3F75">
      <w:pPr>
        <w:pStyle w:val="30"/>
        <w:spacing w:line="360" w:lineRule="auto"/>
        <w:ind w:firstLine="448" w:firstLineChars="200"/>
        <w:jc w:val="both"/>
        <w:rPr>
          <w:rFonts w:ascii="Times New Roman" w:hAnsi="Times New Roman" w:cs="Times New Roman"/>
          <w:color w:val="auto"/>
          <w:szCs w:val="21"/>
          <w:highlight w:val="none"/>
        </w:rPr>
      </w:pPr>
      <w:r>
        <w:rPr>
          <w:rFonts w:ascii="Times New Roman" w:hAnsi="Times New Roman" w:eastAsia="宋体" w:cs="Times New Roman"/>
          <w:color w:val="auto"/>
          <w:highlight w:val="none"/>
        </w:rPr>
        <w:t>18.2 上述技术响应文件可以是文字资料、图纸或数据，</w:t>
      </w:r>
      <w:r>
        <w:rPr>
          <w:rFonts w:ascii="Times New Roman" w:hAnsi="Times New Roman" w:cs="Times New Roman"/>
          <w:color w:val="auto"/>
          <w:szCs w:val="21"/>
          <w:highlight w:val="none"/>
        </w:rPr>
        <w:t>其内容应包括但不限于：</w:t>
      </w:r>
    </w:p>
    <w:p w14:paraId="75F693DE">
      <w:pPr>
        <w:pStyle w:val="30"/>
        <w:spacing w:line="360" w:lineRule="auto"/>
        <w:ind w:firstLine="448" w:firstLineChars="200"/>
        <w:jc w:val="both"/>
        <w:rPr>
          <w:rFonts w:ascii="Times New Roman" w:hAnsi="Times New Roman" w:cs="Times New Roman"/>
          <w:color w:val="auto"/>
          <w:szCs w:val="21"/>
          <w:highlight w:val="none"/>
        </w:rPr>
      </w:pPr>
      <w:r>
        <w:rPr>
          <w:rFonts w:hint="eastAsia" w:ascii="Times New Roman" w:hAnsi="Times New Roman" w:cs="Times New Roman"/>
          <w:color w:val="auto"/>
          <w:szCs w:val="21"/>
          <w:highlight w:val="none"/>
        </w:rPr>
        <w:t>（1）</w:t>
      </w:r>
      <w:r>
        <w:rPr>
          <w:rFonts w:ascii="Times New Roman" w:hAnsi="Times New Roman" w:cs="Times New Roman"/>
          <w:color w:val="auto"/>
          <w:szCs w:val="21"/>
          <w:highlight w:val="none"/>
        </w:rPr>
        <w:t>人力、物力等资源的投入以及服务内容、方式、手段、措施、质量保证及建议等。</w:t>
      </w:r>
    </w:p>
    <w:p w14:paraId="52D1D987">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（2）货物主要技术性能的详细描述；</w:t>
      </w:r>
    </w:p>
    <w:p w14:paraId="5288FD35">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（3）保证货物从采购人开始使用至招标文件规定的保修期内正常和连续运转期间所需要的所有备件和专用工具的详细清单，包括其现行价格和供货来源资料；</w:t>
      </w:r>
    </w:p>
    <w:p w14:paraId="70842954">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（4）逐条对招标文件要求的技术规格进行评议，并按招标文件所附格式完整地填写《技术要求偏离应答表》，说明自己所投标的与招标文件要求的偏离情况。</w:t>
      </w:r>
    </w:p>
    <w:p w14:paraId="4C72339C">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19. 投标保证金</w:t>
      </w:r>
    </w:p>
    <w:p w14:paraId="38A27D75">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19.1 按照《招标项目需求》要求执行。</w:t>
      </w:r>
    </w:p>
    <w:p w14:paraId="0CFD931C">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19.2 符合《政府采购货物和服务招标投标管理办法》和</w:t>
      </w:r>
      <w:r>
        <w:rPr>
          <w:rFonts w:hint="eastAsia" w:ascii="Times New Roman" w:hAnsi="Times New Roman" w:eastAsia="宋体" w:cs="Times New Roman"/>
          <w:color w:val="auto"/>
          <w:highlight w:val="none"/>
          <w:lang w:eastAsia="zh-CN"/>
        </w:rPr>
        <w:t>《中华人民共和国政府采购法实施条例》</w:t>
      </w:r>
      <w:r>
        <w:rPr>
          <w:rFonts w:ascii="Times New Roman" w:hAnsi="Times New Roman" w:eastAsia="宋体" w:cs="Times New Roman"/>
          <w:color w:val="auto"/>
          <w:highlight w:val="none"/>
        </w:rPr>
        <w:t>相关规定。</w:t>
      </w:r>
    </w:p>
    <w:p w14:paraId="45A80FAE">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20. 投标有效期</w:t>
      </w:r>
    </w:p>
    <w:p w14:paraId="0BD94059">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20.1 投标有效期为</w:t>
      </w:r>
      <w:r>
        <w:rPr>
          <w:rFonts w:hint="eastAsia" w:ascii="Times New Roman" w:hAnsi="Times New Roman" w:eastAsia="宋体" w:cs="Times New Roman"/>
          <w:color w:val="auto"/>
          <w:highlight w:val="none"/>
        </w:rPr>
        <w:t>提交投标文件的截止之日</w:t>
      </w:r>
      <w:r>
        <w:rPr>
          <w:rFonts w:ascii="Times New Roman" w:hAnsi="Times New Roman" w:eastAsia="宋体" w:cs="Times New Roman"/>
          <w:color w:val="auto"/>
          <w:highlight w:val="none"/>
        </w:rPr>
        <w:t>起60天。投标书中规定的有效期短于招标文件规定的，其投标将被拒绝。</w:t>
      </w:r>
    </w:p>
    <w:p w14:paraId="3E210FA0">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20.2 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14:paraId="342E08C0">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21. 投标文件的签署及规定</w:t>
      </w:r>
    </w:p>
    <w:p w14:paraId="410799D3">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21.1 投标文件应按《招标项目需求》和《投标文件格式》如实编写，未尽事宜可自行补充。投标文件内容不完整、格式不符合导致投标文件被误读、漏读或者查找不到相关内容的，投标人自行承担由此产生的风险。</w:t>
      </w:r>
    </w:p>
    <w:p w14:paraId="38715A53">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21.2 投标人按照《投标邀请函》的要求提交网上应答并</w:t>
      </w:r>
      <w:r>
        <w:rPr>
          <w:rFonts w:hint="eastAsia" w:ascii="Times New Roman" w:hAnsi="Times New Roman" w:cs="Times New Roman" w:eastAsiaTheme="minorEastAsia"/>
          <w:color w:val="auto"/>
          <w:szCs w:val="32"/>
          <w:highlight w:val="none"/>
        </w:rPr>
        <w:t>上传</w:t>
      </w:r>
      <w:r>
        <w:rPr>
          <w:rFonts w:hint="eastAsia" w:ascii="Times New Roman" w:hAnsi="Times New Roman" w:eastAsia="宋体" w:cs="Times New Roman"/>
          <w:color w:val="auto"/>
          <w:highlight w:val="none"/>
        </w:rPr>
        <w:t>加盖投标人电子签章的电子投标文件（以通过天津公共资源电子签章客户端正确读取签章信息为准）。</w:t>
      </w:r>
    </w:p>
    <w:p w14:paraId="2E50D409">
      <w:pPr>
        <w:pStyle w:val="30"/>
        <w:spacing w:line="360" w:lineRule="auto"/>
        <w:ind w:firstLine="448" w:firstLineChars="200"/>
        <w:jc w:val="both"/>
        <w:rPr>
          <w:rFonts w:hint="eastAsia" w:ascii="Times New Roman" w:hAnsi="Times New Roman" w:eastAsia="宋体" w:cs="Times New Roman"/>
          <w:color w:val="auto"/>
          <w:highlight w:val="none"/>
        </w:rPr>
      </w:pPr>
      <w:r>
        <w:rPr>
          <w:rFonts w:ascii="Times New Roman" w:hAnsi="Times New Roman" w:eastAsia="宋体" w:cs="Times New Roman"/>
          <w:color w:val="auto"/>
          <w:highlight w:val="none"/>
        </w:rPr>
        <w:t>21.3</w:t>
      </w:r>
      <w:r>
        <w:rPr>
          <w:rFonts w:hint="eastAsia" w:ascii="Times New Roman" w:hAnsi="Times New Roman" w:eastAsia="宋体" w:cs="Times New Roman"/>
          <w:color w:val="auto"/>
          <w:highlight w:val="none"/>
        </w:rPr>
        <w:t xml:space="preserve"> 若上传加盖投标人电子签章的电子投标文件有修改，须于规定时间内重新提交电子投标文件。电子投标文件因模糊不清或表达不清所引起的后果由投标人自负。</w:t>
      </w:r>
    </w:p>
    <w:p w14:paraId="7ABCE692">
      <w:pPr>
        <w:pStyle w:val="30"/>
        <w:spacing w:line="360" w:lineRule="auto"/>
        <w:ind w:firstLine="448" w:firstLineChars="200"/>
        <w:jc w:val="both"/>
        <w:rPr>
          <w:rFonts w:hint="eastAsia" w:ascii="Times New Roman" w:hAnsi="Times New Roman" w:eastAsia="宋体" w:cs="Times New Roman"/>
          <w:color w:val="auto"/>
          <w:highlight w:val="none"/>
        </w:rPr>
      </w:pPr>
      <w:r>
        <w:rPr>
          <w:rFonts w:hint="eastAsia" w:ascii="Times New Roman" w:hAnsi="Times New Roman" w:eastAsia="宋体" w:cs="Times New Roman"/>
          <w:color w:val="auto"/>
          <w:highlight w:val="none"/>
          <w:lang w:val="en-US" w:eastAsia="zh-CN"/>
        </w:rPr>
        <w:t>21.4</w:t>
      </w:r>
      <w:r>
        <w:rPr>
          <w:rFonts w:hint="eastAsia" w:ascii="Times New Roman" w:hAnsi="Times New Roman" w:eastAsia="宋体" w:cs="Times New Roman"/>
          <w:color w:val="auto"/>
          <w:highlight w:val="none"/>
        </w:rPr>
        <w:t>文件</w:t>
      </w:r>
      <w:r>
        <w:rPr>
          <w:rFonts w:hint="eastAsia" w:ascii="Times New Roman" w:hAnsi="Times New Roman" w:eastAsia="宋体" w:cs="Times New Roman"/>
          <w:color w:val="auto"/>
          <w:highlight w:val="none"/>
          <w:lang w:val="en-US" w:eastAsia="zh-CN"/>
        </w:rPr>
        <w:t>中</w:t>
      </w:r>
      <w:r>
        <w:rPr>
          <w:rFonts w:hint="eastAsia" w:ascii="Times New Roman" w:hAnsi="Times New Roman" w:eastAsia="宋体" w:cs="Times New Roman"/>
          <w:color w:val="auto"/>
          <w:highlight w:val="none"/>
        </w:rPr>
        <w:t>的电子件指扫描件</w:t>
      </w:r>
      <w:r>
        <w:rPr>
          <w:rFonts w:hint="eastAsia" w:ascii="Times New Roman" w:hAnsi="Times New Roman" w:eastAsia="宋体" w:cs="Times New Roman"/>
          <w:color w:val="auto"/>
          <w:highlight w:val="none"/>
          <w:lang w:eastAsia="zh-CN"/>
        </w:rPr>
        <w:t>、</w:t>
      </w:r>
      <w:r>
        <w:rPr>
          <w:rFonts w:hint="eastAsia" w:ascii="Times New Roman" w:hAnsi="Times New Roman" w:eastAsia="宋体" w:cs="Times New Roman"/>
          <w:color w:val="auto"/>
          <w:highlight w:val="none"/>
          <w:lang w:val="en-US" w:eastAsia="zh-CN"/>
        </w:rPr>
        <w:t>电子证照、</w:t>
      </w:r>
      <w:r>
        <w:rPr>
          <w:rFonts w:hint="eastAsia" w:ascii="Times New Roman" w:hAnsi="Times New Roman" w:eastAsia="宋体" w:cs="Times New Roman"/>
          <w:color w:val="auto"/>
          <w:highlight w:val="none"/>
        </w:rPr>
        <w:t>照片等形式电子文件；要求第三方出具的盖章件原件（如联合协议、分包意向协议、制造商授权书等），投标文件中应使用原件的电子件。</w:t>
      </w:r>
    </w:p>
    <w:p w14:paraId="0513F1CD">
      <w:pPr>
        <w:pStyle w:val="30"/>
        <w:spacing w:line="360" w:lineRule="auto"/>
        <w:jc w:val="center"/>
        <w:rPr>
          <w:rFonts w:ascii="Times New Roman" w:hAnsi="Times New Roman" w:eastAsia="宋体" w:cs="Times New Roman"/>
          <w:color w:val="auto"/>
          <w:highlight w:val="none"/>
        </w:rPr>
      </w:pPr>
      <w:r>
        <w:rPr>
          <w:rFonts w:ascii="Times New Roman" w:hAnsi="Times New Roman" w:eastAsia="宋体" w:cs="Times New Roman"/>
          <w:color w:val="auto"/>
          <w:highlight w:val="none"/>
        </w:rPr>
        <w:t>D  投标文件的网上应答和提交</w:t>
      </w:r>
    </w:p>
    <w:p w14:paraId="5C0DF297">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22. 投标人须按《投标邀请函》规定提交网上应答并上传加盖投标人电子签章的电子投标文件（以通过天津公共资源电子签章客户端正确读取签章信息为准）。具体方式：</w:t>
      </w:r>
      <w:r>
        <w:rPr>
          <w:rFonts w:ascii="Times New Roman" w:hAnsi="Times New Roman" w:eastAsia="宋体" w:cs="Times New Roman"/>
          <w:color w:val="auto"/>
          <w:highlight w:val="none"/>
        </w:rPr>
        <w:t>使用天津数字认证有限公司发出的CA数字证书（原天津市电子认证中心发出尚在有效期内的CA数字证书仍可使用）登录</w:t>
      </w:r>
      <w:r>
        <w:rPr>
          <w:rFonts w:hint="eastAsia" w:ascii="Times New Roman" w:hAnsi="Times New Roman" w:eastAsia="宋体" w:cs="Times New Roman"/>
          <w:color w:val="auto"/>
          <w:highlight w:val="none"/>
        </w:rPr>
        <w:t>天津市政府采购中心网（网址：http://tjgpc.zwfwb.tj.gov.cn）-“网上招投标”-“供应商登录”-“市级集采机构入口”提交网上应答并上传加盖投标人电子签章的电子投标文件（以通过天津公共资源电子签章客户端正确读取签章信息为准）。如有需要，投标人可于工作时间且在招标文件规定的截止时间前到天津市河东区红星路79号天津市政府采购中心窗口完成上述操作。</w:t>
      </w:r>
    </w:p>
    <w:p w14:paraId="0AA66FDA">
      <w:pPr>
        <w:pStyle w:val="30"/>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23. 制作和上传电子投标文件要求</w:t>
      </w:r>
    </w:p>
    <w:p w14:paraId="5D75953E">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23.1 投标人须下载天津市政府采购中心网-下载中心-《天津公共资源电子签章客户端安装包及使用说明》。</w:t>
      </w:r>
    </w:p>
    <w:p w14:paraId="4E35FA08">
      <w:pPr>
        <w:pStyle w:val="30"/>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23.2 投标人须按照招标文件的规定制作电子投标文件，对所需提供的一切纸质材料进行扫描后加入电子投标文件，按照《天津公共资源电子签章客户端安装包及使用说明》规定的要求制作加盖投标人电子签章的电子投标文件（以通过天津公共资源电子签章客户端正确读取签章信息为准），并于投标截止时间前上传至天津市政府采购中心招投标系统。</w:t>
      </w:r>
    </w:p>
    <w:p w14:paraId="7DCB4D5C">
      <w:pPr>
        <w:pStyle w:val="30"/>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特别提醒：</w:t>
      </w:r>
    </w:p>
    <w:p w14:paraId="1FAF06EE">
      <w:pPr>
        <w:pStyle w:val="30"/>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1）由于投标人网络接入速率不可控等网络传输风险，建议投标人在网上应答上传加盖电子签章的电子投标文件后，对上传文件进行下载，核对文件完整性，如是否缺页少页、图片是否显示完整、签章是否有效等，并按照《天津公共资源电子签章客户端安装包及使用说明》要求的文件检查方法进行检查，确保投标文件上传准确、有效。</w:t>
      </w:r>
    </w:p>
    <w:p w14:paraId="5E94CD0B">
      <w:pPr>
        <w:pStyle w:val="30"/>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投标人应当按照天津公共资源电子签章客户端使用说明的要求使用电子签章客户端软件。不按本使用说明使用电子签章客户端软件，或使用word等其它软件进行签章工作，将会造成天津公共资源电子签章客户端无法读取签章信息，并导致投标无效。</w:t>
      </w:r>
    </w:p>
    <w:p w14:paraId="50DC8326">
      <w:pPr>
        <w:pStyle w:val="30"/>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23.3 投标人须保证电子投标文件清晰，便于识别，如因上传、扫描、格式等原因导致评审时受到影响，由投标人自行承担相应责任。</w:t>
      </w:r>
    </w:p>
    <w:p w14:paraId="6D2897C6">
      <w:pPr>
        <w:pStyle w:val="30"/>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24. 投标人须承诺接受电子投标的方式，并自行承担由此带来的废标、无效投标的风险。</w:t>
      </w:r>
    </w:p>
    <w:p w14:paraId="579AA171">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25. 未按招标文件的规定提交网上应答和上传加盖投标人电子签章的电子投标文件（以通过天津公共资源电子签章客户端正确读取签章信息为准）的投标将被拒绝。</w:t>
      </w:r>
    </w:p>
    <w:p w14:paraId="1FAAFDC8">
      <w:pPr>
        <w:pStyle w:val="30"/>
        <w:spacing w:line="360" w:lineRule="auto"/>
        <w:ind w:firstLine="448" w:firstLineChars="200"/>
        <w:jc w:val="both"/>
        <w:rPr>
          <w:rFonts w:ascii="Times New Roman" w:hAnsi="Times New Roman" w:eastAsia="宋体" w:cs="Times New Roman"/>
          <w:color w:val="auto"/>
          <w:highlight w:val="none"/>
        </w:rPr>
      </w:pPr>
    </w:p>
    <w:p w14:paraId="13E0F1DD">
      <w:pPr>
        <w:pStyle w:val="30"/>
        <w:spacing w:line="360" w:lineRule="auto"/>
        <w:jc w:val="center"/>
        <w:rPr>
          <w:rFonts w:ascii="Times New Roman" w:hAnsi="Times New Roman" w:eastAsia="宋体" w:cs="Times New Roman"/>
          <w:color w:val="auto"/>
          <w:highlight w:val="none"/>
        </w:rPr>
      </w:pPr>
      <w:r>
        <w:rPr>
          <w:rFonts w:ascii="Times New Roman" w:hAnsi="Times New Roman" w:eastAsia="宋体" w:cs="Times New Roman"/>
          <w:color w:val="auto"/>
          <w:highlight w:val="none"/>
        </w:rPr>
        <w:t>E  开标和评标</w:t>
      </w:r>
    </w:p>
    <w:p w14:paraId="7E00A891">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26. 开标解密和资格审查</w:t>
      </w:r>
    </w:p>
    <w:p w14:paraId="5E26B8F0">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26.1 投标人须于《投标邀请函》中规定的时间内使用天津数字认证有限公司发出的CA数字证书（原天津市电子认证中心发出尚在有效期内的CA数字证书仍可使用）登录天津市政府采购中心网（网址：http://tjgpc.zwfwb.tj.gov.cn）-”网上招投标”-“供应商登录”-“市级集采机构入口”完成开标解密。</w:t>
      </w:r>
    </w:p>
    <w:p w14:paraId="780980DF">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26.2 由于投标人原因，没有在规定时间内进行网上开标解密，视为无效投标。</w:t>
      </w:r>
    </w:p>
    <w:p w14:paraId="43EEEF7A">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26.3 开标解密后，对开标结果进行网上公示，投标人报价为空、为零的将被视为无效投标。</w:t>
      </w:r>
    </w:p>
    <w:p w14:paraId="47CAB90E">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26.4 开标解密后，投标代表人应保持电话畅通并具备相应的网络环境，随时准备接受评委的网上询标。</w:t>
      </w:r>
    </w:p>
    <w:p w14:paraId="08489AE6">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26.5 投标人须于规定时间内通过天津市政府采购中心招投标系统“询标解答”对评委的网上询标予以解答。如投标代表人被要求到评审现场答疑时，须携带身份证等有效证件原件，以备查验。</w:t>
      </w:r>
    </w:p>
    <w:p w14:paraId="74477EBA">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26.6 投标截止时间后，投标人不足3家的，不得开标。</w:t>
      </w:r>
    </w:p>
    <w:p w14:paraId="53898298">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26.7 开标解密后，采购人或采购代理机构应当依法对投标人的资格进行审查。资格审查合格的投标人不足3家的，不得评标。</w:t>
      </w:r>
    </w:p>
    <w:p w14:paraId="47D86E9A">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27. 评标委员会</w:t>
      </w:r>
    </w:p>
    <w:p w14:paraId="651642A1">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27.1 评标委员会成员由采购人代表和评审专家组成，成员人数应当为5人以上单数，其中评审专家不得少于成员总数的三分之二。</w:t>
      </w:r>
    </w:p>
    <w:p w14:paraId="41CCA523">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27.2 评标委员会负责审查投标文件是否符合招标文件的要求，并进行审查、询标、评估和比较。评标委员会认为必要时，可向投标人进行询标。</w:t>
      </w:r>
    </w:p>
    <w:p w14:paraId="55A201E6">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27.3 出现符合专业条件的供应商或者对招标文件作实质性响应的供应商不足三家，或投标人的报价均超过了采购预算，采购人不能支付的情况时，或出现影响采购公正的违法、违规行为时，评标委员会有权宣布废标。</w:t>
      </w:r>
    </w:p>
    <w:p w14:paraId="1B31682B">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27.4 评标委员会负责完成全部评标工作，向采购人提出经评标委员会签字的书面评标报告。</w:t>
      </w:r>
    </w:p>
    <w:p w14:paraId="5B118323">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28. 对投标文件的审查和响应性的确定</w:t>
      </w:r>
    </w:p>
    <w:p w14:paraId="279702D0">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28.1 符合性检查。评标委员会依据法律法规和招标文件的规定，对投标文件的内容是否完整、有无计算错误、要求的保证金是否已提供、文件签署是否正确、实质性要求等进行审查，确定每份投标文件是否实质上响应了招标文件的要求。</w:t>
      </w:r>
    </w:p>
    <w:p w14:paraId="6A4563AE">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28.2 投标截止时间后，除评标委员会要求提供外，不接受投标人及与投标人有关的任何一方递交的材料。</w:t>
      </w:r>
    </w:p>
    <w:p w14:paraId="2FDC3300">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28.</w:t>
      </w:r>
      <w:r>
        <w:rPr>
          <w:rFonts w:hint="eastAsia" w:ascii="Times New Roman" w:hAnsi="Times New Roman" w:eastAsia="宋体" w:cs="Times New Roman"/>
          <w:color w:val="auto"/>
          <w:highlight w:val="none"/>
        </w:rPr>
        <w:t>3</w:t>
      </w:r>
      <w:r>
        <w:rPr>
          <w:rFonts w:ascii="Times New Roman" w:hAnsi="Times New Roman" w:eastAsia="宋体" w:cs="Times New Roman"/>
          <w:color w:val="auto"/>
          <w:highlight w:val="none"/>
        </w:rPr>
        <w:t xml:space="preserve"> 实质上没有响应招标文件要求的投标文件，将被拒绝。投标人不得通过修改或撤回不符合要求的</w:t>
      </w:r>
      <w:r>
        <w:rPr>
          <w:rFonts w:hint="eastAsia" w:ascii="Times New Roman" w:hAnsi="Times New Roman" w:eastAsia="宋体" w:cs="Times New Roman"/>
          <w:color w:val="auto"/>
          <w:highlight w:val="none"/>
        </w:rPr>
        <w:t>内容</w:t>
      </w:r>
      <w:r>
        <w:rPr>
          <w:rFonts w:ascii="Times New Roman" w:hAnsi="Times New Roman" w:eastAsia="宋体" w:cs="Times New Roman"/>
          <w:color w:val="auto"/>
          <w:highlight w:val="none"/>
        </w:rPr>
        <w:t>而使其投标成为响应性的投标。如出现下列情况之一的，其投标将被拒绝或中标无效：</w:t>
      </w:r>
    </w:p>
    <w:p w14:paraId="3121A019">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（1）投标文件未按招标文件的要求加盖电子签章的；</w:t>
      </w:r>
    </w:p>
    <w:p w14:paraId="14ED2872">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（2）投标有效期短于招标文件要求的；</w:t>
      </w:r>
    </w:p>
    <w:p w14:paraId="5380AC4C">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（3）投标文件中提供虚假材料的；</w:t>
      </w:r>
    </w:p>
    <w:p w14:paraId="7A7E1CD8">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（4）不能满足招标文件中任何一条实质性要求或加注“★”号条款经评委会认定出现偏离的或经评标委员会认定未实质性响应招标文件要求的或投标内容不符合相关强制性规定的；</w:t>
      </w:r>
    </w:p>
    <w:p w14:paraId="091BC519">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（5）未按时进行网上解密或电子投标文件损坏、无效的；</w:t>
      </w:r>
    </w:p>
    <w:p w14:paraId="15885506">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（6）投标报价超出采购预算或最高限价；</w:t>
      </w:r>
    </w:p>
    <w:p w14:paraId="667BFAA6">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（7）存在串通情形的；</w:t>
      </w:r>
    </w:p>
    <w:p w14:paraId="0DACEF50">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（8）单位负责人或法定代表人为同一人，或者存在控股、管理关系的不同供应商，参加同一合同项下投标的，相关投标均无效；</w:t>
      </w:r>
    </w:p>
    <w:p w14:paraId="60D81F5F">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（9）其他法定投标无效的情形。</w:t>
      </w:r>
    </w:p>
    <w:p w14:paraId="06023395">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28.4 评标委员会对确定为实质上响应的投标进行审核，</w:t>
      </w:r>
      <w:r>
        <w:rPr>
          <w:rFonts w:ascii="Times New Roman" w:hAnsi="Times New Roman" w:eastAsia="宋体" w:cs="Times New Roman"/>
          <w:color w:val="auto"/>
          <w:highlight w:val="none"/>
        </w:rPr>
        <w:t>投标文件报价出现前后不一致的</w:t>
      </w:r>
      <w:r>
        <w:rPr>
          <w:rFonts w:hint="eastAsia" w:ascii="Times New Roman" w:hAnsi="Times New Roman" w:eastAsia="宋体" w:cs="Times New Roman"/>
          <w:color w:val="auto"/>
          <w:highlight w:val="none"/>
        </w:rPr>
        <w:t>，修改错误的原则如下：</w:t>
      </w:r>
    </w:p>
    <w:p w14:paraId="6A5F6932">
      <w:pPr>
        <w:pStyle w:val="30"/>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（1）投标文件中开标一览表（报价表）内容与投标文件中相应内容不一致的，以开标一览表（报价表）为准；</w:t>
      </w:r>
    </w:p>
    <w:p w14:paraId="5E924F52">
      <w:pPr>
        <w:pStyle w:val="30"/>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（2）大写金额和小写金额不一致的，以大写金额为准；</w:t>
      </w:r>
    </w:p>
    <w:p w14:paraId="1AB44EE2">
      <w:pPr>
        <w:pStyle w:val="30"/>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（3）单价金额小数点或者百分比有明显错位的，以开标一览表的总价为准，并修改单价；</w:t>
      </w:r>
    </w:p>
    <w:p w14:paraId="539630DC">
      <w:pPr>
        <w:pStyle w:val="30"/>
        <w:spacing w:line="360" w:lineRule="auto"/>
        <w:ind w:firstLine="448" w:firstLineChars="200"/>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（4）总价金额与按单价汇总金额不一致的，以单价金额计算结果为准。</w:t>
      </w:r>
    </w:p>
    <w:p w14:paraId="5919AE1B">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（5）同时出现两种以上不一致的，按照前款规定的顺序修正。修正后的报价经投标人确认后产生约束力，投标人不确认的，其投标无效。</w:t>
      </w:r>
    </w:p>
    <w:p w14:paraId="29CC87A3">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28.</w:t>
      </w:r>
      <w:r>
        <w:rPr>
          <w:rFonts w:hint="eastAsia" w:ascii="Times New Roman" w:hAnsi="Times New Roman" w:eastAsia="宋体" w:cs="Times New Roman"/>
          <w:color w:val="auto"/>
          <w:highlight w:val="none"/>
        </w:rPr>
        <w:t>5</w:t>
      </w:r>
      <w:r>
        <w:rPr>
          <w:rFonts w:ascii="Times New Roman" w:hAnsi="Times New Roman" w:eastAsia="宋体" w:cs="Times New Roman"/>
          <w:color w:val="auto"/>
          <w:highlight w:val="none"/>
        </w:rPr>
        <w:t xml:space="preserve"> 评标委员会将要求投标人按上述修改错误的方法调整投标报价，投标人同意后，调整后的报价对投标人起约束作用。如果投标人不接受修改后的报价，其投标将被拒绝。</w:t>
      </w:r>
    </w:p>
    <w:p w14:paraId="33664563">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29. 投标文件的澄清</w:t>
      </w:r>
    </w:p>
    <w:p w14:paraId="4B168EC1">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29.1 澄清有关问题。为了有助于对投标文件进行审查、评估和比较，评标委员会有权要求投标人对投标文件中含义不明确、同类问题表述不一致或者有明显文字和计算错误的内容作出必要的澄清、说明或者纠正。投标人有义务按照评标委员会通知的时间、地点指派投标代表人就相关问题进行澄清。</w:t>
      </w:r>
    </w:p>
    <w:p w14:paraId="38EC8C36">
      <w:pPr>
        <w:pStyle w:val="30"/>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29.2 投标人澄清、说明、答复或者补充的</w:t>
      </w:r>
      <w:r>
        <w:rPr>
          <w:rFonts w:hint="eastAsia" w:ascii="Times New Roman" w:hAnsi="Times New Roman" w:eastAsia="宋体" w:cs="Times New Roman"/>
          <w:color w:val="auto"/>
          <w:highlight w:val="none"/>
        </w:rPr>
        <w:t>电子</w:t>
      </w:r>
      <w:r>
        <w:rPr>
          <w:rFonts w:ascii="Times New Roman" w:hAnsi="Times New Roman" w:eastAsia="宋体" w:cs="Times New Roman"/>
          <w:color w:val="auto"/>
          <w:highlight w:val="none"/>
        </w:rPr>
        <w:t>文件</w:t>
      </w:r>
      <w:r>
        <w:rPr>
          <w:rFonts w:hint="eastAsia" w:ascii="Times New Roman" w:hAnsi="Times New Roman" w:eastAsia="宋体" w:cs="Times New Roman"/>
          <w:color w:val="auto"/>
          <w:highlight w:val="none"/>
        </w:rPr>
        <w:t>，</w:t>
      </w:r>
      <w:r>
        <w:rPr>
          <w:rFonts w:ascii="Times New Roman" w:hAnsi="Times New Roman" w:eastAsia="宋体" w:cs="Times New Roman"/>
          <w:color w:val="auto"/>
          <w:highlight w:val="none"/>
        </w:rPr>
        <w:t>加盖电子签章后上传至天津市政府采购中心招投标系统。</w:t>
      </w:r>
    </w:p>
    <w:p w14:paraId="1B796145">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29.3 投标人的澄清、说明、答复或者补充应在规定的时间内完成，并不得超出投标文件的范围或对投标内容进行实质性的修改。</w:t>
      </w:r>
    </w:p>
    <w:p w14:paraId="62FEB951">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29.4 澄清文件将作为投标文件的一部分，与投标文件具有同等的法律效力。</w:t>
      </w:r>
    </w:p>
    <w:p w14:paraId="07A7931D">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30. 投标的评估和比较</w:t>
      </w:r>
    </w:p>
    <w:p w14:paraId="3B945215">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评标委员会将根据招标文件确定的评标原则和评标方法对确定为实质上响应招标文件要求的投标进行评估和比较。</w:t>
      </w:r>
    </w:p>
    <w:p w14:paraId="5871CE33">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31. 评标原则和评标方法</w:t>
      </w:r>
    </w:p>
    <w:p w14:paraId="60CBAEA6">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31.1 评标原则</w:t>
      </w:r>
    </w:p>
    <w:p w14:paraId="2FFABB9E">
      <w:pPr>
        <w:pStyle w:val="30"/>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（1）评标委员会应当按照客观、公正、审慎的原则，根据招标文件规定的评审程序、评审方法和评审标准进行独立评审。</w:t>
      </w:r>
    </w:p>
    <w:p w14:paraId="376E6561">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（2）</w:t>
      </w:r>
      <w:r>
        <w:rPr>
          <w:rFonts w:ascii="Times New Roman" w:hAnsi="Times New Roman" w:cs="Times New Roman"/>
          <w:color w:val="auto"/>
          <w:highlight w:val="none"/>
        </w:rPr>
        <w:t>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14:paraId="25AA1C1A">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（3）对招标文件中描述有歧义或前后不一致的地方，</w:t>
      </w:r>
      <w:r>
        <w:rPr>
          <w:rFonts w:hint="eastAsia" w:ascii="Times New Roman" w:hAnsi="Times New Roman" w:eastAsia="宋体" w:cs="Times New Roman"/>
          <w:color w:val="auto"/>
          <w:highlight w:val="none"/>
        </w:rPr>
        <w:t>但不影响项目评审的，</w:t>
      </w:r>
      <w:r>
        <w:rPr>
          <w:rFonts w:ascii="Times New Roman" w:hAnsi="Times New Roman" w:eastAsia="宋体" w:cs="Times New Roman"/>
          <w:color w:val="auto"/>
          <w:highlight w:val="none"/>
        </w:rPr>
        <w:t>评标委员会有权进行评判，但对同一条款的评判应适用于每个投标人。</w:t>
      </w:r>
    </w:p>
    <w:p w14:paraId="29F3C907">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4）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1D8F0964">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（5）根据《关于推动解决政府采购异常低价问题的通知》（财库〔2026〕2号）的要求，评标委员会启动异常低价投标审查程序，</w:t>
      </w:r>
      <w:r>
        <w:rPr>
          <w:rFonts w:ascii="Times New Roman" w:hAnsi="Times New Roman" w:eastAsia="宋体" w:cs="Times New Roman"/>
          <w:color w:val="auto"/>
          <w:highlight w:val="none"/>
        </w:rPr>
        <w:t>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30分钟。</w:t>
      </w:r>
      <w:r>
        <w:rPr>
          <w:rFonts w:hint="eastAsia" w:ascii="Times New Roman" w:hAnsi="Times New Roman" w:eastAsia="宋体" w:cs="Times New Roman"/>
          <w:color w:val="auto"/>
          <w:highlight w:val="none"/>
        </w:rPr>
        <w:t>评标</w:t>
      </w:r>
      <w:r>
        <w:rPr>
          <w:rFonts w:ascii="Times New Roman" w:hAnsi="Times New Roman" w:eastAsia="宋体" w:cs="Times New Roman"/>
          <w:color w:val="auto"/>
          <w:highlight w:val="none"/>
        </w:rPr>
        <w:t>委员会依据专业经验，参考同类项目中标（成交）价格、类似产品市场价格水平、行业人工费用标准、国家有关部门指导行业协会发布的行业平均成本等情况，对报价合理性进行判断。投标供应商不能提供书面说明、证明材料，或者提供的书面说明、证明材料不能证明其报价合理性的，评</w:t>
      </w:r>
      <w:r>
        <w:rPr>
          <w:rFonts w:hint="eastAsia" w:ascii="Times New Roman" w:hAnsi="Times New Roman" w:eastAsia="宋体" w:cs="Times New Roman"/>
          <w:color w:val="auto"/>
          <w:highlight w:val="none"/>
        </w:rPr>
        <w:t>标</w:t>
      </w:r>
      <w:r>
        <w:rPr>
          <w:rFonts w:ascii="Times New Roman" w:hAnsi="Times New Roman" w:eastAsia="宋体" w:cs="Times New Roman"/>
          <w:color w:val="auto"/>
          <w:highlight w:val="none"/>
        </w:rPr>
        <w:t>委员会应当将其作为无效投标处理。</w:t>
      </w:r>
    </w:p>
    <w:p w14:paraId="177DD1E7">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31.2 评标方法</w:t>
      </w:r>
    </w:p>
    <w:p w14:paraId="67A57E93">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1）采用“综合评分法”的评标方法，具体评审因素详见《招标项目需求》。评标采用百分制，各评委独立分别对实质上响应招标文件的投标进行逐项打分，对评标委员会各成员每一因素的打分汇总后取算术平均分，该平均分为供应商的得分。</w:t>
      </w:r>
    </w:p>
    <w:p w14:paraId="2A63DA42">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2）根据《中华人民共和国政府采购法实施条例》和《关于进一步规范政府采购评审工作有关问题的通知》（财库〔2012〕69号）的规定，评标委员会成员要依法独立评审，并对评审意见承担个人责任。评标委员会成员对需要共同认定的事项存在争议的，按照少数服从多数的原则做出结论。持不同意见的评标委员会成员应当在评审报告上签署不同意见并说明理由，否则视为同意。</w:t>
      </w:r>
    </w:p>
    <w:p w14:paraId="1CDC1690">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（3）</w:t>
      </w:r>
      <w:r>
        <w:rPr>
          <w:rFonts w:hint="eastAsia" w:ascii="Times New Roman" w:hAnsi="Times New Roman" w:eastAsia="宋体"/>
          <w:color w:val="auto"/>
          <w:highlight w:val="none"/>
        </w:rPr>
        <w:t>按照《关于调整优化节能产品、环境标志产品政府采购执行机制的通知》（财库〔2019〕9号）文件要求，对</w:t>
      </w:r>
      <w:r>
        <w:rPr>
          <w:rFonts w:ascii="Times New Roman" w:hAnsi="Times New Roman" w:cs="Times New Roman"/>
          <w:color w:val="auto"/>
          <w:highlight w:val="none"/>
        </w:rPr>
        <w:t>政府采购节能、环境标志品目清单</w:t>
      </w:r>
      <w:r>
        <w:rPr>
          <w:rFonts w:hint="eastAsia" w:ascii="Times New Roman" w:hAnsi="Times New Roman" w:cs="Times New Roman"/>
          <w:color w:val="auto"/>
          <w:highlight w:val="none"/>
        </w:rPr>
        <w:t>内的产品实施</w:t>
      </w:r>
      <w:r>
        <w:rPr>
          <w:rFonts w:hint="eastAsia" w:ascii="Times New Roman" w:hAnsi="Times New Roman" w:eastAsia="宋体"/>
          <w:color w:val="auto"/>
          <w:highlight w:val="none"/>
        </w:rPr>
        <w:t>优先采购和强制采购的评标方法。</w:t>
      </w:r>
    </w:p>
    <w:p w14:paraId="3DD5FBE9">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w:t>
      </w:r>
      <w:r>
        <w:rPr>
          <w:rFonts w:hint="eastAsia" w:ascii="Times New Roman" w:hAnsi="Times New Roman" w:eastAsia="宋体" w:cs="Times New Roman"/>
          <w:color w:val="auto"/>
          <w:highlight w:val="none"/>
        </w:rPr>
        <w:t>4</w:t>
      </w:r>
      <w:r>
        <w:rPr>
          <w:rFonts w:ascii="Times New Roman" w:hAnsi="Times New Roman" w:eastAsia="宋体" w:cs="Times New Roman"/>
          <w:color w:val="auto"/>
          <w:highlight w:val="none"/>
        </w:rPr>
        <w:t>）评标委员会审查产品资质或检测报告等相关文件符合性时，应综合考虑行业特点、交易习惯、采购需求最本质原义等情况，而不应以投标文件中产品名称与招标文件产品名称是否一致作为审查的标准。</w:t>
      </w:r>
    </w:p>
    <w:p w14:paraId="0885E317">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w:t>
      </w:r>
      <w:r>
        <w:rPr>
          <w:rFonts w:hint="eastAsia" w:ascii="Times New Roman" w:hAnsi="Times New Roman" w:eastAsia="宋体" w:cs="Times New Roman"/>
          <w:color w:val="auto"/>
          <w:highlight w:val="none"/>
        </w:rPr>
        <w:t>5</w:t>
      </w:r>
      <w:r>
        <w:rPr>
          <w:rFonts w:ascii="Times New Roman" w:hAnsi="Times New Roman" w:eastAsia="宋体" w:cs="Times New Roman"/>
          <w:color w:val="auto"/>
          <w:highlight w:val="none"/>
        </w:rPr>
        <w:t>）中标候选供应商产生办法：按得分由高到低顺序确定中标候选供应商；得分相同的，按投标报价由低到高顺序确定中标候选供应商；得分且投标报价相同的，按技术指标优劣顺序确定中标候选供应商，采购人</w:t>
      </w:r>
      <w:r>
        <w:rPr>
          <w:rFonts w:hint="eastAsia" w:ascii="Times New Roman" w:hAnsi="Times New Roman" w:eastAsia="宋体" w:cs="Times New Roman"/>
          <w:color w:val="auto"/>
          <w:highlight w:val="none"/>
        </w:rPr>
        <w:t>或评标委员会经采购人授权后</w:t>
      </w:r>
      <w:r>
        <w:rPr>
          <w:rFonts w:ascii="Times New Roman" w:hAnsi="Times New Roman" w:eastAsia="宋体" w:cs="Times New Roman"/>
          <w:color w:val="auto"/>
          <w:highlight w:val="none"/>
        </w:rPr>
        <w:t>按中标候选供应商顺序确定中标供应商。</w:t>
      </w:r>
    </w:p>
    <w:p w14:paraId="65DA7472">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w:t>
      </w:r>
      <w:r>
        <w:rPr>
          <w:rFonts w:hint="eastAsia" w:ascii="Times New Roman" w:hAnsi="Times New Roman" w:eastAsia="宋体" w:cs="Times New Roman"/>
          <w:color w:val="auto"/>
          <w:highlight w:val="none"/>
        </w:rPr>
        <w:t>6</w:t>
      </w:r>
      <w:r>
        <w:rPr>
          <w:rFonts w:ascii="Times New Roman" w:hAnsi="Times New Roman" w:eastAsia="宋体" w:cs="Times New Roman"/>
          <w:color w:val="auto"/>
          <w:highlight w:val="none"/>
        </w:rPr>
        <w:t>）根据《政府采购货物和服务招标投标管理办法》（</w:t>
      </w:r>
      <w:r>
        <w:rPr>
          <w:rFonts w:hint="eastAsia" w:ascii="Times New Roman" w:hAnsi="Times New Roman" w:eastAsia="宋体" w:cs="Times New Roman"/>
          <w:color w:val="auto"/>
          <w:highlight w:val="none"/>
        </w:rPr>
        <w:t>财政部</w:t>
      </w:r>
      <w:r>
        <w:rPr>
          <w:rFonts w:ascii="Times New Roman" w:hAnsi="Times New Roman" w:eastAsia="宋体" w:cs="Times New Roman"/>
          <w:color w:val="auto"/>
          <w:highlight w:val="none"/>
        </w:rPr>
        <w:t>令第</w:t>
      </w:r>
      <w:r>
        <w:rPr>
          <w:rFonts w:hint="eastAsia" w:ascii="Times New Roman" w:hAnsi="Times New Roman" w:eastAsia="宋体" w:cs="Times New Roman"/>
          <w:color w:val="auto"/>
          <w:highlight w:val="none"/>
        </w:rPr>
        <w:t>87</w:t>
      </w:r>
      <w:r>
        <w:rPr>
          <w:rFonts w:ascii="Times New Roman" w:hAnsi="Times New Roman" w:eastAsia="宋体" w:cs="Times New Roman"/>
          <w:color w:val="auto"/>
          <w:highlight w:val="none"/>
        </w:rPr>
        <w:t>号）第43条规定，如评审现场经财政部门批准本项目转为其他采购方式的，按相应采购方式程序执行。</w:t>
      </w:r>
    </w:p>
    <w:p w14:paraId="4CCDB100">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32. 其他注意事项</w:t>
      </w:r>
    </w:p>
    <w:p w14:paraId="328049FC">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32.1 在开标、投标期间，投标人不得向评标委员会成员或采购代理机构询问评标情况、施加任何影响，不得进行旨在影响评标结果的活动。</w:t>
      </w:r>
    </w:p>
    <w:p w14:paraId="5BCCBF7A">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32.2 为保证定标的公正性，在评标过程中，评标委员会成员不得与投标人私下交换意见。在开、评标期间及招标工作结束后，凡与评标情况有接触的任何人不得透露审查、澄清、评价和比较等投标的有关资料以及授标建议等评标情况。</w:t>
      </w:r>
    </w:p>
    <w:p w14:paraId="4BA98790">
      <w:pPr>
        <w:pStyle w:val="30"/>
        <w:spacing w:line="360" w:lineRule="auto"/>
        <w:ind w:firstLine="448" w:firstLineChars="200"/>
        <w:rPr>
          <w:rFonts w:ascii="Times New Roman" w:hAnsi="Times New Roman" w:eastAsia="宋体" w:cs="Times New Roman"/>
          <w:color w:val="auto"/>
          <w:highlight w:val="none"/>
        </w:rPr>
      </w:pPr>
      <w:r>
        <w:rPr>
          <w:rFonts w:ascii="Times New Roman" w:hAnsi="Times New Roman" w:eastAsia="宋体" w:cs="Times New Roman"/>
          <w:color w:val="auto"/>
          <w:highlight w:val="none"/>
        </w:rPr>
        <w:t>32. 3 本项目不接受赠品、回扣或者与采购无关的其他商品、服务。</w:t>
      </w:r>
    </w:p>
    <w:p w14:paraId="02876BBE">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32.4 （本条仅适用于货物类项目）不同投标人所投全部产品均为同一品牌或不同投标人所投任一核心产品为同一品牌时（</w:t>
      </w:r>
      <w:r>
        <w:rPr>
          <w:rFonts w:hint="eastAsia" w:ascii="Times New Roman" w:hAnsi="Times New Roman" w:eastAsia="宋体" w:cs="Times New Roman"/>
          <w:color w:val="auto"/>
          <w:highlight w:val="none"/>
        </w:rPr>
        <w:t>加注“▲”号的产品为核心产品如未明确核心产品，则视为全部产品均为核心产品</w:t>
      </w:r>
      <w:r>
        <w:rPr>
          <w:rFonts w:ascii="Times New Roman" w:hAnsi="Times New Roman" w:eastAsia="宋体" w:cs="Times New Roman"/>
          <w:color w:val="auto"/>
          <w:highlight w:val="none"/>
        </w:rPr>
        <w:t>），按以下原则处理：</w:t>
      </w:r>
    </w:p>
    <w:p w14:paraId="6E045283">
      <w:pPr>
        <w:spacing w:line="360" w:lineRule="auto"/>
        <w:ind w:firstLine="448" w:firstLineChars="200"/>
        <w:jc w:val="left"/>
        <w:rPr>
          <w:color w:val="auto"/>
          <w:sz w:val="24"/>
          <w:szCs w:val="24"/>
          <w:highlight w:val="none"/>
        </w:rPr>
      </w:pPr>
      <w:r>
        <w:rPr>
          <w:color w:val="auto"/>
          <w:sz w:val="24"/>
          <w:szCs w:val="24"/>
          <w:highlight w:val="none"/>
        </w:rPr>
        <w:t>（1）采用最低评标价法的采购项目，提供相同品牌产品的不同投标人参加同一合同项下投标的，以其中通过资格审查、符合性审查且报价最低的参加评标；报价相同的，由采购人自行选取一个投标人参加评标，其他投标无效。</w:t>
      </w:r>
    </w:p>
    <w:p w14:paraId="7986FDF7">
      <w:pPr>
        <w:pStyle w:val="30"/>
        <w:spacing w:line="360" w:lineRule="auto"/>
        <w:ind w:firstLine="448" w:firstLineChars="200"/>
        <w:rPr>
          <w:rFonts w:ascii="Times New Roman" w:hAnsi="Times New Roman" w:cs="Times New Roman"/>
          <w:color w:val="auto"/>
          <w:highlight w:val="none"/>
        </w:rPr>
      </w:pPr>
      <w:r>
        <w:rPr>
          <w:rFonts w:ascii="Times New Roman" w:hAnsi="Times New Roman" w:cs="Times New Roman"/>
          <w:color w:val="auto"/>
          <w:highlight w:val="none"/>
        </w:rPr>
        <w:t>（2）采用综合评分法的采购项目，提供相同品牌产品且通过资格审查、符合性审查的不同投标人参加同一合同项下投标的，按一家投标人计算，评审后得分最高的同品牌投标人获得中标人推荐资格；评审得分相同的，由采购人自行选取一个投标人获得中标人推荐资格，其他同品牌投标人不作为中标候选人。</w:t>
      </w:r>
    </w:p>
    <w:p w14:paraId="40BE70F7">
      <w:pPr>
        <w:pStyle w:val="30"/>
        <w:spacing w:line="360" w:lineRule="auto"/>
        <w:ind w:firstLine="448" w:firstLineChars="200"/>
        <w:rPr>
          <w:rFonts w:ascii="Times New Roman" w:hAnsi="Times New Roman" w:eastAsia="宋体" w:cs="Times New Roman"/>
          <w:color w:val="auto"/>
          <w:highlight w:val="none"/>
        </w:rPr>
      </w:pPr>
    </w:p>
    <w:p w14:paraId="7ECBF59A">
      <w:pPr>
        <w:pStyle w:val="30"/>
        <w:spacing w:line="360" w:lineRule="auto"/>
        <w:jc w:val="center"/>
        <w:rPr>
          <w:rFonts w:ascii="Times New Roman" w:hAnsi="Times New Roman" w:eastAsia="宋体" w:cs="Times New Roman"/>
          <w:color w:val="auto"/>
          <w:highlight w:val="none"/>
        </w:rPr>
      </w:pPr>
      <w:r>
        <w:rPr>
          <w:rFonts w:ascii="Times New Roman" w:hAnsi="Times New Roman" w:eastAsia="宋体" w:cs="Times New Roman"/>
          <w:color w:val="auto"/>
          <w:highlight w:val="none"/>
        </w:rPr>
        <w:t>F  授予合同</w:t>
      </w:r>
    </w:p>
    <w:p w14:paraId="062A9A66">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33. 中标供应商的产生</w:t>
      </w:r>
    </w:p>
    <w:p w14:paraId="78E42E9B">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33.1 采购人可以事先授权评标委员会直接确定中标供应商。</w:t>
      </w:r>
    </w:p>
    <w:p w14:paraId="5A1ED65A">
      <w:pPr>
        <w:pStyle w:val="30"/>
        <w:spacing w:line="360" w:lineRule="auto"/>
        <w:ind w:firstLine="448" w:firstLineChars="200"/>
        <w:jc w:val="both"/>
        <w:rPr>
          <w:rFonts w:ascii="Times New Roman" w:hAnsi="Times New Roman" w:eastAsia="宋体" w:cs="Times New Roman"/>
          <w:color w:val="auto"/>
          <w:highlight w:val="none"/>
        </w:rPr>
      </w:pPr>
      <w:r>
        <w:rPr>
          <w:rFonts w:ascii="Times New Roman" w:hAnsi="Times New Roman" w:eastAsia="宋体" w:cs="Times New Roman"/>
          <w:color w:val="auto"/>
          <w:highlight w:val="none"/>
        </w:rPr>
        <w:t>33.2 采购人也可以按照</w:t>
      </w:r>
      <w:r>
        <w:rPr>
          <w:rFonts w:hint="eastAsia" w:ascii="Times New Roman" w:hAnsi="Times New Roman" w:eastAsia="宋体" w:cs="Times New Roman"/>
          <w:color w:val="auto"/>
          <w:highlight w:val="none"/>
          <w:lang w:eastAsia="zh-CN"/>
        </w:rPr>
        <w:t>《中华人民共和国政府采购法》</w:t>
      </w:r>
      <w:r>
        <w:rPr>
          <w:rFonts w:ascii="Times New Roman" w:hAnsi="Times New Roman" w:eastAsia="宋体" w:cs="Times New Roman"/>
          <w:color w:val="auto"/>
          <w:highlight w:val="none"/>
        </w:rPr>
        <w:t>及其实施条例等法律法规的规定和招标文件的要求确认中标供应商。</w:t>
      </w:r>
    </w:p>
    <w:p w14:paraId="2173D3E1">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34. 中标通知</w:t>
      </w:r>
    </w:p>
    <w:p w14:paraId="3F48DF4C">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34.1 中标公告发布同时，采购代理机构将通过天津市政府采购中心招投标系统以电子形式向中标供应商发出《中标通知书》（请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查看项目文件”中获取）。《中标通知书》一经发出即发生法律效力。</w:t>
      </w:r>
    </w:p>
    <w:p w14:paraId="191C3608">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35. 投标人可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项目资审情况”中获取未通过资格审查的原因或从“供应商系统”的“查看排序和得分”中获取未中标人本人的评审得分与排序。</w:t>
      </w:r>
    </w:p>
    <w:p w14:paraId="64FCC427">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36. 签订合同</w:t>
      </w:r>
    </w:p>
    <w:p w14:paraId="34455921">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36.1 采购人与中标供应商应当在中标通知书发出之日起三十日内，按照招标文件确定的事项签订政府采购合同。合同文本请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合同”中获取。</w:t>
      </w:r>
    </w:p>
    <w:p w14:paraId="49AA9A9F">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36.2 招标文件、中标供应商的投标文件及其澄清文件等，均为签订合同的依据，且为合同的组成部分。</w:t>
      </w:r>
    </w:p>
    <w:p w14:paraId="2215ED58">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37. 履约保证金</w:t>
      </w:r>
    </w:p>
    <w:p w14:paraId="1162067F">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37.1 若《招标项目需求》规定须提交履约保证金的，中标供应商须按照规定要求提交履约保证金。</w:t>
      </w:r>
    </w:p>
    <w:p w14:paraId="30B3878C">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37.2 中标供应商未能按合同规定履行其义务，采购人有权没收其履约保证金。</w:t>
      </w:r>
    </w:p>
    <w:p w14:paraId="6A85497C">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38. 中标供应商拒绝与采购人签订合同的，采购人可以按照评审报告推荐的中标候选人名单排序，确定下一候选人为中标供应商，也可以重新开展政府采购活动。</w:t>
      </w:r>
    </w:p>
    <w:p w14:paraId="5FBEC781">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39. 合同分包</w:t>
      </w:r>
    </w:p>
    <w:p w14:paraId="5A1D73D8">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39.1 未经采购人同意，中标供应商不得分包合同。</w:t>
      </w:r>
    </w:p>
    <w:p w14:paraId="13F116DC">
      <w:pPr>
        <w:pStyle w:val="30"/>
        <w:spacing w:line="360" w:lineRule="auto"/>
        <w:ind w:firstLine="448" w:firstLineChars="200"/>
        <w:jc w:val="both"/>
        <w:rPr>
          <w:rFonts w:ascii="Times New Roman" w:hAnsi="Times New Roman" w:eastAsia="宋体" w:cs="Times New Roman"/>
          <w:color w:val="auto"/>
          <w:highlight w:val="none"/>
        </w:rPr>
      </w:pPr>
      <w:r>
        <w:rPr>
          <w:rFonts w:hint="eastAsia" w:ascii="Times New Roman" w:hAnsi="Times New Roman" w:eastAsia="宋体" w:cs="Times New Roman"/>
          <w:color w:val="auto"/>
          <w:highlight w:val="none"/>
        </w:rPr>
        <w:t>39.2 政府采购合同分包履行的，中标供应商就采购项目和分包项目向采购人负责，分包供应商就分包项目承担责任。</w:t>
      </w:r>
    </w:p>
    <w:p w14:paraId="3F9B09A3">
      <w:pPr>
        <w:pStyle w:val="30"/>
        <w:spacing w:line="360" w:lineRule="auto"/>
        <w:ind w:firstLine="448" w:firstLineChars="200"/>
        <w:jc w:val="both"/>
        <w:rPr>
          <w:rFonts w:ascii="Times New Roman" w:hAnsi="Times New Roman" w:eastAsia="宋体" w:cs="Times New Roman"/>
          <w:color w:val="auto"/>
          <w:highlight w:val="none"/>
        </w:rPr>
      </w:pPr>
    </w:p>
    <w:p w14:paraId="6B677F86">
      <w:pPr>
        <w:widowControl/>
        <w:jc w:val="left"/>
        <w:rPr>
          <w:b/>
          <w:bCs/>
          <w:color w:val="auto"/>
          <w:kern w:val="28"/>
          <w:sz w:val="32"/>
          <w:szCs w:val="32"/>
          <w:highlight w:val="none"/>
          <w:lang w:val="zh-CN" w:eastAsia="zh-CN"/>
        </w:rPr>
      </w:pPr>
      <w:r>
        <w:rPr>
          <w:color w:val="auto"/>
          <w:highlight w:val="none"/>
        </w:rPr>
        <w:br w:type="page"/>
      </w:r>
    </w:p>
    <w:p w14:paraId="52B272B6">
      <w:pPr>
        <w:pStyle w:val="17"/>
        <w:rPr>
          <w:rFonts w:ascii="Times New Roman" w:hAnsi="Times New Roman"/>
          <w:color w:val="auto"/>
          <w:highlight w:val="none"/>
        </w:rPr>
      </w:pPr>
      <w:r>
        <w:rPr>
          <w:rFonts w:ascii="Times New Roman" w:hAnsi="Times New Roman"/>
          <w:color w:val="auto"/>
          <w:highlight w:val="none"/>
        </w:rPr>
        <w:t>第四部分  合同条款</w:t>
      </w:r>
    </w:p>
    <w:p w14:paraId="2BCB6F48">
      <w:pPr>
        <w:tabs>
          <w:tab w:val="left" w:pos="412"/>
          <w:tab w:val="left" w:pos="618"/>
        </w:tabs>
        <w:spacing w:line="520" w:lineRule="exact"/>
        <w:jc w:val="center"/>
        <w:rPr>
          <w:b/>
          <w:color w:val="auto"/>
          <w:sz w:val="30"/>
          <w:szCs w:val="30"/>
          <w:highlight w:val="none"/>
        </w:rPr>
      </w:pPr>
      <w:r>
        <w:rPr>
          <w:b/>
          <w:color w:val="auto"/>
          <w:sz w:val="30"/>
          <w:szCs w:val="30"/>
          <w:highlight w:val="none"/>
        </w:rPr>
        <w:t>合同一般条款</w:t>
      </w:r>
    </w:p>
    <w:p w14:paraId="535BA93D">
      <w:pPr>
        <w:tabs>
          <w:tab w:val="left" w:pos="0"/>
          <w:tab w:val="left" w:pos="315"/>
        </w:tabs>
        <w:spacing w:line="520" w:lineRule="exact"/>
        <w:ind w:firstLine="480"/>
        <w:rPr>
          <w:color w:val="auto"/>
          <w:sz w:val="24"/>
          <w:szCs w:val="24"/>
          <w:highlight w:val="none"/>
        </w:rPr>
      </w:pPr>
      <w:r>
        <w:rPr>
          <w:color w:val="auto"/>
          <w:sz w:val="24"/>
          <w:szCs w:val="24"/>
          <w:highlight w:val="none"/>
        </w:rPr>
        <w:t xml:space="preserve">需方：  </w:t>
      </w:r>
    </w:p>
    <w:p w14:paraId="6D2FCFC5">
      <w:pPr>
        <w:tabs>
          <w:tab w:val="left" w:pos="0"/>
          <w:tab w:val="left" w:pos="315"/>
        </w:tabs>
        <w:spacing w:line="520" w:lineRule="exact"/>
        <w:ind w:firstLine="480"/>
        <w:rPr>
          <w:color w:val="auto"/>
          <w:sz w:val="24"/>
          <w:szCs w:val="24"/>
          <w:highlight w:val="none"/>
        </w:rPr>
      </w:pPr>
      <w:r>
        <w:rPr>
          <w:color w:val="auto"/>
          <w:sz w:val="24"/>
          <w:szCs w:val="24"/>
          <w:highlight w:val="none"/>
        </w:rPr>
        <w:t xml:space="preserve">供方： </w:t>
      </w:r>
    </w:p>
    <w:p w14:paraId="0D599897">
      <w:pPr>
        <w:tabs>
          <w:tab w:val="left" w:pos="0"/>
          <w:tab w:val="left" w:pos="315"/>
        </w:tabs>
        <w:spacing w:line="520" w:lineRule="exact"/>
        <w:ind w:firstLine="480"/>
        <w:rPr>
          <w:color w:val="auto"/>
          <w:sz w:val="24"/>
          <w:szCs w:val="24"/>
          <w:highlight w:val="none"/>
        </w:rPr>
      </w:pPr>
      <w:r>
        <w:rPr>
          <w:color w:val="auto"/>
          <w:sz w:val="24"/>
          <w:szCs w:val="24"/>
          <w:highlight w:val="none"/>
        </w:rPr>
        <w:t>供、需双方根据   项目（项目编号：TGPC-201 - ）的政府采购结果和</w:t>
      </w:r>
      <w:r>
        <w:rPr>
          <w:rFonts w:hint="eastAsia"/>
          <w:color w:val="auto"/>
          <w:sz w:val="24"/>
          <w:szCs w:val="24"/>
          <w:highlight w:val="none"/>
        </w:rPr>
        <w:t>招标</w:t>
      </w:r>
      <w:r>
        <w:rPr>
          <w:color w:val="auto"/>
          <w:sz w:val="24"/>
          <w:szCs w:val="24"/>
          <w:highlight w:val="none"/>
        </w:rPr>
        <w:t>文件的要求，并经双方协商一致，达成  合同：</w:t>
      </w:r>
    </w:p>
    <w:p w14:paraId="4E7B0443">
      <w:pPr>
        <w:pStyle w:val="35"/>
        <w:numPr>
          <w:ilvl w:val="0"/>
          <w:numId w:val="2"/>
        </w:numPr>
        <w:spacing w:line="480" w:lineRule="exact"/>
        <w:ind w:firstLineChars="0"/>
        <w:rPr>
          <w:color w:val="auto"/>
          <w:sz w:val="24"/>
          <w:szCs w:val="24"/>
          <w:highlight w:val="none"/>
        </w:rPr>
      </w:pPr>
      <w:r>
        <w:rPr>
          <w:rFonts w:hint="eastAsia"/>
          <w:color w:val="auto"/>
          <w:sz w:val="24"/>
          <w:szCs w:val="24"/>
          <w:highlight w:val="none"/>
        </w:rPr>
        <w:t>本合同为中小企业预留合同</w:t>
      </w:r>
    </w:p>
    <w:p w14:paraId="20153EE2">
      <w:pPr>
        <w:pStyle w:val="35"/>
        <w:numPr>
          <w:ilvl w:val="0"/>
          <w:numId w:val="2"/>
        </w:numPr>
        <w:spacing w:line="480" w:lineRule="exact"/>
        <w:ind w:firstLineChars="0"/>
        <w:rPr>
          <w:color w:val="auto"/>
          <w:sz w:val="24"/>
          <w:szCs w:val="24"/>
          <w:highlight w:val="none"/>
        </w:rPr>
      </w:pPr>
      <w:r>
        <w:rPr>
          <w:rFonts w:hint="eastAsia"/>
          <w:color w:val="auto"/>
          <w:sz w:val="24"/>
          <w:szCs w:val="24"/>
          <w:highlight w:val="none"/>
        </w:rPr>
        <w:t>本合同非中小企业预留合同</w:t>
      </w:r>
    </w:p>
    <w:p w14:paraId="7E755D4F">
      <w:pPr>
        <w:tabs>
          <w:tab w:val="left" w:pos="0"/>
          <w:tab w:val="left" w:pos="315"/>
        </w:tabs>
        <w:spacing w:line="520" w:lineRule="exact"/>
        <w:ind w:firstLine="480"/>
        <w:rPr>
          <w:color w:val="auto"/>
          <w:sz w:val="24"/>
          <w:szCs w:val="24"/>
          <w:highlight w:val="none"/>
        </w:rPr>
      </w:pPr>
      <w:r>
        <w:rPr>
          <w:color w:val="auto"/>
          <w:sz w:val="24"/>
          <w:szCs w:val="24"/>
          <w:highlight w:val="none"/>
        </w:rPr>
        <w:t>鉴于政府采购使用的合同文本的特殊性，本合同一般条款仅作为确立法律关系框架作用，具体合同的权利义务等内容以双方签订的专业合同为准，该合同作为本政府采购合同附件，与本合同具有同等法律效力，如附件合同没有而合同一般条款有的且涉及政府采购性质的内容，以合同一般条款内容为准。</w:t>
      </w:r>
    </w:p>
    <w:p w14:paraId="3164DAC9">
      <w:pPr>
        <w:tabs>
          <w:tab w:val="left" w:pos="1133"/>
        </w:tabs>
        <w:spacing w:line="520" w:lineRule="exact"/>
        <w:ind w:firstLine="448" w:firstLineChars="200"/>
        <w:rPr>
          <w:color w:val="auto"/>
          <w:sz w:val="24"/>
          <w:szCs w:val="24"/>
          <w:highlight w:val="none"/>
        </w:rPr>
      </w:pPr>
      <w:r>
        <w:rPr>
          <w:color w:val="auto"/>
          <w:sz w:val="24"/>
          <w:szCs w:val="24"/>
          <w:highlight w:val="none"/>
        </w:rPr>
        <w:t>一、采购内容：  （详见附件）</w:t>
      </w:r>
    </w:p>
    <w:p w14:paraId="309B5F05">
      <w:pPr>
        <w:tabs>
          <w:tab w:val="left" w:pos="1133"/>
        </w:tabs>
        <w:spacing w:line="520" w:lineRule="exact"/>
        <w:ind w:firstLine="448" w:firstLineChars="200"/>
        <w:rPr>
          <w:color w:val="auto"/>
          <w:sz w:val="24"/>
          <w:szCs w:val="24"/>
          <w:highlight w:val="none"/>
        </w:rPr>
      </w:pPr>
      <w:r>
        <w:rPr>
          <w:color w:val="auto"/>
          <w:sz w:val="24"/>
          <w:szCs w:val="24"/>
          <w:highlight w:val="none"/>
        </w:rPr>
        <w:t xml:space="preserve">    合同总价款：人民币  元</w:t>
      </w:r>
    </w:p>
    <w:p w14:paraId="41D4706E">
      <w:pPr>
        <w:tabs>
          <w:tab w:val="left" w:pos="1133"/>
        </w:tabs>
        <w:spacing w:line="520" w:lineRule="exact"/>
        <w:ind w:firstLine="448" w:firstLineChars="200"/>
        <w:rPr>
          <w:color w:val="auto"/>
          <w:sz w:val="24"/>
          <w:szCs w:val="24"/>
          <w:highlight w:val="none"/>
        </w:rPr>
      </w:pPr>
      <w:r>
        <w:rPr>
          <w:color w:val="auto"/>
          <w:sz w:val="24"/>
          <w:szCs w:val="24"/>
          <w:highlight w:val="none"/>
        </w:rPr>
        <w:t xml:space="preserve">    大写：人民币  元整</w:t>
      </w:r>
    </w:p>
    <w:p w14:paraId="6164BAED">
      <w:pPr>
        <w:tabs>
          <w:tab w:val="left" w:pos="360"/>
        </w:tabs>
        <w:spacing w:line="520" w:lineRule="exact"/>
        <w:ind w:firstLine="448" w:firstLineChars="200"/>
        <w:rPr>
          <w:color w:val="auto"/>
          <w:sz w:val="24"/>
          <w:szCs w:val="24"/>
          <w:highlight w:val="none"/>
        </w:rPr>
      </w:pPr>
      <w:r>
        <w:rPr>
          <w:color w:val="auto"/>
          <w:sz w:val="24"/>
          <w:szCs w:val="24"/>
          <w:highlight w:val="none"/>
        </w:rPr>
        <w:t>二、质量要求及对质量负责条件和期限：见附件。</w:t>
      </w:r>
    </w:p>
    <w:p w14:paraId="32BA67A6">
      <w:pPr>
        <w:tabs>
          <w:tab w:val="left" w:pos="360"/>
        </w:tabs>
        <w:spacing w:line="520" w:lineRule="exact"/>
        <w:ind w:firstLine="448" w:firstLineChars="200"/>
        <w:rPr>
          <w:color w:val="auto"/>
          <w:sz w:val="24"/>
          <w:szCs w:val="24"/>
          <w:highlight w:val="none"/>
        </w:rPr>
      </w:pPr>
      <w:r>
        <w:rPr>
          <w:color w:val="auto"/>
          <w:sz w:val="24"/>
          <w:szCs w:val="24"/>
          <w:highlight w:val="none"/>
        </w:rPr>
        <w:t>三、供方所提供的服务必须具有合法手续及相关文件。如涉及知识产权则必须是自己拥有或合法使用的。</w:t>
      </w:r>
    </w:p>
    <w:p w14:paraId="7801F3EF">
      <w:pPr>
        <w:tabs>
          <w:tab w:val="left" w:pos="360"/>
        </w:tabs>
        <w:spacing w:line="520" w:lineRule="exact"/>
        <w:ind w:firstLine="448" w:firstLineChars="200"/>
        <w:rPr>
          <w:color w:val="auto"/>
          <w:sz w:val="24"/>
          <w:szCs w:val="24"/>
          <w:highlight w:val="none"/>
        </w:rPr>
      </w:pPr>
      <w:r>
        <w:rPr>
          <w:color w:val="auto"/>
          <w:sz w:val="24"/>
          <w:szCs w:val="24"/>
          <w:highlight w:val="none"/>
        </w:rPr>
        <w:t>四、</w:t>
      </w:r>
      <w:r>
        <w:rPr>
          <w:rFonts w:hint="eastAsia"/>
          <w:color w:val="auto"/>
          <w:sz w:val="24"/>
          <w:szCs w:val="24"/>
          <w:highlight w:val="none"/>
        </w:rPr>
        <w:t>服务</w:t>
      </w:r>
      <w:r>
        <w:rPr>
          <w:color w:val="auto"/>
          <w:sz w:val="24"/>
          <w:szCs w:val="24"/>
          <w:highlight w:val="none"/>
        </w:rPr>
        <w:t>时间、地点、方式：见附件。</w:t>
      </w:r>
    </w:p>
    <w:p w14:paraId="22CC8ADF">
      <w:pPr>
        <w:tabs>
          <w:tab w:val="left" w:pos="360"/>
        </w:tabs>
        <w:spacing w:line="520" w:lineRule="exact"/>
        <w:ind w:firstLine="448" w:firstLineChars="200"/>
        <w:rPr>
          <w:color w:val="auto"/>
          <w:sz w:val="24"/>
          <w:szCs w:val="24"/>
          <w:highlight w:val="none"/>
        </w:rPr>
      </w:pPr>
      <w:r>
        <w:rPr>
          <w:color w:val="auto"/>
          <w:sz w:val="24"/>
          <w:szCs w:val="24"/>
          <w:highlight w:val="none"/>
        </w:rPr>
        <w:t>五、供方应随</w:t>
      </w:r>
      <w:r>
        <w:rPr>
          <w:rFonts w:hint="eastAsia"/>
          <w:color w:val="auto"/>
          <w:sz w:val="24"/>
          <w:szCs w:val="24"/>
          <w:highlight w:val="none"/>
        </w:rPr>
        <w:t>服务</w:t>
      </w:r>
      <w:r>
        <w:rPr>
          <w:color w:val="auto"/>
          <w:sz w:val="24"/>
          <w:szCs w:val="24"/>
          <w:highlight w:val="none"/>
        </w:rPr>
        <w:t>向需方交付的相关资料。如果所提交文件是外文的，供方有义务为需方提供中文或译成中文文件。</w:t>
      </w:r>
    </w:p>
    <w:p w14:paraId="402413E2">
      <w:pPr>
        <w:tabs>
          <w:tab w:val="left" w:pos="360"/>
          <w:tab w:val="left" w:pos="721"/>
        </w:tabs>
        <w:spacing w:line="520" w:lineRule="exact"/>
        <w:rPr>
          <w:color w:val="auto"/>
          <w:sz w:val="24"/>
          <w:szCs w:val="24"/>
          <w:highlight w:val="none"/>
        </w:rPr>
      </w:pPr>
      <w:r>
        <w:rPr>
          <w:color w:val="auto"/>
          <w:sz w:val="24"/>
          <w:szCs w:val="24"/>
          <w:highlight w:val="none"/>
        </w:rPr>
        <w:t xml:space="preserve">    六、验收工作由需方负责对合同进行验收。</w:t>
      </w:r>
    </w:p>
    <w:p w14:paraId="3732441D">
      <w:pPr>
        <w:tabs>
          <w:tab w:val="left" w:pos="360"/>
        </w:tabs>
        <w:spacing w:line="520" w:lineRule="exact"/>
        <w:rPr>
          <w:color w:val="auto"/>
          <w:sz w:val="24"/>
          <w:szCs w:val="24"/>
          <w:highlight w:val="none"/>
        </w:rPr>
      </w:pPr>
      <w:r>
        <w:rPr>
          <w:color w:val="auto"/>
          <w:sz w:val="24"/>
          <w:szCs w:val="24"/>
          <w:highlight w:val="none"/>
        </w:rPr>
        <w:t xml:space="preserve">    七、货款支付方式：见附件。</w:t>
      </w:r>
    </w:p>
    <w:p w14:paraId="7EC6B716">
      <w:pPr>
        <w:tabs>
          <w:tab w:val="left" w:pos="0"/>
          <w:tab w:val="left" w:pos="721"/>
        </w:tabs>
        <w:spacing w:line="520" w:lineRule="exact"/>
        <w:ind w:firstLine="448" w:firstLineChars="200"/>
        <w:rPr>
          <w:color w:val="auto"/>
          <w:sz w:val="24"/>
          <w:szCs w:val="24"/>
          <w:highlight w:val="none"/>
        </w:rPr>
      </w:pPr>
      <w:r>
        <w:rPr>
          <w:color w:val="auto"/>
          <w:sz w:val="24"/>
          <w:szCs w:val="24"/>
          <w:highlight w:val="none"/>
        </w:rPr>
        <w:t>供方开户银行（汉字全称）：</w:t>
      </w:r>
      <w:r>
        <w:rPr>
          <w:color w:val="auto"/>
          <w:sz w:val="24"/>
          <w:szCs w:val="24"/>
          <w:highlight w:val="none"/>
          <w:u w:val="single"/>
        </w:rPr>
        <w:t xml:space="preserve">                                        </w:t>
      </w:r>
      <w:r>
        <w:rPr>
          <w:color w:val="auto"/>
          <w:sz w:val="24"/>
          <w:szCs w:val="24"/>
          <w:highlight w:val="none"/>
        </w:rPr>
        <w:t>，</w:t>
      </w:r>
    </w:p>
    <w:p w14:paraId="35FFBEC3">
      <w:pPr>
        <w:tabs>
          <w:tab w:val="left" w:pos="0"/>
          <w:tab w:val="left" w:pos="721"/>
        </w:tabs>
        <w:spacing w:line="520" w:lineRule="exact"/>
        <w:ind w:firstLine="479" w:firstLineChars="214"/>
        <w:rPr>
          <w:color w:val="auto"/>
          <w:sz w:val="24"/>
          <w:szCs w:val="24"/>
          <w:highlight w:val="none"/>
        </w:rPr>
      </w:pPr>
      <w:r>
        <w:rPr>
          <w:color w:val="auto"/>
          <w:sz w:val="24"/>
          <w:szCs w:val="24"/>
          <w:highlight w:val="none"/>
        </w:rPr>
        <w:t>行号（数字代码）：</w:t>
      </w:r>
      <w:r>
        <w:rPr>
          <w:color w:val="auto"/>
          <w:sz w:val="24"/>
          <w:szCs w:val="24"/>
          <w:highlight w:val="none"/>
          <w:u w:val="single"/>
        </w:rPr>
        <w:t xml:space="preserve">                                                </w:t>
      </w:r>
      <w:r>
        <w:rPr>
          <w:color w:val="auto"/>
          <w:sz w:val="24"/>
          <w:szCs w:val="24"/>
          <w:highlight w:val="none"/>
        </w:rPr>
        <w:t>，</w:t>
      </w:r>
    </w:p>
    <w:p w14:paraId="3EC3812A">
      <w:pPr>
        <w:tabs>
          <w:tab w:val="left" w:pos="0"/>
          <w:tab w:val="left" w:pos="721"/>
        </w:tabs>
        <w:spacing w:line="520" w:lineRule="exact"/>
        <w:ind w:firstLine="479" w:firstLineChars="214"/>
        <w:rPr>
          <w:color w:val="auto"/>
          <w:sz w:val="24"/>
          <w:szCs w:val="24"/>
          <w:highlight w:val="none"/>
        </w:rPr>
      </w:pPr>
      <w:r>
        <w:rPr>
          <w:rFonts w:hint="eastAsia"/>
          <w:color w:val="auto"/>
          <w:sz w:val="24"/>
          <w:szCs w:val="24"/>
          <w:highlight w:val="none"/>
        </w:rPr>
        <w:t xml:space="preserve">账 </w:t>
      </w:r>
      <w:r>
        <w:rPr>
          <w:color w:val="auto"/>
          <w:sz w:val="24"/>
          <w:szCs w:val="24"/>
          <w:highlight w:val="none"/>
        </w:rPr>
        <w:t xml:space="preserve">       号：</w:t>
      </w:r>
      <w:r>
        <w:rPr>
          <w:color w:val="auto"/>
          <w:sz w:val="24"/>
          <w:szCs w:val="24"/>
          <w:highlight w:val="none"/>
          <w:u w:val="single"/>
        </w:rPr>
        <w:t xml:space="preserve">                                                   </w:t>
      </w:r>
      <w:r>
        <w:rPr>
          <w:color w:val="auto"/>
          <w:szCs w:val="24"/>
          <w:highlight w:val="none"/>
        </w:rPr>
        <w:t>。</w:t>
      </w:r>
    </w:p>
    <w:p w14:paraId="40800855">
      <w:pPr>
        <w:pStyle w:val="13"/>
        <w:spacing w:line="520" w:lineRule="exact"/>
        <w:ind w:left="-97" w:leftChars="-50" w:firstLine="448" w:firstLineChars="200"/>
        <w:rPr>
          <w:color w:val="auto"/>
          <w:sz w:val="24"/>
          <w:szCs w:val="24"/>
          <w:highlight w:val="none"/>
        </w:rPr>
      </w:pPr>
      <w:r>
        <w:rPr>
          <w:rFonts w:hint="eastAsia"/>
          <w:color w:val="auto"/>
          <w:sz w:val="24"/>
          <w:szCs w:val="24"/>
          <w:highlight w:val="none"/>
        </w:rPr>
        <w:t>八</w:t>
      </w:r>
      <w:r>
        <w:rPr>
          <w:color w:val="auto"/>
          <w:sz w:val="24"/>
          <w:szCs w:val="24"/>
          <w:highlight w:val="none"/>
        </w:rPr>
        <w:t>、有关涉及本合同供方向天津市政府采购中心所提交的投标文件及有关澄清资料和服务承诺均视为本合同不可分割的部分，对供方具有约束力。</w:t>
      </w:r>
    </w:p>
    <w:p w14:paraId="5F999998">
      <w:pPr>
        <w:tabs>
          <w:tab w:val="left" w:pos="0"/>
          <w:tab w:val="left" w:pos="315"/>
        </w:tabs>
        <w:spacing w:line="520" w:lineRule="exact"/>
        <w:ind w:firstLine="448" w:firstLineChars="200"/>
        <w:rPr>
          <w:color w:val="auto"/>
          <w:sz w:val="24"/>
          <w:szCs w:val="24"/>
          <w:highlight w:val="none"/>
        </w:rPr>
      </w:pPr>
      <w:r>
        <w:rPr>
          <w:rFonts w:hint="eastAsia"/>
          <w:color w:val="auto"/>
          <w:sz w:val="24"/>
          <w:szCs w:val="24"/>
          <w:highlight w:val="none"/>
        </w:rPr>
        <w:t>九</w:t>
      </w:r>
      <w:r>
        <w:rPr>
          <w:color w:val="auto"/>
          <w:sz w:val="24"/>
          <w:szCs w:val="24"/>
          <w:highlight w:val="none"/>
        </w:rPr>
        <w:t>、本合同一式   份，需方留存   份，供方留存   份，均具同等效力，签字盖章后生效。</w:t>
      </w:r>
    </w:p>
    <w:tbl>
      <w:tblPr>
        <w:tblStyle w:val="23"/>
        <w:tblW w:w="8522" w:type="dxa"/>
        <w:tblInd w:w="0" w:type="dxa"/>
        <w:tblLayout w:type="fixed"/>
        <w:tblCellMar>
          <w:top w:w="0" w:type="dxa"/>
          <w:left w:w="108" w:type="dxa"/>
          <w:bottom w:w="0" w:type="dxa"/>
          <w:right w:w="108" w:type="dxa"/>
        </w:tblCellMar>
      </w:tblPr>
      <w:tblGrid>
        <w:gridCol w:w="4261"/>
        <w:gridCol w:w="4261"/>
      </w:tblGrid>
      <w:tr w14:paraId="6365871D">
        <w:tblPrEx>
          <w:tblCellMar>
            <w:top w:w="0" w:type="dxa"/>
            <w:left w:w="108" w:type="dxa"/>
            <w:bottom w:w="0" w:type="dxa"/>
            <w:right w:w="108" w:type="dxa"/>
          </w:tblCellMar>
        </w:tblPrEx>
        <w:tc>
          <w:tcPr>
            <w:tcW w:w="4261" w:type="dxa"/>
          </w:tcPr>
          <w:p w14:paraId="6667FBE3">
            <w:pPr>
              <w:tabs>
                <w:tab w:val="left" w:pos="0"/>
                <w:tab w:val="left" w:pos="315"/>
              </w:tabs>
              <w:spacing w:line="520" w:lineRule="exact"/>
              <w:rPr>
                <w:color w:val="auto"/>
                <w:sz w:val="24"/>
                <w:szCs w:val="24"/>
                <w:highlight w:val="none"/>
              </w:rPr>
            </w:pPr>
            <w:r>
              <w:rPr>
                <w:color w:val="auto"/>
                <w:sz w:val="24"/>
                <w:szCs w:val="24"/>
                <w:highlight w:val="none"/>
              </w:rPr>
              <w:t xml:space="preserve">供方（公章）： </w:t>
            </w:r>
          </w:p>
        </w:tc>
        <w:tc>
          <w:tcPr>
            <w:tcW w:w="4261" w:type="dxa"/>
          </w:tcPr>
          <w:p w14:paraId="29052717">
            <w:pPr>
              <w:tabs>
                <w:tab w:val="left" w:pos="0"/>
                <w:tab w:val="left" w:pos="315"/>
              </w:tabs>
              <w:spacing w:line="520" w:lineRule="exact"/>
              <w:rPr>
                <w:color w:val="auto"/>
                <w:sz w:val="24"/>
                <w:szCs w:val="24"/>
                <w:highlight w:val="none"/>
              </w:rPr>
            </w:pPr>
            <w:r>
              <w:rPr>
                <w:color w:val="auto"/>
                <w:sz w:val="24"/>
                <w:szCs w:val="24"/>
                <w:highlight w:val="none"/>
              </w:rPr>
              <w:t xml:space="preserve">需方（公章）： </w:t>
            </w:r>
          </w:p>
        </w:tc>
      </w:tr>
      <w:tr w14:paraId="60DF0060">
        <w:tblPrEx>
          <w:tblCellMar>
            <w:top w:w="0" w:type="dxa"/>
            <w:left w:w="108" w:type="dxa"/>
            <w:bottom w:w="0" w:type="dxa"/>
            <w:right w:w="108" w:type="dxa"/>
          </w:tblCellMar>
        </w:tblPrEx>
        <w:tc>
          <w:tcPr>
            <w:tcW w:w="4261" w:type="dxa"/>
          </w:tcPr>
          <w:p w14:paraId="251C8F9A">
            <w:pPr>
              <w:tabs>
                <w:tab w:val="left" w:pos="0"/>
                <w:tab w:val="left" w:pos="315"/>
              </w:tabs>
              <w:spacing w:line="520" w:lineRule="exact"/>
              <w:rPr>
                <w:color w:val="auto"/>
                <w:sz w:val="24"/>
                <w:szCs w:val="24"/>
                <w:highlight w:val="none"/>
              </w:rPr>
            </w:pPr>
            <w:r>
              <w:rPr>
                <w:color w:val="auto"/>
                <w:sz w:val="24"/>
                <w:szCs w:val="24"/>
                <w:highlight w:val="none"/>
              </w:rPr>
              <w:t xml:space="preserve">地址：  </w:t>
            </w:r>
          </w:p>
        </w:tc>
        <w:tc>
          <w:tcPr>
            <w:tcW w:w="4261" w:type="dxa"/>
          </w:tcPr>
          <w:p w14:paraId="6C552891">
            <w:pPr>
              <w:tabs>
                <w:tab w:val="left" w:pos="0"/>
                <w:tab w:val="left" w:pos="315"/>
              </w:tabs>
              <w:spacing w:line="520" w:lineRule="exact"/>
              <w:rPr>
                <w:color w:val="auto"/>
                <w:sz w:val="24"/>
                <w:szCs w:val="24"/>
                <w:highlight w:val="none"/>
              </w:rPr>
            </w:pPr>
            <w:r>
              <w:rPr>
                <w:color w:val="auto"/>
                <w:sz w:val="24"/>
                <w:szCs w:val="24"/>
                <w:highlight w:val="none"/>
              </w:rPr>
              <w:t xml:space="preserve">地址： </w:t>
            </w:r>
          </w:p>
        </w:tc>
      </w:tr>
      <w:tr w14:paraId="227E07DD">
        <w:tblPrEx>
          <w:tblCellMar>
            <w:top w:w="0" w:type="dxa"/>
            <w:left w:w="108" w:type="dxa"/>
            <w:bottom w:w="0" w:type="dxa"/>
            <w:right w:w="108" w:type="dxa"/>
          </w:tblCellMar>
        </w:tblPrEx>
        <w:tc>
          <w:tcPr>
            <w:tcW w:w="4261" w:type="dxa"/>
          </w:tcPr>
          <w:p w14:paraId="1417BAAF">
            <w:pPr>
              <w:tabs>
                <w:tab w:val="left" w:pos="360"/>
              </w:tabs>
              <w:spacing w:line="520" w:lineRule="exact"/>
              <w:rPr>
                <w:color w:val="auto"/>
                <w:sz w:val="24"/>
                <w:szCs w:val="24"/>
                <w:highlight w:val="none"/>
              </w:rPr>
            </w:pPr>
            <w:r>
              <w:rPr>
                <w:color w:val="auto"/>
                <w:sz w:val="24"/>
                <w:szCs w:val="24"/>
                <w:highlight w:val="none"/>
              </w:rPr>
              <w:t xml:space="preserve">法定代表人： </w:t>
            </w:r>
          </w:p>
        </w:tc>
        <w:tc>
          <w:tcPr>
            <w:tcW w:w="4261" w:type="dxa"/>
          </w:tcPr>
          <w:p w14:paraId="36741CCD">
            <w:pPr>
              <w:tabs>
                <w:tab w:val="left" w:pos="360"/>
              </w:tabs>
              <w:spacing w:line="520" w:lineRule="exact"/>
              <w:rPr>
                <w:color w:val="auto"/>
                <w:sz w:val="24"/>
                <w:szCs w:val="24"/>
                <w:highlight w:val="none"/>
              </w:rPr>
            </w:pPr>
            <w:r>
              <w:rPr>
                <w:color w:val="auto"/>
                <w:sz w:val="24"/>
                <w:szCs w:val="24"/>
                <w:highlight w:val="none"/>
              </w:rPr>
              <w:t xml:space="preserve">法定代表人： </w:t>
            </w:r>
          </w:p>
        </w:tc>
      </w:tr>
      <w:tr w14:paraId="0BAF3D4B">
        <w:tblPrEx>
          <w:tblCellMar>
            <w:top w:w="0" w:type="dxa"/>
            <w:left w:w="108" w:type="dxa"/>
            <w:bottom w:w="0" w:type="dxa"/>
            <w:right w:w="108" w:type="dxa"/>
          </w:tblCellMar>
        </w:tblPrEx>
        <w:tc>
          <w:tcPr>
            <w:tcW w:w="4261" w:type="dxa"/>
          </w:tcPr>
          <w:p w14:paraId="1105689D">
            <w:pPr>
              <w:tabs>
                <w:tab w:val="left" w:pos="360"/>
              </w:tabs>
              <w:spacing w:line="520" w:lineRule="exact"/>
              <w:rPr>
                <w:color w:val="auto"/>
                <w:sz w:val="24"/>
                <w:szCs w:val="24"/>
                <w:highlight w:val="none"/>
              </w:rPr>
            </w:pPr>
            <w:r>
              <w:rPr>
                <w:color w:val="auto"/>
                <w:sz w:val="24"/>
                <w:szCs w:val="24"/>
                <w:highlight w:val="none"/>
              </w:rPr>
              <w:t xml:space="preserve">委托代理人： </w:t>
            </w:r>
          </w:p>
        </w:tc>
        <w:tc>
          <w:tcPr>
            <w:tcW w:w="4261" w:type="dxa"/>
          </w:tcPr>
          <w:p w14:paraId="2987D798">
            <w:pPr>
              <w:tabs>
                <w:tab w:val="left" w:pos="360"/>
              </w:tabs>
              <w:spacing w:line="520" w:lineRule="exact"/>
              <w:rPr>
                <w:color w:val="auto"/>
                <w:sz w:val="24"/>
                <w:szCs w:val="24"/>
                <w:highlight w:val="none"/>
              </w:rPr>
            </w:pPr>
            <w:r>
              <w:rPr>
                <w:color w:val="auto"/>
                <w:sz w:val="24"/>
                <w:szCs w:val="24"/>
                <w:highlight w:val="none"/>
              </w:rPr>
              <w:t xml:space="preserve">委托代理人： </w:t>
            </w:r>
          </w:p>
        </w:tc>
      </w:tr>
      <w:tr w14:paraId="18EF0520">
        <w:tblPrEx>
          <w:tblCellMar>
            <w:top w:w="0" w:type="dxa"/>
            <w:left w:w="108" w:type="dxa"/>
            <w:bottom w:w="0" w:type="dxa"/>
            <w:right w:w="108" w:type="dxa"/>
          </w:tblCellMar>
        </w:tblPrEx>
        <w:tc>
          <w:tcPr>
            <w:tcW w:w="4261" w:type="dxa"/>
          </w:tcPr>
          <w:p w14:paraId="37A428E6">
            <w:pPr>
              <w:tabs>
                <w:tab w:val="left" w:pos="360"/>
              </w:tabs>
              <w:spacing w:line="520" w:lineRule="exact"/>
              <w:rPr>
                <w:color w:val="auto"/>
                <w:sz w:val="24"/>
                <w:szCs w:val="24"/>
                <w:highlight w:val="none"/>
              </w:rPr>
            </w:pPr>
            <w:r>
              <w:rPr>
                <w:color w:val="auto"/>
                <w:sz w:val="24"/>
                <w:szCs w:val="24"/>
                <w:highlight w:val="none"/>
              </w:rPr>
              <w:t>电话：</w:t>
            </w:r>
          </w:p>
        </w:tc>
        <w:tc>
          <w:tcPr>
            <w:tcW w:w="4261" w:type="dxa"/>
          </w:tcPr>
          <w:p w14:paraId="3CBE4DD4">
            <w:pPr>
              <w:tabs>
                <w:tab w:val="left" w:pos="360"/>
              </w:tabs>
              <w:spacing w:line="520" w:lineRule="exact"/>
              <w:rPr>
                <w:color w:val="auto"/>
                <w:sz w:val="24"/>
                <w:szCs w:val="24"/>
                <w:highlight w:val="none"/>
              </w:rPr>
            </w:pPr>
            <w:r>
              <w:rPr>
                <w:color w:val="auto"/>
                <w:sz w:val="24"/>
                <w:szCs w:val="24"/>
                <w:highlight w:val="none"/>
              </w:rPr>
              <w:t>电话：</w:t>
            </w:r>
          </w:p>
        </w:tc>
      </w:tr>
    </w:tbl>
    <w:p w14:paraId="2A0156A0">
      <w:pPr>
        <w:rPr>
          <w:color w:val="auto"/>
          <w:sz w:val="24"/>
          <w:szCs w:val="24"/>
          <w:highlight w:val="none"/>
        </w:rPr>
      </w:pPr>
    </w:p>
    <w:p w14:paraId="790508DC">
      <w:pPr>
        <w:rPr>
          <w:color w:val="auto"/>
          <w:szCs w:val="24"/>
          <w:highlight w:val="none"/>
        </w:rPr>
      </w:pPr>
      <w:r>
        <w:rPr>
          <w:color w:val="auto"/>
          <w:sz w:val="24"/>
          <w:szCs w:val="24"/>
          <w:highlight w:val="none"/>
        </w:rPr>
        <w:t>时间：20</w:t>
      </w:r>
      <w:r>
        <w:rPr>
          <w:rFonts w:hint="eastAsia"/>
          <w:color w:val="auto"/>
          <w:sz w:val="24"/>
          <w:szCs w:val="24"/>
          <w:highlight w:val="none"/>
        </w:rPr>
        <w:t xml:space="preserve">  </w:t>
      </w:r>
      <w:r>
        <w:rPr>
          <w:color w:val="auto"/>
          <w:sz w:val="24"/>
          <w:szCs w:val="24"/>
          <w:highlight w:val="none"/>
        </w:rPr>
        <w:t>年  月  日</w:t>
      </w:r>
    </w:p>
    <w:p w14:paraId="7DEA2224">
      <w:pPr>
        <w:jc w:val="center"/>
        <w:rPr>
          <w:b/>
          <w:color w:val="auto"/>
          <w:sz w:val="30"/>
          <w:szCs w:val="30"/>
          <w:highlight w:val="none"/>
        </w:rPr>
      </w:pPr>
      <w:r>
        <w:rPr>
          <w:b/>
          <w:color w:val="auto"/>
          <w:sz w:val="30"/>
          <w:szCs w:val="30"/>
          <w:highlight w:val="none"/>
        </w:rPr>
        <w:br w:type="page"/>
      </w:r>
      <w:r>
        <w:rPr>
          <w:b/>
          <w:color w:val="auto"/>
          <w:sz w:val="30"/>
          <w:szCs w:val="30"/>
          <w:highlight w:val="none"/>
        </w:rPr>
        <w:t>合同特殊条款</w:t>
      </w:r>
    </w:p>
    <w:p w14:paraId="6FE7BA75">
      <w:pPr>
        <w:tabs>
          <w:tab w:val="left" w:pos="360"/>
        </w:tabs>
        <w:spacing w:line="520" w:lineRule="exact"/>
        <w:ind w:firstLine="383" w:firstLineChars="171"/>
        <w:rPr>
          <w:color w:val="auto"/>
          <w:sz w:val="24"/>
          <w:szCs w:val="24"/>
          <w:highlight w:val="none"/>
        </w:rPr>
      </w:pPr>
    </w:p>
    <w:p w14:paraId="28A1A36B">
      <w:pPr>
        <w:tabs>
          <w:tab w:val="left" w:pos="360"/>
        </w:tabs>
        <w:spacing w:line="520" w:lineRule="exact"/>
        <w:ind w:firstLine="383" w:firstLineChars="171"/>
        <w:rPr>
          <w:color w:val="auto"/>
          <w:sz w:val="24"/>
          <w:szCs w:val="24"/>
          <w:highlight w:val="none"/>
        </w:rPr>
      </w:pPr>
      <w:r>
        <w:rPr>
          <w:color w:val="auto"/>
          <w:sz w:val="24"/>
          <w:szCs w:val="24"/>
          <w:highlight w:val="none"/>
        </w:rPr>
        <w:t xml:space="preserve"> 合同特殊条款是合同一般条款的补充和修改。如果两者之间有抵触，应以特殊条款为准。</w:t>
      </w:r>
    </w:p>
    <w:p w14:paraId="74675719">
      <w:pPr>
        <w:tabs>
          <w:tab w:val="left" w:pos="360"/>
        </w:tabs>
        <w:spacing w:line="520" w:lineRule="exact"/>
        <w:ind w:firstLine="383" w:firstLineChars="171"/>
        <w:rPr>
          <w:color w:val="auto"/>
          <w:sz w:val="24"/>
          <w:szCs w:val="24"/>
          <w:highlight w:val="none"/>
        </w:rPr>
      </w:pPr>
      <w:r>
        <w:rPr>
          <w:color w:val="auto"/>
          <w:sz w:val="24"/>
          <w:szCs w:val="24"/>
          <w:highlight w:val="none"/>
        </w:rPr>
        <w:t xml:space="preserve"> 合同特殊条款由</w:t>
      </w:r>
      <w:r>
        <w:rPr>
          <w:rFonts w:hint="eastAsia"/>
          <w:color w:val="auto"/>
          <w:sz w:val="24"/>
          <w:szCs w:val="24"/>
          <w:highlight w:val="none"/>
        </w:rPr>
        <w:t>供方</w:t>
      </w:r>
      <w:r>
        <w:rPr>
          <w:color w:val="auto"/>
          <w:sz w:val="24"/>
          <w:szCs w:val="24"/>
          <w:highlight w:val="none"/>
        </w:rPr>
        <w:t>和需方根据项目的具体情况协商拟订。</w:t>
      </w:r>
    </w:p>
    <w:p w14:paraId="5CAA8225">
      <w:pPr>
        <w:autoSpaceDE w:val="0"/>
        <w:autoSpaceDN w:val="0"/>
        <w:adjustRightInd w:val="0"/>
        <w:spacing w:line="360" w:lineRule="auto"/>
        <w:ind w:firstLine="448" w:firstLineChars="200"/>
        <w:rPr>
          <w:color w:val="auto"/>
          <w:sz w:val="24"/>
          <w:highlight w:val="none"/>
        </w:rPr>
      </w:pPr>
    </w:p>
    <w:p w14:paraId="5FD5BD94">
      <w:pPr>
        <w:widowControl/>
        <w:jc w:val="left"/>
        <w:rPr>
          <w:color w:val="auto"/>
          <w:sz w:val="24"/>
          <w:highlight w:val="none"/>
        </w:rPr>
      </w:pPr>
      <w:r>
        <w:rPr>
          <w:color w:val="auto"/>
          <w:sz w:val="24"/>
          <w:highlight w:val="none"/>
        </w:rPr>
        <w:br w:type="page"/>
      </w:r>
    </w:p>
    <w:p w14:paraId="3890A739">
      <w:pPr>
        <w:pStyle w:val="17"/>
        <w:rPr>
          <w:rFonts w:ascii="Times New Roman" w:hAnsi="Times New Roman"/>
          <w:color w:val="auto"/>
          <w:highlight w:val="none"/>
        </w:rPr>
      </w:pPr>
      <w:r>
        <w:rPr>
          <w:rFonts w:ascii="Times New Roman" w:hAnsi="Times New Roman"/>
          <w:color w:val="auto"/>
          <w:highlight w:val="none"/>
        </w:rPr>
        <w:t>第五部分  投标文件格式</w:t>
      </w:r>
    </w:p>
    <w:p w14:paraId="3EF36A78">
      <w:pPr>
        <w:autoSpaceDN w:val="0"/>
        <w:spacing w:line="360" w:lineRule="auto"/>
        <w:jc w:val="center"/>
        <w:rPr>
          <w:b/>
          <w:bCs/>
          <w:color w:val="auto"/>
          <w:sz w:val="24"/>
          <w:highlight w:val="none"/>
        </w:rPr>
      </w:pPr>
      <w:r>
        <w:rPr>
          <w:b/>
          <w:bCs/>
          <w:color w:val="auto"/>
          <w:sz w:val="24"/>
          <w:highlight w:val="none"/>
        </w:rPr>
        <w:t>投标文件封面格式</w:t>
      </w:r>
    </w:p>
    <w:p w14:paraId="7EA21A34">
      <w:pPr>
        <w:autoSpaceDE w:val="0"/>
        <w:autoSpaceDN w:val="0"/>
        <w:adjustRightInd w:val="0"/>
        <w:spacing w:line="520" w:lineRule="exact"/>
        <w:rPr>
          <w:color w:val="auto"/>
          <w:highlight w:val="none"/>
        </w:rPr>
      </w:pPr>
    </w:p>
    <w:p w14:paraId="13A91DA3">
      <w:pPr>
        <w:autoSpaceDE w:val="0"/>
        <w:autoSpaceDN w:val="0"/>
        <w:adjustRightInd w:val="0"/>
        <w:spacing w:line="520" w:lineRule="exact"/>
        <w:rPr>
          <w:b/>
          <w:color w:val="auto"/>
          <w:kern w:val="0"/>
          <w:sz w:val="24"/>
          <w:highlight w:val="none"/>
        </w:rPr>
      </w:pPr>
      <w:r>
        <w:rPr>
          <w:color w:val="auto"/>
          <w:highlight w:val="none"/>
        </w:rPr>
        <w:drawing>
          <wp:anchor distT="0" distB="0" distL="114300" distR="114300" simplePos="0" relativeHeight="251662336" behindDoc="0" locked="0" layoutInCell="1" allowOverlap="1">
            <wp:simplePos x="0" y="0"/>
            <wp:positionH relativeFrom="column">
              <wp:posOffset>26670</wp:posOffset>
            </wp:positionH>
            <wp:positionV relativeFrom="paragraph">
              <wp:posOffset>179705</wp:posOffset>
            </wp:positionV>
            <wp:extent cx="480060" cy="434340"/>
            <wp:effectExtent l="0" t="0" r="0" b="3810"/>
            <wp:wrapNone/>
            <wp:docPr id="4" name="图片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p>
    <w:p w14:paraId="3366AB50">
      <w:pPr>
        <w:autoSpaceDE w:val="0"/>
        <w:autoSpaceDN w:val="0"/>
        <w:adjustRightInd w:val="0"/>
        <w:spacing w:line="520" w:lineRule="exact"/>
        <w:rPr>
          <w:b/>
          <w:color w:val="auto"/>
          <w:kern w:val="0"/>
          <w:sz w:val="24"/>
          <w:highlight w:val="none"/>
        </w:rPr>
      </w:pPr>
    </w:p>
    <w:p w14:paraId="1A11D18E">
      <w:pPr>
        <w:autoSpaceDE w:val="0"/>
        <w:autoSpaceDN w:val="0"/>
        <w:adjustRightInd w:val="0"/>
        <w:spacing w:line="520" w:lineRule="exact"/>
        <w:rPr>
          <w:b/>
          <w:color w:val="auto"/>
          <w:kern w:val="0"/>
          <w:sz w:val="24"/>
          <w:highlight w:val="none"/>
        </w:rPr>
      </w:pPr>
    </w:p>
    <w:p w14:paraId="3869E5B4">
      <w:pPr>
        <w:autoSpaceDE w:val="0"/>
        <w:autoSpaceDN w:val="0"/>
        <w:adjustRightInd w:val="0"/>
        <w:jc w:val="center"/>
        <w:rPr>
          <w:color w:val="auto"/>
          <w:kern w:val="0"/>
          <w:sz w:val="144"/>
          <w:szCs w:val="144"/>
          <w:highlight w:val="none"/>
        </w:rPr>
      </w:pPr>
      <w:r>
        <w:rPr>
          <w:color w:val="auto"/>
          <w:sz w:val="160"/>
          <w:szCs w:val="84"/>
          <w:highlight w:val="none"/>
        </w:rPr>
        <w:t>投</w:t>
      </w:r>
      <w:r>
        <w:rPr>
          <w:color w:val="auto"/>
          <w:sz w:val="90"/>
          <w:szCs w:val="90"/>
          <w:highlight w:val="none"/>
        </w:rPr>
        <w:t xml:space="preserve"> </w:t>
      </w:r>
      <w:r>
        <w:rPr>
          <w:color w:val="auto"/>
          <w:sz w:val="160"/>
          <w:szCs w:val="84"/>
          <w:highlight w:val="none"/>
        </w:rPr>
        <w:t>标</w:t>
      </w:r>
      <w:r>
        <w:rPr>
          <w:color w:val="auto"/>
          <w:sz w:val="84"/>
          <w:szCs w:val="84"/>
          <w:highlight w:val="none"/>
        </w:rPr>
        <w:t xml:space="preserve"> </w:t>
      </w:r>
      <w:r>
        <w:rPr>
          <w:color w:val="auto"/>
          <w:sz w:val="160"/>
          <w:szCs w:val="84"/>
          <w:highlight w:val="none"/>
        </w:rPr>
        <w:t>文</w:t>
      </w:r>
      <w:r>
        <w:rPr>
          <w:color w:val="auto"/>
          <w:sz w:val="84"/>
          <w:szCs w:val="84"/>
          <w:highlight w:val="none"/>
        </w:rPr>
        <w:t xml:space="preserve"> </w:t>
      </w:r>
      <w:r>
        <w:rPr>
          <w:color w:val="auto"/>
          <w:sz w:val="160"/>
          <w:szCs w:val="84"/>
          <w:highlight w:val="none"/>
        </w:rPr>
        <w:t>件</w:t>
      </w:r>
    </w:p>
    <w:p w14:paraId="6C46968B">
      <w:pPr>
        <w:autoSpaceDE w:val="0"/>
        <w:autoSpaceDN w:val="0"/>
        <w:adjustRightInd w:val="0"/>
        <w:spacing w:line="520" w:lineRule="exact"/>
        <w:rPr>
          <w:b/>
          <w:color w:val="auto"/>
          <w:kern w:val="0"/>
          <w:sz w:val="36"/>
          <w:szCs w:val="36"/>
          <w:highlight w:val="none"/>
        </w:rPr>
      </w:pPr>
    </w:p>
    <w:p w14:paraId="46A6EF9B">
      <w:pPr>
        <w:autoSpaceDE w:val="0"/>
        <w:autoSpaceDN w:val="0"/>
        <w:adjustRightInd w:val="0"/>
        <w:spacing w:line="520" w:lineRule="exact"/>
        <w:jc w:val="center"/>
        <w:rPr>
          <w:b/>
          <w:color w:val="auto"/>
          <w:kern w:val="0"/>
          <w:sz w:val="24"/>
          <w:highlight w:val="none"/>
        </w:rPr>
      </w:pPr>
      <w:r>
        <w:rPr>
          <w:b/>
          <w:color w:val="auto"/>
          <w:kern w:val="0"/>
          <w:sz w:val="24"/>
          <w:highlight w:val="none"/>
        </w:rPr>
        <w:t>（加盖电子签章）</w:t>
      </w:r>
    </w:p>
    <w:p w14:paraId="0518AC43">
      <w:pPr>
        <w:spacing w:before="85" w:beforeLines="30" w:after="199" w:afterLines="70" w:line="540" w:lineRule="exact"/>
        <w:ind w:left="582" w:leftChars="300"/>
        <w:rPr>
          <w:b/>
          <w:color w:val="auto"/>
          <w:sz w:val="34"/>
          <w:szCs w:val="34"/>
          <w:highlight w:val="none"/>
        </w:rPr>
      </w:pPr>
      <w:r>
        <w:rPr>
          <w:b/>
          <w:color w:val="auto"/>
          <w:sz w:val="34"/>
          <w:szCs w:val="34"/>
          <w:highlight w:val="none"/>
        </w:rPr>
        <w:t>项目编号：</w:t>
      </w:r>
    </w:p>
    <w:p w14:paraId="04D50F33">
      <w:pPr>
        <w:spacing w:before="85" w:beforeLines="30" w:after="199" w:afterLines="70" w:line="540" w:lineRule="exact"/>
        <w:ind w:left="2027" w:leftChars="300" w:hanging="1445" w:hangingChars="446"/>
        <w:rPr>
          <w:b/>
          <w:color w:val="auto"/>
          <w:sz w:val="34"/>
          <w:szCs w:val="34"/>
          <w:highlight w:val="none"/>
        </w:rPr>
      </w:pPr>
      <w:r>
        <w:rPr>
          <w:b/>
          <w:color w:val="auto"/>
          <w:sz w:val="34"/>
          <w:szCs w:val="34"/>
          <w:highlight w:val="none"/>
        </w:rPr>
        <w:t>项目名称：</w:t>
      </w:r>
    </w:p>
    <w:p w14:paraId="51992231">
      <w:pPr>
        <w:spacing w:before="85" w:beforeLines="30" w:after="199" w:afterLines="70" w:line="540" w:lineRule="exact"/>
        <w:ind w:left="2027" w:leftChars="300" w:hanging="1445" w:hangingChars="446"/>
        <w:rPr>
          <w:b/>
          <w:color w:val="auto"/>
          <w:sz w:val="34"/>
          <w:szCs w:val="34"/>
          <w:highlight w:val="none"/>
        </w:rPr>
      </w:pPr>
      <w:r>
        <w:rPr>
          <w:b/>
          <w:color w:val="auto"/>
          <w:sz w:val="34"/>
          <w:szCs w:val="34"/>
          <w:highlight w:val="none"/>
        </w:rPr>
        <w:t>所投包号：</w:t>
      </w:r>
    </w:p>
    <w:p w14:paraId="1C266D2D">
      <w:pPr>
        <w:spacing w:before="85" w:beforeLines="30" w:after="199" w:afterLines="70" w:line="540" w:lineRule="exact"/>
        <w:ind w:left="582" w:leftChars="300"/>
        <w:rPr>
          <w:b/>
          <w:color w:val="auto"/>
          <w:sz w:val="34"/>
          <w:szCs w:val="34"/>
          <w:highlight w:val="none"/>
        </w:rPr>
      </w:pPr>
      <w:r>
        <w:rPr>
          <w:b/>
          <w:color w:val="auto"/>
          <w:sz w:val="34"/>
          <w:szCs w:val="34"/>
          <w:highlight w:val="none"/>
        </w:rPr>
        <w:t>投标单位名称：</w:t>
      </w:r>
    </w:p>
    <w:p w14:paraId="1A1C5FE7">
      <w:pPr>
        <w:spacing w:before="85" w:beforeLines="30" w:after="199" w:afterLines="70" w:line="540" w:lineRule="exact"/>
        <w:ind w:left="582" w:leftChars="300"/>
        <w:rPr>
          <w:b/>
          <w:color w:val="auto"/>
          <w:sz w:val="34"/>
          <w:szCs w:val="34"/>
          <w:highlight w:val="none"/>
        </w:rPr>
      </w:pPr>
      <w:r>
        <w:rPr>
          <w:rFonts w:hint="eastAsia"/>
          <w:b/>
          <w:color w:val="auto"/>
          <w:sz w:val="34"/>
          <w:szCs w:val="34"/>
          <w:highlight w:val="none"/>
        </w:rPr>
        <w:t>投标代表人姓名：</w:t>
      </w:r>
    </w:p>
    <w:p w14:paraId="1EA1573A">
      <w:pPr>
        <w:spacing w:before="85" w:beforeLines="30" w:after="199" w:afterLines="70" w:line="540" w:lineRule="exact"/>
        <w:ind w:left="582" w:leftChars="300"/>
        <w:rPr>
          <w:b/>
          <w:color w:val="auto"/>
          <w:sz w:val="34"/>
          <w:szCs w:val="34"/>
          <w:highlight w:val="none"/>
        </w:rPr>
      </w:pPr>
    </w:p>
    <w:p w14:paraId="290566B3">
      <w:pPr>
        <w:spacing w:before="85" w:beforeLines="30" w:after="199" w:afterLines="70" w:line="540" w:lineRule="exact"/>
        <w:ind w:left="582" w:leftChars="300"/>
        <w:rPr>
          <w:b/>
          <w:color w:val="auto"/>
          <w:sz w:val="34"/>
          <w:szCs w:val="34"/>
          <w:highlight w:val="none"/>
        </w:rPr>
      </w:pPr>
    </w:p>
    <w:p w14:paraId="78636BA9">
      <w:pPr>
        <w:spacing w:before="85" w:beforeLines="30" w:after="199" w:afterLines="70" w:line="540" w:lineRule="exact"/>
        <w:ind w:left="582" w:leftChars="300"/>
        <w:rPr>
          <w:b/>
          <w:color w:val="auto"/>
          <w:sz w:val="34"/>
          <w:szCs w:val="34"/>
          <w:highlight w:val="none"/>
        </w:rPr>
      </w:pPr>
    </w:p>
    <w:p w14:paraId="0231BEFB">
      <w:pPr>
        <w:spacing w:before="85" w:beforeLines="30" w:after="199" w:afterLines="70" w:line="540" w:lineRule="exact"/>
        <w:ind w:left="582" w:leftChars="300"/>
        <w:rPr>
          <w:b/>
          <w:bCs/>
          <w:color w:val="auto"/>
          <w:sz w:val="24"/>
          <w:highlight w:val="none"/>
        </w:rPr>
      </w:pPr>
      <w:r>
        <w:rPr>
          <w:b/>
          <w:color w:val="auto"/>
          <w:sz w:val="34"/>
          <w:szCs w:val="34"/>
          <w:highlight w:val="none"/>
        </w:rPr>
        <w:t>投标日期：   年   月   日</w:t>
      </w:r>
    </w:p>
    <w:p w14:paraId="7798B822">
      <w:pPr>
        <w:widowControl/>
        <w:jc w:val="left"/>
        <w:rPr>
          <w:b/>
          <w:bCs/>
          <w:color w:val="auto"/>
          <w:sz w:val="24"/>
          <w:highlight w:val="none"/>
        </w:rPr>
      </w:pPr>
      <w:r>
        <w:rPr>
          <w:b/>
          <w:bCs/>
          <w:color w:val="auto"/>
          <w:sz w:val="24"/>
          <w:highlight w:val="none"/>
        </w:rPr>
        <w:br w:type="page"/>
      </w:r>
    </w:p>
    <w:p w14:paraId="08AC9BC6">
      <w:pPr>
        <w:autoSpaceDN w:val="0"/>
        <w:spacing w:line="360" w:lineRule="auto"/>
        <w:jc w:val="center"/>
        <w:rPr>
          <w:b/>
          <w:bCs/>
          <w:color w:val="auto"/>
          <w:sz w:val="24"/>
          <w:highlight w:val="none"/>
        </w:rPr>
      </w:pPr>
      <w:r>
        <w:rPr>
          <w:b/>
          <w:bCs/>
          <w:color w:val="auto"/>
          <w:sz w:val="24"/>
          <w:highlight w:val="none"/>
        </w:rPr>
        <w:t>投标文件总目录</w:t>
      </w:r>
    </w:p>
    <w:p w14:paraId="060DA118">
      <w:pPr>
        <w:autoSpaceDN w:val="0"/>
        <w:spacing w:line="360" w:lineRule="auto"/>
        <w:jc w:val="center"/>
        <w:rPr>
          <w:b/>
          <w:bCs/>
          <w:color w:val="auto"/>
          <w:sz w:val="24"/>
          <w:highlight w:val="none"/>
        </w:rPr>
      </w:pPr>
      <w:r>
        <w:rPr>
          <w:b/>
          <w:bCs/>
          <w:color w:val="auto"/>
          <w:sz w:val="24"/>
          <w:highlight w:val="none"/>
        </w:rPr>
        <w:t>（</w:t>
      </w:r>
      <w:r>
        <w:rPr>
          <w:rFonts w:hint="eastAsia"/>
          <w:b/>
          <w:bCs/>
          <w:color w:val="auto"/>
          <w:sz w:val="24"/>
          <w:highlight w:val="none"/>
        </w:rPr>
        <w:t>投标人</w:t>
      </w:r>
      <w:r>
        <w:rPr>
          <w:b/>
          <w:bCs/>
          <w:color w:val="auto"/>
          <w:sz w:val="24"/>
          <w:highlight w:val="none"/>
        </w:rPr>
        <w:t>自行编制）</w:t>
      </w:r>
    </w:p>
    <w:p w14:paraId="08D254F4">
      <w:pPr>
        <w:widowControl/>
        <w:jc w:val="center"/>
        <w:rPr>
          <w:b/>
          <w:color w:val="auto"/>
          <w:sz w:val="24"/>
          <w:highlight w:val="none"/>
        </w:rPr>
      </w:pPr>
    </w:p>
    <w:p w14:paraId="33092E3E">
      <w:pPr>
        <w:widowControl/>
        <w:jc w:val="left"/>
        <w:rPr>
          <w:b/>
          <w:color w:val="auto"/>
          <w:sz w:val="24"/>
          <w:highlight w:val="none"/>
        </w:rPr>
      </w:pPr>
      <w:r>
        <w:rPr>
          <w:b/>
          <w:color w:val="auto"/>
          <w:sz w:val="24"/>
          <w:highlight w:val="none"/>
        </w:rPr>
        <w:br w:type="page"/>
      </w:r>
    </w:p>
    <w:p w14:paraId="798553DD">
      <w:pPr>
        <w:widowControl/>
        <w:jc w:val="center"/>
        <w:rPr>
          <w:b/>
          <w:color w:val="auto"/>
          <w:sz w:val="24"/>
          <w:highlight w:val="none"/>
        </w:rPr>
      </w:pPr>
      <w:r>
        <w:rPr>
          <w:b/>
          <w:color w:val="auto"/>
          <w:sz w:val="24"/>
          <w:highlight w:val="none"/>
        </w:rPr>
        <w:t>评分因素及评标标准页码检索</w:t>
      </w:r>
    </w:p>
    <w:p w14:paraId="72D490AA">
      <w:pPr>
        <w:widowControl/>
        <w:jc w:val="center"/>
        <w:rPr>
          <w:b/>
          <w:color w:val="auto"/>
          <w:sz w:val="24"/>
          <w:highlight w:val="none"/>
        </w:rPr>
      </w:pPr>
      <w:r>
        <w:rPr>
          <w:b/>
          <w:bCs/>
          <w:color w:val="auto"/>
          <w:sz w:val="24"/>
          <w:highlight w:val="none"/>
        </w:rPr>
        <w:t>（需投标人按招标文件“评分因素及评标标准”中每个评分项逐项列明页码）</w:t>
      </w:r>
    </w:p>
    <w:p w14:paraId="74A289D5">
      <w:pPr>
        <w:widowControl/>
        <w:jc w:val="left"/>
        <w:rPr>
          <w:color w:val="auto"/>
          <w:sz w:val="24"/>
          <w:highlight w:val="none"/>
        </w:rPr>
      </w:pPr>
      <w:r>
        <w:rPr>
          <w:color w:val="auto"/>
          <w:sz w:val="24"/>
          <w:highlight w:val="none"/>
        </w:rPr>
        <w:br w:type="page"/>
      </w:r>
    </w:p>
    <w:p w14:paraId="28EF3388">
      <w:pPr>
        <w:tabs>
          <w:tab w:val="left" w:pos="360"/>
        </w:tabs>
        <w:spacing w:after="285" w:afterLines="100" w:line="360" w:lineRule="auto"/>
        <w:rPr>
          <w:b/>
          <w:color w:val="auto"/>
          <w:sz w:val="24"/>
          <w:highlight w:val="none"/>
        </w:rPr>
      </w:pPr>
      <w:r>
        <w:rPr>
          <w:b/>
          <w:color w:val="auto"/>
          <w:sz w:val="24"/>
          <w:highlight w:val="none"/>
        </w:rPr>
        <w:t>附件1</w:t>
      </w:r>
    </w:p>
    <w:p w14:paraId="391CE0A1">
      <w:pPr>
        <w:autoSpaceDN w:val="0"/>
        <w:spacing w:line="360" w:lineRule="auto"/>
        <w:jc w:val="center"/>
        <w:rPr>
          <w:b/>
          <w:bCs/>
          <w:color w:val="auto"/>
          <w:sz w:val="24"/>
          <w:highlight w:val="none"/>
        </w:rPr>
      </w:pPr>
      <w:r>
        <w:rPr>
          <w:b/>
          <w:bCs/>
          <w:color w:val="auto"/>
          <w:sz w:val="24"/>
          <w:highlight w:val="none"/>
        </w:rPr>
        <w:t>投标书</w:t>
      </w:r>
    </w:p>
    <w:p w14:paraId="24FAEDDC">
      <w:pPr>
        <w:spacing w:line="360" w:lineRule="auto"/>
        <w:rPr>
          <w:color w:val="auto"/>
          <w:sz w:val="24"/>
          <w:highlight w:val="none"/>
        </w:rPr>
      </w:pPr>
      <w:r>
        <w:rPr>
          <w:color w:val="auto"/>
          <w:sz w:val="24"/>
          <w:highlight w:val="none"/>
        </w:rPr>
        <w:t>致：天津市政府采购中心</w:t>
      </w:r>
    </w:p>
    <w:p w14:paraId="1340753F">
      <w:pPr>
        <w:spacing w:line="360" w:lineRule="auto"/>
        <w:ind w:firstLine="448" w:firstLineChars="200"/>
        <w:rPr>
          <w:color w:val="auto"/>
          <w:sz w:val="24"/>
          <w:highlight w:val="none"/>
        </w:rPr>
      </w:pPr>
      <w:r>
        <w:rPr>
          <w:color w:val="auto"/>
          <w:sz w:val="24"/>
          <w:highlight w:val="none"/>
        </w:rPr>
        <w:t>根据贵方为</w:t>
      </w:r>
      <w:r>
        <w:rPr>
          <w:color w:val="auto"/>
          <w:sz w:val="24"/>
          <w:highlight w:val="none"/>
          <w:u w:val="single"/>
        </w:rPr>
        <w:t xml:space="preserve">                  </w:t>
      </w:r>
      <w:r>
        <w:rPr>
          <w:color w:val="auto"/>
          <w:sz w:val="24"/>
          <w:highlight w:val="none"/>
        </w:rPr>
        <w:t>项目（项目编号：</w:t>
      </w:r>
      <w:r>
        <w:rPr>
          <w:color w:val="auto"/>
          <w:sz w:val="24"/>
          <w:highlight w:val="none"/>
          <w:u w:val="single"/>
        </w:rPr>
        <w:t xml:space="preserve">             </w:t>
      </w:r>
      <w:r>
        <w:rPr>
          <w:color w:val="auto"/>
          <w:sz w:val="24"/>
          <w:highlight w:val="none"/>
        </w:rPr>
        <w:t>）的投标邀请，签字代表</w:t>
      </w:r>
      <w:r>
        <w:rPr>
          <w:color w:val="auto"/>
          <w:sz w:val="24"/>
          <w:highlight w:val="none"/>
          <w:u w:val="single"/>
        </w:rPr>
        <w:t xml:space="preserve">                           </w:t>
      </w:r>
      <w:r>
        <w:rPr>
          <w:color w:val="auto"/>
          <w:sz w:val="24"/>
          <w:highlight w:val="none"/>
        </w:rPr>
        <w:t>（姓名</w:t>
      </w:r>
      <w:r>
        <w:rPr>
          <w:color w:val="auto"/>
          <w:sz w:val="24"/>
          <w:highlight w:val="none"/>
          <w:lang w:val="en-GB"/>
        </w:rPr>
        <w:t>/</w:t>
      </w:r>
      <w:r>
        <w:rPr>
          <w:color w:val="auto"/>
          <w:sz w:val="24"/>
          <w:highlight w:val="none"/>
        </w:rPr>
        <w:t>职务）经正式授权并代表我公司</w:t>
      </w:r>
      <w:r>
        <w:rPr>
          <w:color w:val="auto"/>
          <w:sz w:val="24"/>
          <w:highlight w:val="none"/>
          <w:u w:val="single"/>
        </w:rPr>
        <w:t xml:space="preserve">                           </w:t>
      </w:r>
      <w:r>
        <w:rPr>
          <w:color w:val="auto"/>
          <w:sz w:val="24"/>
          <w:highlight w:val="none"/>
        </w:rPr>
        <w:t>（投标单位名称、地址）提交</w:t>
      </w:r>
      <w:r>
        <w:rPr>
          <w:rFonts w:hint="eastAsia"/>
          <w:color w:val="auto"/>
          <w:sz w:val="24"/>
          <w:highlight w:val="none"/>
        </w:rPr>
        <w:t>网上应答及上传加盖电子签章的投标文件</w:t>
      </w:r>
      <w:r>
        <w:rPr>
          <w:color w:val="auto"/>
          <w:sz w:val="24"/>
          <w:highlight w:val="none"/>
        </w:rPr>
        <w:t>。</w:t>
      </w:r>
    </w:p>
    <w:p w14:paraId="520CA644">
      <w:pPr>
        <w:spacing w:line="360" w:lineRule="auto"/>
        <w:ind w:firstLine="448" w:firstLineChars="200"/>
        <w:rPr>
          <w:color w:val="auto"/>
          <w:sz w:val="24"/>
          <w:highlight w:val="none"/>
        </w:rPr>
      </w:pPr>
      <w:r>
        <w:rPr>
          <w:color w:val="auto"/>
          <w:sz w:val="24"/>
          <w:highlight w:val="none"/>
        </w:rPr>
        <w:t>据此函，签字代表宣布同意如下：</w:t>
      </w:r>
    </w:p>
    <w:p w14:paraId="2D802921">
      <w:pPr>
        <w:spacing w:line="360" w:lineRule="auto"/>
        <w:ind w:firstLine="448" w:firstLineChars="200"/>
        <w:rPr>
          <w:color w:val="auto"/>
          <w:sz w:val="24"/>
          <w:highlight w:val="none"/>
        </w:rPr>
      </w:pPr>
      <w:r>
        <w:rPr>
          <w:color w:val="auto"/>
          <w:sz w:val="24"/>
          <w:highlight w:val="none"/>
        </w:rPr>
        <w:t>1. 所附投标报价表中规定的应提供和交付的服务投标总价为：</w:t>
      </w:r>
    </w:p>
    <w:p w14:paraId="649AB2ED">
      <w:pPr>
        <w:spacing w:line="360" w:lineRule="auto"/>
        <w:ind w:firstLine="448" w:firstLineChars="200"/>
        <w:rPr>
          <w:color w:val="auto"/>
          <w:sz w:val="24"/>
          <w:highlight w:val="none"/>
        </w:rPr>
      </w:pPr>
      <w:r>
        <w:rPr>
          <w:color w:val="auto"/>
          <w:sz w:val="24"/>
          <w:highlight w:val="none"/>
        </w:rPr>
        <w:t>第一包，</w:t>
      </w:r>
      <w:r>
        <w:rPr>
          <w:color w:val="auto"/>
          <w:sz w:val="24"/>
          <w:highlight w:val="none"/>
          <w:u w:val="single"/>
        </w:rPr>
        <w:t xml:space="preserve">      </w:t>
      </w:r>
      <w:r>
        <w:rPr>
          <w:color w:val="auto"/>
          <w:sz w:val="24"/>
          <w:highlight w:val="none"/>
        </w:rPr>
        <w:t>元（人民币），大写</w:t>
      </w:r>
      <w:r>
        <w:rPr>
          <w:color w:val="auto"/>
          <w:sz w:val="24"/>
          <w:highlight w:val="none"/>
          <w:u w:val="single"/>
        </w:rPr>
        <w:t xml:space="preserve">                   </w:t>
      </w:r>
      <w:r>
        <w:rPr>
          <w:color w:val="auto"/>
          <w:sz w:val="24"/>
          <w:highlight w:val="none"/>
        </w:rPr>
        <w:t>。</w:t>
      </w:r>
    </w:p>
    <w:p w14:paraId="40B7A9FF">
      <w:pPr>
        <w:spacing w:line="360" w:lineRule="auto"/>
        <w:ind w:firstLine="448" w:firstLineChars="200"/>
        <w:rPr>
          <w:color w:val="auto"/>
          <w:sz w:val="24"/>
          <w:highlight w:val="none"/>
        </w:rPr>
      </w:pPr>
      <w:r>
        <w:rPr>
          <w:color w:val="auto"/>
          <w:sz w:val="24"/>
          <w:highlight w:val="none"/>
        </w:rPr>
        <w:t>第二包，</w:t>
      </w:r>
      <w:r>
        <w:rPr>
          <w:color w:val="auto"/>
          <w:sz w:val="24"/>
          <w:highlight w:val="none"/>
          <w:u w:val="single"/>
        </w:rPr>
        <w:t xml:space="preserve">      </w:t>
      </w:r>
      <w:r>
        <w:rPr>
          <w:color w:val="auto"/>
          <w:sz w:val="24"/>
          <w:highlight w:val="none"/>
        </w:rPr>
        <w:t>元（人民币），大写</w:t>
      </w:r>
      <w:r>
        <w:rPr>
          <w:color w:val="auto"/>
          <w:sz w:val="24"/>
          <w:highlight w:val="none"/>
          <w:u w:val="single"/>
        </w:rPr>
        <w:t xml:space="preserve">                   </w:t>
      </w:r>
      <w:r>
        <w:rPr>
          <w:color w:val="auto"/>
          <w:sz w:val="24"/>
          <w:highlight w:val="none"/>
        </w:rPr>
        <w:t>。</w:t>
      </w:r>
    </w:p>
    <w:p w14:paraId="05D99290">
      <w:pPr>
        <w:spacing w:line="360" w:lineRule="auto"/>
        <w:ind w:firstLine="448" w:firstLineChars="200"/>
        <w:rPr>
          <w:color w:val="auto"/>
          <w:sz w:val="24"/>
          <w:highlight w:val="none"/>
        </w:rPr>
      </w:pPr>
      <w:r>
        <w:rPr>
          <w:color w:val="auto"/>
          <w:sz w:val="24"/>
          <w:highlight w:val="none"/>
        </w:rPr>
        <w:t>……</w:t>
      </w:r>
    </w:p>
    <w:p w14:paraId="5C621616">
      <w:pPr>
        <w:spacing w:line="360" w:lineRule="auto"/>
        <w:ind w:firstLine="448" w:firstLineChars="200"/>
        <w:rPr>
          <w:color w:val="auto"/>
          <w:sz w:val="24"/>
          <w:highlight w:val="none"/>
        </w:rPr>
      </w:pPr>
      <w:r>
        <w:rPr>
          <w:color w:val="auto"/>
          <w:sz w:val="24"/>
          <w:highlight w:val="none"/>
        </w:rPr>
        <w:t>2. 我公司将按招标文件的规定履行合同责任和义务。</w:t>
      </w:r>
    </w:p>
    <w:p w14:paraId="50CE2683">
      <w:pPr>
        <w:spacing w:line="360" w:lineRule="auto"/>
        <w:ind w:firstLine="448" w:firstLineChars="200"/>
        <w:rPr>
          <w:color w:val="auto"/>
          <w:sz w:val="24"/>
          <w:highlight w:val="none"/>
        </w:rPr>
      </w:pPr>
      <w:r>
        <w:rPr>
          <w:color w:val="auto"/>
          <w:sz w:val="24"/>
          <w:highlight w:val="none"/>
        </w:rPr>
        <w:t>3. 我公司已详细审查全部招标文件，包括更正公告以及全部参考资料和所有附件。我们认为全部招标文件（包括更正公告以及全部参考资料和所有附件）公平公正，无倾向性和排他性，我们完全理解并同意放弃对这方面有不明及误解的权利。</w:t>
      </w:r>
    </w:p>
    <w:p w14:paraId="25319D42">
      <w:pPr>
        <w:spacing w:line="360" w:lineRule="auto"/>
        <w:ind w:firstLine="448" w:firstLineChars="200"/>
        <w:rPr>
          <w:color w:val="auto"/>
          <w:sz w:val="24"/>
          <w:highlight w:val="none"/>
        </w:rPr>
      </w:pPr>
      <w:r>
        <w:rPr>
          <w:color w:val="auto"/>
          <w:sz w:val="24"/>
          <w:highlight w:val="none"/>
        </w:rPr>
        <w:t>4. 我公司的投标有效期为开标之日起60天。</w:t>
      </w:r>
    </w:p>
    <w:p w14:paraId="1744EDE1">
      <w:pPr>
        <w:spacing w:line="360" w:lineRule="auto"/>
        <w:ind w:firstLine="448" w:firstLineChars="200"/>
        <w:rPr>
          <w:color w:val="auto"/>
          <w:sz w:val="24"/>
          <w:highlight w:val="none"/>
        </w:rPr>
      </w:pPr>
      <w:r>
        <w:rPr>
          <w:color w:val="auto"/>
          <w:sz w:val="24"/>
          <w:highlight w:val="none"/>
        </w:rPr>
        <w:t>5. 我公司同意按照招标方要求提供的与投标有关的一切数据或资料，并声明投标文件及所提供的一切资料均真实有效。由于我公司提供资料不实而造成的责任和后果由我公司自行承担。</w:t>
      </w:r>
    </w:p>
    <w:p w14:paraId="3CAB4A48">
      <w:pPr>
        <w:spacing w:line="360" w:lineRule="auto"/>
        <w:ind w:firstLine="448" w:firstLineChars="200"/>
        <w:rPr>
          <w:color w:val="auto"/>
          <w:sz w:val="24"/>
          <w:highlight w:val="none"/>
        </w:rPr>
      </w:pPr>
      <w:r>
        <w:rPr>
          <w:color w:val="auto"/>
          <w:sz w:val="24"/>
          <w:highlight w:val="none"/>
        </w:rPr>
        <w:t>6. 我公司保证所投产品来自合法的供货渠道，若中标，则有义务向采购人提供其需要的有效书面证明材料。如果提供非法渠道的商品，视为欺诈，并承担相关责任。</w:t>
      </w:r>
    </w:p>
    <w:p w14:paraId="714E53A3">
      <w:pPr>
        <w:spacing w:line="360" w:lineRule="auto"/>
        <w:ind w:firstLine="448" w:firstLineChars="200"/>
        <w:rPr>
          <w:color w:val="auto"/>
          <w:sz w:val="24"/>
          <w:highlight w:val="none"/>
        </w:rPr>
      </w:pPr>
      <w:r>
        <w:rPr>
          <w:color w:val="auto"/>
          <w:sz w:val="24"/>
          <w:highlight w:val="none"/>
        </w:rPr>
        <w:t>7. 我公司已熟知贵中心关于本项目电子招投标的要求和规定，我公司完全响应本次招投标通过网上应答进行的方式，我方承诺投标数据以应答截止时间贵中心网络服务器数据库的记录为准，一切因网络通信或我方操作失误造成的应答数据错误或缺失均与贵中心无关，我方愿承担因此出现的任何风险和责任。</w:t>
      </w:r>
    </w:p>
    <w:p w14:paraId="216585E7">
      <w:pPr>
        <w:spacing w:line="360" w:lineRule="auto"/>
        <w:ind w:firstLine="448" w:firstLineChars="200"/>
        <w:rPr>
          <w:color w:val="auto"/>
          <w:sz w:val="24"/>
          <w:highlight w:val="none"/>
        </w:rPr>
      </w:pPr>
      <w:r>
        <w:rPr>
          <w:color w:val="auto"/>
          <w:sz w:val="24"/>
          <w:highlight w:val="none"/>
        </w:rPr>
        <w:t>8. 我公司承诺完全符合</w:t>
      </w:r>
      <w:r>
        <w:rPr>
          <w:rFonts w:hint="eastAsia"/>
          <w:color w:val="auto"/>
          <w:sz w:val="24"/>
          <w:highlight w:val="none"/>
          <w:lang w:eastAsia="zh-CN"/>
        </w:rPr>
        <w:t>《中华人民共和国政府采购法》</w:t>
      </w:r>
      <w:r>
        <w:rPr>
          <w:color w:val="auto"/>
          <w:sz w:val="24"/>
          <w:highlight w:val="none"/>
        </w:rPr>
        <w:t>、</w:t>
      </w:r>
      <w:r>
        <w:rPr>
          <w:rFonts w:hint="eastAsia"/>
          <w:color w:val="auto"/>
          <w:sz w:val="24"/>
          <w:highlight w:val="none"/>
          <w:lang w:eastAsia="zh-CN"/>
        </w:rPr>
        <w:t>《中华人民共和国政府采购法实施条例》</w:t>
      </w:r>
      <w:r>
        <w:rPr>
          <w:color w:val="auto"/>
          <w:sz w:val="24"/>
          <w:highlight w:val="none"/>
        </w:rPr>
        <w:t>等法律法规规定，并随时接受采购人、采购代理机构的检查验证。在整个招标过程中，我公司若有违规行为，我公司完全接受贵中心依照相关法律法规和招标文件的规定给予处罚。</w:t>
      </w:r>
    </w:p>
    <w:p w14:paraId="74770134">
      <w:pPr>
        <w:spacing w:line="360" w:lineRule="auto"/>
        <w:ind w:firstLine="448" w:firstLineChars="200"/>
        <w:rPr>
          <w:color w:val="auto"/>
          <w:sz w:val="24"/>
          <w:highlight w:val="none"/>
        </w:rPr>
      </w:pPr>
      <w:r>
        <w:rPr>
          <w:rFonts w:hint="eastAsia"/>
          <w:color w:val="auto"/>
          <w:sz w:val="24"/>
          <w:highlight w:val="none"/>
        </w:rPr>
        <w:t>9. 我公司承诺未列入“信用中国”网站（www.creditchina.gov.cn）失信被执行人、重大税收违法案件当事人名单，也未列入中国政府采购网（www.ccgp.gov.cn）政府采购严重违法失信行为记录名单，符合《中华人民共和国政府采购法》第二十二条规定的各项条件，具备履行合同所必需的设备和专业技术能力，</w:t>
      </w:r>
      <w:r>
        <w:rPr>
          <w:rFonts w:hint="eastAsia"/>
          <w:color w:val="auto"/>
          <w:sz w:val="24"/>
          <w:szCs w:val="24"/>
          <w:highlight w:val="none"/>
        </w:rPr>
        <w:t>投标截止日前3年在经营活动中没有重大违法记录</w:t>
      </w:r>
      <w:r>
        <w:rPr>
          <w:rFonts w:hint="eastAsia"/>
          <w:color w:val="auto"/>
          <w:sz w:val="24"/>
          <w:highlight w:val="none"/>
        </w:rPr>
        <w:t>。</w:t>
      </w:r>
    </w:p>
    <w:p w14:paraId="372913AC">
      <w:pPr>
        <w:spacing w:line="360" w:lineRule="auto"/>
        <w:ind w:firstLine="448" w:firstLineChars="200"/>
        <w:rPr>
          <w:color w:val="auto"/>
          <w:sz w:val="24"/>
          <w:highlight w:val="none"/>
        </w:rPr>
      </w:pPr>
      <w:r>
        <w:rPr>
          <w:rFonts w:hint="eastAsia"/>
          <w:color w:val="auto"/>
          <w:sz w:val="24"/>
          <w:highlight w:val="none"/>
        </w:rPr>
        <w:t>10</w:t>
      </w:r>
      <w:r>
        <w:rPr>
          <w:color w:val="auto"/>
          <w:sz w:val="24"/>
          <w:highlight w:val="none"/>
        </w:rPr>
        <w:t>. 我公司若中标，本承诺将成为合同不可分割的一部分，与合同具有同等的法律效力。</w:t>
      </w:r>
    </w:p>
    <w:p w14:paraId="6F14BFA6">
      <w:pPr>
        <w:spacing w:line="360" w:lineRule="auto"/>
        <w:ind w:firstLine="448" w:firstLineChars="200"/>
        <w:rPr>
          <w:color w:val="auto"/>
          <w:sz w:val="24"/>
          <w:highlight w:val="none"/>
        </w:rPr>
      </w:pPr>
      <w:r>
        <w:rPr>
          <w:color w:val="auto"/>
          <w:sz w:val="24"/>
          <w:highlight w:val="none"/>
        </w:rPr>
        <w:t>1</w:t>
      </w:r>
      <w:r>
        <w:rPr>
          <w:rFonts w:hint="eastAsia"/>
          <w:color w:val="auto"/>
          <w:sz w:val="24"/>
          <w:highlight w:val="none"/>
        </w:rPr>
        <w:t>1</w:t>
      </w:r>
      <w:r>
        <w:rPr>
          <w:color w:val="auto"/>
          <w:sz w:val="24"/>
          <w:highlight w:val="none"/>
        </w:rPr>
        <w:t>. 如违反上述承诺，我公司投标无效且接受相关部门依法作出的处罚，并承担通过相关媒体予以公布的任何风险和责任。</w:t>
      </w:r>
    </w:p>
    <w:p w14:paraId="3BE5590C">
      <w:pPr>
        <w:spacing w:line="360" w:lineRule="auto"/>
        <w:ind w:firstLine="448" w:firstLineChars="200"/>
        <w:rPr>
          <w:color w:val="auto"/>
          <w:sz w:val="24"/>
          <w:highlight w:val="none"/>
        </w:rPr>
      </w:pPr>
      <w:r>
        <w:rPr>
          <w:color w:val="auto"/>
          <w:sz w:val="24"/>
          <w:highlight w:val="none"/>
        </w:rPr>
        <w:t xml:space="preserve">12. </w:t>
      </w:r>
      <w:r>
        <w:rPr>
          <w:rFonts w:hint="eastAsia"/>
          <w:color w:val="auto"/>
          <w:sz w:val="24"/>
          <w:highlight w:val="none"/>
        </w:rPr>
        <w:t>我公司开票信息如下，</w:t>
      </w:r>
      <w:r>
        <w:rPr>
          <w:rFonts w:hint="eastAsia"/>
          <w:b/>
          <w:color w:val="auto"/>
          <w:sz w:val="24"/>
          <w:highlight w:val="none"/>
        </w:rPr>
        <w:t>此信息与我公司在税务局注册的信息一致</w:t>
      </w:r>
      <w:r>
        <w:rPr>
          <w:rFonts w:hint="eastAsia"/>
          <w:color w:val="auto"/>
          <w:sz w:val="24"/>
          <w:highlight w:val="none"/>
        </w:rPr>
        <w:t>：</w:t>
      </w:r>
    </w:p>
    <w:p w14:paraId="704606B0">
      <w:pPr>
        <w:spacing w:line="360" w:lineRule="auto"/>
        <w:ind w:firstLine="448" w:firstLineChars="200"/>
        <w:rPr>
          <w:color w:val="auto"/>
          <w:sz w:val="24"/>
          <w:highlight w:val="none"/>
        </w:rPr>
      </w:pPr>
      <w:r>
        <w:rPr>
          <w:rFonts w:hint="eastAsia"/>
          <w:color w:val="auto"/>
          <w:sz w:val="24"/>
          <w:highlight w:val="none"/>
        </w:rPr>
        <w:t>纳税人识别号：</w:t>
      </w:r>
    </w:p>
    <w:p w14:paraId="4290D148">
      <w:pPr>
        <w:spacing w:line="360" w:lineRule="auto"/>
        <w:ind w:firstLine="448" w:firstLineChars="200"/>
        <w:rPr>
          <w:color w:val="auto"/>
          <w:sz w:val="24"/>
          <w:highlight w:val="none"/>
        </w:rPr>
      </w:pPr>
      <w:r>
        <w:rPr>
          <w:rFonts w:hint="eastAsia"/>
          <w:color w:val="auto"/>
          <w:sz w:val="24"/>
          <w:highlight w:val="none"/>
        </w:rPr>
        <w:t>地址、电话：</w:t>
      </w:r>
    </w:p>
    <w:p w14:paraId="1D02C68A">
      <w:pPr>
        <w:spacing w:line="360" w:lineRule="auto"/>
        <w:ind w:firstLine="448" w:firstLineChars="200"/>
        <w:rPr>
          <w:color w:val="auto"/>
          <w:sz w:val="24"/>
          <w:highlight w:val="none"/>
        </w:rPr>
      </w:pPr>
      <w:r>
        <w:rPr>
          <w:rFonts w:hint="eastAsia"/>
          <w:color w:val="auto"/>
          <w:sz w:val="24"/>
          <w:highlight w:val="none"/>
        </w:rPr>
        <w:t>开户行及账号：</w:t>
      </w:r>
    </w:p>
    <w:p w14:paraId="47936925">
      <w:pPr>
        <w:spacing w:line="360" w:lineRule="auto"/>
        <w:ind w:firstLine="448" w:firstLineChars="200"/>
        <w:rPr>
          <w:color w:val="auto"/>
          <w:sz w:val="24"/>
          <w:highlight w:val="none"/>
        </w:rPr>
      </w:pPr>
      <w:r>
        <w:rPr>
          <w:rFonts w:hint="eastAsia"/>
          <w:color w:val="auto"/>
          <w:sz w:val="24"/>
          <w:highlight w:val="none"/>
        </w:rPr>
        <w:t>开具发票类型：□增值税专用发票         □增值税普通发票</w:t>
      </w:r>
    </w:p>
    <w:p w14:paraId="2FE7987A">
      <w:pPr>
        <w:spacing w:line="360" w:lineRule="auto"/>
        <w:ind w:firstLine="448" w:firstLineChars="200"/>
        <w:rPr>
          <w:color w:val="auto"/>
          <w:sz w:val="24"/>
          <w:highlight w:val="none"/>
        </w:rPr>
      </w:pPr>
      <w:r>
        <w:rPr>
          <w:rFonts w:hint="eastAsia"/>
          <w:color w:val="auto"/>
          <w:sz w:val="24"/>
          <w:highlight w:val="none"/>
        </w:rPr>
        <w:t>13. 我公司选择招标代理服务费</w:t>
      </w:r>
      <w:r>
        <w:rPr>
          <w:color w:val="auto"/>
          <w:sz w:val="24"/>
          <w:highlight w:val="none"/>
        </w:rPr>
        <w:t>发票领取方式（请自行选择以下任一方式并在相应</w:t>
      </w:r>
      <w:r>
        <w:rPr>
          <w:rFonts w:hint="eastAsia"/>
          <w:color w:val="auto"/>
          <w:sz w:val="24"/>
          <w:highlight w:val="none"/>
        </w:rPr>
        <w:t>□里划“√”</w:t>
      </w:r>
      <w:r>
        <w:rPr>
          <w:color w:val="auto"/>
          <w:sz w:val="24"/>
          <w:highlight w:val="none"/>
        </w:rPr>
        <w:t>）：</w:t>
      </w:r>
    </w:p>
    <w:p w14:paraId="454BE1B4">
      <w:pPr>
        <w:spacing w:line="360" w:lineRule="auto"/>
        <w:ind w:firstLine="448" w:firstLineChars="200"/>
        <w:rPr>
          <w:b/>
          <w:color w:val="auto"/>
          <w:sz w:val="24"/>
          <w:highlight w:val="none"/>
        </w:rPr>
      </w:pPr>
      <w:r>
        <w:rPr>
          <w:rFonts w:hint="eastAsia"/>
          <w:b/>
          <w:color w:val="auto"/>
          <w:sz w:val="24"/>
          <w:highlight w:val="none"/>
        </w:rPr>
        <w:t>□</w:t>
      </w:r>
      <w:r>
        <w:rPr>
          <w:b/>
          <w:color w:val="auto"/>
          <w:sz w:val="24"/>
          <w:highlight w:val="none"/>
        </w:rPr>
        <w:t>上门自取</w:t>
      </w:r>
    </w:p>
    <w:p w14:paraId="21BBAB97">
      <w:pPr>
        <w:spacing w:line="360" w:lineRule="auto"/>
        <w:ind w:firstLine="448" w:firstLineChars="200"/>
        <w:rPr>
          <w:color w:val="auto"/>
          <w:sz w:val="24"/>
          <w:highlight w:val="none"/>
        </w:rPr>
      </w:pPr>
    </w:p>
    <w:p w14:paraId="45876FC9">
      <w:pPr>
        <w:spacing w:line="360" w:lineRule="auto"/>
        <w:ind w:firstLine="448" w:firstLineChars="200"/>
        <w:rPr>
          <w:b/>
          <w:color w:val="auto"/>
          <w:sz w:val="24"/>
          <w:highlight w:val="none"/>
        </w:rPr>
      </w:pPr>
      <w:r>
        <w:rPr>
          <w:rFonts w:hint="eastAsia"/>
          <w:b/>
          <w:color w:val="auto"/>
          <w:sz w:val="24"/>
          <w:highlight w:val="none"/>
        </w:rPr>
        <w:t>□</w:t>
      </w:r>
      <w:r>
        <w:rPr>
          <w:b/>
          <w:color w:val="auto"/>
          <w:sz w:val="24"/>
          <w:highlight w:val="none"/>
        </w:rPr>
        <w:t>到付邮寄</w:t>
      </w:r>
    </w:p>
    <w:p w14:paraId="040C0FC2">
      <w:pPr>
        <w:spacing w:line="360" w:lineRule="auto"/>
        <w:ind w:firstLine="448" w:firstLineChars="200"/>
        <w:rPr>
          <w:color w:val="auto"/>
          <w:sz w:val="24"/>
          <w:highlight w:val="none"/>
        </w:rPr>
      </w:pPr>
      <w:r>
        <w:rPr>
          <w:color w:val="auto"/>
          <w:sz w:val="24"/>
          <w:highlight w:val="none"/>
        </w:rPr>
        <w:t>邮寄地址</w:t>
      </w:r>
      <w:r>
        <w:rPr>
          <w:rFonts w:hint="eastAsia"/>
          <w:color w:val="auto"/>
          <w:sz w:val="24"/>
          <w:highlight w:val="none"/>
        </w:rPr>
        <w:t>、邮编</w:t>
      </w:r>
      <w:r>
        <w:rPr>
          <w:color w:val="auto"/>
          <w:sz w:val="24"/>
          <w:highlight w:val="none"/>
        </w:rPr>
        <w:t>：</w:t>
      </w:r>
    </w:p>
    <w:p w14:paraId="789B85DD">
      <w:pPr>
        <w:spacing w:line="360" w:lineRule="auto"/>
        <w:ind w:firstLine="448" w:firstLineChars="200"/>
        <w:rPr>
          <w:color w:val="auto"/>
          <w:sz w:val="24"/>
          <w:highlight w:val="none"/>
        </w:rPr>
      </w:pPr>
      <w:r>
        <w:rPr>
          <w:color w:val="auto"/>
          <w:sz w:val="24"/>
          <w:highlight w:val="none"/>
        </w:rPr>
        <w:t>邮寄联系人、手机号码：</w:t>
      </w:r>
    </w:p>
    <w:p w14:paraId="3CB5FB4D">
      <w:pPr>
        <w:spacing w:line="360" w:lineRule="auto"/>
        <w:ind w:firstLine="3808" w:firstLineChars="1700"/>
        <w:rPr>
          <w:color w:val="auto"/>
          <w:sz w:val="24"/>
          <w:highlight w:val="none"/>
        </w:rPr>
      </w:pPr>
    </w:p>
    <w:p w14:paraId="39917439">
      <w:pPr>
        <w:spacing w:line="360" w:lineRule="auto"/>
        <w:ind w:firstLine="3808" w:firstLineChars="1700"/>
        <w:rPr>
          <w:color w:val="auto"/>
          <w:sz w:val="24"/>
          <w:highlight w:val="none"/>
        </w:rPr>
      </w:pPr>
      <w:r>
        <w:rPr>
          <w:color w:val="auto"/>
          <w:sz w:val="24"/>
          <w:highlight w:val="none"/>
        </w:rPr>
        <w:t>投标人名称：</w:t>
      </w:r>
    </w:p>
    <w:p w14:paraId="4DF4A6FE">
      <w:pPr>
        <w:spacing w:line="360" w:lineRule="auto"/>
        <w:ind w:firstLine="3808" w:firstLineChars="1700"/>
        <w:rPr>
          <w:color w:val="auto"/>
          <w:sz w:val="24"/>
          <w:highlight w:val="none"/>
        </w:rPr>
      </w:pPr>
    </w:p>
    <w:p w14:paraId="264DC633">
      <w:pPr>
        <w:spacing w:line="360" w:lineRule="auto"/>
        <w:ind w:firstLine="3808" w:firstLineChars="1700"/>
        <w:rPr>
          <w:color w:val="auto"/>
          <w:sz w:val="24"/>
          <w:highlight w:val="none"/>
        </w:rPr>
      </w:pPr>
      <w:r>
        <w:rPr>
          <w:color w:val="auto"/>
          <w:sz w:val="24"/>
          <w:highlight w:val="none"/>
        </w:rPr>
        <w:t>日期：</w:t>
      </w:r>
      <w:r>
        <w:rPr>
          <w:color w:val="auto"/>
          <w:sz w:val="24"/>
          <w:highlight w:val="none"/>
          <w:u w:val="single"/>
        </w:rPr>
        <w:t xml:space="preserve">     </w:t>
      </w:r>
      <w:r>
        <w:rPr>
          <w:color w:val="auto"/>
          <w:sz w:val="24"/>
          <w:highlight w:val="none"/>
        </w:rPr>
        <w:t>年</w:t>
      </w:r>
      <w:r>
        <w:rPr>
          <w:color w:val="auto"/>
          <w:sz w:val="24"/>
          <w:highlight w:val="none"/>
          <w:u w:val="single"/>
        </w:rPr>
        <w:t xml:space="preserve">    </w:t>
      </w:r>
      <w:r>
        <w:rPr>
          <w:color w:val="auto"/>
          <w:sz w:val="24"/>
          <w:highlight w:val="none"/>
        </w:rPr>
        <w:t>月</w:t>
      </w:r>
      <w:r>
        <w:rPr>
          <w:color w:val="auto"/>
          <w:sz w:val="24"/>
          <w:highlight w:val="none"/>
          <w:u w:val="single"/>
        </w:rPr>
        <w:t xml:space="preserve">    </w:t>
      </w:r>
      <w:r>
        <w:rPr>
          <w:color w:val="auto"/>
          <w:sz w:val="24"/>
          <w:highlight w:val="none"/>
        </w:rPr>
        <w:t>日</w:t>
      </w:r>
    </w:p>
    <w:p w14:paraId="0E2FD8EF">
      <w:pPr>
        <w:spacing w:line="460" w:lineRule="exact"/>
        <w:rPr>
          <w:color w:val="auto"/>
          <w:sz w:val="24"/>
          <w:highlight w:val="none"/>
        </w:rPr>
      </w:pPr>
    </w:p>
    <w:p w14:paraId="2986BDE7">
      <w:pPr>
        <w:widowControl/>
        <w:jc w:val="left"/>
        <w:rPr>
          <w:color w:val="auto"/>
          <w:sz w:val="24"/>
          <w:highlight w:val="none"/>
        </w:rPr>
      </w:pPr>
      <w:r>
        <w:rPr>
          <w:color w:val="auto"/>
          <w:sz w:val="24"/>
          <w:highlight w:val="none"/>
        </w:rPr>
        <w:br w:type="page"/>
      </w:r>
    </w:p>
    <w:p w14:paraId="68BFABD4">
      <w:pPr>
        <w:widowControl/>
        <w:jc w:val="left"/>
        <w:rPr>
          <w:b/>
          <w:color w:val="auto"/>
          <w:sz w:val="24"/>
          <w:highlight w:val="none"/>
        </w:rPr>
      </w:pPr>
      <w:r>
        <w:rPr>
          <w:b/>
          <w:color w:val="auto"/>
          <w:sz w:val="24"/>
          <w:highlight w:val="none"/>
        </w:rPr>
        <w:t>附件2</w:t>
      </w:r>
    </w:p>
    <w:p w14:paraId="11C9F96A">
      <w:pPr>
        <w:autoSpaceDN w:val="0"/>
        <w:spacing w:line="360" w:lineRule="auto"/>
        <w:jc w:val="center"/>
        <w:rPr>
          <w:b/>
          <w:bCs/>
          <w:color w:val="auto"/>
          <w:sz w:val="24"/>
          <w:highlight w:val="none"/>
        </w:rPr>
      </w:pPr>
    </w:p>
    <w:p w14:paraId="47E68F76">
      <w:pPr>
        <w:ind w:right="84"/>
        <w:jc w:val="center"/>
        <w:rPr>
          <w:b/>
          <w:color w:val="auto"/>
          <w:sz w:val="24"/>
          <w:highlight w:val="none"/>
        </w:rPr>
      </w:pPr>
      <w:r>
        <w:rPr>
          <w:rFonts w:hint="eastAsia"/>
          <w:b/>
          <w:color w:val="auto"/>
          <w:sz w:val="24"/>
          <w:highlight w:val="none"/>
        </w:rPr>
        <w:t>供应商资格声明函</w:t>
      </w:r>
    </w:p>
    <w:p w14:paraId="53930C7C">
      <w:pPr>
        <w:spacing w:line="360" w:lineRule="auto"/>
        <w:ind w:firstLine="420"/>
        <w:jc w:val="center"/>
        <w:rPr>
          <w:b/>
          <w:color w:val="auto"/>
          <w:sz w:val="24"/>
          <w:highlight w:val="none"/>
        </w:rPr>
      </w:pPr>
    </w:p>
    <w:p w14:paraId="761AE292">
      <w:pPr>
        <w:spacing w:line="360" w:lineRule="auto"/>
        <w:rPr>
          <w:color w:val="auto"/>
          <w:sz w:val="24"/>
          <w:highlight w:val="none"/>
        </w:rPr>
      </w:pPr>
      <w:r>
        <w:rPr>
          <w:rFonts w:hint="eastAsia"/>
          <w:color w:val="auto"/>
          <w:sz w:val="24"/>
          <w:highlight w:val="none"/>
        </w:rPr>
        <w:t>天津市政府采购中心：</w:t>
      </w:r>
    </w:p>
    <w:p w14:paraId="75F734D2">
      <w:pPr>
        <w:spacing w:line="360" w:lineRule="auto"/>
        <w:ind w:firstLine="448" w:firstLineChars="200"/>
        <w:rPr>
          <w:color w:val="auto"/>
          <w:sz w:val="24"/>
          <w:highlight w:val="none"/>
        </w:rPr>
      </w:pPr>
      <w:r>
        <w:rPr>
          <w:rFonts w:hint="eastAsia"/>
          <w:color w:val="auto"/>
          <w:sz w:val="24"/>
          <w:highlight w:val="none"/>
        </w:rPr>
        <w:t>我单位自愿参与本项目的政府采购活动，郑重承诺如下：</w:t>
      </w:r>
    </w:p>
    <w:p w14:paraId="22FAABAD">
      <w:pPr>
        <w:spacing w:line="360" w:lineRule="auto"/>
        <w:ind w:firstLine="448" w:firstLineChars="200"/>
        <w:rPr>
          <w:color w:val="auto"/>
          <w:sz w:val="24"/>
          <w:highlight w:val="none"/>
        </w:rPr>
      </w:pPr>
      <w:r>
        <w:rPr>
          <w:rFonts w:hint="eastAsia"/>
          <w:color w:val="auto"/>
          <w:sz w:val="24"/>
          <w:highlight w:val="none"/>
        </w:rPr>
        <w:t>（一）我单位具有良好的商业信誉和健全的财务会计制度；</w:t>
      </w:r>
    </w:p>
    <w:p w14:paraId="5F5081AB">
      <w:pPr>
        <w:spacing w:line="360" w:lineRule="auto"/>
        <w:ind w:firstLine="448" w:firstLineChars="200"/>
        <w:rPr>
          <w:color w:val="auto"/>
          <w:sz w:val="24"/>
          <w:highlight w:val="none"/>
        </w:rPr>
      </w:pPr>
      <w:r>
        <w:rPr>
          <w:rFonts w:hint="eastAsia"/>
          <w:color w:val="auto"/>
          <w:sz w:val="24"/>
          <w:highlight w:val="none"/>
        </w:rPr>
        <w:t>（二）我单位依法缴纳税收和社会保障资金；</w:t>
      </w:r>
    </w:p>
    <w:p w14:paraId="6E0D1722">
      <w:pPr>
        <w:spacing w:line="360" w:lineRule="auto"/>
        <w:ind w:firstLine="448" w:firstLineChars="200"/>
        <w:rPr>
          <w:color w:val="auto"/>
          <w:sz w:val="24"/>
          <w:highlight w:val="none"/>
        </w:rPr>
      </w:pPr>
      <w:r>
        <w:rPr>
          <w:rFonts w:hint="eastAsia"/>
          <w:color w:val="auto"/>
          <w:sz w:val="24"/>
          <w:highlight w:val="none"/>
        </w:rPr>
        <w:t>（三）我单位具备履行合同所必需的设备和专业技术能力；</w:t>
      </w:r>
    </w:p>
    <w:p w14:paraId="52A122A0">
      <w:pPr>
        <w:spacing w:line="360" w:lineRule="auto"/>
        <w:ind w:firstLine="448" w:firstLineChars="200"/>
        <w:rPr>
          <w:color w:val="auto"/>
          <w:sz w:val="24"/>
          <w:highlight w:val="none"/>
        </w:rPr>
      </w:pPr>
      <w:r>
        <w:rPr>
          <w:rFonts w:hint="eastAsia"/>
          <w:color w:val="auto"/>
          <w:sz w:val="24"/>
          <w:highlight w:val="none"/>
        </w:rPr>
        <w:t>（四）参加政府采购活动前3年我单位在经营活动中没有重大违法记录；</w:t>
      </w:r>
    </w:p>
    <w:p w14:paraId="0E64E86A">
      <w:pPr>
        <w:spacing w:line="360" w:lineRule="auto"/>
        <w:ind w:firstLine="448" w:firstLineChars="200"/>
        <w:rPr>
          <w:color w:val="auto"/>
          <w:sz w:val="24"/>
          <w:highlight w:val="none"/>
        </w:rPr>
      </w:pPr>
      <w:r>
        <w:rPr>
          <w:rFonts w:hint="eastAsia"/>
          <w:color w:val="auto"/>
          <w:sz w:val="24"/>
          <w:highlight w:val="none"/>
        </w:rPr>
        <w:t>（五）我单位不存在为采购项目提供整体设计、规范编制或者项目管理、监理、检测等服务后，再参加该采购项目的其他采购活动的情形。</w:t>
      </w:r>
    </w:p>
    <w:p w14:paraId="53ED94C1">
      <w:pPr>
        <w:spacing w:line="360" w:lineRule="auto"/>
        <w:ind w:firstLine="448" w:firstLineChars="200"/>
        <w:rPr>
          <w:color w:val="auto"/>
          <w:sz w:val="24"/>
          <w:highlight w:val="none"/>
        </w:rPr>
      </w:pPr>
      <w:r>
        <w:rPr>
          <w:rFonts w:hint="eastAsia"/>
          <w:color w:val="auto"/>
          <w:sz w:val="24"/>
          <w:highlight w:val="none"/>
        </w:rPr>
        <w:t>（六）与我单位存在“单位负责人为同一人或者存在直接控股、管理关系”的其他单位信息如下：</w:t>
      </w:r>
    </w:p>
    <w:tbl>
      <w:tblPr>
        <w:tblStyle w:val="24"/>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9"/>
        <w:gridCol w:w="3877"/>
        <w:gridCol w:w="2842"/>
      </w:tblGrid>
      <w:tr w14:paraId="06AAC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vAlign w:val="center"/>
          </w:tcPr>
          <w:p w14:paraId="5BA7CDFF">
            <w:pPr>
              <w:jc w:val="center"/>
              <w:rPr>
                <w:color w:val="auto"/>
                <w:szCs w:val="21"/>
                <w:highlight w:val="none"/>
              </w:rPr>
            </w:pPr>
            <w:r>
              <w:rPr>
                <w:rFonts w:hint="eastAsia"/>
                <w:color w:val="auto"/>
                <w:szCs w:val="21"/>
                <w:highlight w:val="none"/>
              </w:rPr>
              <w:t>序号</w:t>
            </w:r>
          </w:p>
        </w:tc>
        <w:tc>
          <w:tcPr>
            <w:tcW w:w="3877" w:type="dxa"/>
            <w:vAlign w:val="center"/>
          </w:tcPr>
          <w:p w14:paraId="0D85620C">
            <w:pPr>
              <w:jc w:val="center"/>
              <w:rPr>
                <w:color w:val="auto"/>
                <w:szCs w:val="21"/>
                <w:highlight w:val="none"/>
              </w:rPr>
            </w:pPr>
            <w:r>
              <w:rPr>
                <w:rFonts w:hint="eastAsia"/>
                <w:color w:val="auto"/>
                <w:szCs w:val="21"/>
                <w:highlight w:val="none"/>
              </w:rPr>
              <w:t>单位名称</w:t>
            </w:r>
          </w:p>
        </w:tc>
        <w:tc>
          <w:tcPr>
            <w:tcW w:w="2842" w:type="dxa"/>
            <w:vAlign w:val="center"/>
          </w:tcPr>
          <w:p w14:paraId="23C44946">
            <w:pPr>
              <w:jc w:val="center"/>
              <w:rPr>
                <w:color w:val="auto"/>
                <w:szCs w:val="21"/>
                <w:highlight w:val="none"/>
              </w:rPr>
            </w:pPr>
            <w:r>
              <w:rPr>
                <w:rFonts w:hint="eastAsia"/>
                <w:color w:val="auto"/>
                <w:szCs w:val="21"/>
                <w:highlight w:val="none"/>
              </w:rPr>
              <w:t>相互关系类型</w:t>
            </w:r>
          </w:p>
        </w:tc>
      </w:tr>
      <w:tr w14:paraId="7800A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vAlign w:val="center"/>
          </w:tcPr>
          <w:p w14:paraId="3957FF60">
            <w:pPr>
              <w:jc w:val="center"/>
              <w:rPr>
                <w:color w:val="auto"/>
                <w:szCs w:val="21"/>
                <w:highlight w:val="none"/>
              </w:rPr>
            </w:pPr>
            <w:r>
              <w:rPr>
                <w:rFonts w:hint="eastAsia"/>
                <w:color w:val="auto"/>
                <w:szCs w:val="21"/>
                <w:highlight w:val="none"/>
              </w:rPr>
              <w:t>1</w:t>
            </w:r>
          </w:p>
        </w:tc>
        <w:tc>
          <w:tcPr>
            <w:tcW w:w="3877" w:type="dxa"/>
            <w:vAlign w:val="center"/>
          </w:tcPr>
          <w:p w14:paraId="47B806CB">
            <w:pPr>
              <w:jc w:val="center"/>
              <w:rPr>
                <w:color w:val="auto"/>
                <w:szCs w:val="21"/>
                <w:highlight w:val="none"/>
              </w:rPr>
            </w:pPr>
          </w:p>
        </w:tc>
        <w:tc>
          <w:tcPr>
            <w:tcW w:w="2842" w:type="dxa"/>
            <w:vAlign w:val="center"/>
          </w:tcPr>
          <w:p w14:paraId="28C68505">
            <w:pPr>
              <w:jc w:val="center"/>
              <w:rPr>
                <w:color w:val="auto"/>
                <w:szCs w:val="21"/>
                <w:highlight w:val="none"/>
              </w:rPr>
            </w:pPr>
          </w:p>
        </w:tc>
      </w:tr>
      <w:tr w14:paraId="2B4E3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vAlign w:val="center"/>
          </w:tcPr>
          <w:p w14:paraId="0DA88D0B">
            <w:pPr>
              <w:jc w:val="center"/>
              <w:rPr>
                <w:color w:val="auto"/>
                <w:szCs w:val="21"/>
                <w:highlight w:val="none"/>
              </w:rPr>
            </w:pPr>
            <w:r>
              <w:rPr>
                <w:rFonts w:hint="eastAsia"/>
                <w:color w:val="auto"/>
                <w:szCs w:val="21"/>
                <w:highlight w:val="none"/>
              </w:rPr>
              <w:t>2</w:t>
            </w:r>
          </w:p>
        </w:tc>
        <w:tc>
          <w:tcPr>
            <w:tcW w:w="3877" w:type="dxa"/>
            <w:vAlign w:val="center"/>
          </w:tcPr>
          <w:p w14:paraId="40BD14EA">
            <w:pPr>
              <w:jc w:val="center"/>
              <w:rPr>
                <w:color w:val="auto"/>
                <w:szCs w:val="21"/>
                <w:highlight w:val="none"/>
              </w:rPr>
            </w:pPr>
          </w:p>
        </w:tc>
        <w:tc>
          <w:tcPr>
            <w:tcW w:w="2842" w:type="dxa"/>
            <w:vAlign w:val="center"/>
          </w:tcPr>
          <w:p w14:paraId="654B0166">
            <w:pPr>
              <w:jc w:val="center"/>
              <w:rPr>
                <w:color w:val="auto"/>
                <w:szCs w:val="21"/>
                <w:highlight w:val="none"/>
              </w:rPr>
            </w:pPr>
          </w:p>
        </w:tc>
      </w:tr>
      <w:tr w14:paraId="754E8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vAlign w:val="center"/>
          </w:tcPr>
          <w:p w14:paraId="3307C8AF">
            <w:pPr>
              <w:jc w:val="center"/>
              <w:rPr>
                <w:color w:val="auto"/>
                <w:szCs w:val="21"/>
                <w:highlight w:val="none"/>
              </w:rPr>
            </w:pPr>
            <w:r>
              <w:rPr>
                <w:rFonts w:hint="eastAsia"/>
                <w:color w:val="auto"/>
                <w:szCs w:val="21"/>
                <w:highlight w:val="none"/>
              </w:rPr>
              <w:t>3</w:t>
            </w:r>
          </w:p>
        </w:tc>
        <w:tc>
          <w:tcPr>
            <w:tcW w:w="3877" w:type="dxa"/>
            <w:vAlign w:val="center"/>
          </w:tcPr>
          <w:p w14:paraId="52AC2D9E">
            <w:pPr>
              <w:jc w:val="center"/>
              <w:rPr>
                <w:color w:val="auto"/>
                <w:szCs w:val="21"/>
                <w:highlight w:val="none"/>
              </w:rPr>
            </w:pPr>
          </w:p>
        </w:tc>
        <w:tc>
          <w:tcPr>
            <w:tcW w:w="2842" w:type="dxa"/>
            <w:vAlign w:val="center"/>
          </w:tcPr>
          <w:p w14:paraId="39DAAC5C">
            <w:pPr>
              <w:jc w:val="center"/>
              <w:rPr>
                <w:color w:val="auto"/>
                <w:szCs w:val="21"/>
                <w:highlight w:val="none"/>
              </w:rPr>
            </w:pPr>
          </w:p>
        </w:tc>
      </w:tr>
    </w:tbl>
    <w:p w14:paraId="48B1C7F8">
      <w:pPr>
        <w:spacing w:line="360" w:lineRule="auto"/>
        <w:ind w:firstLine="448" w:firstLineChars="200"/>
        <w:rPr>
          <w:color w:val="auto"/>
          <w:sz w:val="24"/>
          <w:highlight w:val="none"/>
        </w:rPr>
      </w:pPr>
      <w:r>
        <w:rPr>
          <w:rFonts w:hint="eastAsia"/>
          <w:color w:val="auto"/>
          <w:sz w:val="24"/>
          <w:highlight w:val="none"/>
        </w:rPr>
        <w:t>上表未填写的，视为不存在第（六）条所列情形</w:t>
      </w:r>
    </w:p>
    <w:p w14:paraId="2A7B4F43">
      <w:pPr>
        <w:spacing w:line="360" w:lineRule="auto"/>
        <w:ind w:firstLine="448" w:firstLineChars="200"/>
        <w:rPr>
          <w:color w:val="auto"/>
          <w:sz w:val="24"/>
          <w:highlight w:val="none"/>
        </w:rPr>
      </w:pPr>
    </w:p>
    <w:p w14:paraId="4FA99357">
      <w:pPr>
        <w:spacing w:line="360" w:lineRule="auto"/>
        <w:ind w:firstLine="448" w:firstLineChars="200"/>
        <w:rPr>
          <w:color w:val="auto"/>
          <w:sz w:val="24"/>
          <w:highlight w:val="none"/>
        </w:rPr>
      </w:pPr>
      <w:r>
        <w:rPr>
          <w:rFonts w:hint="eastAsia"/>
          <w:color w:val="auto"/>
          <w:sz w:val="24"/>
          <w:highlight w:val="none"/>
        </w:rPr>
        <w:t>上述声明真实有效，否则我单位承担全部责任和不利后果。</w:t>
      </w:r>
    </w:p>
    <w:p w14:paraId="7460EFD5">
      <w:pPr>
        <w:spacing w:line="360" w:lineRule="auto"/>
        <w:ind w:firstLine="448" w:firstLineChars="200"/>
        <w:rPr>
          <w:color w:val="auto"/>
          <w:sz w:val="24"/>
          <w:highlight w:val="none"/>
        </w:rPr>
      </w:pPr>
    </w:p>
    <w:p w14:paraId="5A1DE2D0">
      <w:pPr>
        <w:spacing w:line="360" w:lineRule="auto"/>
        <w:ind w:firstLine="224" w:firstLineChars="100"/>
        <w:rPr>
          <w:color w:val="auto"/>
          <w:sz w:val="24"/>
          <w:highlight w:val="none"/>
        </w:rPr>
      </w:pPr>
      <w:r>
        <w:rPr>
          <w:color w:val="auto"/>
          <w:sz w:val="24"/>
          <w:highlight w:val="none"/>
        </w:rPr>
        <w:t>投标人名称：</w:t>
      </w:r>
    </w:p>
    <w:p w14:paraId="46B910F4">
      <w:pPr>
        <w:spacing w:line="360" w:lineRule="auto"/>
        <w:ind w:firstLine="224" w:firstLineChars="100"/>
        <w:rPr>
          <w:color w:val="auto"/>
          <w:sz w:val="24"/>
          <w:highlight w:val="none"/>
        </w:rPr>
      </w:pPr>
    </w:p>
    <w:p w14:paraId="68AA9BB4">
      <w:pPr>
        <w:spacing w:line="360" w:lineRule="auto"/>
        <w:ind w:firstLine="224" w:firstLineChars="100"/>
        <w:rPr>
          <w:color w:val="auto"/>
          <w:position w:val="-40"/>
          <w:sz w:val="24"/>
          <w:highlight w:val="none"/>
        </w:rPr>
      </w:pPr>
      <w:r>
        <w:rPr>
          <w:color w:val="auto"/>
          <w:sz w:val="24"/>
          <w:highlight w:val="none"/>
        </w:rPr>
        <w:t xml:space="preserve">日期：  </w:t>
      </w:r>
    </w:p>
    <w:p w14:paraId="2CAA87CA">
      <w:pPr>
        <w:autoSpaceDN w:val="0"/>
        <w:spacing w:line="360" w:lineRule="auto"/>
        <w:jc w:val="center"/>
        <w:rPr>
          <w:b/>
          <w:bCs/>
          <w:color w:val="auto"/>
          <w:sz w:val="24"/>
          <w:highlight w:val="none"/>
        </w:rPr>
      </w:pPr>
    </w:p>
    <w:p w14:paraId="48423CA3">
      <w:pPr>
        <w:widowControl/>
        <w:jc w:val="left"/>
        <w:rPr>
          <w:b/>
          <w:bCs/>
          <w:color w:val="auto"/>
          <w:sz w:val="24"/>
          <w:highlight w:val="none"/>
        </w:rPr>
      </w:pPr>
      <w:r>
        <w:rPr>
          <w:b/>
          <w:bCs/>
          <w:color w:val="auto"/>
          <w:sz w:val="24"/>
          <w:highlight w:val="none"/>
        </w:rPr>
        <w:br w:type="page"/>
      </w:r>
    </w:p>
    <w:p w14:paraId="07E67A48">
      <w:pPr>
        <w:spacing w:line="460" w:lineRule="exact"/>
        <w:rPr>
          <w:b/>
          <w:color w:val="auto"/>
          <w:sz w:val="24"/>
          <w:highlight w:val="none"/>
        </w:rPr>
      </w:pPr>
      <w:r>
        <w:rPr>
          <w:rFonts w:hint="eastAsia"/>
          <w:b/>
          <w:bCs/>
          <w:color w:val="auto"/>
          <w:sz w:val="24"/>
          <w:highlight w:val="none"/>
        </w:rPr>
        <w:t>附件2-1：招标文件第一部分供应商资格要求的证件</w:t>
      </w:r>
    </w:p>
    <w:p w14:paraId="787C88FD">
      <w:pPr>
        <w:widowControl/>
        <w:jc w:val="left"/>
        <w:rPr>
          <w:b/>
          <w:bCs/>
          <w:color w:val="auto"/>
          <w:sz w:val="24"/>
          <w:highlight w:val="none"/>
        </w:rPr>
      </w:pPr>
      <w:r>
        <w:rPr>
          <w:b/>
          <w:bCs/>
          <w:color w:val="auto"/>
          <w:sz w:val="24"/>
          <w:highlight w:val="none"/>
        </w:rPr>
        <w:br w:type="page"/>
      </w:r>
    </w:p>
    <w:p w14:paraId="61F0367A">
      <w:pPr>
        <w:autoSpaceDN w:val="0"/>
        <w:spacing w:line="360" w:lineRule="auto"/>
        <w:rPr>
          <w:b/>
          <w:bCs/>
          <w:color w:val="auto"/>
          <w:sz w:val="24"/>
          <w:highlight w:val="none"/>
        </w:rPr>
      </w:pPr>
      <w:r>
        <w:rPr>
          <w:rFonts w:hint="eastAsia"/>
          <w:b/>
          <w:bCs/>
          <w:color w:val="auto"/>
          <w:sz w:val="24"/>
          <w:highlight w:val="none"/>
        </w:rPr>
        <w:t>附件3</w:t>
      </w:r>
    </w:p>
    <w:p w14:paraId="219DED83">
      <w:pPr>
        <w:autoSpaceDN w:val="0"/>
        <w:spacing w:line="360" w:lineRule="auto"/>
        <w:jc w:val="center"/>
        <w:rPr>
          <w:b/>
          <w:bCs/>
          <w:color w:val="auto"/>
          <w:sz w:val="24"/>
          <w:highlight w:val="none"/>
        </w:rPr>
      </w:pPr>
    </w:p>
    <w:p w14:paraId="6F96AF8A">
      <w:pPr>
        <w:autoSpaceDN w:val="0"/>
        <w:spacing w:line="360" w:lineRule="auto"/>
        <w:jc w:val="center"/>
        <w:rPr>
          <w:b/>
          <w:bCs/>
          <w:color w:val="auto"/>
          <w:sz w:val="24"/>
          <w:highlight w:val="none"/>
        </w:rPr>
      </w:pPr>
      <w:r>
        <w:rPr>
          <w:b/>
          <w:bCs/>
          <w:color w:val="auto"/>
          <w:sz w:val="24"/>
          <w:highlight w:val="none"/>
        </w:rPr>
        <w:t>开标一览表</w:t>
      </w:r>
    </w:p>
    <w:p w14:paraId="2BF63709">
      <w:pPr>
        <w:ind w:right="84"/>
        <w:rPr>
          <w:color w:val="auto"/>
          <w:sz w:val="24"/>
          <w:highlight w:val="none"/>
        </w:rPr>
      </w:pPr>
    </w:p>
    <w:p w14:paraId="4C37E768">
      <w:pPr>
        <w:spacing w:line="460" w:lineRule="exact"/>
        <w:rPr>
          <w:color w:val="auto"/>
          <w:sz w:val="24"/>
          <w:highlight w:val="none"/>
        </w:rPr>
      </w:pPr>
      <w:r>
        <w:rPr>
          <w:color w:val="auto"/>
          <w:sz w:val="24"/>
          <w:highlight w:val="none"/>
        </w:rPr>
        <w:t>项目名称：</w:t>
      </w:r>
      <w:r>
        <w:rPr>
          <w:color w:val="auto"/>
          <w:sz w:val="24"/>
          <w:highlight w:val="none"/>
          <w:u w:val="single"/>
        </w:rPr>
        <w:t xml:space="preserve">                    </w:t>
      </w:r>
    </w:p>
    <w:p w14:paraId="6D41D915">
      <w:pPr>
        <w:spacing w:line="460" w:lineRule="exact"/>
        <w:rPr>
          <w:color w:val="auto"/>
          <w:sz w:val="24"/>
          <w:highlight w:val="none"/>
        </w:rPr>
      </w:pPr>
      <w:r>
        <w:rPr>
          <w:color w:val="auto"/>
          <w:sz w:val="24"/>
          <w:highlight w:val="none"/>
        </w:rPr>
        <w:t>项目编号：</w:t>
      </w:r>
      <w:r>
        <w:rPr>
          <w:color w:val="auto"/>
          <w:sz w:val="24"/>
          <w:highlight w:val="none"/>
          <w:u w:val="single"/>
        </w:rPr>
        <w:t xml:space="preserve">                    </w:t>
      </w:r>
    </w:p>
    <w:p w14:paraId="030F6024">
      <w:pPr>
        <w:spacing w:line="460" w:lineRule="exact"/>
        <w:rPr>
          <w:color w:val="auto"/>
          <w:sz w:val="24"/>
          <w:highlight w:val="none"/>
          <w:u w:val="single"/>
        </w:rPr>
      </w:pPr>
      <w:r>
        <w:rPr>
          <w:color w:val="auto"/>
          <w:sz w:val="24"/>
          <w:highlight w:val="none"/>
        </w:rPr>
        <w:t>包号：</w:t>
      </w:r>
      <w:r>
        <w:rPr>
          <w:color w:val="auto"/>
          <w:sz w:val="24"/>
          <w:highlight w:val="none"/>
          <w:u w:val="single"/>
        </w:rPr>
        <w:t xml:space="preserve">                        </w:t>
      </w:r>
    </w:p>
    <w:p w14:paraId="19E0AECB">
      <w:pPr>
        <w:spacing w:line="460" w:lineRule="exact"/>
        <w:rPr>
          <w:color w:val="auto"/>
          <w:sz w:val="24"/>
          <w:highlight w:val="none"/>
        </w:rPr>
      </w:pPr>
      <w:r>
        <w:rPr>
          <w:color w:val="auto"/>
          <w:sz w:val="24"/>
          <w:highlight w:val="none"/>
        </w:rPr>
        <w:t xml:space="preserve">                                                       单位：元</w:t>
      </w:r>
    </w:p>
    <w:tbl>
      <w:tblPr>
        <w:tblStyle w:val="23"/>
        <w:tblW w:w="85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5"/>
        <w:gridCol w:w="2180"/>
        <w:gridCol w:w="1375"/>
        <w:gridCol w:w="2050"/>
        <w:gridCol w:w="1678"/>
      </w:tblGrid>
      <w:tr w14:paraId="41ADD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5" w:type="dxa"/>
            <w:vAlign w:val="center"/>
          </w:tcPr>
          <w:p w14:paraId="2D70D222">
            <w:pPr>
              <w:spacing w:line="460" w:lineRule="exact"/>
              <w:jc w:val="center"/>
              <w:rPr>
                <w:color w:val="auto"/>
                <w:sz w:val="24"/>
                <w:highlight w:val="none"/>
              </w:rPr>
            </w:pPr>
            <w:r>
              <w:rPr>
                <w:color w:val="auto"/>
                <w:sz w:val="24"/>
                <w:highlight w:val="none"/>
              </w:rPr>
              <w:t>包号</w:t>
            </w:r>
          </w:p>
        </w:tc>
        <w:tc>
          <w:tcPr>
            <w:tcW w:w="2180" w:type="dxa"/>
            <w:vAlign w:val="center"/>
          </w:tcPr>
          <w:p w14:paraId="2C9D3C0E">
            <w:pPr>
              <w:spacing w:line="460" w:lineRule="exact"/>
              <w:jc w:val="center"/>
              <w:rPr>
                <w:color w:val="auto"/>
                <w:sz w:val="24"/>
                <w:highlight w:val="none"/>
              </w:rPr>
            </w:pPr>
            <w:r>
              <w:rPr>
                <w:color w:val="auto"/>
                <w:sz w:val="24"/>
                <w:highlight w:val="none"/>
              </w:rPr>
              <w:t>服务名称</w:t>
            </w:r>
          </w:p>
        </w:tc>
        <w:tc>
          <w:tcPr>
            <w:tcW w:w="1375" w:type="dxa"/>
            <w:vAlign w:val="center"/>
          </w:tcPr>
          <w:p w14:paraId="005BE586">
            <w:pPr>
              <w:spacing w:line="460" w:lineRule="exact"/>
              <w:jc w:val="center"/>
              <w:rPr>
                <w:color w:val="auto"/>
                <w:sz w:val="24"/>
                <w:highlight w:val="none"/>
              </w:rPr>
            </w:pPr>
            <w:r>
              <w:rPr>
                <w:color w:val="auto"/>
                <w:sz w:val="24"/>
                <w:highlight w:val="none"/>
              </w:rPr>
              <w:t>数量</w:t>
            </w:r>
          </w:p>
        </w:tc>
        <w:tc>
          <w:tcPr>
            <w:tcW w:w="2050" w:type="dxa"/>
            <w:vAlign w:val="center"/>
          </w:tcPr>
          <w:p w14:paraId="4CD5D5E0">
            <w:pPr>
              <w:spacing w:line="460" w:lineRule="exact"/>
              <w:jc w:val="center"/>
              <w:rPr>
                <w:color w:val="auto"/>
                <w:sz w:val="24"/>
                <w:highlight w:val="none"/>
              </w:rPr>
            </w:pPr>
            <w:r>
              <w:rPr>
                <w:color w:val="auto"/>
                <w:sz w:val="24"/>
                <w:highlight w:val="none"/>
              </w:rPr>
              <w:t>投标总价</w:t>
            </w:r>
          </w:p>
        </w:tc>
        <w:tc>
          <w:tcPr>
            <w:tcW w:w="1678" w:type="dxa"/>
            <w:vAlign w:val="center"/>
          </w:tcPr>
          <w:p w14:paraId="0266AD00">
            <w:pPr>
              <w:spacing w:line="460" w:lineRule="exact"/>
              <w:jc w:val="center"/>
              <w:rPr>
                <w:color w:val="auto"/>
                <w:sz w:val="24"/>
                <w:highlight w:val="none"/>
              </w:rPr>
            </w:pPr>
            <w:r>
              <w:rPr>
                <w:color w:val="auto"/>
                <w:sz w:val="24"/>
                <w:highlight w:val="none"/>
              </w:rPr>
              <w:t>备注</w:t>
            </w:r>
          </w:p>
        </w:tc>
      </w:tr>
      <w:tr w14:paraId="3CAF6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5" w:type="dxa"/>
          </w:tcPr>
          <w:p w14:paraId="0440C6AE">
            <w:pPr>
              <w:spacing w:line="460" w:lineRule="exact"/>
              <w:rPr>
                <w:color w:val="auto"/>
                <w:sz w:val="24"/>
                <w:highlight w:val="none"/>
              </w:rPr>
            </w:pPr>
          </w:p>
        </w:tc>
        <w:tc>
          <w:tcPr>
            <w:tcW w:w="2180" w:type="dxa"/>
          </w:tcPr>
          <w:p w14:paraId="495599B4">
            <w:pPr>
              <w:spacing w:line="460" w:lineRule="exact"/>
              <w:rPr>
                <w:color w:val="auto"/>
                <w:sz w:val="24"/>
                <w:highlight w:val="none"/>
              </w:rPr>
            </w:pPr>
          </w:p>
        </w:tc>
        <w:tc>
          <w:tcPr>
            <w:tcW w:w="1375" w:type="dxa"/>
          </w:tcPr>
          <w:p w14:paraId="192047A2">
            <w:pPr>
              <w:spacing w:line="460" w:lineRule="exact"/>
              <w:rPr>
                <w:color w:val="auto"/>
                <w:sz w:val="24"/>
                <w:highlight w:val="none"/>
              </w:rPr>
            </w:pPr>
          </w:p>
        </w:tc>
        <w:tc>
          <w:tcPr>
            <w:tcW w:w="2050" w:type="dxa"/>
          </w:tcPr>
          <w:p w14:paraId="2A1453F8">
            <w:pPr>
              <w:spacing w:line="460" w:lineRule="exact"/>
              <w:rPr>
                <w:color w:val="auto"/>
                <w:sz w:val="24"/>
                <w:highlight w:val="none"/>
              </w:rPr>
            </w:pPr>
          </w:p>
        </w:tc>
        <w:tc>
          <w:tcPr>
            <w:tcW w:w="1678" w:type="dxa"/>
          </w:tcPr>
          <w:p w14:paraId="61E18435">
            <w:pPr>
              <w:spacing w:line="460" w:lineRule="exact"/>
              <w:rPr>
                <w:color w:val="auto"/>
                <w:sz w:val="24"/>
                <w:highlight w:val="none"/>
              </w:rPr>
            </w:pPr>
          </w:p>
        </w:tc>
      </w:tr>
      <w:tr w14:paraId="6D316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5" w:type="dxa"/>
          </w:tcPr>
          <w:p w14:paraId="259968C9">
            <w:pPr>
              <w:spacing w:line="460" w:lineRule="exact"/>
              <w:rPr>
                <w:color w:val="auto"/>
                <w:sz w:val="24"/>
                <w:highlight w:val="none"/>
              </w:rPr>
            </w:pPr>
          </w:p>
        </w:tc>
        <w:tc>
          <w:tcPr>
            <w:tcW w:w="2180" w:type="dxa"/>
          </w:tcPr>
          <w:p w14:paraId="22B5E2C3">
            <w:pPr>
              <w:spacing w:line="460" w:lineRule="exact"/>
              <w:rPr>
                <w:color w:val="auto"/>
                <w:sz w:val="24"/>
                <w:highlight w:val="none"/>
              </w:rPr>
            </w:pPr>
          </w:p>
        </w:tc>
        <w:tc>
          <w:tcPr>
            <w:tcW w:w="1375" w:type="dxa"/>
          </w:tcPr>
          <w:p w14:paraId="7B81B791">
            <w:pPr>
              <w:spacing w:line="460" w:lineRule="exact"/>
              <w:rPr>
                <w:color w:val="auto"/>
                <w:sz w:val="24"/>
                <w:highlight w:val="none"/>
              </w:rPr>
            </w:pPr>
          </w:p>
        </w:tc>
        <w:tc>
          <w:tcPr>
            <w:tcW w:w="2050" w:type="dxa"/>
          </w:tcPr>
          <w:p w14:paraId="6AD54536">
            <w:pPr>
              <w:spacing w:line="460" w:lineRule="exact"/>
              <w:rPr>
                <w:color w:val="auto"/>
                <w:sz w:val="24"/>
                <w:highlight w:val="none"/>
              </w:rPr>
            </w:pPr>
          </w:p>
        </w:tc>
        <w:tc>
          <w:tcPr>
            <w:tcW w:w="1678" w:type="dxa"/>
          </w:tcPr>
          <w:p w14:paraId="512EFB78">
            <w:pPr>
              <w:spacing w:line="460" w:lineRule="exact"/>
              <w:rPr>
                <w:color w:val="auto"/>
                <w:sz w:val="24"/>
                <w:highlight w:val="none"/>
              </w:rPr>
            </w:pPr>
          </w:p>
        </w:tc>
      </w:tr>
      <w:tr w14:paraId="65356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5" w:type="dxa"/>
          </w:tcPr>
          <w:p w14:paraId="4868B054">
            <w:pPr>
              <w:spacing w:line="460" w:lineRule="exact"/>
              <w:rPr>
                <w:color w:val="auto"/>
                <w:sz w:val="24"/>
                <w:highlight w:val="none"/>
              </w:rPr>
            </w:pPr>
          </w:p>
        </w:tc>
        <w:tc>
          <w:tcPr>
            <w:tcW w:w="2180" w:type="dxa"/>
          </w:tcPr>
          <w:p w14:paraId="1636C3CA">
            <w:pPr>
              <w:spacing w:line="460" w:lineRule="exact"/>
              <w:rPr>
                <w:color w:val="auto"/>
                <w:sz w:val="24"/>
                <w:highlight w:val="none"/>
              </w:rPr>
            </w:pPr>
          </w:p>
        </w:tc>
        <w:tc>
          <w:tcPr>
            <w:tcW w:w="1375" w:type="dxa"/>
          </w:tcPr>
          <w:p w14:paraId="7C8388E7">
            <w:pPr>
              <w:spacing w:line="460" w:lineRule="exact"/>
              <w:rPr>
                <w:color w:val="auto"/>
                <w:sz w:val="24"/>
                <w:highlight w:val="none"/>
              </w:rPr>
            </w:pPr>
          </w:p>
        </w:tc>
        <w:tc>
          <w:tcPr>
            <w:tcW w:w="2050" w:type="dxa"/>
          </w:tcPr>
          <w:p w14:paraId="2065EB28">
            <w:pPr>
              <w:spacing w:line="460" w:lineRule="exact"/>
              <w:rPr>
                <w:color w:val="auto"/>
                <w:sz w:val="24"/>
                <w:highlight w:val="none"/>
              </w:rPr>
            </w:pPr>
          </w:p>
        </w:tc>
        <w:tc>
          <w:tcPr>
            <w:tcW w:w="1678" w:type="dxa"/>
          </w:tcPr>
          <w:p w14:paraId="3500E228">
            <w:pPr>
              <w:spacing w:line="460" w:lineRule="exact"/>
              <w:rPr>
                <w:color w:val="auto"/>
                <w:sz w:val="24"/>
                <w:highlight w:val="none"/>
              </w:rPr>
            </w:pPr>
          </w:p>
        </w:tc>
      </w:tr>
      <w:tr w14:paraId="5E797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5" w:type="dxa"/>
          </w:tcPr>
          <w:p w14:paraId="676FC246">
            <w:pPr>
              <w:spacing w:line="460" w:lineRule="exact"/>
              <w:rPr>
                <w:color w:val="auto"/>
                <w:sz w:val="24"/>
                <w:highlight w:val="none"/>
              </w:rPr>
            </w:pPr>
          </w:p>
        </w:tc>
        <w:tc>
          <w:tcPr>
            <w:tcW w:w="2180" w:type="dxa"/>
          </w:tcPr>
          <w:p w14:paraId="75F38041">
            <w:pPr>
              <w:spacing w:line="460" w:lineRule="exact"/>
              <w:rPr>
                <w:color w:val="auto"/>
                <w:sz w:val="24"/>
                <w:highlight w:val="none"/>
              </w:rPr>
            </w:pPr>
          </w:p>
        </w:tc>
        <w:tc>
          <w:tcPr>
            <w:tcW w:w="1375" w:type="dxa"/>
          </w:tcPr>
          <w:p w14:paraId="4FF6AF45">
            <w:pPr>
              <w:spacing w:line="460" w:lineRule="exact"/>
              <w:rPr>
                <w:color w:val="auto"/>
                <w:sz w:val="24"/>
                <w:highlight w:val="none"/>
              </w:rPr>
            </w:pPr>
          </w:p>
        </w:tc>
        <w:tc>
          <w:tcPr>
            <w:tcW w:w="2050" w:type="dxa"/>
          </w:tcPr>
          <w:p w14:paraId="403292C4">
            <w:pPr>
              <w:spacing w:line="460" w:lineRule="exact"/>
              <w:rPr>
                <w:color w:val="auto"/>
                <w:sz w:val="24"/>
                <w:highlight w:val="none"/>
              </w:rPr>
            </w:pPr>
          </w:p>
        </w:tc>
        <w:tc>
          <w:tcPr>
            <w:tcW w:w="1678" w:type="dxa"/>
          </w:tcPr>
          <w:p w14:paraId="3AD2F6B7">
            <w:pPr>
              <w:spacing w:line="460" w:lineRule="exact"/>
              <w:rPr>
                <w:color w:val="auto"/>
                <w:sz w:val="24"/>
                <w:highlight w:val="none"/>
              </w:rPr>
            </w:pPr>
          </w:p>
        </w:tc>
      </w:tr>
      <w:tr w14:paraId="0DE58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5" w:type="dxa"/>
          </w:tcPr>
          <w:p w14:paraId="0E34F804">
            <w:pPr>
              <w:spacing w:line="460" w:lineRule="exact"/>
              <w:rPr>
                <w:color w:val="auto"/>
                <w:sz w:val="24"/>
                <w:highlight w:val="none"/>
              </w:rPr>
            </w:pPr>
          </w:p>
        </w:tc>
        <w:tc>
          <w:tcPr>
            <w:tcW w:w="2180" w:type="dxa"/>
          </w:tcPr>
          <w:p w14:paraId="0C06D1DE">
            <w:pPr>
              <w:spacing w:line="460" w:lineRule="exact"/>
              <w:rPr>
                <w:color w:val="auto"/>
                <w:sz w:val="24"/>
                <w:highlight w:val="none"/>
              </w:rPr>
            </w:pPr>
          </w:p>
        </w:tc>
        <w:tc>
          <w:tcPr>
            <w:tcW w:w="1375" w:type="dxa"/>
          </w:tcPr>
          <w:p w14:paraId="45E67B96">
            <w:pPr>
              <w:spacing w:line="460" w:lineRule="exact"/>
              <w:rPr>
                <w:color w:val="auto"/>
                <w:sz w:val="24"/>
                <w:highlight w:val="none"/>
              </w:rPr>
            </w:pPr>
          </w:p>
        </w:tc>
        <w:tc>
          <w:tcPr>
            <w:tcW w:w="2050" w:type="dxa"/>
          </w:tcPr>
          <w:p w14:paraId="149AD61D">
            <w:pPr>
              <w:spacing w:line="460" w:lineRule="exact"/>
              <w:rPr>
                <w:color w:val="auto"/>
                <w:sz w:val="24"/>
                <w:highlight w:val="none"/>
              </w:rPr>
            </w:pPr>
          </w:p>
        </w:tc>
        <w:tc>
          <w:tcPr>
            <w:tcW w:w="1678" w:type="dxa"/>
          </w:tcPr>
          <w:p w14:paraId="18D35751">
            <w:pPr>
              <w:spacing w:line="460" w:lineRule="exact"/>
              <w:rPr>
                <w:color w:val="auto"/>
                <w:sz w:val="24"/>
                <w:highlight w:val="none"/>
              </w:rPr>
            </w:pPr>
          </w:p>
        </w:tc>
      </w:tr>
      <w:tr w14:paraId="3797F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5" w:type="dxa"/>
          </w:tcPr>
          <w:p w14:paraId="45189F38">
            <w:pPr>
              <w:spacing w:line="460" w:lineRule="exact"/>
              <w:rPr>
                <w:color w:val="auto"/>
                <w:sz w:val="24"/>
                <w:highlight w:val="none"/>
              </w:rPr>
            </w:pPr>
          </w:p>
        </w:tc>
        <w:tc>
          <w:tcPr>
            <w:tcW w:w="2180" w:type="dxa"/>
          </w:tcPr>
          <w:p w14:paraId="6BE675DB">
            <w:pPr>
              <w:spacing w:line="460" w:lineRule="exact"/>
              <w:rPr>
                <w:color w:val="auto"/>
                <w:sz w:val="24"/>
                <w:highlight w:val="none"/>
              </w:rPr>
            </w:pPr>
          </w:p>
        </w:tc>
        <w:tc>
          <w:tcPr>
            <w:tcW w:w="1375" w:type="dxa"/>
          </w:tcPr>
          <w:p w14:paraId="11D55CFB">
            <w:pPr>
              <w:spacing w:line="460" w:lineRule="exact"/>
              <w:rPr>
                <w:color w:val="auto"/>
                <w:sz w:val="24"/>
                <w:highlight w:val="none"/>
              </w:rPr>
            </w:pPr>
          </w:p>
        </w:tc>
        <w:tc>
          <w:tcPr>
            <w:tcW w:w="2050" w:type="dxa"/>
          </w:tcPr>
          <w:p w14:paraId="2CE05910">
            <w:pPr>
              <w:spacing w:line="460" w:lineRule="exact"/>
              <w:rPr>
                <w:color w:val="auto"/>
                <w:sz w:val="24"/>
                <w:highlight w:val="none"/>
              </w:rPr>
            </w:pPr>
          </w:p>
        </w:tc>
        <w:tc>
          <w:tcPr>
            <w:tcW w:w="1678" w:type="dxa"/>
          </w:tcPr>
          <w:p w14:paraId="2F3A89BF">
            <w:pPr>
              <w:spacing w:line="460" w:lineRule="exact"/>
              <w:rPr>
                <w:color w:val="auto"/>
                <w:sz w:val="24"/>
                <w:highlight w:val="none"/>
              </w:rPr>
            </w:pPr>
          </w:p>
        </w:tc>
      </w:tr>
      <w:tr w14:paraId="1A3E6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5" w:type="dxa"/>
          </w:tcPr>
          <w:p w14:paraId="147FF988">
            <w:pPr>
              <w:spacing w:line="460" w:lineRule="exact"/>
              <w:rPr>
                <w:color w:val="auto"/>
                <w:sz w:val="24"/>
                <w:highlight w:val="none"/>
              </w:rPr>
            </w:pPr>
          </w:p>
        </w:tc>
        <w:tc>
          <w:tcPr>
            <w:tcW w:w="2180" w:type="dxa"/>
          </w:tcPr>
          <w:p w14:paraId="1E9CAA3C">
            <w:pPr>
              <w:spacing w:line="460" w:lineRule="exact"/>
              <w:rPr>
                <w:color w:val="auto"/>
                <w:sz w:val="24"/>
                <w:highlight w:val="none"/>
              </w:rPr>
            </w:pPr>
          </w:p>
        </w:tc>
        <w:tc>
          <w:tcPr>
            <w:tcW w:w="1375" w:type="dxa"/>
          </w:tcPr>
          <w:p w14:paraId="0FED4A14">
            <w:pPr>
              <w:spacing w:line="460" w:lineRule="exact"/>
              <w:rPr>
                <w:color w:val="auto"/>
                <w:sz w:val="24"/>
                <w:highlight w:val="none"/>
              </w:rPr>
            </w:pPr>
          </w:p>
        </w:tc>
        <w:tc>
          <w:tcPr>
            <w:tcW w:w="2050" w:type="dxa"/>
          </w:tcPr>
          <w:p w14:paraId="2C629645">
            <w:pPr>
              <w:spacing w:line="460" w:lineRule="exact"/>
              <w:rPr>
                <w:color w:val="auto"/>
                <w:sz w:val="24"/>
                <w:highlight w:val="none"/>
              </w:rPr>
            </w:pPr>
          </w:p>
        </w:tc>
        <w:tc>
          <w:tcPr>
            <w:tcW w:w="1678" w:type="dxa"/>
          </w:tcPr>
          <w:p w14:paraId="15C1E5F0">
            <w:pPr>
              <w:spacing w:line="460" w:lineRule="exact"/>
              <w:rPr>
                <w:color w:val="auto"/>
                <w:sz w:val="24"/>
                <w:highlight w:val="none"/>
              </w:rPr>
            </w:pPr>
          </w:p>
        </w:tc>
      </w:tr>
      <w:tr w14:paraId="76B2D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5" w:type="dxa"/>
          </w:tcPr>
          <w:p w14:paraId="691C7E26">
            <w:pPr>
              <w:spacing w:line="460" w:lineRule="exact"/>
              <w:rPr>
                <w:color w:val="auto"/>
                <w:sz w:val="24"/>
                <w:highlight w:val="none"/>
              </w:rPr>
            </w:pPr>
          </w:p>
        </w:tc>
        <w:tc>
          <w:tcPr>
            <w:tcW w:w="2180" w:type="dxa"/>
          </w:tcPr>
          <w:p w14:paraId="3ED2926B">
            <w:pPr>
              <w:spacing w:line="460" w:lineRule="exact"/>
              <w:rPr>
                <w:color w:val="auto"/>
                <w:sz w:val="24"/>
                <w:highlight w:val="none"/>
              </w:rPr>
            </w:pPr>
          </w:p>
        </w:tc>
        <w:tc>
          <w:tcPr>
            <w:tcW w:w="1375" w:type="dxa"/>
          </w:tcPr>
          <w:p w14:paraId="7E3F7A4A">
            <w:pPr>
              <w:spacing w:line="460" w:lineRule="exact"/>
              <w:rPr>
                <w:color w:val="auto"/>
                <w:sz w:val="24"/>
                <w:highlight w:val="none"/>
              </w:rPr>
            </w:pPr>
          </w:p>
        </w:tc>
        <w:tc>
          <w:tcPr>
            <w:tcW w:w="2050" w:type="dxa"/>
          </w:tcPr>
          <w:p w14:paraId="60AEA985">
            <w:pPr>
              <w:spacing w:line="460" w:lineRule="exact"/>
              <w:rPr>
                <w:color w:val="auto"/>
                <w:sz w:val="24"/>
                <w:highlight w:val="none"/>
              </w:rPr>
            </w:pPr>
          </w:p>
        </w:tc>
        <w:tc>
          <w:tcPr>
            <w:tcW w:w="1678" w:type="dxa"/>
          </w:tcPr>
          <w:p w14:paraId="2341FD27">
            <w:pPr>
              <w:spacing w:line="460" w:lineRule="exact"/>
              <w:rPr>
                <w:color w:val="auto"/>
                <w:sz w:val="24"/>
                <w:highlight w:val="none"/>
              </w:rPr>
            </w:pPr>
          </w:p>
        </w:tc>
      </w:tr>
      <w:tr w14:paraId="6267D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5" w:type="dxa"/>
          </w:tcPr>
          <w:p w14:paraId="7B7CAE2A">
            <w:pPr>
              <w:spacing w:line="460" w:lineRule="exact"/>
              <w:rPr>
                <w:color w:val="auto"/>
                <w:sz w:val="24"/>
                <w:highlight w:val="none"/>
              </w:rPr>
            </w:pPr>
          </w:p>
        </w:tc>
        <w:tc>
          <w:tcPr>
            <w:tcW w:w="2180" w:type="dxa"/>
          </w:tcPr>
          <w:p w14:paraId="7D1E237F">
            <w:pPr>
              <w:spacing w:line="460" w:lineRule="exact"/>
              <w:rPr>
                <w:color w:val="auto"/>
                <w:sz w:val="24"/>
                <w:highlight w:val="none"/>
              </w:rPr>
            </w:pPr>
          </w:p>
        </w:tc>
        <w:tc>
          <w:tcPr>
            <w:tcW w:w="1375" w:type="dxa"/>
          </w:tcPr>
          <w:p w14:paraId="7C863774">
            <w:pPr>
              <w:spacing w:line="460" w:lineRule="exact"/>
              <w:rPr>
                <w:color w:val="auto"/>
                <w:sz w:val="24"/>
                <w:highlight w:val="none"/>
              </w:rPr>
            </w:pPr>
          </w:p>
        </w:tc>
        <w:tc>
          <w:tcPr>
            <w:tcW w:w="2050" w:type="dxa"/>
          </w:tcPr>
          <w:p w14:paraId="2307AF27">
            <w:pPr>
              <w:spacing w:line="460" w:lineRule="exact"/>
              <w:rPr>
                <w:color w:val="auto"/>
                <w:sz w:val="24"/>
                <w:highlight w:val="none"/>
              </w:rPr>
            </w:pPr>
          </w:p>
        </w:tc>
        <w:tc>
          <w:tcPr>
            <w:tcW w:w="1678" w:type="dxa"/>
          </w:tcPr>
          <w:p w14:paraId="7F47AC28">
            <w:pPr>
              <w:spacing w:line="460" w:lineRule="exact"/>
              <w:rPr>
                <w:color w:val="auto"/>
                <w:sz w:val="24"/>
                <w:highlight w:val="none"/>
              </w:rPr>
            </w:pPr>
          </w:p>
        </w:tc>
      </w:tr>
      <w:tr w14:paraId="43E0A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5" w:type="dxa"/>
          </w:tcPr>
          <w:p w14:paraId="70D3C6DD">
            <w:pPr>
              <w:spacing w:line="460" w:lineRule="exact"/>
              <w:rPr>
                <w:color w:val="auto"/>
                <w:sz w:val="24"/>
                <w:highlight w:val="none"/>
              </w:rPr>
            </w:pPr>
          </w:p>
        </w:tc>
        <w:tc>
          <w:tcPr>
            <w:tcW w:w="2180" w:type="dxa"/>
          </w:tcPr>
          <w:p w14:paraId="58A87C80">
            <w:pPr>
              <w:spacing w:line="460" w:lineRule="exact"/>
              <w:rPr>
                <w:color w:val="auto"/>
                <w:sz w:val="24"/>
                <w:highlight w:val="none"/>
              </w:rPr>
            </w:pPr>
          </w:p>
        </w:tc>
        <w:tc>
          <w:tcPr>
            <w:tcW w:w="1375" w:type="dxa"/>
          </w:tcPr>
          <w:p w14:paraId="2236ADD1">
            <w:pPr>
              <w:spacing w:line="460" w:lineRule="exact"/>
              <w:rPr>
                <w:color w:val="auto"/>
                <w:sz w:val="24"/>
                <w:highlight w:val="none"/>
              </w:rPr>
            </w:pPr>
          </w:p>
        </w:tc>
        <w:tc>
          <w:tcPr>
            <w:tcW w:w="2050" w:type="dxa"/>
          </w:tcPr>
          <w:p w14:paraId="513F5B28">
            <w:pPr>
              <w:spacing w:line="460" w:lineRule="exact"/>
              <w:rPr>
                <w:color w:val="auto"/>
                <w:sz w:val="24"/>
                <w:highlight w:val="none"/>
              </w:rPr>
            </w:pPr>
          </w:p>
        </w:tc>
        <w:tc>
          <w:tcPr>
            <w:tcW w:w="1678" w:type="dxa"/>
          </w:tcPr>
          <w:p w14:paraId="40B8B4E0">
            <w:pPr>
              <w:spacing w:line="460" w:lineRule="exact"/>
              <w:rPr>
                <w:color w:val="auto"/>
                <w:sz w:val="24"/>
                <w:highlight w:val="none"/>
              </w:rPr>
            </w:pPr>
          </w:p>
        </w:tc>
      </w:tr>
      <w:tr w14:paraId="53463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5" w:type="dxa"/>
          </w:tcPr>
          <w:p w14:paraId="063CCFA2">
            <w:pPr>
              <w:spacing w:line="460" w:lineRule="exact"/>
              <w:rPr>
                <w:color w:val="auto"/>
                <w:sz w:val="24"/>
                <w:highlight w:val="none"/>
              </w:rPr>
            </w:pPr>
          </w:p>
        </w:tc>
        <w:tc>
          <w:tcPr>
            <w:tcW w:w="2180" w:type="dxa"/>
          </w:tcPr>
          <w:p w14:paraId="47307379">
            <w:pPr>
              <w:spacing w:line="460" w:lineRule="exact"/>
              <w:rPr>
                <w:color w:val="auto"/>
                <w:sz w:val="24"/>
                <w:highlight w:val="none"/>
              </w:rPr>
            </w:pPr>
          </w:p>
        </w:tc>
        <w:tc>
          <w:tcPr>
            <w:tcW w:w="1375" w:type="dxa"/>
          </w:tcPr>
          <w:p w14:paraId="29AC6689">
            <w:pPr>
              <w:spacing w:line="460" w:lineRule="exact"/>
              <w:rPr>
                <w:color w:val="auto"/>
                <w:sz w:val="24"/>
                <w:highlight w:val="none"/>
              </w:rPr>
            </w:pPr>
          </w:p>
        </w:tc>
        <w:tc>
          <w:tcPr>
            <w:tcW w:w="2050" w:type="dxa"/>
          </w:tcPr>
          <w:p w14:paraId="374A8E97">
            <w:pPr>
              <w:spacing w:line="460" w:lineRule="exact"/>
              <w:rPr>
                <w:color w:val="auto"/>
                <w:sz w:val="24"/>
                <w:highlight w:val="none"/>
              </w:rPr>
            </w:pPr>
          </w:p>
        </w:tc>
        <w:tc>
          <w:tcPr>
            <w:tcW w:w="1678" w:type="dxa"/>
          </w:tcPr>
          <w:p w14:paraId="7BCFD40B">
            <w:pPr>
              <w:spacing w:line="460" w:lineRule="exact"/>
              <w:rPr>
                <w:color w:val="auto"/>
                <w:sz w:val="24"/>
                <w:highlight w:val="none"/>
              </w:rPr>
            </w:pPr>
          </w:p>
        </w:tc>
      </w:tr>
      <w:tr w14:paraId="6E4DF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5" w:type="dxa"/>
          </w:tcPr>
          <w:p w14:paraId="6C6D23A1">
            <w:pPr>
              <w:spacing w:line="460" w:lineRule="exact"/>
              <w:rPr>
                <w:color w:val="auto"/>
                <w:sz w:val="24"/>
                <w:highlight w:val="none"/>
              </w:rPr>
            </w:pPr>
          </w:p>
        </w:tc>
        <w:tc>
          <w:tcPr>
            <w:tcW w:w="2180" w:type="dxa"/>
          </w:tcPr>
          <w:p w14:paraId="56F868F1">
            <w:pPr>
              <w:spacing w:line="460" w:lineRule="exact"/>
              <w:rPr>
                <w:color w:val="auto"/>
                <w:sz w:val="24"/>
                <w:highlight w:val="none"/>
              </w:rPr>
            </w:pPr>
          </w:p>
        </w:tc>
        <w:tc>
          <w:tcPr>
            <w:tcW w:w="1375" w:type="dxa"/>
          </w:tcPr>
          <w:p w14:paraId="17AB69D1">
            <w:pPr>
              <w:spacing w:line="460" w:lineRule="exact"/>
              <w:rPr>
                <w:color w:val="auto"/>
                <w:sz w:val="24"/>
                <w:highlight w:val="none"/>
              </w:rPr>
            </w:pPr>
          </w:p>
        </w:tc>
        <w:tc>
          <w:tcPr>
            <w:tcW w:w="2050" w:type="dxa"/>
          </w:tcPr>
          <w:p w14:paraId="04D95B32">
            <w:pPr>
              <w:spacing w:line="460" w:lineRule="exact"/>
              <w:rPr>
                <w:color w:val="auto"/>
                <w:sz w:val="24"/>
                <w:highlight w:val="none"/>
              </w:rPr>
            </w:pPr>
          </w:p>
        </w:tc>
        <w:tc>
          <w:tcPr>
            <w:tcW w:w="1678" w:type="dxa"/>
          </w:tcPr>
          <w:p w14:paraId="0341A2D2">
            <w:pPr>
              <w:spacing w:line="460" w:lineRule="exact"/>
              <w:rPr>
                <w:color w:val="auto"/>
                <w:sz w:val="24"/>
                <w:highlight w:val="none"/>
              </w:rPr>
            </w:pPr>
          </w:p>
        </w:tc>
      </w:tr>
    </w:tbl>
    <w:p w14:paraId="238B9FB8">
      <w:pPr>
        <w:spacing w:line="360" w:lineRule="auto"/>
        <w:ind w:right="84" w:firstLine="420"/>
        <w:rPr>
          <w:color w:val="auto"/>
          <w:sz w:val="24"/>
          <w:highlight w:val="none"/>
        </w:rPr>
      </w:pPr>
    </w:p>
    <w:p w14:paraId="232BA4A0">
      <w:pPr>
        <w:spacing w:line="360" w:lineRule="auto"/>
        <w:ind w:right="84" w:firstLine="420"/>
        <w:rPr>
          <w:color w:val="auto"/>
          <w:sz w:val="24"/>
          <w:highlight w:val="none"/>
        </w:rPr>
      </w:pPr>
    </w:p>
    <w:p w14:paraId="02C7FF34">
      <w:pPr>
        <w:spacing w:line="360" w:lineRule="auto"/>
        <w:ind w:firstLine="3808" w:firstLineChars="1700"/>
        <w:rPr>
          <w:color w:val="auto"/>
          <w:sz w:val="24"/>
          <w:highlight w:val="none"/>
        </w:rPr>
      </w:pPr>
      <w:r>
        <w:rPr>
          <w:color w:val="auto"/>
          <w:sz w:val="24"/>
          <w:highlight w:val="none"/>
        </w:rPr>
        <w:t>投标人名称：</w:t>
      </w:r>
    </w:p>
    <w:p w14:paraId="2BAA30B8">
      <w:pPr>
        <w:spacing w:line="360" w:lineRule="auto"/>
        <w:ind w:firstLine="3808" w:firstLineChars="1700"/>
        <w:rPr>
          <w:color w:val="auto"/>
          <w:sz w:val="24"/>
          <w:highlight w:val="none"/>
        </w:rPr>
      </w:pPr>
    </w:p>
    <w:p w14:paraId="77EDC413">
      <w:pPr>
        <w:spacing w:line="360" w:lineRule="auto"/>
        <w:ind w:firstLine="3808" w:firstLineChars="1700"/>
        <w:rPr>
          <w:color w:val="auto"/>
          <w:sz w:val="24"/>
          <w:highlight w:val="none"/>
        </w:rPr>
      </w:pPr>
      <w:r>
        <w:rPr>
          <w:color w:val="auto"/>
          <w:sz w:val="24"/>
          <w:highlight w:val="none"/>
        </w:rPr>
        <w:t>日期：</w:t>
      </w:r>
      <w:r>
        <w:rPr>
          <w:color w:val="auto"/>
          <w:sz w:val="24"/>
          <w:highlight w:val="none"/>
          <w:u w:val="single"/>
        </w:rPr>
        <w:t xml:space="preserve">     </w:t>
      </w:r>
      <w:r>
        <w:rPr>
          <w:color w:val="auto"/>
          <w:sz w:val="24"/>
          <w:highlight w:val="none"/>
        </w:rPr>
        <w:t>年</w:t>
      </w:r>
      <w:r>
        <w:rPr>
          <w:color w:val="auto"/>
          <w:sz w:val="24"/>
          <w:highlight w:val="none"/>
          <w:u w:val="single"/>
        </w:rPr>
        <w:t xml:space="preserve">    </w:t>
      </w:r>
      <w:r>
        <w:rPr>
          <w:color w:val="auto"/>
          <w:sz w:val="24"/>
          <w:highlight w:val="none"/>
        </w:rPr>
        <w:t>月</w:t>
      </w:r>
      <w:r>
        <w:rPr>
          <w:color w:val="auto"/>
          <w:sz w:val="24"/>
          <w:highlight w:val="none"/>
          <w:u w:val="single"/>
        </w:rPr>
        <w:t xml:space="preserve">    </w:t>
      </w:r>
      <w:r>
        <w:rPr>
          <w:color w:val="auto"/>
          <w:sz w:val="24"/>
          <w:highlight w:val="none"/>
        </w:rPr>
        <w:t>日</w:t>
      </w:r>
    </w:p>
    <w:p w14:paraId="182CE451">
      <w:pPr>
        <w:spacing w:line="360" w:lineRule="auto"/>
        <w:ind w:right="84" w:firstLine="420"/>
        <w:rPr>
          <w:color w:val="auto"/>
          <w:sz w:val="24"/>
          <w:highlight w:val="none"/>
        </w:rPr>
      </w:pPr>
    </w:p>
    <w:p w14:paraId="139438D5">
      <w:pPr>
        <w:widowControl/>
        <w:jc w:val="left"/>
        <w:rPr>
          <w:color w:val="auto"/>
          <w:sz w:val="24"/>
          <w:highlight w:val="none"/>
        </w:rPr>
      </w:pPr>
      <w:r>
        <w:rPr>
          <w:color w:val="auto"/>
          <w:sz w:val="24"/>
          <w:highlight w:val="none"/>
        </w:rPr>
        <w:br w:type="page"/>
      </w:r>
    </w:p>
    <w:p w14:paraId="529E5D66">
      <w:pPr>
        <w:tabs>
          <w:tab w:val="left" w:pos="360"/>
        </w:tabs>
        <w:spacing w:line="360" w:lineRule="auto"/>
        <w:rPr>
          <w:b/>
          <w:color w:val="auto"/>
          <w:sz w:val="24"/>
          <w:highlight w:val="none"/>
        </w:rPr>
      </w:pPr>
      <w:r>
        <w:rPr>
          <w:b/>
          <w:color w:val="auto"/>
          <w:sz w:val="24"/>
          <w:highlight w:val="none"/>
        </w:rPr>
        <w:t>附件</w:t>
      </w:r>
      <w:r>
        <w:rPr>
          <w:rFonts w:hint="eastAsia"/>
          <w:b/>
          <w:color w:val="auto"/>
          <w:sz w:val="24"/>
          <w:highlight w:val="none"/>
        </w:rPr>
        <w:t>4</w:t>
      </w:r>
    </w:p>
    <w:p w14:paraId="1E6D4430">
      <w:pPr>
        <w:autoSpaceDN w:val="0"/>
        <w:spacing w:line="360" w:lineRule="auto"/>
        <w:jc w:val="center"/>
        <w:rPr>
          <w:b/>
          <w:bCs/>
          <w:color w:val="auto"/>
          <w:sz w:val="24"/>
          <w:highlight w:val="none"/>
        </w:rPr>
      </w:pPr>
      <w:r>
        <w:rPr>
          <w:b/>
          <w:bCs/>
          <w:color w:val="auto"/>
          <w:sz w:val="24"/>
          <w:highlight w:val="none"/>
        </w:rPr>
        <w:t>开标分项一览表</w:t>
      </w:r>
    </w:p>
    <w:p w14:paraId="007F606A">
      <w:pPr>
        <w:ind w:right="84"/>
        <w:rPr>
          <w:color w:val="auto"/>
          <w:sz w:val="24"/>
          <w:highlight w:val="none"/>
        </w:rPr>
      </w:pPr>
    </w:p>
    <w:p w14:paraId="45496D59">
      <w:pPr>
        <w:spacing w:line="460" w:lineRule="exact"/>
        <w:ind w:left="192"/>
        <w:rPr>
          <w:color w:val="auto"/>
          <w:sz w:val="24"/>
          <w:highlight w:val="none"/>
        </w:rPr>
      </w:pPr>
      <w:r>
        <w:rPr>
          <w:color w:val="auto"/>
          <w:sz w:val="24"/>
          <w:highlight w:val="none"/>
        </w:rPr>
        <w:t>项目名称：</w:t>
      </w:r>
      <w:r>
        <w:rPr>
          <w:color w:val="auto"/>
          <w:sz w:val="24"/>
          <w:highlight w:val="none"/>
          <w:u w:val="single"/>
        </w:rPr>
        <w:t xml:space="preserve">                    </w:t>
      </w:r>
    </w:p>
    <w:p w14:paraId="34C93782">
      <w:pPr>
        <w:spacing w:line="460" w:lineRule="exact"/>
        <w:ind w:left="192"/>
        <w:rPr>
          <w:color w:val="auto"/>
          <w:sz w:val="24"/>
          <w:highlight w:val="none"/>
        </w:rPr>
      </w:pPr>
      <w:r>
        <w:rPr>
          <w:color w:val="auto"/>
          <w:sz w:val="24"/>
          <w:highlight w:val="none"/>
        </w:rPr>
        <w:t>项目编号：</w:t>
      </w:r>
      <w:r>
        <w:rPr>
          <w:color w:val="auto"/>
          <w:sz w:val="24"/>
          <w:highlight w:val="none"/>
          <w:u w:val="single"/>
        </w:rPr>
        <w:t xml:space="preserve">                    </w:t>
      </w:r>
    </w:p>
    <w:p w14:paraId="38628BD9">
      <w:pPr>
        <w:spacing w:line="460" w:lineRule="exact"/>
        <w:ind w:left="192"/>
        <w:rPr>
          <w:color w:val="auto"/>
          <w:sz w:val="24"/>
          <w:highlight w:val="none"/>
        </w:rPr>
      </w:pPr>
      <w:r>
        <w:rPr>
          <w:color w:val="auto"/>
          <w:sz w:val="24"/>
          <w:highlight w:val="none"/>
        </w:rPr>
        <w:t>包    号：</w:t>
      </w:r>
      <w:r>
        <w:rPr>
          <w:color w:val="auto"/>
          <w:sz w:val="24"/>
          <w:highlight w:val="none"/>
          <w:u w:val="single"/>
        </w:rPr>
        <w:t xml:space="preserve">                    </w:t>
      </w:r>
    </w:p>
    <w:p w14:paraId="2CC8CDA2">
      <w:pPr>
        <w:spacing w:line="460" w:lineRule="exact"/>
        <w:ind w:firstLine="6496" w:firstLineChars="2900"/>
        <w:rPr>
          <w:color w:val="auto"/>
          <w:sz w:val="24"/>
          <w:highlight w:val="none"/>
        </w:rPr>
      </w:pPr>
      <w:r>
        <w:rPr>
          <w:color w:val="auto"/>
          <w:sz w:val="24"/>
          <w:highlight w:val="none"/>
        </w:rPr>
        <w:t>单位：元</w:t>
      </w:r>
    </w:p>
    <w:tbl>
      <w:tblPr>
        <w:tblStyle w:val="23"/>
        <w:tblW w:w="90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8"/>
        <w:gridCol w:w="2349"/>
        <w:gridCol w:w="1701"/>
        <w:gridCol w:w="2238"/>
        <w:gridCol w:w="1848"/>
      </w:tblGrid>
      <w:tr w14:paraId="2AF99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878" w:type="dxa"/>
            <w:vAlign w:val="center"/>
          </w:tcPr>
          <w:p w14:paraId="7A7AB481">
            <w:pPr>
              <w:widowControl/>
              <w:jc w:val="center"/>
              <w:rPr>
                <w:b/>
                <w:bCs/>
                <w:color w:val="auto"/>
                <w:kern w:val="0"/>
                <w:sz w:val="24"/>
                <w:szCs w:val="24"/>
                <w:highlight w:val="none"/>
              </w:rPr>
            </w:pPr>
            <w:r>
              <w:rPr>
                <w:b/>
                <w:bCs/>
                <w:color w:val="auto"/>
                <w:kern w:val="0"/>
                <w:sz w:val="24"/>
                <w:szCs w:val="24"/>
                <w:highlight w:val="none"/>
              </w:rPr>
              <w:t>项号</w:t>
            </w:r>
          </w:p>
        </w:tc>
        <w:tc>
          <w:tcPr>
            <w:tcW w:w="2349" w:type="dxa"/>
            <w:vAlign w:val="center"/>
          </w:tcPr>
          <w:p w14:paraId="73BAB8C9">
            <w:pPr>
              <w:widowControl/>
              <w:jc w:val="center"/>
              <w:rPr>
                <w:b/>
                <w:bCs/>
                <w:color w:val="auto"/>
                <w:kern w:val="0"/>
                <w:sz w:val="24"/>
                <w:szCs w:val="24"/>
                <w:highlight w:val="none"/>
              </w:rPr>
            </w:pPr>
            <w:r>
              <w:rPr>
                <w:b/>
                <w:bCs/>
                <w:color w:val="auto"/>
                <w:kern w:val="0"/>
                <w:sz w:val="24"/>
                <w:szCs w:val="24"/>
                <w:highlight w:val="none"/>
              </w:rPr>
              <w:t>服务名称</w:t>
            </w:r>
          </w:p>
        </w:tc>
        <w:tc>
          <w:tcPr>
            <w:tcW w:w="1701" w:type="dxa"/>
            <w:vAlign w:val="center"/>
          </w:tcPr>
          <w:p w14:paraId="2AC41283">
            <w:pPr>
              <w:widowControl/>
              <w:jc w:val="center"/>
              <w:rPr>
                <w:b/>
                <w:bCs/>
                <w:color w:val="auto"/>
                <w:kern w:val="0"/>
                <w:sz w:val="24"/>
                <w:szCs w:val="24"/>
                <w:highlight w:val="none"/>
              </w:rPr>
            </w:pPr>
            <w:r>
              <w:rPr>
                <w:b/>
                <w:bCs/>
                <w:color w:val="auto"/>
                <w:kern w:val="0"/>
                <w:sz w:val="24"/>
                <w:szCs w:val="24"/>
                <w:highlight w:val="none"/>
              </w:rPr>
              <w:t>总价</w:t>
            </w:r>
          </w:p>
        </w:tc>
        <w:tc>
          <w:tcPr>
            <w:tcW w:w="2238" w:type="dxa"/>
            <w:vAlign w:val="center"/>
          </w:tcPr>
          <w:p w14:paraId="50EBBBE5">
            <w:pPr>
              <w:widowControl/>
              <w:jc w:val="center"/>
              <w:rPr>
                <w:b/>
                <w:bCs/>
                <w:color w:val="auto"/>
                <w:kern w:val="0"/>
                <w:sz w:val="24"/>
                <w:szCs w:val="24"/>
                <w:highlight w:val="none"/>
              </w:rPr>
            </w:pPr>
            <w:r>
              <w:rPr>
                <w:b/>
                <w:bCs/>
                <w:color w:val="auto"/>
                <w:kern w:val="0"/>
                <w:sz w:val="24"/>
                <w:szCs w:val="24"/>
                <w:highlight w:val="none"/>
              </w:rPr>
              <w:t>数量</w:t>
            </w:r>
          </w:p>
        </w:tc>
        <w:tc>
          <w:tcPr>
            <w:tcW w:w="1848" w:type="dxa"/>
            <w:vAlign w:val="center"/>
          </w:tcPr>
          <w:p w14:paraId="456C13A1">
            <w:pPr>
              <w:widowControl/>
              <w:jc w:val="center"/>
              <w:rPr>
                <w:b/>
                <w:bCs/>
                <w:color w:val="auto"/>
                <w:kern w:val="0"/>
                <w:sz w:val="24"/>
                <w:szCs w:val="24"/>
                <w:highlight w:val="none"/>
              </w:rPr>
            </w:pPr>
            <w:r>
              <w:rPr>
                <w:b/>
                <w:bCs/>
                <w:color w:val="auto"/>
                <w:kern w:val="0"/>
                <w:sz w:val="24"/>
                <w:szCs w:val="24"/>
                <w:highlight w:val="none"/>
              </w:rPr>
              <w:t>备注</w:t>
            </w:r>
          </w:p>
        </w:tc>
      </w:tr>
      <w:tr w14:paraId="671F5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878" w:type="dxa"/>
            <w:vAlign w:val="center"/>
          </w:tcPr>
          <w:p w14:paraId="738544B7">
            <w:pPr>
              <w:widowControl/>
              <w:jc w:val="center"/>
              <w:rPr>
                <w:color w:val="auto"/>
                <w:kern w:val="0"/>
                <w:sz w:val="24"/>
                <w:szCs w:val="24"/>
                <w:highlight w:val="none"/>
              </w:rPr>
            </w:pPr>
            <w:r>
              <w:rPr>
                <w:color w:val="auto"/>
                <w:kern w:val="0"/>
                <w:sz w:val="24"/>
                <w:szCs w:val="24"/>
                <w:highlight w:val="none"/>
              </w:rPr>
              <w:t>1</w:t>
            </w:r>
          </w:p>
        </w:tc>
        <w:tc>
          <w:tcPr>
            <w:tcW w:w="2349" w:type="dxa"/>
            <w:vAlign w:val="center"/>
          </w:tcPr>
          <w:p w14:paraId="637FD62E">
            <w:pPr>
              <w:widowControl/>
              <w:jc w:val="center"/>
              <w:rPr>
                <w:color w:val="auto"/>
                <w:kern w:val="0"/>
                <w:sz w:val="24"/>
                <w:szCs w:val="24"/>
                <w:highlight w:val="none"/>
              </w:rPr>
            </w:pPr>
          </w:p>
        </w:tc>
        <w:tc>
          <w:tcPr>
            <w:tcW w:w="1701" w:type="dxa"/>
            <w:vAlign w:val="center"/>
          </w:tcPr>
          <w:p w14:paraId="6996F3C6">
            <w:pPr>
              <w:widowControl/>
              <w:jc w:val="center"/>
              <w:rPr>
                <w:color w:val="auto"/>
                <w:kern w:val="0"/>
                <w:sz w:val="24"/>
                <w:szCs w:val="24"/>
                <w:highlight w:val="none"/>
              </w:rPr>
            </w:pPr>
          </w:p>
        </w:tc>
        <w:tc>
          <w:tcPr>
            <w:tcW w:w="2238" w:type="dxa"/>
            <w:vAlign w:val="center"/>
          </w:tcPr>
          <w:p w14:paraId="31393843">
            <w:pPr>
              <w:widowControl/>
              <w:jc w:val="center"/>
              <w:rPr>
                <w:color w:val="auto"/>
                <w:sz w:val="24"/>
                <w:szCs w:val="24"/>
                <w:highlight w:val="none"/>
              </w:rPr>
            </w:pPr>
            <w:r>
              <w:rPr>
                <w:color w:val="auto"/>
                <w:sz w:val="24"/>
                <w:szCs w:val="24"/>
                <w:highlight w:val="none"/>
              </w:rPr>
              <w:t>1项</w:t>
            </w:r>
          </w:p>
        </w:tc>
        <w:tc>
          <w:tcPr>
            <w:tcW w:w="1848" w:type="dxa"/>
            <w:vAlign w:val="center"/>
          </w:tcPr>
          <w:p w14:paraId="6E010F78">
            <w:pPr>
              <w:widowControl/>
              <w:jc w:val="center"/>
              <w:rPr>
                <w:color w:val="auto"/>
                <w:sz w:val="24"/>
                <w:szCs w:val="24"/>
                <w:highlight w:val="none"/>
              </w:rPr>
            </w:pPr>
          </w:p>
        </w:tc>
      </w:tr>
      <w:tr w14:paraId="68970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9014" w:type="dxa"/>
            <w:gridSpan w:val="5"/>
            <w:vAlign w:val="center"/>
          </w:tcPr>
          <w:p w14:paraId="55C0C1ED">
            <w:pPr>
              <w:widowControl/>
              <w:jc w:val="left"/>
              <w:rPr>
                <w:color w:val="auto"/>
                <w:kern w:val="0"/>
                <w:sz w:val="24"/>
                <w:szCs w:val="24"/>
                <w:highlight w:val="none"/>
              </w:rPr>
            </w:pPr>
            <w:r>
              <w:rPr>
                <w:color w:val="auto"/>
                <w:kern w:val="0"/>
                <w:sz w:val="24"/>
                <w:szCs w:val="24"/>
                <w:highlight w:val="none"/>
              </w:rPr>
              <w:t>其中</w:t>
            </w:r>
          </w:p>
        </w:tc>
      </w:tr>
      <w:tr w14:paraId="0C451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41DC81BA">
            <w:pPr>
              <w:widowControl/>
              <w:jc w:val="left"/>
              <w:rPr>
                <w:b/>
                <w:color w:val="auto"/>
                <w:sz w:val="24"/>
                <w:szCs w:val="24"/>
                <w:highlight w:val="none"/>
              </w:rPr>
            </w:pPr>
            <w:r>
              <w:rPr>
                <w:b/>
                <w:color w:val="auto"/>
                <w:sz w:val="24"/>
                <w:szCs w:val="24"/>
                <w:highlight w:val="none"/>
              </w:rPr>
              <w:t>分项名称</w:t>
            </w:r>
          </w:p>
        </w:tc>
        <w:tc>
          <w:tcPr>
            <w:tcW w:w="1701" w:type="dxa"/>
            <w:vAlign w:val="center"/>
          </w:tcPr>
          <w:p w14:paraId="420A89C9">
            <w:pPr>
              <w:widowControl/>
              <w:jc w:val="center"/>
              <w:rPr>
                <w:b/>
                <w:color w:val="auto"/>
                <w:kern w:val="0"/>
                <w:sz w:val="24"/>
                <w:szCs w:val="24"/>
                <w:highlight w:val="none"/>
              </w:rPr>
            </w:pPr>
            <w:r>
              <w:rPr>
                <w:b/>
                <w:color w:val="auto"/>
                <w:kern w:val="0"/>
                <w:sz w:val="24"/>
                <w:szCs w:val="24"/>
                <w:highlight w:val="none"/>
              </w:rPr>
              <w:t>价格</w:t>
            </w:r>
          </w:p>
        </w:tc>
        <w:tc>
          <w:tcPr>
            <w:tcW w:w="2238" w:type="dxa"/>
            <w:vAlign w:val="center"/>
          </w:tcPr>
          <w:p w14:paraId="5D8F1838">
            <w:pPr>
              <w:widowControl/>
              <w:jc w:val="center"/>
              <w:rPr>
                <w:b/>
                <w:color w:val="auto"/>
                <w:kern w:val="0"/>
                <w:sz w:val="24"/>
                <w:szCs w:val="24"/>
                <w:highlight w:val="none"/>
              </w:rPr>
            </w:pPr>
            <w:r>
              <w:rPr>
                <w:b/>
                <w:color w:val="auto"/>
                <w:kern w:val="0"/>
                <w:sz w:val="24"/>
                <w:szCs w:val="24"/>
                <w:highlight w:val="none"/>
              </w:rPr>
              <w:t>数量</w:t>
            </w:r>
          </w:p>
        </w:tc>
        <w:tc>
          <w:tcPr>
            <w:tcW w:w="1848" w:type="dxa"/>
            <w:vAlign w:val="center"/>
          </w:tcPr>
          <w:p w14:paraId="0460B977">
            <w:pPr>
              <w:widowControl/>
              <w:jc w:val="center"/>
              <w:rPr>
                <w:b/>
                <w:bCs/>
                <w:color w:val="auto"/>
                <w:kern w:val="0"/>
                <w:sz w:val="24"/>
                <w:szCs w:val="24"/>
                <w:highlight w:val="none"/>
              </w:rPr>
            </w:pPr>
            <w:r>
              <w:rPr>
                <w:b/>
                <w:bCs/>
                <w:color w:val="auto"/>
                <w:kern w:val="0"/>
                <w:sz w:val="24"/>
                <w:szCs w:val="24"/>
                <w:highlight w:val="none"/>
              </w:rPr>
              <w:t>备注</w:t>
            </w:r>
          </w:p>
        </w:tc>
      </w:tr>
      <w:tr w14:paraId="4A337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3C167297">
            <w:pPr>
              <w:widowControl/>
              <w:jc w:val="left"/>
              <w:rPr>
                <w:color w:val="auto"/>
                <w:kern w:val="0"/>
                <w:sz w:val="24"/>
                <w:szCs w:val="24"/>
                <w:highlight w:val="none"/>
              </w:rPr>
            </w:pPr>
          </w:p>
        </w:tc>
        <w:tc>
          <w:tcPr>
            <w:tcW w:w="1701" w:type="dxa"/>
            <w:vAlign w:val="center"/>
          </w:tcPr>
          <w:p w14:paraId="4674A51D">
            <w:pPr>
              <w:widowControl/>
              <w:jc w:val="center"/>
              <w:rPr>
                <w:color w:val="auto"/>
                <w:kern w:val="0"/>
                <w:sz w:val="24"/>
                <w:szCs w:val="24"/>
                <w:highlight w:val="none"/>
              </w:rPr>
            </w:pPr>
          </w:p>
        </w:tc>
        <w:tc>
          <w:tcPr>
            <w:tcW w:w="2238" w:type="dxa"/>
            <w:vAlign w:val="center"/>
          </w:tcPr>
          <w:p w14:paraId="43456AF9">
            <w:pPr>
              <w:widowControl/>
              <w:jc w:val="center"/>
              <w:rPr>
                <w:color w:val="auto"/>
                <w:kern w:val="0"/>
                <w:sz w:val="24"/>
                <w:szCs w:val="24"/>
                <w:highlight w:val="none"/>
              </w:rPr>
            </w:pPr>
          </w:p>
        </w:tc>
        <w:tc>
          <w:tcPr>
            <w:tcW w:w="1848" w:type="dxa"/>
            <w:vAlign w:val="center"/>
          </w:tcPr>
          <w:p w14:paraId="7EFCCCF6">
            <w:pPr>
              <w:widowControl/>
              <w:jc w:val="center"/>
              <w:rPr>
                <w:color w:val="auto"/>
                <w:sz w:val="24"/>
                <w:szCs w:val="24"/>
                <w:highlight w:val="none"/>
              </w:rPr>
            </w:pPr>
          </w:p>
        </w:tc>
      </w:tr>
      <w:tr w14:paraId="1A840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3EE9F4EF">
            <w:pPr>
              <w:widowControl/>
              <w:jc w:val="left"/>
              <w:rPr>
                <w:color w:val="auto"/>
                <w:kern w:val="0"/>
                <w:sz w:val="24"/>
                <w:szCs w:val="24"/>
                <w:highlight w:val="none"/>
              </w:rPr>
            </w:pPr>
          </w:p>
        </w:tc>
        <w:tc>
          <w:tcPr>
            <w:tcW w:w="1701" w:type="dxa"/>
            <w:vAlign w:val="center"/>
          </w:tcPr>
          <w:p w14:paraId="15D85348">
            <w:pPr>
              <w:widowControl/>
              <w:jc w:val="center"/>
              <w:rPr>
                <w:color w:val="auto"/>
                <w:kern w:val="0"/>
                <w:sz w:val="24"/>
                <w:szCs w:val="24"/>
                <w:highlight w:val="none"/>
              </w:rPr>
            </w:pPr>
          </w:p>
        </w:tc>
        <w:tc>
          <w:tcPr>
            <w:tcW w:w="2238" w:type="dxa"/>
            <w:vAlign w:val="center"/>
          </w:tcPr>
          <w:p w14:paraId="2974A052">
            <w:pPr>
              <w:widowControl/>
              <w:jc w:val="center"/>
              <w:rPr>
                <w:color w:val="auto"/>
                <w:kern w:val="0"/>
                <w:sz w:val="24"/>
                <w:szCs w:val="24"/>
                <w:highlight w:val="none"/>
              </w:rPr>
            </w:pPr>
          </w:p>
        </w:tc>
        <w:tc>
          <w:tcPr>
            <w:tcW w:w="1848" w:type="dxa"/>
            <w:vAlign w:val="center"/>
          </w:tcPr>
          <w:p w14:paraId="0E989637">
            <w:pPr>
              <w:widowControl/>
              <w:jc w:val="center"/>
              <w:rPr>
                <w:color w:val="auto"/>
                <w:sz w:val="24"/>
                <w:szCs w:val="24"/>
                <w:highlight w:val="none"/>
              </w:rPr>
            </w:pPr>
          </w:p>
        </w:tc>
      </w:tr>
      <w:tr w14:paraId="2DF59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05BED992">
            <w:pPr>
              <w:widowControl/>
              <w:jc w:val="left"/>
              <w:rPr>
                <w:color w:val="auto"/>
                <w:kern w:val="0"/>
                <w:sz w:val="24"/>
                <w:szCs w:val="24"/>
                <w:highlight w:val="none"/>
              </w:rPr>
            </w:pPr>
          </w:p>
        </w:tc>
        <w:tc>
          <w:tcPr>
            <w:tcW w:w="1701" w:type="dxa"/>
            <w:vAlign w:val="center"/>
          </w:tcPr>
          <w:p w14:paraId="73B3D249">
            <w:pPr>
              <w:widowControl/>
              <w:jc w:val="center"/>
              <w:rPr>
                <w:color w:val="auto"/>
                <w:kern w:val="0"/>
                <w:sz w:val="24"/>
                <w:szCs w:val="24"/>
                <w:highlight w:val="none"/>
              </w:rPr>
            </w:pPr>
          </w:p>
        </w:tc>
        <w:tc>
          <w:tcPr>
            <w:tcW w:w="2238" w:type="dxa"/>
            <w:vAlign w:val="center"/>
          </w:tcPr>
          <w:p w14:paraId="2AFB8BB7">
            <w:pPr>
              <w:widowControl/>
              <w:jc w:val="center"/>
              <w:rPr>
                <w:color w:val="auto"/>
                <w:kern w:val="0"/>
                <w:sz w:val="24"/>
                <w:szCs w:val="24"/>
                <w:highlight w:val="none"/>
              </w:rPr>
            </w:pPr>
          </w:p>
        </w:tc>
        <w:tc>
          <w:tcPr>
            <w:tcW w:w="1848" w:type="dxa"/>
            <w:vAlign w:val="center"/>
          </w:tcPr>
          <w:p w14:paraId="7B8FC838">
            <w:pPr>
              <w:widowControl/>
              <w:jc w:val="center"/>
              <w:rPr>
                <w:color w:val="auto"/>
                <w:sz w:val="24"/>
                <w:szCs w:val="24"/>
                <w:highlight w:val="none"/>
              </w:rPr>
            </w:pPr>
          </w:p>
        </w:tc>
      </w:tr>
      <w:tr w14:paraId="6975E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480E2CF6">
            <w:pPr>
              <w:widowControl/>
              <w:jc w:val="left"/>
              <w:rPr>
                <w:color w:val="auto"/>
                <w:kern w:val="0"/>
                <w:sz w:val="24"/>
                <w:szCs w:val="24"/>
                <w:highlight w:val="none"/>
              </w:rPr>
            </w:pPr>
          </w:p>
        </w:tc>
        <w:tc>
          <w:tcPr>
            <w:tcW w:w="1701" w:type="dxa"/>
            <w:vAlign w:val="center"/>
          </w:tcPr>
          <w:p w14:paraId="2A3E33FD">
            <w:pPr>
              <w:widowControl/>
              <w:jc w:val="center"/>
              <w:rPr>
                <w:color w:val="auto"/>
                <w:kern w:val="0"/>
                <w:sz w:val="24"/>
                <w:szCs w:val="24"/>
                <w:highlight w:val="none"/>
              </w:rPr>
            </w:pPr>
          </w:p>
        </w:tc>
        <w:tc>
          <w:tcPr>
            <w:tcW w:w="2238" w:type="dxa"/>
            <w:vAlign w:val="center"/>
          </w:tcPr>
          <w:p w14:paraId="57BCD18F">
            <w:pPr>
              <w:widowControl/>
              <w:jc w:val="center"/>
              <w:rPr>
                <w:color w:val="auto"/>
                <w:kern w:val="0"/>
                <w:sz w:val="24"/>
                <w:szCs w:val="24"/>
                <w:highlight w:val="none"/>
              </w:rPr>
            </w:pPr>
          </w:p>
        </w:tc>
        <w:tc>
          <w:tcPr>
            <w:tcW w:w="1848" w:type="dxa"/>
            <w:vAlign w:val="center"/>
          </w:tcPr>
          <w:p w14:paraId="7D6C86CB">
            <w:pPr>
              <w:widowControl/>
              <w:jc w:val="center"/>
              <w:rPr>
                <w:color w:val="auto"/>
                <w:sz w:val="24"/>
                <w:szCs w:val="24"/>
                <w:highlight w:val="none"/>
              </w:rPr>
            </w:pPr>
          </w:p>
        </w:tc>
      </w:tr>
      <w:tr w14:paraId="28EE9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445F0A88">
            <w:pPr>
              <w:widowControl/>
              <w:jc w:val="left"/>
              <w:rPr>
                <w:color w:val="auto"/>
                <w:sz w:val="24"/>
                <w:highlight w:val="none"/>
              </w:rPr>
            </w:pPr>
          </w:p>
        </w:tc>
        <w:tc>
          <w:tcPr>
            <w:tcW w:w="1701" w:type="dxa"/>
            <w:vAlign w:val="center"/>
          </w:tcPr>
          <w:p w14:paraId="1AAF8C8C">
            <w:pPr>
              <w:widowControl/>
              <w:jc w:val="center"/>
              <w:rPr>
                <w:color w:val="auto"/>
                <w:kern w:val="0"/>
                <w:sz w:val="24"/>
                <w:szCs w:val="24"/>
                <w:highlight w:val="none"/>
              </w:rPr>
            </w:pPr>
          </w:p>
        </w:tc>
        <w:tc>
          <w:tcPr>
            <w:tcW w:w="2238" w:type="dxa"/>
            <w:vAlign w:val="center"/>
          </w:tcPr>
          <w:p w14:paraId="4D362036">
            <w:pPr>
              <w:widowControl/>
              <w:jc w:val="center"/>
              <w:rPr>
                <w:color w:val="auto"/>
                <w:kern w:val="0"/>
                <w:sz w:val="24"/>
                <w:szCs w:val="24"/>
                <w:highlight w:val="none"/>
              </w:rPr>
            </w:pPr>
          </w:p>
        </w:tc>
        <w:tc>
          <w:tcPr>
            <w:tcW w:w="1848" w:type="dxa"/>
            <w:vAlign w:val="center"/>
          </w:tcPr>
          <w:p w14:paraId="05E2EA3F">
            <w:pPr>
              <w:widowControl/>
              <w:jc w:val="center"/>
              <w:rPr>
                <w:color w:val="auto"/>
                <w:kern w:val="0"/>
                <w:sz w:val="24"/>
                <w:szCs w:val="24"/>
                <w:highlight w:val="none"/>
              </w:rPr>
            </w:pPr>
          </w:p>
        </w:tc>
      </w:tr>
      <w:tr w14:paraId="505EA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71959D58">
            <w:pPr>
              <w:widowControl/>
              <w:jc w:val="left"/>
              <w:rPr>
                <w:color w:val="auto"/>
                <w:sz w:val="24"/>
                <w:highlight w:val="none"/>
              </w:rPr>
            </w:pPr>
          </w:p>
        </w:tc>
        <w:tc>
          <w:tcPr>
            <w:tcW w:w="1701" w:type="dxa"/>
            <w:vAlign w:val="center"/>
          </w:tcPr>
          <w:p w14:paraId="31286D82">
            <w:pPr>
              <w:widowControl/>
              <w:jc w:val="center"/>
              <w:rPr>
                <w:color w:val="auto"/>
                <w:kern w:val="0"/>
                <w:sz w:val="24"/>
                <w:szCs w:val="24"/>
                <w:highlight w:val="none"/>
              </w:rPr>
            </w:pPr>
          </w:p>
        </w:tc>
        <w:tc>
          <w:tcPr>
            <w:tcW w:w="2238" w:type="dxa"/>
            <w:vAlign w:val="center"/>
          </w:tcPr>
          <w:p w14:paraId="0C04328C">
            <w:pPr>
              <w:widowControl/>
              <w:jc w:val="center"/>
              <w:rPr>
                <w:color w:val="auto"/>
                <w:kern w:val="0"/>
                <w:sz w:val="24"/>
                <w:szCs w:val="24"/>
                <w:highlight w:val="none"/>
              </w:rPr>
            </w:pPr>
          </w:p>
        </w:tc>
        <w:tc>
          <w:tcPr>
            <w:tcW w:w="1848" w:type="dxa"/>
            <w:vAlign w:val="center"/>
          </w:tcPr>
          <w:p w14:paraId="0F6D2CE2">
            <w:pPr>
              <w:widowControl/>
              <w:jc w:val="center"/>
              <w:rPr>
                <w:color w:val="auto"/>
                <w:kern w:val="0"/>
                <w:sz w:val="24"/>
                <w:szCs w:val="24"/>
                <w:highlight w:val="none"/>
              </w:rPr>
            </w:pPr>
          </w:p>
        </w:tc>
      </w:tr>
      <w:tr w14:paraId="1FF44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0AFDFF53">
            <w:pPr>
              <w:widowControl/>
              <w:jc w:val="center"/>
              <w:rPr>
                <w:color w:val="auto"/>
                <w:sz w:val="24"/>
                <w:highlight w:val="none"/>
              </w:rPr>
            </w:pPr>
          </w:p>
        </w:tc>
        <w:tc>
          <w:tcPr>
            <w:tcW w:w="1701" w:type="dxa"/>
            <w:vAlign w:val="center"/>
          </w:tcPr>
          <w:p w14:paraId="79589849">
            <w:pPr>
              <w:widowControl/>
              <w:jc w:val="center"/>
              <w:rPr>
                <w:color w:val="auto"/>
                <w:kern w:val="0"/>
                <w:sz w:val="24"/>
                <w:szCs w:val="24"/>
                <w:highlight w:val="none"/>
              </w:rPr>
            </w:pPr>
          </w:p>
        </w:tc>
        <w:tc>
          <w:tcPr>
            <w:tcW w:w="2238" w:type="dxa"/>
            <w:vAlign w:val="center"/>
          </w:tcPr>
          <w:p w14:paraId="68C3DC11">
            <w:pPr>
              <w:widowControl/>
              <w:jc w:val="center"/>
              <w:rPr>
                <w:color w:val="auto"/>
                <w:kern w:val="0"/>
                <w:sz w:val="24"/>
                <w:szCs w:val="24"/>
                <w:highlight w:val="none"/>
              </w:rPr>
            </w:pPr>
          </w:p>
        </w:tc>
        <w:tc>
          <w:tcPr>
            <w:tcW w:w="1848" w:type="dxa"/>
            <w:vAlign w:val="center"/>
          </w:tcPr>
          <w:p w14:paraId="58BC9038">
            <w:pPr>
              <w:widowControl/>
              <w:jc w:val="center"/>
              <w:rPr>
                <w:color w:val="auto"/>
                <w:kern w:val="0"/>
                <w:sz w:val="24"/>
                <w:szCs w:val="24"/>
                <w:highlight w:val="none"/>
              </w:rPr>
            </w:pPr>
          </w:p>
        </w:tc>
      </w:tr>
    </w:tbl>
    <w:p w14:paraId="60630DDD">
      <w:pPr>
        <w:ind w:left="180"/>
        <w:rPr>
          <w:color w:val="auto"/>
          <w:sz w:val="22"/>
          <w:szCs w:val="24"/>
          <w:highlight w:val="none"/>
        </w:rPr>
      </w:pPr>
      <w:r>
        <w:rPr>
          <w:color w:val="auto"/>
          <w:sz w:val="22"/>
          <w:szCs w:val="24"/>
          <w:highlight w:val="none"/>
        </w:rPr>
        <w:t>注：1. 本表第一行填写本项目投标总价，须与附件</w:t>
      </w:r>
      <w:r>
        <w:rPr>
          <w:rFonts w:hint="eastAsia"/>
          <w:color w:val="auto"/>
          <w:sz w:val="22"/>
          <w:szCs w:val="24"/>
          <w:highlight w:val="none"/>
        </w:rPr>
        <w:t>3</w:t>
      </w:r>
      <w:r>
        <w:rPr>
          <w:color w:val="auto"/>
          <w:sz w:val="22"/>
          <w:szCs w:val="24"/>
          <w:highlight w:val="none"/>
        </w:rPr>
        <w:t>中投标总价保持一致。</w:t>
      </w:r>
    </w:p>
    <w:p w14:paraId="316E3CA1">
      <w:pPr>
        <w:ind w:left="180" w:firstLine="408" w:firstLineChars="200"/>
        <w:rPr>
          <w:color w:val="auto"/>
          <w:highlight w:val="none"/>
        </w:rPr>
      </w:pPr>
      <w:r>
        <w:rPr>
          <w:color w:val="auto"/>
          <w:sz w:val="22"/>
          <w:szCs w:val="24"/>
          <w:highlight w:val="none"/>
        </w:rPr>
        <w:t>2. 下面应填写分项价格及分项名称（分项名称可根据实际情况增减、修改），分项价格汇总应等于总价。</w:t>
      </w:r>
    </w:p>
    <w:p w14:paraId="37874AF9">
      <w:pPr>
        <w:spacing w:line="360" w:lineRule="auto"/>
        <w:ind w:firstLine="3808" w:firstLineChars="1700"/>
        <w:rPr>
          <w:color w:val="auto"/>
          <w:sz w:val="24"/>
          <w:highlight w:val="none"/>
        </w:rPr>
      </w:pPr>
      <w:r>
        <w:rPr>
          <w:color w:val="auto"/>
          <w:sz w:val="24"/>
          <w:highlight w:val="none"/>
        </w:rPr>
        <w:t>投标人名称：</w:t>
      </w:r>
    </w:p>
    <w:p w14:paraId="79458AD2">
      <w:pPr>
        <w:spacing w:line="360" w:lineRule="auto"/>
        <w:ind w:firstLine="3808" w:firstLineChars="1700"/>
        <w:rPr>
          <w:color w:val="auto"/>
          <w:sz w:val="24"/>
          <w:highlight w:val="none"/>
        </w:rPr>
      </w:pPr>
    </w:p>
    <w:p w14:paraId="543CD8E5">
      <w:pPr>
        <w:spacing w:line="360" w:lineRule="auto"/>
        <w:ind w:firstLine="3808" w:firstLineChars="1700"/>
        <w:rPr>
          <w:color w:val="auto"/>
          <w:sz w:val="24"/>
          <w:highlight w:val="none"/>
        </w:rPr>
      </w:pPr>
      <w:r>
        <w:rPr>
          <w:color w:val="auto"/>
          <w:sz w:val="24"/>
          <w:highlight w:val="none"/>
        </w:rPr>
        <w:t>日期：</w:t>
      </w:r>
      <w:r>
        <w:rPr>
          <w:color w:val="auto"/>
          <w:sz w:val="24"/>
          <w:highlight w:val="none"/>
          <w:u w:val="single"/>
        </w:rPr>
        <w:t xml:space="preserve">     </w:t>
      </w:r>
      <w:r>
        <w:rPr>
          <w:color w:val="auto"/>
          <w:sz w:val="24"/>
          <w:highlight w:val="none"/>
        </w:rPr>
        <w:t>年</w:t>
      </w:r>
      <w:r>
        <w:rPr>
          <w:color w:val="auto"/>
          <w:sz w:val="24"/>
          <w:highlight w:val="none"/>
          <w:u w:val="single"/>
        </w:rPr>
        <w:t xml:space="preserve">    </w:t>
      </w:r>
      <w:r>
        <w:rPr>
          <w:color w:val="auto"/>
          <w:sz w:val="24"/>
          <w:highlight w:val="none"/>
        </w:rPr>
        <w:t>月</w:t>
      </w:r>
      <w:r>
        <w:rPr>
          <w:color w:val="auto"/>
          <w:sz w:val="24"/>
          <w:highlight w:val="none"/>
          <w:u w:val="single"/>
        </w:rPr>
        <w:t xml:space="preserve">    </w:t>
      </w:r>
      <w:r>
        <w:rPr>
          <w:color w:val="auto"/>
          <w:sz w:val="24"/>
          <w:highlight w:val="none"/>
        </w:rPr>
        <w:t>日</w:t>
      </w:r>
    </w:p>
    <w:p w14:paraId="3DB8D211">
      <w:pPr>
        <w:widowControl/>
        <w:jc w:val="left"/>
        <w:rPr>
          <w:color w:val="auto"/>
          <w:sz w:val="24"/>
          <w:highlight w:val="none"/>
        </w:rPr>
      </w:pPr>
      <w:r>
        <w:rPr>
          <w:color w:val="auto"/>
          <w:sz w:val="24"/>
          <w:highlight w:val="none"/>
        </w:rPr>
        <w:br w:type="page"/>
      </w:r>
    </w:p>
    <w:p w14:paraId="02832174">
      <w:pPr>
        <w:tabs>
          <w:tab w:val="left" w:pos="360"/>
        </w:tabs>
        <w:spacing w:line="360" w:lineRule="auto"/>
        <w:rPr>
          <w:b/>
          <w:color w:val="auto"/>
          <w:sz w:val="24"/>
          <w:highlight w:val="none"/>
        </w:rPr>
      </w:pPr>
      <w:r>
        <w:rPr>
          <w:b/>
          <w:color w:val="auto"/>
          <w:sz w:val="24"/>
          <w:highlight w:val="none"/>
        </w:rPr>
        <w:t>附件</w:t>
      </w:r>
      <w:r>
        <w:rPr>
          <w:rFonts w:hint="eastAsia"/>
          <w:b/>
          <w:color w:val="auto"/>
          <w:sz w:val="24"/>
          <w:highlight w:val="none"/>
        </w:rPr>
        <w:t>5</w:t>
      </w:r>
    </w:p>
    <w:p w14:paraId="110D63D6">
      <w:pPr>
        <w:autoSpaceDN w:val="0"/>
        <w:spacing w:line="360" w:lineRule="auto"/>
        <w:jc w:val="center"/>
        <w:rPr>
          <w:b/>
          <w:bCs/>
          <w:color w:val="auto"/>
          <w:sz w:val="24"/>
          <w:highlight w:val="none"/>
        </w:rPr>
      </w:pPr>
      <w:r>
        <w:rPr>
          <w:b/>
          <w:bCs/>
          <w:color w:val="auto"/>
          <w:sz w:val="24"/>
          <w:highlight w:val="none"/>
        </w:rPr>
        <w:t>商务要求点对点应答表</w:t>
      </w:r>
    </w:p>
    <w:p w14:paraId="7C9ADBF2">
      <w:pPr>
        <w:spacing w:line="460" w:lineRule="exact"/>
        <w:rPr>
          <w:color w:val="auto"/>
          <w:sz w:val="24"/>
          <w:highlight w:val="none"/>
        </w:rPr>
      </w:pPr>
    </w:p>
    <w:p w14:paraId="6AFA626B">
      <w:pPr>
        <w:spacing w:line="460" w:lineRule="exact"/>
        <w:rPr>
          <w:color w:val="auto"/>
          <w:sz w:val="24"/>
          <w:highlight w:val="none"/>
        </w:rPr>
      </w:pPr>
      <w:r>
        <w:rPr>
          <w:color w:val="auto"/>
          <w:sz w:val="24"/>
          <w:highlight w:val="none"/>
        </w:rPr>
        <w:t>项目名称：</w:t>
      </w:r>
      <w:r>
        <w:rPr>
          <w:color w:val="auto"/>
          <w:sz w:val="24"/>
          <w:highlight w:val="none"/>
          <w:u w:val="single"/>
        </w:rPr>
        <w:t xml:space="preserve">                    </w:t>
      </w:r>
    </w:p>
    <w:p w14:paraId="404229D2">
      <w:pPr>
        <w:spacing w:line="460" w:lineRule="exact"/>
        <w:rPr>
          <w:color w:val="auto"/>
          <w:sz w:val="24"/>
          <w:highlight w:val="none"/>
        </w:rPr>
      </w:pPr>
      <w:r>
        <w:rPr>
          <w:color w:val="auto"/>
          <w:sz w:val="24"/>
          <w:highlight w:val="none"/>
        </w:rPr>
        <w:t>项目编号：</w:t>
      </w:r>
      <w:r>
        <w:rPr>
          <w:color w:val="auto"/>
          <w:sz w:val="24"/>
          <w:highlight w:val="none"/>
          <w:u w:val="single"/>
        </w:rPr>
        <w:t xml:space="preserve">                    </w:t>
      </w:r>
    </w:p>
    <w:p w14:paraId="36E2A741">
      <w:pPr>
        <w:spacing w:line="460" w:lineRule="exact"/>
        <w:rPr>
          <w:color w:val="auto"/>
          <w:sz w:val="24"/>
          <w:highlight w:val="none"/>
          <w:u w:val="single"/>
        </w:rPr>
      </w:pPr>
      <w:r>
        <w:rPr>
          <w:color w:val="auto"/>
          <w:sz w:val="24"/>
          <w:highlight w:val="none"/>
        </w:rPr>
        <w:t>包号：</w:t>
      </w:r>
      <w:r>
        <w:rPr>
          <w:color w:val="auto"/>
          <w:sz w:val="24"/>
          <w:highlight w:val="none"/>
          <w:u w:val="single"/>
        </w:rPr>
        <w:t xml:space="preserve">                        </w:t>
      </w:r>
    </w:p>
    <w:p w14:paraId="0EA6F44F">
      <w:pPr>
        <w:spacing w:line="460" w:lineRule="exact"/>
        <w:rPr>
          <w:color w:val="auto"/>
          <w:sz w:val="24"/>
          <w:highlight w:val="none"/>
          <w:u w:val="single"/>
        </w:rPr>
      </w:pPr>
    </w:p>
    <w:tbl>
      <w:tblPr>
        <w:tblStyle w:val="23"/>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5"/>
        <w:gridCol w:w="2231"/>
        <w:gridCol w:w="2551"/>
        <w:gridCol w:w="1135"/>
        <w:gridCol w:w="1133"/>
      </w:tblGrid>
      <w:tr w14:paraId="25B97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trPr>
        <w:tc>
          <w:tcPr>
            <w:tcW w:w="1705" w:type="dxa"/>
            <w:shd w:val="clear" w:color="auto" w:fill="auto"/>
            <w:vAlign w:val="center"/>
          </w:tcPr>
          <w:p w14:paraId="6F92C067">
            <w:pPr>
              <w:widowControl/>
              <w:jc w:val="center"/>
              <w:rPr>
                <w:color w:val="auto"/>
                <w:kern w:val="0"/>
                <w:szCs w:val="21"/>
                <w:highlight w:val="none"/>
              </w:rPr>
            </w:pPr>
            <w:r>
              <w:rPr>
                <w:color w:val="auto"/>
                <w:kern w:val="0"/>
                <w:szCs w:val="21"/>
                <w:highlight w:val="none"/>
              </w:rPr>
              <w:t>序号</w:t>
            </w:r>
          </w:p>
        </w:tc>
        <w:tc>
          <w:tcPr>
            <w:tcW w:w="2231" w:type="dxa"/>
            <w:shd w:val="clear" w:color="auto" w:fill="auto"/>
            <w:vAlign w:val="center"/>
          </w:tcPr>
          <w:p w14:paraId="48F4BF82">
            <w:pPr>
              <w:widowControl/>
              <w:jc w:val="center"/>
              <w:rPr>
                <w:color w:val="auto"/>
                <w:kern w:val="0"/>
                <w:szCs w:val="21"/>
                <w:highlight w:val="none"/>
              </w:rPr>
            </w:pPr>
            <w:r>
              <w:rPr>
                <w:color w:val="auto"/>
                <w:kern w:val="0"/>
                <w:szCs w:val="21"/>
                <w:highlight w:val="none"/>
              </w:rPr>
              <w:t>招标要求</w:t>
            </w:r>
          </w:p>
        </w:tc>
        <w:tc>
          <w:tcPr>
            <w:tcW w:w="2551" w:type="dxa"/>
            <w:shd w:val="clear" w:color="auto" w:fill="auto"/>
            <w:vAlign w:val="center"/>
          </w:tcPr>
          <w:p w14:paraId="3A359070">
            <w:pPr>
              <w:widowControl/>
              <w:jc w:val="center"/>
              <w:rPr>
                <w:color w:val="auto"/>
                <w:kern w:val="0"/>
                <w:szCs w:val="21"/>
                <w:highlight w:val="none"/>
              </w:rPr>
            </w:pPr>
            <w:r>
              <w:rPr>
                <w:color w:val="auto"/>
                <w:kern w:val="0"/>
                <w:szCs w:val="21"/>
                <w:highlight w:val="none"/>
              </w:rPr>
              <w:t>投标应答</w:t>
            </w:r>
          </w:p>
        </w:tc>
        <w:tc>
          <w:tcPr>
            <w:tcW w:w="1135" w:type="dxa"/>
            <w:shd w:val="clear" w:color="auto" w:fill="auto"/>
            <w:vAlign w:val="center"/>
          </w:tcPr>
          <w:p w14:paraId="2D4D1CB0">
            <w:pPr>
              <w:widowControl/>
              <w:jc w:val="center"/>
              <w:rPr>
                <w:color w:val="auto"/>
                <w:kern w:val="0"/>
                <w:szCs w:val="21"/>
                <w:highlight w:val="none"/>
              </w:rPr>
            </w:pPr>
            <w:r>
              <w:rPr>
                <w:color w:val="auto"/>
                <w:kern w:val="0"/>
                <w:szCs w:val="21"/>
                <w:highlight w:val="none"/>
              </w:rPr>
              <w:t>偏离说明</w:t>
            </w:r>
          </w:p>
        </w:tc>
        <w:tc>
          <w:tcPr>
            <w:tcW w:w="1133" w:type="dxa"/>
            <w:shd w:val="clear" w:color="auto" w:fill="auto"/>
            <w:vAlign w:val="center"/>
          </w:tcPr>
          <w:p w14:paraId="2A60B434">
            <w:pPr>
              <w:widowControl/>
              <w:jc w:val="center"/>
              <w:rPr>
                <w:color w:val="auto"/>
                <w:kern w:val="0"/>
                <w:szCs w:val="21"/>
                <w:highlight w:val="none"/>
              </w:rPr>
            </w:pPr>
            <w:r>
              <w:rPr>
                <w:color w:val="auto"/>
                <w:kern w:val="0"/>
                <w:szCs w:val="21"/>
                <w:highlight w:val="none"/>
              </w:rPr>
              <w:t>备注</w:t>
            </w:r>
          </w:p>
        </w:tc>
      </w:tr>
      <w:tr w14:paraId="58C6E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55" w:type="dxa"/>
            <w:gridSpan w:val="5"/>
            <w:shd w:val="clear" w:color="auto" w:fill="auto"/>
            <w:vAlign w:val="center"/>
          </w:tcPr>
          <w:p w14:paraId="53B8CFBD">
            <w:pPr>
              <w:widowControl/>
              <w:jc w:val="left"/>
              <w:rPr>
                <w:color w:val="auto"/>
                <w:kern w:val="0"/>
                <w:szCs w:val="21"/>
                <w:highlight w:val="none"/>
              </w:rPr>
            </w:pPr>
            <w:r>
              <w:rPr>
                <w:color w:val="auto"/>
                <w:kern w:val="0"/>
                <w:szCs w:val="21"/>
                <w:highlight w:val="none"/>
              </w:rPr>
              <w:t>（一）报价要求</w:t>
            </w:r>
          </w:p>
        </w:tc>
      </w:tr>
      <w:tr w14:paraId="7D470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 w:hRule="atLeast"/>
        </w:trPr>
        <w:tc>
          <w:tcPr>
            <w:tcW w:w="1705" w:type="dxa"/>
            <w:shd w:val="clear" w:color="auto" w:fill="auto"/>
            <w:vAlign w:val="center"/>
          </w:tcPr>
          <w:p w14:paraId="168F9583">
            <w:pPr>
              <w:widowControl/>
              <w:jc w:val="left"/>
              <w:rPr>
                <w:color w:val="auto"/>
                <w:kern w:val="0"/>
                <w:szCs w:val="21"/>
                <w:highlight w:val="none"/>
              </w:rPr>
            </w:pPr>
            <w:r>
              <w:rPr>
                <w:color w:val="auto"/>
                <w:kern w:val="0"/>
                <w:szCs w:val="21"/>
                <w:highlight w:val="none"/>
              </w:rPr>
              <w:t>　</w:t>
            </w:r>
          </w:p>
        </w:tc>
        <w:tc>
          <w:tcPr>
            <w:tcW w:w="2231" w:type="dxa"/>
            <w:shd w:val="clear" w:color="auto" w:fill="auto"/>
            <w:vAlign w:val="center"/>
          </w:tcPr>
          <w:p w14:paraId="5F2231D0">
            <w:pPr>
              <w:widowControl/>
              <w:jc w:val="left"/>
              <w:rPr>
                <w:color w:val="auto"/>
                <w:kern w:val="0"/>
                <w:szCs w:val="21"/>
                <w:highlight w:val="none"/>
              </w:rPr>
            </w:pPr>
            <w:r>
              <w:rPr>
                <w:color w:val="auto"/>
                <w:kern w:val="0"/>
                <w:szCs w:val="21"/>
                <w:highlight w:val="none"/>
              </w:rPr>
              <w:t>　</w:t>
            </w:r>
          </w:p>
        </w:tc>
        <w:tc>
          <w:tcPr>
            <w:tcW w:w="2551" w:type="dxa"/>
            <w:shd w:val="clear" w:color="auto" w:fill="auto"/>
            <w:vAlign w:val="center"/>
          </w:tcPr>
          <w:p w14:paraId="091721CE">
            <w:pPr>
              <w:widowControl/>
              <w:jc w:val="left"/>
              <w:rPr>
                <w:color w:val="auto"/>
                <w:kern w:val="0"/>
                <w:szCs w:val="21"/>
                <w:highlight w:val="none"/>
              </w:rPr>
            </w:pPr>
            <w:r>
              <w:rPr>
                <w:color w:val="auto"/>
                <w:kern w:val="0"/>
                <w:szCs w:val="21"/>
                <w:highlight w:val="none"/>
              </w:rPr>
              <w:t>　</w:t>
            </w:r>
          </w:p>
        </w:tc>
        <w:tc>
          <w:tcPr>
            <w:tcW w:w="1135" w:type="dxa"/>
            <w:shd w:val="clear" w:color="auto" w:fill="auto"/>
            <w:vAlign w:val="center"/>
          </w:tcPr>
          <w:p w14:paraId="7CD5519E">
            <w:pPr>
              <w:widowControl/>
              <w:jc w:val="left"/>
              <w:rPr>
                <w:color w:val="auto"/>
                <w:kern w:val="0"/>
                <w:szCs w:val="21"/>
                <w:highlight w:val="none"/>
              </w:rPr>
            </w:pPr>
            <w:r>
              <w:rPr>
                <w:color w:val="auto"/>
                <w:kern w:val="0"/>
                <w:szCs w:val="21"/>
                <w:highlight w:val="none"/>
              </w:rPr>
              <w:t>　</w:t>
            </w:r>
          </w:p>
        </w:tc>
        <w:tc>
          <w:tcPr>
            <w:tcW w:w="1133" w:type="dxa"/>
            <w:shd w:val="clear" w:color="auto" w:fill="auto"/>
            <w:vAlign w:val="center"/>
          </w:tcPr>
          <w:p w14:paraId="148B80F6">
            <w:pPr>
              <w:widowControl/>
              <w:jc w:val="left"/>
              <w:rPr>
                <w:color w:val="auto"/>
                <w:kern w:val="0"/>
                <w:szCs w:val="21"/>
                <w:highlight w:val="none"/>
              </w:rPr>
            </w:pPr>
            <w:r>
              <w:rPr>
                <w:color w:val="auto"/>
                <w:kern w:val="0"/>
                <w:szCs w:val="21"/>
                <w:highlight w:val="none"/>
              </w:rPr>
              <w:t>　</w:t>
            </w:r>
          </w:p>
        </w:tc>
      </w:tr>
      <w:tr w14:paraId="44485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55" w:type="dxa"/>
            <w:gridSpan w:val="5"/>
            <w:shd w:val="clear" w:color="auto" w:fill="auto"/>
            <w:vAlign w:val="center"/>
          </w:tcPr>
          <w:p w14:paraId="674C82D4">
            <w:pPr>
              <w:widowControl/>
              <w:jc w:val="left"/>
              <w:rPr>
                <w:color w:val="auto"/>
                <w:kern w:val="0"/>
                <w:szCs w:val="21"/>
                <w:highlight w:val="none"/>
              </w:rPr>
            </w:pPr>
            <w:r>
              <w:rPr>
                <w:color w:val="auto"/>
                <w:kern w:val="0"/>
                <w:szCs w:val="21"/>
                <w:highlight w:val="none"/>
              </w:rPr>
              <w:t>（</w:t>
            </w:r>
            <w:r>
              <w:rPr>
                <w:rFonts w:hint="eastAsia"/>
                <w:color w:val="auto"/>
                <w:kern w:val="0"/>
                <w:szCs w:val="21"/>
                <w:highlight w:val="none"/>
              </w:rPr>
              <w:t>二</w:t>
            </w:r>
            <w:r>
              <w:rPr>
                <w:color w:val="auto"/>
                <w:kern w:val="0"/>
                <w:szCs w:val="21"/>
                <w:highlight w:val="none"/>
              </w:rPr>
              <w:t>）时间、地点要求</w:t>
            </w:r>
          </w:p>
        </w:tc>
      </w:tr>
      <w:tr w14:paraId="6066C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5" w:type="dxa"/>
            <w:shd w:val="clear" w:color="auto" w:fill="auto"/>
            <w:vAlign w:val="center"/>
          </w:tcPr>
          <w:p w14:paraId="3D6E8F79">
            <w:pPr>
              <w:widowControl/>
              <w:jc w:val="left"/>
              <w:rPr>
                <w:color w:val="auto"/>
                <w:kern w:val="0"/>
                <w:szCs w:val="21"/>
                <w:highlight w:val="none"/>
              </w:rPr>
            </w:pPr>
            <w:r>
              <w:rPr>
                <w:color w:val="auto"/>
                <w:kern w:val="0"/>
                <w:szCs w:val="21"/>
                <w:highlight w:val="none"/>
              </w:rPr>
              <w:t>　</w:t>
            </w:r>
          </w:p>
        </w:tc>
        <w:tc>
          <w:tcPr>
            <w:tcW w:w="2231" w:type="dxa"/>
            <w:shd w:val="clear" w:color="auto" w:fill="auto"/>
            <w:vAlign w:val="center"/>
          </w:tcPr>
          <w:p w14:paraId="1027001F">
            <w:pPr>
              <w:widowControl/>
              <w:jc w:val="left"/>
              <w:rPr>
                <w:color w:val="auto"/>
                <w:kern w:val="0"/>
                <w:szCs w:val="21"/>
                <w:highlight w:val="none"/>
              </w:rPr>
            </w:pPr>
            <w:r>
              <w:rPr>
                <w:color w:val="auto"/>
                <w:kern w:val="0"/>
                <w:szCs w:val="21"/>
                <w:highlight w:val="none"/>
              </w:rPr>
              <w:t>　</w:t>
            </w:r>
          </w:p>
        </w:tc>
        <w:tc>
          <w:tcPr>
            <w:tcW w:w="2551" w:type="dxa"/>
            <w:shd w:val="clear" w:color="auto" w:fill="auto"/>
            <w:vAlign w:val="center"/>
          </w:tcPr>
          <w:p w14:paraId="1015C144">
            <w:pPr>
              <w:widowControl/>
              <w:jc w:val="left"/>
              <w:rPr>
                <w:color w:val="auto"/>
                <w:kern w:val="0"/>
                <w:szCs w:val="21"/>
                <w:highlight w:val="none"/>
              </w:rPr>
            </w:pPr>
            <w:r>
              <w:rPr>
                <w:color w:val="auto"/>
                <w:kern w:val="0"/>
                <w:szCs w:val="21"/>
                <w:highlight w:val="none"/>
              </w:rPr>
              <w:t>　</w:t>
            </w:r>
          </w:p>
        </w:tc>
        <w:tc>
          <w:tcPr>
            <w:tcW w:w="1135" w:type="dxa"/>
            <w:shd w:val="clear" w:color="auto" w:fill="auto"/>
            <w:vAlign w:val="center"/>
          </w:tcPr>
          <w:p w14:paraId="3C2AD74D">
            <w:pPr>
              <w:widowControl/>
              <w:jc w:val="left"/>
              <w:rPr>
                <w:color w:val="auto"/>
                <w:kern w:val="0"/>
                <w:szCs w:val="21"/>
                <w:highlight w:val="none"/>
              </w:rPr>
            </w:pPr>
            <w:r>
              <w:rPr>
                <w:color w:val="auto"/>
                <w:kern w:val="0"/>
                <w:szCs w:val="21"/>
                <w:highlight w:val="none"/>
              </w:rPr>
              <w:t>　</w:t>
            </w:r>
          </w:p>
        </w:tc>
        <w:tc>
          <w:tcPr>
            <w:tcW w:w="1133" w:type="dxa"/>
            <w:shd w:val="clear" w:color="auto" w:fill="auto"/>
            <w:vAlign w:val="center"/>
          </w:tcPr>
          <w:p w14:paraId="1ED85F5E">
            <w:pPr>
              <w:widowControl/>
              <w:jc w:val="left"/>
              <w:rPr>
                <w:color w:val="auto"/>
                <w:kern w:val="0"/>
                <w:szCs w:val="21"/>
                <w:highlight w:val="none"/>
              </w:rPr>
            </w:pPr>
            <w:r>
              <w:rPr>
                <w:color w:val="auto"/>
                <w:kern w:val="0"/>
                <w:szCs w:val="21"/>
                <w:highlight w:val="none"/>
              </w:rPr>
              <w:t>　</w:t>
            </w:r>
          </w:p>
        </w:tc>
      </w:tr>
      <w:tr w14:paraId="05553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55" w:type="dxa"/>
            <w:gridSpan w:val="5"/>
            <w:shd w:val="clear" w:color="auto" w:fill="auto"/>
            <w:vAlign w:val="center"/>
          </w:tcPr>
          <w:p w14:paraId="05F2B260">
            <w:pPr>
              <w:widowControl/>
              <w:jc w:val="left"/>
              <w:rPr>
                <w:color w:val="auto"/>
                <w:kern w:val="0"/>
                <w:szCs w:val="21"/>
                <w:highlight w:val="none"/>
              </w:rPr>
            </w:pPr>
            <w:r>
              <w:rPr>
                <w:color w:val="auto"/>
                <w:kern w:val="0"/>
                <w:szCs w:val="21"/>
                <w:highlight w:val="none"/>
              </w:rPr>
              <w:t>（</w:t>
            </w:r>
            <w:r>
              <w:rPr>
                <w:rFonts w:hint="eastAsia"/>
                <w:color w:val="auto"/>
                <w:kern w:val="0"/>
                <w:szCs w:val="21"/>
                <w:highlight w:val="none"/>
              </w:rPr>
              <w:t>三</w:t>
            </w:r>
            <w:r>
              <w:rPr>
                <w:color w:val="auto"/>
                <w:kern w:val="0"/>
                <w:szCs w:val="21"/>
                <w:highlight w:val="none"/>
              </w:rPr>
              <w:t>）付款方式</w:t>
            </w:r>
          </w:p>
        </w:tc>
      </w:tr>
      <w:tr w14:paraId="7216C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5" w:type="dxa"/>
            <w:shd w:val="clear" w:color="auto" w:fill="auto"/>
            <w:vAlign w:val="center"/>
          </w:tcPr>
          <w:p w14:paraId="3CD85176">
            <w:pPr>
              <w:widowControl/>
              <w:jc w:val="left"/>
              <w:rPr>
                <w:color w:val="auto"/>
                <w:kern w:val="0"/>
                <w:szCs w:val="21"/>
                <w:highlight w:val="none"/>
              </w:rPr>
            </w:pPr>
            <w:r>
              <w:rPr>
                <w:color w:val="auto"/>
                <w:kern w:val="0"/>
                <w:szCs w:val="21"/>
                <w:highlight w:val="none"/>
              </w:rPr>
              <w:t>　</w:t>
            </w:r>
          </w:p>
        </w:tc>
        <w:tc>
          <w:tcPr>
            <w:tcW w:w="2231" w:type="dxa"/>
            <w:shd w:val="clear" w:color="auto" w:fill="auto"/>
            <w:vAlign w:val="center"/>
          </w:tcPr>
          <w:p w14:paraId="01FA0312">
            <w:pPr>
              <w:widowControl/>
              <w:jc w:val="left"/>
              <w:rPr>
                <w:color w:val="auto"/>
                <w:kern w:val="0"/>
                <w:szCs w:val="21"/>
                <w:highlight w:val="none"/>
              </w:rPr>
            </w:pPr>
            <w:r>
              <w:rPr>
                <w:color w:val="auto"/>
                <w:kern w:val="0"/>
                <w:szCs w:val="21"/>
                <w:highlight w:val="none"/>
              </w:rPr>
              <w:t>　</w:t>
            </w:r>
          </w:p>
        </w:tc>
        <w:tc>
          <w:tcPr>
            <w:tcW w:w="2551" w:type="dxa"/>
            <w:shd w:val="clear" w:color="auto" w:fill="auto"/>
            <w:vAlign w:val="center"/>
          </w:tcPr>
          <w:p w14:paraId="33953890">
            <w:pPr>
              <w:widowControl/>
              <w:jc w:val="left"/>
              <w:rPr>
                <w:color w:val="auto"/>
                <w:kern w:val="0"/>
                <w:szCs w:val="21"/>
                <w:highlight w:val="none"/>
              </w:rPr>
            </w:pPr>
            <w:r>
              <w:rPr>
                <w:color w:val="auto"/>
                <w:kern w:val="0"/>
                <w:szCs w:val="21"/>
                <w:highlight w:val="none"/>
              </w:rPr>
              <w:t>　</w:t>
            </w:r>
          </w:p>
        </w:tc>
        <w:tc>
          <w:tcPr>
            <w:tcW w:w="1135" w:type="dxa"/>
            <w:shd w:val="clear" w:color="auto" w:fill="auto"/>
            <w:vAlign w:val="center"/>
          </w:tcPr>
          <w:p w14:paraId="2F3568D5">
            <w:pPr>
              <w:widowControl/>
              <w:jc w:val="left"/>
              <w:rPr>
                <w:color w:val="auto"/>
                <w:kern w:val="0"/>
                <w:szCs w:val="21"/>
                <w:highlight w:val="none"/>
              </w:rPr>
            </w:pPr>
            <w:r>
              <w:rPr>
                <w:color w:val="auto"/>
                <w:kern w:val="0"/>
                <w:szCs w:val="21"/>
                <w:highlight w:val="none"/>
              </w:rPr>
              <w:t>　</w:t>
            </w:r>
          </w:p>
        </w:tc>
        <w:tc>
          <w:tcPr>
            <w:tcW w:w="1133" w:type="dxa"/>
            <w:shd w:val="clear" w:color="auto" w:fill="auto"/>
            <w:vAlign w:val="center"/>
          </w:tcPr>
          <w:p w14:paraId="3415A37F">
            <w:pPr>
              <w:widowControl/>
              <w:jc w:val="left"/>
              <w:rPr>
                <w:color w:val="auto"/>
                <w:kern w:val="0"/>
                <w:szCs w:val="21"/>
                <w:highlight w:val="none"/>
              </w:rPr>
            </w:pPr>
            <w:r>
              <w:rPr>
                <w:color w:val="auto"/>
                <w:kern w:val="0"/>
                <w:szCs w:val="21"/>
                <w:highlight w:val="none"/>
              </w:rPr>
              <w:t>　</w:t>
            </w:r>
          </w:p>
        </w:tc>
      </w:tr>
      <w:tr w14:paraId="1E585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55" w:type="dxa"/>
            <w:gridSpan w:val="5"/>
            <w:shd w:val="clear" w:color="auto" w:fill="auto"/>
            <w:vAlign w:val="center"/>
          </w:tcPr>
          <w:p w14:paraId="0500F35D">
            <w:pPr>
              <w:widowControl/>
              <w:jc w:val="left"/>
              <w:rPr>
                <w:color w:val="auto"/>
                <w:kern w:val="0"/>
                <w:szCs w:val="21"/>
                <w:highlight w:val="none"/>
              </w:rPr>
            </w:pPr>
            <w:r>
              <w:rPr>
                <w:color w:val="auto"/>
                <w:kern w:val="0"/>
                <w:szCs w:val="21"/>
                <w:highlight w:val="none"/>
              </w:rPr>
              <w:t>（</w:t>
            </w:r>
            <w:r>
              <w:rPr>
                <w:rFonts w:hint="eastAsia"/>
                <w:color w:val="auto"/>
                <w:kern w:val="0"/>
                <w:szCs w:val="21"/>
                <w:highlight w:val="none"/>
              </w:rPr>
              <w:t>四</w:t>
            </w:r>
            <w:r>
              <w:rPr>
                <w:color w:val="auto"/>
                <w:kern w:val="0"/>
                <w:szCs w:val="21"/>
                <w:highlight w:val="none"/>
              </w:rPr>
              <w:t>）投标保证金和履约保证金</w:t>
            </w:r>
          </w:p>
        </w:tc>
      </w:tr>
      <w:tr w14:paraId="5DFF6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5" w:type="dxa"/>
            <w:shd w:val="clear" w:color="auto" w:fill="auto"/>
            <w:vAlign w:val="center"/>
          </w:tcPr>
          <w:p w14:paraId="2BA37098">
            <w:pPr>
              <w:widowControl/>
              <w:jc w:val="left"/>
              <w:rPr>
                <w:color w:val="auto"/>
                <w:kern w:val="0"/>
                <w:szCs w:val="21"/>
                <w:highlight w:val="none"/>
              </w:rPr>
            </w:pPr>
            <w:r>
              <w:rPr>
                <w:color w:val="auto"/>
                <w:kern w:val="0"/>
                <w:szCs w:val="21"/>
                <w:highlight w:val="none"/>
              </w:rPr>
              <w:t>　</w:t>
            </w:r>
          </w:p>
        </w:tc>
        <w:tc>
          <w:tcPr>
            <w:tcW w:w="2231" w:type="dxa"/>
            <w:shd w:val="clear" w:color="auto" w:fill="auto"/>
            <w:vAlign w:val="center"/>
          </w:tcPr>
          <w:p w14:paraId="44595B3C">
            <w:pPr>
              <w:widowControl/>
              <w:jc w:val="left"/>
              <w:rPr>
                <w:color w:val="auto"/>
                <w:kern w:val="0"/>
                <w:szCs w:val="21"/>
                <w:highlight w:val="none"/>
              </w:rPr>
            </w:pPr>
            <w:r>
              <w:rPr>
                <w:color w:val="auto"/>
                <w:kern w:val="0"/>
                <w:szCs w:val="21"/>
                <w:highlight w:val="none"/>
              </w:rPr>
              <w:t>　</w:t>
            </w:r>
          </w:p>
        </w:tc>
        <w:tc>
          <w:tcPr>
            <w:tcW w:w="2551" w:type="dxa"/>
            <w:shd w:val="clear" w:color="auto" w:fill="auto"/>
            <w:vAlign w:val="center"/>
          </w:tcPr>
          <w:p w14:paraId="08E036AA">
            <w:pPr>
              <w:widowControl/>
              <w:jc w:val="left"/>
              <w:rPr>
                <w:color w:val="auto"/>
                <w:kern w:val="0"/>
                <w:szCs w:val="21"/>
                <w:highlight w:val="none"/>
              </w:rPr>
            </w:pPr>
            <w:r>
              <w:rPr>
                <w:color w:val="auto"/>
                <w:kern w:val="0"/>
                <w:szCs w:val="21"/>
                <w:highlight w:val="none"/>
              </w:rPr>
              <w:t>　</w:t>
            </w:r>
          </w:p>
        </w:tc>
        <w:tc>
          <w:tcPr>
            <w:tcW w:w="1135" w:type="dxa"/>
            <w:shd w:val="clear" w:color="auto" w:fill="auto"/>
            <w:vAlign w:val="center"/>
          </w:tcPr>
          <w:p w14:paraId="713E2BBD">
            <w:pPr>
              <w:widowControl/>
              <w:jc w:val="left"/>
              <w:rPr>
                <w:color w:val="auto"/>
                <w:kern w:val="0"/>
                <w:szCs w:val="21"/>
                <w:highlight w:val="none"/>
              </w:rPr>
            </w:pPr>
            <w:r>
              <w:rPr>
                <w:color w:val="auto"/>
                <w:kern w:val="0"/>
                <w:szCs w:val="21"/>
                <w:highlight w:val="none"/>
              </w:rPr>
              <w:t>　</w:t>
            </w:r>
          </w:p>
        </w:tc>
        <w:tc>
          <w:tcPr>
            <w:tcW w:w="1133" w:type="dxa"/>
            <w:shd w:val="clear" w:color="auto" w:fill="auto"/>
            <w:vAlign w:val="center"/>
          </w:tcPr>
          <w:p w14:paraId="74A17BF4">
            <w:pPr>
              <w:widowControl/>
              <w:jc w:val="left"/>
              <w:rPr>
                <w:color w:val="auto"/>
                <w:kern w:val="0"/>
                <w:szCs w:val="21"/>
                <w:highlight w:val="none"/>
              </w:rPr>
            </w:pPr>
            <w:r>
              <w:rPr>
                <w:color w:val="auto"/>
                <w:kern w:val="0"/>
                <w:szCs w:val="21"/>
                <w:highlight w:val="none"/>
              </w:rPr>
              <w:t>　</w:t>
            </w:r>
          </w:p>
        </w:tc>
      </w:tr>
      <w:tr w14:paraId="6A9DA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55" w:type="dxa"/>
            <w:gridSpan w:val="5"/>
            <w:shd w:val="clear" w:color="auto" w:fill="auto"/>
            <w:vAlign w:val="center"/>
          </w:tcPr>
          <w:p w14:paraId="755E5F10">
            <w:pPr>
              <w:widowControl/>
              <w:jc w:val="left"/>
              <w:rPr>
                <w:color w:val="auto"/>
                <w:kern w:val="0"/>
                <w:szCs w:val="21"/>
                <w:highlight w:val="none"/>
              </w:rPr>
            </w:pPr>
            <w:r>
              <w:rPr>
                <w:rFonts w:hint="eastAsia"/>
                <w:color w:val="auto"/>
                <w:kern w:val="0"/>
                <w:szCs w:val="21"/>
                <w:highlight w:val="none"/>
              </w:rPr>
              <w:t>（五）验收方法及标准</w:t>
            </w:r>
          </w:p>
        </w:tc>
      </w:tr>
      <w:tr w14:paraId="15E9C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5" w:type="dxa"/>
            <w:shd w:val="clear" w:color="auto" w:fill="auto"/>
            <w:vAlign w:val="center"/>
          </w:tcPr>
          <w:p w14:paraId="292FF161">
            <w:pPr>
              <w:widowControl/>
              <w:jc w:val="left"/>
              <w:rPr>
                <w:color w:val="auto"/>
                <w:kern w:val="0"/>
                <w:szCs w:val="21"/>
                <w:highlight w:val="none"/>
              </w:rPr>
            </w:pPr>
          </w:p>
        </w:tc>
        <w:tc>
          <w:tcPr>
            <w:tcW w:w="2231" w:type="dxa"/>
            <w:shd w:val="clear" w:color="auto" w:fill="auto"/>
            <w:vAlign w:val="center"/>
          </w:tcPr>
          <w:p w14:paraId="366BB9DE">
            <w:pPr>
              <w:widowControl/>
              <w:jc w:val="left"/>
              <w:rPr>
                <w:color w:val="auto"/>
                <w:kern w:val="0"/>
                <w:szCs w:val="21"/>
                <w:highlight w:val="none"/>
              </w:rPr>
            </w:pPr>
          </w:p>
        </w:tc>
        <w:tc>
          <w:tcPr>
            <w:tcW w:w="2551" w:type="dxa"/>
            <w:shd w:val="clear" w:color="auto" w:fill="auto"/>
            <w:vAlign w:val="center"/>
          </w:tcPr>
          <w:p w14:paraId="6268BF73">
            <w:pPr>
              <w:widowControl/>
              <w:jc w:val="left"/>
              <w:rPr>
                <w:color w:val="auto"/>
                <w:kern w:val="0"/>
                <w:szCs w:val="21"/>
                <w:highlight w:val="none"/>
              </w:rPr>
            </w:pPr>
          </w:p>
        </w:tc>
        <w:tc>
          <w:tcPr>
            <w:tcW w:w="1135" w:type="dxa"/>
            <w:shd w:val="clear" w:color="auto" w:fill="auto"/>
            <w:vAlign w:val="center"/>
          </w:tcPr>
          <w:p w14:paraId="02411D8E">
            <w:pPr>
              <w:widowControl/>
              <w:jc w:val="left"/>
              <w:rPr>
                <w:color w:val="auto"/>
                <w:kern w:val="0"/>
                <w:szCs w:val="21"/>
                <w:highlight w:val="none"/>
              </w:rPr>
            </w:pPr>
          </w:p>
        </w:tc>
        <w:tc>
          <w:tcPr>
            <w:tcW w:w="1133" w:type="dxa"/>
            <w:shd w:val="clear" w:color="auto" w:fill="auto"/>
            <w:vAlign w:val="center"/>
          </w:tcPr>
          <w:p w14:paraId="730DED54">
            <w:pPr>
              <w:widowControl/>
              <w:jc w:val="left"/>
              <w:rPr>
                <w:color w:val="auto"/>
                <w:kern w:val="0"/>
                <w:szCs w:val="21"/>
                <w:highlight w:val="none"/>
              </w:rPr>
            </w:pPr>
          </w:p>
        </w:tc>
      </w:tr>
    </w:tbl>
    <w:p w14:paraId="3094187D">
      <w:pPr>
        <w:spacing w:line="360" w:lineRule="auto"/>
        <w:ind w:firstLine="448" w:firstLineChars="200"/>
        <w:rPr>
          <w:color w:val="auto"/>
          <w:sz w:val="24"/>
          <w:highlight w:val="none"/>
        </w:rPr>
      </w:pPr>
      <w:r>
        <w:rPr>
          <w:color w:val="auto"/>
          <w:sz w:val="24"/>
          <w:highlight w:val="none"/>
        </w:rPr>
        <w:t>注：</w:t>
      </w:r>
    </w:p>
    <w:p w14:paraId="12826EBA">
      <w:pPr>
        <w:spacing w:line="360" w:lineRule="auto"/>
        <w:ind w:firstLine="448" w:firstLineChars="200"/>
        <w:rPr>
          <w:color w:val="auto"/>
          <w:sz w:val="24"/>
          <w:highlight w:val="none"/>
        </w:rPr>
      </w:pPr>
      <w:r>
        <w:rPr>
          <w:rFonts w:hint="eastAsia"/>
          <w:color w:val="auto"/>
          <w:sz w:val="24"/>
          <w:highlight w:val="none"/>
        </w:rPr>
        <w:t>1. 此表应按招标文件商务要求中的全部内容逐项进行应答，未应答的，视为不满足招标文件要求。</w:t>
      </w:r>
    </w:p>
    <w:p w14:paraId="46683279">
      <w:pPr>
        <w:spacing w:line="360" w:lineRule="auto"/>
        <w:ind w:firstLine="448" w:firstLineChars="200"/>
        <w:rPr>
          <w:color w:val="auto"/>
          <w:sz w:val="24"/>
          <w:highlight w:val="none"/>
        </w:rPr>
      </w:pPr>
      <w:r>
        <w:rPr>
          <w:rFonts w:hint="eastAsia"/>
          <w:color w:val="auto"/>
          <w:sz w:val="24"/>
          <w:highlight w:val="none"/>
        </w:rPr>
        <w:t>2</w:t>
      </w:r>
      <w:r>
        <w:rPr>
          <w:color w:val="auto"/>
          <w:sz w:val="24"/>
          <w:highlight w:val="none"/>
        </w:rPr>
        <w:t>. 不如实填写偏离情况的投标文件将视为虚假材料。</w:t>
      </w:r>
    </w:p>
    <w:p w14:paraId="029A6933">
      <w:pPr>
        <w:spacing w:line="360" w:lineRule="auto"/>
        <w:ind w:firstLine="448" w:firstLineChars="200"/>
        <w:rPr>
          <w:color w:val="auto"/>
          <w:sz w:val="24"/>
          <w:highlight w:val="none"/>
        </w:rPr>
      </w:pPr>
      <w:r>
        <w:rPr>
          <w:rFonts w:hint="eastAsia"/>
          <w:color w:val="auto"/>
          <w:sz w:val="24"/>
          <w:highlight w:val="none"/>
        </w:rPr>
        <w:t>3</w:t>
      </w:r>
      <w:r>
        <w:rPr>
          <w:color w:val="auto"/>
          <w:sz w:val="24"/>
          <w:highlight w:val="none"/>
        </w:rPr>
        <w:t>. “招标要求”指招标文件中规定的具体要求，“投标应答”指投标文件的具体内容。“偏离说明”指招标要求与投标应答之间的不同之处。</w:t>
      </w:r>
    </w:p>
    <w:p w14:paraId="603F86A1">
      <w:pPr>
        <w:spacing w:line="360" w:lineRule="auto"/>
        <w:rPr>
          <w:color w:val="auto"/>
          <w:sz w:val="24"/>
          <w:highlight w:val="none"/>
        </w:rPr>
      </w:pPr>
    </w:p>
    <w:p w14:paraId="3845E25F">
      <w:pPr>
        <w:spacing w:line="360" w:lineRule="auto"/>
        <w:ind w:firstLine="3808" w:firstLineChars="1700"/>
        <w:rPr>
          <w:color w:val="auto"/>
          <w:sz w:val="24"/>
          <w:highlight w:val="none"/>
        </w:rPr>
      </w:pPr>
      <w:r>
        <w:rPr>
          <w:color w:val="auto"/>
          <w:sz w:val="24"/>
          <w:highlight w:val="none"/>
        </w:rPr>
        <w:t>投标人名称：</w:t>
      </w:r>
    </w:p>
    <w:p w14:paraId="3B6654AF">
      <w:pPr>
        <w:spacing w:line="360" w:lineRule="auto"/>
        <w:ind w:firstLine="3808" w:firstLineChars="1700"/>
        <w:rPr>
          <w:color w:val="auto"/>
          <w:sz w:val="24"/>
          <w:highlight w:val="none"/>
        </w:rPr>
      </w:pPr>
    </w:p>
    <w:p w14:paraId="75850AF2">
      <w:pPr>
        <w:spacing w:line="360" w:lineRule="auto"/>
        <w:ind w:firstLine="3808" w:firstLineChars="1700"/>
        <w:rPr>
          <w:color w:val="auto"/>
          <w:sz w:val="24"/>
          <w:highlight w:val="none"/>
        </w:rPr>
      </w:pPr>
      <w:r>
        <w:rPr>
          <w:color w:val="auto"/>
          <w:sz w:val="24"/>
          <w:highlight w:val="none"/>
        </w:rPr>
        <w:t>日期：</w:t>
      </w:r>
      <w:r>
        <w:rPr>
          <w:color w:val="auto"/>
          <w:sz w:val="24"/>
          <w:highlight w:val="none"/>
          <w:u w:val="single"/>
        </w:rPr>
        <w:t xml:space="preserve">     </w:t>
      </w:r>
      <w:r>
        <w:rPr>
          <w:color w:val="auto"/>
          <w:sz w:val="24"/>
          <w:highlight w:val="none"/>
        </w:rPr>
        <w:t>年</w:t>
      </w:r>
      <w:r>
        <w:rPr>
          <w:color w:val="auto"/>
          <w:sz w:val="24"/>
          <w:highlight w:val="none"/>
          <w:u w:val="single"/>
        </w:rPr>
        <w:t xml:space="preserve">    </w:t>
      </w:r>
      <w:r>
        <w:rPr>
          <w:color w:val="auto"/>
          <w:sz w:val="24"/>
          <w:highlight w:val="none"/>
        </w:rPr>
        <w:t>月</w:t>
      </w:r>
      <w:r>
        <w:rPr>
          <w:color w:val="auto"/>
          <w:sz w:val="24"/>
          <w:highlight w:val="none"/>
          <w:u w:val="single"/>
        </w:rPr>
        <w:t xml:space="preserve">    </w:t>
      </w:r>
      <w:r>
        <w:rPr>
          <w:color w:val="auto"/>
          <w:sz w:val="24"/>
          <w:highlight w:val="none"/>
        </w:rPr>
        <w:t>日</w:t>
      </w:r>
    </w:p>
    <w:p w14:paraId="0921BE74">
      <w:pPr>
        <w:tabs>
          <w:tab w:val="left" w:pos="360"/>
        </w:tabs>
        <w:spacing w:line="360" w:lineRule="auto"/>
        <w:rPr>
          <w:b/>
          <w:color w:val="auto"/>
          <w:sz w:val="24"/>
          <w:highlight w:val="none"/>
        </w:rPr>
      </w:pPr>
      <w:r>
        <w:rPr>
          <w:color w:val="auto"/>
          <w:sz w:val="24"/>
          <w:highlight w:val="none"/>
        </w:rPr>
        <w:br w:type="page"/>
      </w:r>
      <w:r>
        <w:rPr>
          <w:b/>
          <w:color w:val="auto"/>
          <w:sz w:val="24"/>
          <w:highlight w:val="none"/>
        </w:rPr>
        <w:t>附件</w:t>
      </w:r>
      <w:r>
        <w:rPr>
          <w:rFonts w:hint="eastAsia"/>
          <w:b/>
          <w:color w:val="auto"/>
          <w:sz w:val="24"/>
          <w:highlight w:val="none"/>
        </w:rPr>
        <w:t>6</w:t>
      </w:r>
    </w:p>
    <w:p w14:paraId="532C770F">
      <w:pPr>
        <w:spacing w:line="360" w:lineRule="auto"/>
        <w:jc w:val="center"/>
        <w:rPr>
          <w:b/>
          <w:bCs/>
          <w:color w:val="auto"/>
          <w:sz w:val="24"/>
          <w:szCs w:val="24"/>
          <w:highlight w:val="none"/>
        </w:rPr>
      </w:pPr>
      <w:r>
        <w:rPr>
          <w:rFonts w:ascii="宋体" w:hAnsi="宋体"/>
          <w:b/>
          <w:bCs/>
          <w:color w:val="auto"/>
          <w:sz w:val="24"/>
          <w:szCs w:val="24"/>
          <w:highlight w:val="none"/>
        </w:rPr>
        <w:t>技术要求偏离应答表</w:t>
      </w:r>
    </w:p>
    <w:p w14:paraId="31E22018">
      <w:pPr>
        <w:spacing w:line="460" w:lineRule="exact"/>
        <w:rPr>
          <w:color w:val="auto"/>
          <w:sz w:val="24"/>
          <w:highlight w:val="none"/>
        </w:rPr>
      </w:pPr>
      <w:r>
        <w:rPr>
          <w:color w:val="auto"/>
          <w:sz w:val="24"/>
          <w:highlight w:val="none"/>
        </w:rPr>
        <w:t>项目名称：</w:t>
      </w:r>
      <w:r>
        <w:rPr>
          <w:color w:val="auto"/>
          <w:sz w:val="24"/>
          <w:highlight w:val="none"/>
          <w:u w:val="single"/>
        </w:rPr>
        <w:t xml:space="preserve">                    </w:t>
      </w:r>
    </w:p>
    <w:p w14:paraId="27E4B251">
      <w:pPr>
        <w:spacing w:line="460" w:lineRule="exact"/>
        <w:rPr>
          <w:color w:val="auto"/>
          <w:sz w:val="24"/>
          <w:highlight w:val="none"/>
        </w:rPr>
      </w:pPr>
      <w:r>
        <w:rPr>
          <w:color w:val="auto"/>
          <w:sz w:val="24"/>
          <w:highlight w:val="none"/>
        </w:rPr>
        <w:t>项目编号：</w:t>
      </w:r>
      <w:r>
        <w:rPr>
          <w:color w:val="auto"/>
          <w:sz w:val="24"/>
          <w:highlight w:val="none"/>
          <w:u w:val="single"/>
        </w:rPr>
        <w:t xml:space="preserve">                    </w:t>
      </w:r>
    </w:p>
    <w:p w14:paraId="5F294E0C">
      <w:pPr>
        <w:spacing w:line="460" w:lineRule="exact"/>
        <w:rPr>
          <w:color w:val="auto"/>
          <w:sz w:val="24"/>
          <w:highlight w:val="none"/>
          <w:u w:val="single"/>
        </w:rPr>
      </w:pPr>
      <w:r>
        <w:rPr>
          <w:color w:val="auto"/>
          <w:sz w:val="24"/>
          <w:highlight w:val="none"/>
        </w:rPr>
        <w:t>包号：</w:t>
      </w:r>
      <w:r>
        <w:rPr>
          <w:color w:val="auto"/>
          <w:sz w:val="24"/>
          <w:highlight w:val="none"/>
          <w:u w:val="single"/>
        </w:rPr>
        <w:t xml:space="preserve">                        </w:t>
      </w:r>
    </w:p>
    <w:p w14:paraId="59722D11">
      <w:pPr>
        <w:spacing w:line="460" w:lineRule="exact"/>
        <w:rPr>
          <w:color w:val="auto"/>
          <w:sz w:val="24"/>
          <w:szCs w:val="24"/>
          <w:highlight w:val="none"/>
          <w:u w:val="single"/>
        </w:rPr>
      </w:pPr>
    </w:p>
    <w:p w14:paraId="23FB5412">
      <w:pPr>
        <w:spacing w:line="360" w:lineRule="auto"/>
        <w:ind w:firstLine="448" w:firstLineChars="200"/>
        <w:rPr>
          <w:color w:val="auto"/>
          <w:sz w:val="24"/>
          <w:szCs w:val="24"/>
          <w:highlight w:val="none"/>
          <w:u w:val="single"/>
        </w:rPr>
      </w:pPr>
      <w:r>
        <w:rPr>
          <w:rFonts w:hint="eastAsia" w:ascii="宋体" w:hAnsi="宋体"/>
          <w:b/>
          <w:color w:val="auto"/>
          <w:sz w:val="24"/>
          <w:szCs w:val="24"/>
          <w:highlight w:val="none"/>
        </w:rPr>
        <w:t>我单位郑重承诺：所提供的服务、人员及设备符合相关强制性规定。验收时采购人有权要求我单位出具所提供的服务、人员及设备符合上述规定的证明文件。除下表列出的偏离外，与招标文件技术要求完全一致，并承担相应的法律责任。</w:t>
      </w:r>
    </w:p>
    <w:tbl>
      <w:tblPr>
        <w:tblStyle w:val="23"/>
        <w:tblW w:w="98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3"/>
        <w:gridCol w:w="2743"/>
        <w:gridCol w:w="2835"/>
        <w:gridCol w:w="2071"/>
        <w:gridCol w:w="1315"/>
      </w:tblGrid>
      <w:tr w14:paraId="13FA7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78AB8FE8">
            <w:pPr>
              <w:widowControl/>
              <w:snapToGrid w:val="0"/>
              <w:jc w:val="center"/>
              <w:rPr>
                <w:color w:val="auto"/>
                <w:kern w:val="0"/>
                <w:sz w:val="24"/>
                <w:szCs w:val="24"/>
                <w:highlight w:val="none"/>
              </w:rPr>
            </w:pPr>
            <w:r>
              <w:rPr>
                <w:rFonts w:ascii="宋体" w:hAnsi="宋体"/>
                <w:color w:val="auto"/>
                <w:kern w:val="0"/>
                <w:sz w:val="24"/>
                <w:szCs w:val="24"/>
                <w:highlight w:val="none"/>
              </w:rPr>
              <w:t>序号</w:t>
            </w:r>
          </w:p>
        </w:tc>
        <w:tc>
          <w:tcPr>
            <w:tcW w:w="2743" w:type="dxa"/>
            <w:tcBorders>
              <w:top w:val="single" w:color="auto" w:sz="4" w:space="0"/>
              <w:left w:val="single" w:color="auto" w:sz="4" w:space="0"/>
              <w:bottom w:val="single" w:color="auto" w:sz="4" w:space="0"/>
              <w:right w:val="single" w:color="auto" w:sz="4" w:space="0"/>
            </w:tcBorders>
            <w:vAlign w:val="center"/>
          </w:tcPr>
          <w:p w14:paraId="7792B8F4">
            <w:pPr>
              <w:widowControl/>
              <w:snapToGrid w:val="0"/>
              <w:jc w:val="center"/>
              <w:rPr>
                <w:color w:val="auto"/>
                <w:kern w:val="0"/>
                <w:sz w:val="24"/>
                <w:szCs w:val="24"/>
                <w:highlight w:val="none"/>
              </w:rPr>
            </w:pPr>
            <w:r>
              <w:rPr>
                <w:rFonts w:hint="eastAsia" w:ascii="宋体" w:hAnsi="宋体"/>
                <w:color w:val="auto"/>
                <w:kern w:val="0"/>
                <w:sz w:val="24"/>
                <w:szCs w:val="24"/>
                <w:highlight w:val="none"/>
              </w:rPr>
              <w:t>招标文件</w:t>
            </w:r>
            <w:r>
              <w:rPr>
                <w:rFonts w:ascii="宋体" w:hAnsi="宋体"/>
                <w:color w:val="auto"/>
                <w:kern w:val="0"/>
                <w:sz w:val="24"/>
                <w:szCs w:val="24"/>
                <w:highlight w:val="none"/>
              </w:rPr>
              <w:t>要求</w:t>
            </w:r>
          </w:p>
        </w:tc>
        <w:tc>
          <w:tcPr>
            <w:tcW w:w="2835" w:type="dxa"/>
            <w:tcBorders>
              <w:top w:val="single" w:color="auto" w:sz="4" w:space="0"/>
              <w:left w:val="single" w:color="auto" w:sz="4" w:space="0"/>
              <w:bottom w:val="single" w:color="auto" w:sz="4" w:space="0"/>
              <w:right w:val="single" w:color="auto" w:sz="4" w:space="0"/>
            </w:tcBorders>
            <w:vAlign w:val="center"/>
          </w:tcPr>
          <w:p w14:paraId="0D897DEE">
            <w:pPr>
              <w:widowControl/>
              <w:snapToGrid w:val="0"/>
              <w:jc w:val="center"/>
              <w:rPr>
                <w:color w:val="auto"/>
                <w:kern w:val="0"/>
                <w:sz w:val="24"/>
                <w:szCs w:val="24"/>
                <w:highlight w:val="none"/>
              </w:rPr>
            </w:pPr>
            <w:r>
              <w:rPr>
                <w:rFonts w:hint="eastAsia" w:ascii="宋体" w:hAnsi="宋体"/>
                <w:color w:val="auto"/>
                <w:kern w:val="0"/>
                <w:sz w:val="24"/>
                <w:szCs w:val="24"/>
                <w:highlight w:val="none"/>
              </w:rPr>
              <w:t>投标</w:t>
            </w:r>
            <w:r>
              <w:rPr>
                <w:rFonts w:ascii="宋体" w:hAnsi="宋体"/>
                <w:color w:val="auto"/>
                <w:kern w:val="0"/>
                <w:sz w:val="24"/>
                <w:szCs w:val="24"/>
                <w:highlight w:val="none"/>
              </w:rPr>
              <w:t>应答</w:t>
            </w:r>
          </w:p>
        </w:tc>
        <w:tc>
          <w:tcPr>
            <w:tcW w:w="2071" w:type="dxa"/>
            <w:tcBorders>
              <w:top w:val="single" w:color="auto" w:sz="4" w:space="0"/>
              <w:left w:val="single" w:color="auto" w:sz="4" w:space="0"/>
              <w:bottom w:val="single" w:color="auto" w:sz="4" w:space="0"/>
              <w:right w:val="single" w:color="auto" w:sz="4" w:space="0"/>
            </w:tcBorders>
            <w:vAlign w:val="center"/>
          </w:tcPr>
          <w:p w14:paraId="4188956F">
            <w:pPr>
              <w:widowControl/>
              <w:snapToGrid w:val="0"/>
              <w:jc w:val="center"/>
              <w:rPr>
                <w:color w:val="auto"/>
                <w:kern w:val="0"/>
                <w:sz w:val="24"/>
                <w:szCs w:val="24"/>
                <w:highlight w:val="none"/>
              </w:rPr>
            </w:pPr>
            <w:r>
              <w:rPr>
                <w:rFonts w:ascii="宋体" w:hAnsi="宋体"/>
                <w:color w:val="auto"/>
                <w:kern w:val="0"/>
                <w:sz w:val="24"/>
                <w:szCs w:val="24"/>
                <w:highlight w:val="none"/>
              </w:rPr>
              <w:t>偏离说明</w:t>
            </w:r>
          </w:p>
        </w:tc>
        <w:tc>
          <w:tcPr>
            <w:tcW w:w="1315" w:type="dxa"/>
            <w:tcBorders>
              <w:top w:val="single" w:color="auto" w:sz="4" w:space="0"/>
              <w:left w:val="single" w:color="auto" w:sz="4" w:space="0"/>
              <w:bottom w:val="single" w:color="auto" w:sz="4" w:space="0"/>
              <w:right w:val="single" w:color="auto" w:sz="4" w:space="0"/>
            </w:tcBorders>
            <w:vAlign w:val="center"/>
          </w:tcPr>
          <w:p w14:paraId="7DBD53A8">
            <w:pPr>
              <w:widowControl/>
              <w:snapToGrid w:val="0"/>
              <w:jc w:val="center"/>
              <w:rPr>
                <w:color w:val="auto"/>
                <w:kern w:val="0"/>
                <w:sz w:val="24"/>
                <w:szCs w:val="24"/>
                <w:highlight w:val="none"/>
              </w:rPr>
            </w:pPr>
            <w:r>
              <w:rPr>
                <w:rFonts w:ascii="宋体" w:hAnsi="宋体"/>
                <w:color w:val="auto"/>
                <w:kern w:val="0"/>
                <w:sz w:val="24"/>
                <w:szCs w:val="24"/>
                <w:highlight w:val="none"/>
              </w:rPr>
              <w:t>备注</w:t>
            </w:r>
          </w:p>
        </w:tc>
      </w:tr>
      <w:tr w14:paraId="530A6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1AA6B52E">
            <w:pPr>
              <w:widowControl/>
              <w:snapToGrid w:val="0"/>
              <w:jc w:val="center"/>
              <w:rPr>
                <w:color w:val="auto"/>
                <w:kern w:val="0"/>
                <w:sz w:val="24"/>
                <w:szCs w:val="24"/>
                <w:highlight w:val="none"/>
              </w:rPr>
            </w:pPr>
          </w:p>
        </w:tc>
        <w:tc>
          <w:tcPr>
            <w:tcW w:w="2743" w:type="dxa"/>
            <w:tcBorders>
              <w:top w:val="single" w:color="auto" w:sz="4" w:space="0"/>
              <w:left w:val="single" w:color="auto" w:sz="4" w:space="0"/>
              <w:bottom w:val="single" w:color="auto" w:sz="4" w:space="0"/>
              <w:right w:val="single" w:color="auto" w:sz="4" w:space="0"/>
            </w:tcBorders>
            <w:vAlign w:val="center"/>
          </w:tcPr>
          <w:p w14:paraId="705C84A7">
            <w:pPr>
              <w:widowControl/>
              <w:snapToGrid w:val="0"/>
              <w:jc w:val="center"/>
              <w:rPr>
                <w:color w:val="auto"/>
                <w:kern w:val="0"/>
                <w:sz w:val="24"/>
                <w:szCs w:val="24"/>
                <w:highlight w:val="none"/>
              </w:rPr>
            </w:pPr>
            <w:r>
              <w:rPr>
                <w:rFonts w:hint="eastAsia" w:ascii="宋体" w:hAnsi="宋体"/>
                <w:color w:val="auto"/>
                <w:sz w:val="24"/>
                <w:szCs w:val="24"/>
                <w:highlight w:val="none"/>
              </w:rPr>
              <w:t>此表仅体现与招标文件技术要求存在偏离的部分，无偏离的部分，无需填写。</w:t>
            </w:r>
          </w:p>
        </w:tc>
        <w:tc>
          <w:tcPr>
            <w:tcW w:w="2835" w:type="dxa"/>
            <w:tcBorders>
              <w:top w:val="single" w:color="auto" w:sz="4" w:space="0"/>
              <w:left w:val="single" w:color="auto" w:sz="4" w:space="0"/>
              <w:bottom w:val="single" w:color="auto" w:sz="4" w:space="0"/>
              <w:right w:val="single" w:color="auto" w:sz="4" w:space="0"/>
            </w:tcBorders>
            <w:vAlign w:val="center"/>
          </w:tcPr>
          <w:p w14:paraId="044A3F6B">
            <w:pPr>
              <w:widowControl/>
              <w:snapToGrid w:val="0"/>
              <w:jc w:val="center"/>
              <w:rPr>
                <w:color w:val="auto"/>
                <w:kern w:val="0"/>
                <w:sz w:val="24"/>
                <w:szCs w:val="24"/>
                <w:highlight w:val="none"/>
              </w:rPr>
            </w:pPr>
            <w:r>
              <w:rPr>
                <w:rFonts w:hint="eastAsia" w:ascii="宋体" w:hAnsi="宋体"/>
                <w:color w:val="auto"/>
                <w:sz w:val="24"/>
                <w:szCs w:val="24"/>
                <w:highlight w:val="none"/>
              </w:rPr>
              <w:t>此表仅体现与招标文件技术要求存在偏离的部分，无偏离的部分，无需填写。</w:t>
            </w:r>
          </w:p>
        </w:tc>
        <w:tc>
          <w:tcPr>
            <w:tcW w:w="2071" w:type="dxa"/>
            <w:tcBorders>
              <w:top w:val="single" w:color="auto" w:sz="4" w:space="0"/>
              <w:left w:val="single" w:color="auto" w:sz="4" w:space="0"/>
              <w:bottom w:val="single" w:color="auto" w:sz="4" w:space="0"/>
              <w:right w:val="single" w:color="auto" w:sz="4" w:space="0"/>
            </w:tcBorders>
            <w:vAlign w:val="center"/>
          </w:tcPr>
          <w:p w14:paraId="172BE90B">
            <w:pPr>
              <w:widowControl/>
              <w:snapToGrid w:val="0"/>
              <w:jc w:val="center"/>
              <w:rPr>
                <w:color w:val="auto"/>
                <w:kern w:val="0"/>
                <w:sz w:val="24"/>
                <w:szCs w:val="24"/>
                <w:highlight w:val="none"/>
              </w:rPr>
            </w:pPr>
            <w:r>
              <w:rPr>
                <w:rFonts w:hint="eastAsia" w:ascii="宋体" w:hAnsi="宋体"/>
                <w:color w:val="auto"/>
                <w:sz w:val="24"/>
                <w:szCs w:val="24"/>
                <w:highlight w:val="none"/>
              </w:rPr>
              <w:t>此表仅体现与招标文件技术要求存在偏离的部分，无偏离的部分，无需填写。</w:t>
            </w:r>
          </w:p>
        </w:tc>
        <w:tc>
          <w:tcPr>
            <w:tcW w:w="1315" w:type="dxa"/>
            <w:tcBorders>
              <w:top w:val="single" w:color="auto" w:sz="4" w:space="0"/>
              <w:left w:val="single" w:color="auto" w:sz="4" w:space="0"/>
              <w:bottom w:val="single" w:color="auto" w:sz="4" w:space="0"/>
              <w:right w:val="single" w:color="auto" w:sz="4" w:space="0"/>
            </w:tcBorders>
            <w:vAlign w:val="center"/>
          </w:tcPr>
          <w:p w14:paraId="186057B1">
            <w:pPr>
              <w:widowControl/>
              <w:snapToGrid w:val="0"/>
              <w:jc w:val="center"/>
              <w:rPr>
                <w:color w:val="auto"/>
                <w:kern w:val="0"/>
                <w:sz w:val="24"/>
                <w:szCs w:val="24"/>
                <w:highlight w:val="none"/>
              </w:rPr>
            </w:pPr>
          </w:p>
        </w:tc>
      </w:tr>
      <w:tr w14:paraId="309D2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6E1952B3">
            <w:pPr>
              <w:widowControl/>
              <w:snapToGrid w:val="0"/>
              <w:jc w:val="center"/>
              <w:rPr>
                <w:color w:val="auto"/>
                <w:kern w:val="0"/>
                <w:sz w:val="24"/>
                <w:szCs w:val="24"/>
                <w:highlight w:val="none"/>
              </w:rPr>
            </w:pPr>
          </w:p>
        </w:tc>
        <w:tc>
          <w:tcPr>
            <w:tcW w:w="2743" w:type="dxa"/>
            <w:tcBorders>
              <w:top w:val="single" w:color="auto" w:sz="4" w:space="0"/>
              <w:left w:val="single" w:color="auto" w:sz="4" w:space="0"/>
              <w:bottom w:val="single" w:color="auto" w:sz="4" w:space="0"/>
              <w:right w:val="single" w:color="auto" w:sz="4" w:space="0"/>
            </w:tcBorders>
            <w:vAlign w:val="center"/>
          </w:tcPr>
          <w:p w14:paraId="1E749E07">
            <w:pPr>
              <w:widowControl/>
              <w:snapToGrid w:val="0"/>
              <w:jc w:val="center"/>
              <w:rPr>
                <w:color w:val="auto"/>
                <w:kern w:val="0"/>
                <w:sz w:val="24"/>
                <w:szCs w:val="24"/>
                <w:highlight w:val="none"/>
              </w:rPr>
            </w:pPr>
          </w:p>
        </w:tc>
        <w:tc>
          <w:tcPr>
            <w:tcW w:w="2835" w:type="dxa"/>
            <w:tcBorders>
              <w:top w:val="single" w:color="auto" w:sz="4" w:space="0"/>
              <w:left w:val="single" w:color="auto" w:sz="4" w:space="0"/>
              <w:bottom w:val="single" w:color="auto" w:sz="4" w:space="0"/>
              <w:right w:val="single" w:color="auto" w:sz="4" w:space="0"/>
            </w:tcBorders>
            <w:vAlign w:val="center"/>
          </w:tcPr>
          <w:p w14:paraId="66CC27FC">
            <w:pPr>
              <w:widowControl/>
              <w:snapToGrid w:val="0"/>
              <w:jc w:val="center"/>
              <w:rPr>
                <w:color w:val="auto"/>
                <w:kern w:val="0"/>
                <w:sz w:val="24"/>
                <w:szCs w:val="24"/>
                <w:highlight w:val="none"/>
              </w:rPr>
            </w:pPr>
          </w:p>
        </w:tc>
        <w:tc>
          <w:tcPr>
            <w:tcW w:w="2071" w:type="dxa"/>
            <w:tcBorders>
              <w:top w:val="single" w:color="auto" w:sz="4" w:space="0"/>
              <w:left w:val="single" w:color="auto" w:sz="4" w:space="0"/>
              <w:bottom w:val="single" w:color="auto" w:sz="4" w:space="0"/>
              <w:right w:val="single" w:color="auto" w:sz="4" w:space="0"/>
            </w:tcBorders>
            <w:vAlign w:val="center"/>
          </w:tcPr>
          <w:p w14:paraId="455A0E95">
            <w:pPr>
              <w:widowControl/>
              <w:snapToGrid w:val="0"/>
              <w:jc w:val="center"/>
              <w:rPr>
                <w:color w:val="auto"/>
                <w:kern w:val="0"/>
                <w:sz w:val="24"/>
                <w:szCs w:val="24"/>
                <w:highlight w:val="none"/>
              </w:rPr>
            </w:pPr>
          </w:p>
        </w:tc>
        <w:tc>
          <w:tcPr>
            <w:tcW w:w="1315" w:type="dxa"/>
            <w:tcBorders>
              <w:top w:val="single" w:color="auto" w:sz="4" w:space="0"/>
              <w:left w:val="single" w:color="auto" w:sz="4" w:space="0"/>
              <w:bottom w:val="single" w:color="auto" w:sz="4" w:space="0"/>
              <w:right w:val="single" w:color="auto" w:sz="4" w:space="0"/>
            </w:tcBorders>
            <w:vAlign w:val="center"/>
          </w:tcPr>
          <w:p w14:paraId="7A2F6D05">
            <w:pPr>
              <w:widowControl/>
              <w:snapToGrid w:val="0"/>
              <w:jc w:val="center"/>
              <w:rPr>
                <w:color w:val="auto"/>
                <w:kern w:val="0"/>
                <w:sz w:val="24"/>
                <w:szCs w:val="24"/>
                <w:highlight w:val="none"/>
              </w:rPr>
            </w:pPr>
          </w:p>
        </w:tc>
      </w:tr>
      <w:tr w14:paraId="28691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6FAB2541">
            <w:pPr>
              <w:widowControl/>
              <w:snapToGrid w:val="0"/>
              <w:jc w:val="center"/>
              <w:rPr>
                <w:color w:val="auto"/>
                <w:kern w:val="0"/>
                <w:sz w:val="24"/>
                <w:szCs w:val="24"/>
                <w:highlight w:val="none"/>
              </w:rPr>
            </w:pPr>
          </w:p>
        </w:tc>
        <w:tc>
          <w:tcPr>
            <w:tcW w:w="2743" w:type="dxa"/>
            <w:tcBorders>
              <w:top w:val="single" w:color="auto" w:sz="4" w:space="0"/>
              <w:left w:val="single" w:color="auto" w:sz="4" w:space="0"/>
              <w:bottom w:val="single" w:color="auto" w:sz="4" w:space="0"/>
              <w:right w:val="single" w:color="auto" w:sz="4" w:space="0"/>
            </w:tcBorders>
            <w:vAlign w:val="center"/>
          </w:tcPr>
          <w:p w14:paraId="152E56C0">
            <w:pPr>
              <w:widowControl/>
              <w:snapToGrid w:val="0"/>
              <w:jc w:val="center"/>
              <w:rPr>
                <w:color w:val="auto"/>
                <w:kern w:val="0"/>
                <w:sz w:val="24"/>
                <w:szCs w:val="24"/>
                <w:highlight w:val="none"/>
              </w:rPr>
            </w:pPr>
          </w:p>
        </w:tc>
        <w:tc>
          <w:tcPr>
            <w:tcW w:w="2835" w:type="dxa"/>
            <w:tcBorders>
              <w:top w:val="single" w:color="auto" w:sz="4" w:space="0"/>
              <w:left w:val="single" w:color="auto" w:sz="4" w:space="0"/>
              <w:bottom w:val="single" w:color="auto" w:sz="4" w:space="0"/>
              <w:right w:val="single" w:color="auto" w:sz="4" w:space="0"/>
            </w:tcBorders>
            <w:vAlign w:val="center"/>
          </w:tcPr>
          <w:p w14:paraId="34BCB254">
            <w:pPr>
              <w:widowControl/>
              <w:snapToGrid w:val="0"/>
              <w:jc w:val="center"/>
              <w:rPr>
                <w:color w:val="auto"/>
                <w:kern w:val="0"/>
                <w:sz w:val="24"/>
                <w:szCs w:val="24"/>
                <w:highlight w:val="none"/>
              </w:rPr>
            </w:pPr>
          </w:p>
        </w:tc>
        <w:tc>
          <w:tcPr>
            <w:tcW w:w="2071" w:type="dxa"/>
            <w:tcBorders>
              <w:top w:val="single" w:color="auto" w:sz="4" w:space="0"/>
              <w:left w:val="single" w:color="auto" w:sz="4" w:space="0"/>
              <w:bottom w:val="single" w:color="auto" w:sz="4" w:space="0"/>
              <w:right w:val="single" w:color="auto" w:sz="4" w:space="0"/>
            </w:tcBorders>
            <w:vAlign w:val="center"/>
          </w:tcPr>
          <w:p w14:paraId="500677D0">
            <w:pPr>
              <w:widowControl/>
              <w:snapToGrid w:val="0"/>
              <w:jc w:val="center"/>
              <w:rPr>
                <w:color w:val="auto"/>
                <w:kern w:val="0"/>
                <w:sz w:val="24"/>
                <w:szCs w:val="24"/>
                <w:highlight w:val="none"/>
              </w:rPr>
            </w:pPr>
          </w:p>
        </w:tc>
        <w:tc>
          <w:tcPr>
            <w:tcW w:w="1315" w:type="dxa"/>
            <w:tcBorders>
              <w:top w:val="single" w:color="auto" w:sz="4" w:space="0"/>
              <w:left w:val="single" w:color="auto" w:sz="4" w:space="0"/>
              <w:bottom w:val="single" w:color="auto" w:sz="4" w:space="0"/>
              <w:right w:val="single" w:color="auto" w:sz="4" w:space="0"/>
            </w:tcBorders>
            <w:vAlign w:val="center"/>
          </w:tcPr>
          <w:p w14:paraId="06BB4CB0">
            <w:pPr>
              <w:widowControl/>
              <w:snapToGrid w:val="0"/>
              <w:jc w:val="center"/>
              <w:rPr>
                <w:color w:val="auto"/>
                <w:kern w:val="0"/>
                <w:sz w:val="24"/>
                <w:szCs w:val="24"/>
                <w:highlight w:val="none"/>
              </w:rPr>
            </w:pPr>
          </w:p>
        </w:tc>
      </w:tr>
      <w:tr w14:paraId="10557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417751F2">
            <w:pPr>
              <w:widowControl/>
              <w:snapToGrid w:val="0"/>
              <w:jc w:val="center"/>
              <w:rPr>
                <w:color w:val="auto"/>
                <w:kern w:val="0"/>
                <w:sz w:val="24"/>
                <w:szCs w:val="24"/>
                <w:highlight w:val="none"/>
              </w:rPr>
            </w:pPr>
          </w:p>
        </w:tc>
        <w:tc>
          <w:tcPr>
            <w:tcW w:w="2743" w:type="dxa"/>
            <w:tcBorders>
              <w:top w:val="single" w:color="auto" w:sz="4" w:space="0"/>
              <w:left w:val="single" w:color="auto" w:sz="4" w:space="0"/>
              <w:bottom w:val="single" w:color="auto" w:sz="4" w:space="0"/>
              <w:right w:val="single" w:color="auto" w:sz="4" w:space="0"/>
            </w:tcBorders>
            <w:vAlign w:val="center"/>
          </w:tcPr>
          <w:p w14:paraId="02400973">
            <w:pPr>
              <w:widowControl/>
              <w:snapToGrid w:val="0"/>
              <w:jc w:val="center"/>
              <w:rPr>
                <w:color w:val="auto"/>
                <w:kern w:val="0"/>
                <w:sz w:val="24"/>
                <w:szCs w:val="24"/>
                <w:highlight w:val="none"/>
              </w:rPr>
            </w:pPr>
          </w:p>
        </w:tc>
        <w:tc>
          <w:tcPr>
            <w:tcW w:w="2835" w:type="dxa"/>
            <w:tcBorders>
              <w:top w:val="single" w:color="auto" w:sz="4" w:space="0"/>
              <w:left w:val="single" w:color="auto" w:sz="4" w:space="0"/>
              <w:bottom w:val="single" w:color="auto" w:sz="4" w:space="0"/>
              <w:right w:val="single" w:color="auto" w:sz="4" w:space="0"/>
            </w:tcBorders>
            <w:vAlign w:val="center"/>
          </w:tcPr>
          <w:p w14:paraId="2D475D78">
            <w:pPr>
              <w:widowControl/>
              <w:snapToGrid w:val="0"/>
              <w:jc w:val="center"/>
              <w:rPr>
                <w:color w:val="auto"/>
                <w:kern w:val="0"/>
                <w:sz w:val="24"/>
                <w:szCs w:val="24"/>
                <w:highlight w:val="none"/>
              </w:rPr>
            </w:pPr>
          </w:p>
        </w:tc>
        <w:tc>
          <w:tcPr>
            <w:tcW w:w="2071" w:type="dxa"/>
            <w:tcBorders>
              <w:top w:val="single" w:color="auto" w:sz="4" w:space="0"/>
              <w:left w:val="single" w:color="auto" w:sz="4" w:space="0"/>
              <w:bottom w:val="single" w:color="auto" w:sz="4" w:space="0"/>
              <w:right w:val="single" w:color="auto" w:sz="4" w:space="0"/>
            </w:tcBorders>
            <w:vAlign w:val="center"/>
          </w:tcPr>
          <w:p w14:paraId="5AD041B4">
            <w:pPr>
              <w:widowControl/>
              <w:snapToGrid w:val="0"/>
              <w:jc w:val="center"/>
              <w:rPr>
                <w:color w:val="auto"/>
                <w:kern w:val="0"/>
                <w:sz w:val="24"/>
                <w:szCs w:val="24"/>
                <w:highlight w:val="none"/>
              </w:rPr>
            </w:pPr>
          </w:p>
        </w:tc>
        <w:tc>
          <w:tcPr>
            <w:tcW w:w="1315" w:type="dxa"/>
            <w:tcBorders>
              <w:top w:val="single" w:color="auto" w:sz="4" w:space="0"/>
              <w:left w:val="single" w:color="auto" w:sz="4" w:space="0"/>
              <w:bottom w:val="single" w:color="auto" w:sz="4" w:space="0"/>
              <w:right w:val="single" w:color="auto" w:sz="4" w:space="0"/>
            </w:tcBorders>
            <w:vAlign w:val="center"/>
          </w:tcPr>
          <w:p w14:paraId="52855ED6">
            <w:pPr>
              <w:widowControl/>
              <w:snapToGrid w:val="0"/>
              <w:jc w:val="center"/>
              <w:rPr>
                <w:color w:val="auto"/>
                <w:kern w:val="0"/>
                <w:sz w:val="24"/>
                <w:szCs w:val="24"/>
                <w:highlight w:val="none"/>
              </w:rPr>
            </w:pPr>
          </w:p>
        </w:tc>
      </w:tr>
      <w:tr w14:paraId="33959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tcBorders>
              <w:top w:val="single" w:color="auto" w:sz="4" w:space="0"/>
              <w:left w:val="single" w:color="auto" w:sz="4" w:space="0"/>
              <w:bottom w:val="single" w:color="auto" w:sz="4" w:space="0"/>
              <w:right w:val="single" w:color="auto" w:sz="4" w:space="0"/>
            </w:tcBorders>
            <w:vAlign w:val="center"/>
          </w:tcPr>
          <w:p w14:paraId="29471080">
            <w:pPr>
              <w:widowControl/>
              <w:snapToGrid w:val="0"/>
              <w:jc w:val="center"/>
              <w:rPr>
                <w:color w:val="auto"/>
                <w:kern w:val="0"/>
                <w:sz w:val="24"/>
                <w:szCs w:val="24"/>
                <w:highlight w:val="none"/>
              </w:rPr>
            </w:pPr>
          </w:p>
        </w:tc>
        <w:tc>
          <w:tcPr>
            <w:tcW w:w="2743" w:type="dxa"/>
            <w:tcBorders>
              <w:top w:val="single" w:color="auto" w:sz="4" w:space="0"/>
              <w:left w:val="single" w:color="auto" w:sz="4" w:space="0"/>
              <w:bottom w:val="single" w:color="auto" w:sz="4" w:space="0"/>
              <w:right w:val="single" w:color="auto" w:sz="4" w:space="0"/>
            </w:tcBorders>
            <w:vAlign w:val="center"/>
          </w:tcPr>
          <w:p w14:paraId="5E56FBC7">
            <w:pPr>
              <w:widowControl/>
              <w:snapToGrid w:val="0"/>
              <w:jc w:val="center"/>
              <w:rPr>
                <w:color w:val="auto"/>
                <w:kern w:val="0"/>
                <w:sz w:val="24"/>
                <w:szCs w:val="24"/>
                <w:highlight w:val="none"/>
              </w:rPr>
            </w:pPr>
          </w:p>
        </w:tc>
        <w:tc>
          <w:tcPr>
            <w:tcW w:w="2835" w:type="dxa"/>
            <w:tcBorders>
              <w:top w:val="single" w:color="auto" w:sz="4" w:space="0"/>
              <w:left w:val="single" w:color="auto" w:sz="4" w:space="0"/>
              <w:bottom w:val="single" w:color="auto" w:sz="4" w:space="0"/>
              <w:right w:val="single" w:color="auto" w:sz="4" w:space="0"/>
            </w:tcBorders>
            <w:vAlign w:val="center"/>
          </w:tcPr>
          <w:p w14:paraId="75FCA49B">
            <w:pPr>
              <w:widowControl/>
              <w:snapToGrid w:val="0"/>
              <w:jc w:val="center"/>
              <w:rPr>
                <w:color w:val="auto"/>
                <w:kern w:val="0"/>
                <w:sz w:val="24"/>
                <w:szCs w:val="24"/>
                <w:highlight w:val="none"/>
              </w:rPr>
            </w:pPr>
          </w:p>
        </w:tc>
        <w:tc>
          <w:tcPr>
            <w:tcW w:w="2071" w:type="dxa"/>
            <w:tcBorders>
              <w:top w:val="single" w:color="auto" w:sz="4" w:space="0"/>
              <w:left w:val="single" w:color="auto" w:sz="4" w:space="0"/>
              <w:bottom w:val="single" w:color="auto" w:sz="4" w:space="0"/>
              <w:right w:val="single" w:color="auto" w:sz="4" w:space="0"/>
            </w:tcBorders>
            <w:vAlign w:val="center"/>
          </w:tcPr>
          <w:p w14:paraId="12DDFEA7">
            <w:pPr>
              <w:widowControl/>
              <w:snapToGrid w:val="0"/>
              <w:jc w:val="center"/>
              <w:rPr>
                <w:color w:val="auto"/>
                <w:kern w:val="0"/>
                <w:sz w:val="24"/>
                <w:szCs w:val="24"/>
                <w:highlight w:val="none"/>
              </w:rPr>
            </w:pPr>
          </w:p>
        </w:tc>
        <w:tc>
          <w:tcPr>
            <w:tcW w:w="1315" w:type="dxa"/>
            <w:tcBorders>
              <w:top w:val="single" w:color="auto" w:sz="4" w:space="0"/>
              <w:left w:val="single" w:color="auto" w:sz="4" w:space="0"/>
              <w:bottom w:val="single" w:color="auto" w:sz="4" w:space="0"/>
              <w:right w:val="single" w:color="auto" w:sz="4" w:space="0"/>
            </w:tcBorders>
            <w:vAlign w:val="center"/>
          </w:tcPr>
          <w:p w14:paraId="0EA378F0">
            <w:pPr>
              <w:widowControl/>
              <w:snapToGrid w:val="0"/>
              <w:jc w:val="center"/>
              <w:rPr>
                <w:color w:val="auto"/>
                <w:kern w:val="0"/>
                <w:sz w:val="24"/>
                <w:szCs w:val="24"/>
                <w:highlight w:val="none"/>
              </w:rPr>
            </w:pPr>
          </w:p>
        </w:tc>
      </w:tr>
    </w:tbl>
    <w:p w14:paraId="079F2ACE">
      <w:pPr>
        <w:spacing w:line="360" w:lineRule="auto"/>
        <w:ind w:firstLine="448" w:firstLineChars="200"/>
        <w:rPr>
          <w:color w:val="auto"/>
          <w:sz w:val="24"/>
          <w:szCs w:val="24"/>
          <w:highlight w:val="none"/>
        </w:rPr>
      </w:pPr>
      <w:r>
        <w:rPr>
          <w:rFonts w:ascii="宋体" w:hAnsi="宋体"/>
          <w:color w:val="auto"/>
          <w:sz w:val="24"/>
          <w:szCs w:val="24"/>
          <w:highlight w:val="none"/>
        </w:rPr>
        <w:t>注：</w:t>
      </w:r>
    </w:p>
    <w:p w14:paraId="6E0F87B4">
      <w:pPr>
        <w:spacing w:line="360" w:lineRule="auto"/>
        <w:ind w:firstLine="448" w:firstLineChars="200"/>
        <w:rPr>
          <w:color w:val="auto"/>
          <w:sz w:val="24"/>
          <w:szCs w:val="24"/>
          <w:highlight w:val="none"/>
        </w:rPr>
      </w:pPr>
      <w:r>
        <w:rPr>
          <w:rFonts w:hint="eastAsia"/>
          <w:color w:val="auto"/>
          <w:sz w:val="24"/>
          <w:szCs w:val="24"/>
          <w:highlight w:val="none"/>
        </w:rPr>
        <w:t xml:space="preserve">1. </w:t>
      </w:r>
      <w:r>
        <w:rPr>
          <w:rFonts w:hint="eastAsia" w:ascii="宋体" w:hAnsi="宋体"/>
          <w:color w:val="auto"/>
          <w:sz w:val="24"/>
          <w:szCs w:val="24"/>
          <w:highlight w:val="none"/>
        </w:rPr>
        <w:t>此表仅体现与招标文件技术要求存在偏离的部分，无偏离的部分，无需填写。</w:t>
      </w:r>
    </w:p>
    <w:p w14:paraId="3CF65B78">
      <w:pPr>
        <w:spacing w:line="360" w:lineRule="auto"/>
        <w:ind w:firstLine="448" w:firstLineChars="200"/>
        <w:rPr>
          <w:rFonts w:ascii="宋体" w:hAnsi="宋体"/>
          <w:color w:val="auto"/>
          <w:sz w:val="24"/>
          <w:szCs w:val="24"/>
          <w:highlight w:val="none"/>
        </w:rPr>
      </w:pPr>
      <w:r>
        <w:rPr>
          <w:rFonts w:hint="eastAsia"/>
          <w:color w:val="auto"/>
          <w:sz w:val="24"/>
          <w:szCs w:val="24"/>
          <w:highlight w:val="none"/>
        </w:rPr>
        <w:t>2</w:t>
      </w:r>
      <w:r>
        <w:rPr>
          <w:color w:val="auto"/>
          <w:sz w:val="24"/>
          <w:szCs w:val="24"/>
          <w:highlight w:val="none"/>
        </w:rPr>
        <w:t xml:space="preserve">. </w:t>
      </w:r>
      <w:r>
        <w:rPr>
          <w:rFonts w:ascii="宋体" w:hAnsi="宋体"/>
          <w:color w:val="auto"/>
          <w:sz w:val="24"/>
          <w:szCs w:val="24"/>
          <w:highlight w:val="none"/>
        </w:rPr>
        <w:t>不如实填写偏离情况的</w:t>
      </w:r>
      <w:r>
        <w:rPr>
          <w:rFonts w:hint="eastAsia" w:ascii="宋体" w:hAnsi="宋体"/>
          <w:color w:val="auto"/>
          <w:sz w:val="24"/>
          <w:szCs w:val="24"/>
          <w:highlight w:val="none"/>
        </w:rPr>
        <w:t>投标</w:t>
      </w:r>
      <w:r>
        <w:rPr>
          <w:rFonts w:ascii="宋体" w:hAnsi="宋体"/>
          <w:color w:val="auto"/>
          <w:sz w:val="24"/>
          <w:szCs w:val="24"/>
          <w:highlight w:val="none"/>
        </w:rPr>
        <w:t>文件将视为虚假材料。</w:t>
      </w:r>
    </w:p>
    <w:p w14:paraId="7A80CFFA">
      <w:pPr>
        <w:spacing w:line="360" w:lineRule="auto"/>
        <w:ind w:firstLine="448" w:firstLineChars="200"/>
        <w:rPr>
          <w:color w:val="auto"/>
          <w:sz w:val="24"/>
          <w:highlight w:val="none"/>
        </w:rPr>
      </w:pPr>
      <w:r>
        <w:rPr>
          <w:rFonts w:hint="eastAsia"/>
          <w:color w:val="auto"/>
          <w:sz w:val="24"/>
          <w:szCs w:val="24"/>
          <w:highlight w:val="none"/>
        </w:rPr>
        <w:t>3</w:t>
      </w:r>
      <w:r>
        <w:rPr>
          <w:color w:val="auto"/>
          <w:sz w:val="24"/>
          <w:szCs w:val="24"/>
          <w:highlight w:val="none"/>
        </w:rPr>
        <w:t xml:space="preserve">. </w:t>
      </w:r>
      <w:r>
        <w:rPr>
          <w:rFonts w:hint="eastAsia"/>
          <w:color w:val="auto"/>
          <w:sz w:val="24"/>
          <w:szCs w:val="24"/>
          <w:highlight w:val="none"/>
        </w:rPr>
        <w:t>“</w:t>
      </w:r>
      <w:r>
        <w:rPr>
          <w:rFonts w:hint="eastAsia" w:ascii="宋体" w:hAnsi="宋体"/>
          <w:color w:val="auto"/>
          <w:sz w:val="24"/>
          <w:szCs w:val="24"/>
          <w:highlight w:val="none"/>
        </w:rPr>
        <w:t>招标</w:t>
      </w:r>
      <w:r>
        <w:rPr>
          <w:rFonts w:ascii="宋体" w:hAnsi="宋体"/>
          <w:color w:val="auto"/>
          <w:sz w:val="24"/>
          <w:szCs w:val="24"/>
          <w:highlight w:val="none"/>
        </w:rPr>
        <w:t>文件要求</w:t>
      </w:r>
      <w:r>
        <w:rPr>
          <w:rFonts w:hint="eastAsia"/>
          <w:color w:val="auto"/>
          <w:sz w:val="24"/>
          <w:szCs w:val="24"/>
          <w:highlight w:val="none"/>
        </w:rPr>
        <w:t>”</w:t>
      </w:r>
      <w:r>
        <w:rPr>
          <w:rFonts w:ascii="宋体" w:hAnsi="宋体"/>
          <w:color w:val="auto"/>
          <w:sz w:val="24"/>
          <w:szCs w:val="24"/>
          <w:highlight w:val="none"/>
        </w:rPr>
        <w:t>指</w:t>
      </w:r>
      <w:r>
        <w:rPr>
          <w:rFonts w:hint="eastAsia" w:ascii="宋体" w:hAnsi="宋体"/>
          <w:color w:val="auto"/>
          <w:sz w:val="24"/>
          <w:szCs w:val="24"/>
          <w:highlight w:val="none"/>
        </w:rPr>
        <w:t>招标</w:t>
      </w:r>
      <w:r>
        <w:rPr>
          <w:rFonts w:ascii="宋体" w:hAnsi="宋体"/>
          <w:color w:val="auto"/>
          <w:sz w:val="24"/>
          <w:szCs w:val="24"/>
          <w:highlight w:val="none"/>
        </w:rPr>
        <w:t>文件中规定的具体要求，“</w:t>
      </w:r>
      <w:r>
        <w:rPr>
          <w:rFonts w:hint="eastAsia" w:ascii="宋体" w:hAnsi="宋体"/>
          <w:color w:val="auto"/>
          <w:sz w:val="24"/>
          <w:szCs w:val="24"/>
          <w:highlight w:val="none"/>
        </w:rPr>
        <w:t>投标</w:t>
      </w:r>
      <w:r>
        <w:rPr>
          <w:rFonts w:ascii="宋体" w:hAnsi="宋体"/>
          <w:color w:val="auto"/>
          <w:sz w:val="24"/>
          <w:szCs w:val="24"/>
          <w:highlight w:val="none"/>
        </w:rPr>
        <w:t>应答”指投标</w:t>
      </w:r>
      <w:r>
        <w:rPr>
          <w:rFonts w:hint="eastAsia" w:ascii="宋体" w:hAnsi="宋体"/>
          <w:color w:val="auto"/>
          <w:sz w:val="24"/>
          <w:szCs w:val="24"/>
          <w:highlight w:val="none"/>
        </w:rPr>
        <w:t>文件</w:t>
      </w:r>
      <w:r>
        <w:rPr>
          <w:rFonts w:ascii="宋体" w:hAnsi="宋体"/>
          <w:color w:val="auto"/>
          <w:sz w:val="24"/>
          <w:szCs w:val="24"/>
          <w:highlight w:val="none"/>
        </w:rPr>
        <w:t>的</w:t>
      </w:r>
      <w:r>
        <w:rPr>
          <w:rFonts w:hint="eastAsia" w:ascii="宋体" w:hAnsi="宋体"/>
          <w:color w:val="auto"/>
          <w:sz w:val="24"/>
          <w:szCs w:val="24"/>
          <w:highlight w:val="none"/>
        </w:rPr>
        <w:t>具体内容</w:t>
      </w:r>
      <w:r>
        <w:rPr>
          <w:rFonts w:ascii="宋体" w:hAnsi="宋体"/>
          <w:color w:val="auto"/>
          <w:sz w:val="24"/>
          <w:szCs w:val="24"/>
          <w:highlight w:val="none"/>
        </w:rPr>
        <w:t>。“偏离说明”指</w:t>
      </w:r>
      <w:r>
        <w:rPr>
          <w:rFonts w:hint="eastAsia" w:ascii="宋体" w:hAnsi="宋体"/>
          <w:color w:val="auto"/>
          <w:sz w:val="24"/>
          <w:szCs w:val="24"/>
          <w:highlight w:val="none"/>
        </w:rPr>
        <w:t>招标</w:t>
      </w:r>
      <w:r>
        <w:rPr>
          <w:rFonts w:ascii="宋体" w:hAnsi="宋体"/>
          <w:color w:val="auto"/>
          <w:sz w:val="24"/>
          <w:szCs w:val="24"/>
          <w:highlight w:val="none"/>
        </w:rPr>
        <w:t>文件中规定的具体要求与</w:t>
      </w:r>
      <w:r>
        <w:rPr>
          <w:rFonts w:hint="eastAsia" w:ascii="宋体" w:hAnsi="宋体"/>
          <w:color w:val="auto"/>
          <w:sz w:val="24"/>
          <w:szCs w:val="24"/>
          <w:highlight w:val="none"/>
        </w:rPr>
        <w:t>投标</w:t>
      </w:r>
      <w:r>
        <w:rPr>
          <w:rFonts w:ascii="宋体" w:hAnsi="宋体"/>
          <w:color w:val="auto"/>
          <w:sz w:val="24"/>
          <w:szCs w:val="24"/>
          <w:highlight w:val="none"/>
        </w:rPr>
        <w:t>文件的具体内容的不同之处。</w:t>
      </w:r>
    </w:p>
    <w:p w14:paraId="6231E63D">
      <w:pPr>
        <w:spacing w:line="360" w:lineRule="auto"/>
        <w:rPr>
          <w:color w:val="auto"/>
          <w:sz w:val="24"/>
          <w:highlight w:val="none"/>
        </w:rPr>
      </w:pPr>
    </w:p>
    <w:p w14:paraId="6F496AF5">
      <w:pPr>
        <w:spacing w:line="360" w:lineRule="auto"/>
        <w:ind w:firstLine="3808" w:firstLineChars="1700"/>
        <w:rPr>
          <w:color w:val="auto"/>
          <w:sz w:val="24"/>
          <w:highlight w:val="none"/>
        </w:rPr>
      </w:pPr>
      <w:r>
        <w:rPr>
          <w:color w:val="auto"/>
          <w:sz w:val="24"/>
          <w:highlight w:val="none"/>
        </w:rPr>
        <w:t>投标人名称：</w:t>
      </w:r>
    </w:p>
    <w:p w14:paraId="1D521E91">
      <w:pPr>
        <w:spacing w:line="360" w:lineRule="auto"/>
        <w:ind w:firstLine="3808" w:firstLineChars="1700"/>
        <w:rPr>
          <w:color w:val="auto"/>
          <w:sz w:val="24"/>
          <w:highlight w:val="none"/>
        </w:rPr>
      </w:pPr>
    </w:p>
    <w:p w14:paraId="6A552F63">
      <w:pPr>
        <w:spacing w:line="360" w:lineRule="auto"/>
        <w:ind w:firstLine="3808" w:firstLineChars="1700"/>
        <w:rPr>
          <w:color w:val="auto"/>
          <w:sz w:val="24"/>
          <w:highlight w:val="none"/>
        </w:rPr>
      </w:pPr>
      <w:r>
        <w:rPr>
          <w:color w:val="auto"/>
          <w:sz w:val="24"/>
          <w:highlight w:val="none"/>
        </w:rPr>
        <w:t>日期：</w:t>
      </w:r>
      <w:r>
        <w:rPr>
          <w:color w:val="auto"/>
          <w:sz w:val="24"/>
          <w:highlight w:val="none"/>
          <w:u w:val="single"/>
        </w:rPr>
        <w:t xml:space="preserve">     </w:t>
      </w:r>
      <w:r>
        <w:rPr>
          <w:color w:val="auto"/>
          <w:sz w:val="24"/>
          <w:highlight w:val="none"/>
        </w:rPr>
        <w:t>年</w:t>
      </w:r>
      <w:r>
        <w:rPr>
          <w:color w:val="auto"/>
          <w:sz w:val="24"/>
          <w:highlight w:val="none"/>
          <w:u w:val="single"/>
        </w:rPr>
        <w:t xml:space="preserve">    </w:t>
      </w:r>
      <w:r>
        <w:rPr>
          <w:color w:val="auto"/>
          <w:sz w:val="24"/>
          <w:highlight w:val="none"/>
        </w:rPr>
        <w:t>月</w:t>
      </w:r>
      <w:r>
        <w:rPr>
          <w:color w:val="auto"/>
          <w:sz w:val="24"/>
          <w:highlight w:val="none"/>
          <w:u w:val="single"/>
        </w:rPr>
        <w:t xml:space="preserve">    </w:t>
      </w:r>
      <w:r>
        <w:rPr>
          <w:color w:val="auto"/>
          <w:sz w:val="24"/>
          <w:highlight w:val="none"/>
        </w:rPr>
        <w:t>日</w:t>
      </w:r>
    </w:p>
    <w:p w14:paraId="50C2156B">
      <w:pPr>
        <w:tabs>
          <w:tab w:val="left" w:pos="360"/>
        </w:tabs>
        <w:spacing w:line="360" w:lineRule="auto"/>
        <w:rPr>
          <w:b/>
          <w:color w:val="auto"/>
          <w:sz w:val="24"/>
          <w:highlight w:val="none"/>
        </w:rPr>
      </w:pPr>
      <w:r>
        <w:rPr>
          <w:color w:val="auto"/>
          <w:sz w:val="24"/>
          <w:highlight w:val="none"/>
        </w:rPr>
        <w:br w:type="page"/>
      </w:r>
      <w:r>
        <w:rPr>
          <w:b/>
          <w:color w:val="auto"/>
          <w:sz w:val="24"/>
          <w:highlight w:val="none"/>
        </w:rPr>
        <w:t>附件</w:t>
      </w:r>
      <w:r>
        <w:rPr>
          <w:rFonts w:hint="eastAsia"/>
          <w:b/>
          <w:color w:val="auto"/>
          <w:sz w:val="24"/>
          <w:highlight w:val="none"/>
        </w:rPr>
        <w:t>7</w:t>
      </w:r>
    </w:p>
    <w:p w14:paraId="0795A920">
      <w:pPr>
        <w:autoSpaceDN w:val="0"/>
        <w:spacing w:line="360" w:lineRule="auto"/>
        <w:jc w:val="center"/>
        <w:rPr>
          <w:b/>
          <w:bCs/>
          <w:color w:val="auto"/>
          <w:sz w:val="24"/>
          <w:highlight w:val="none"/>
        </w:rPr>
      </w:pPr>
      <w:r>
        <w:rPr>
          <w:b/>
          <w:color w:val="auto"/>
          <w:sz w:val="24"/>
          <w:highlight w:val="none"/>
        </w:rPr>
        <w:t>主要相关项目业绩一览表</w:t>
      </w:r>
    </w:p>
    <w:p w14:paraId="2EFFCE68">
      <w:pPr>
        <w:spacing w:line="460" w:lineRule="exact"/>
        <w:ind w:left="192"/>
        <w:rPr>
          <w:color w:val="auto"/>
          <w:sz w:val="24"/>
          <w:highlight w:val="none"/>
        </w:rPr>
      </w:pPr>
    </w:p>
    <w:p w14:paraId="2A1E627C">
      <w:pPr>
        <w:spacing w:line="460" w:lineRule="exact"/>
        <w:rPr>
          <w:color w:val="auto"/>
          <w:sz w:val="24"/>
          <w:highlight w:val="none"/>
        </w:rPr>
      </w:pPr>
      <w:r>
        <w:rPr>
          <w:color w:val="auto"/>
          <w:sz w:val="24"/>
          <w:highlight w:val="none"/>
        </w:rPr>
        <w:t>项目名称：</w:t>
      </w:r>
      <w:r>
        <w:rPr>
          <w:color w:val="auto"/>
          <w:sz w:val="24"/>
          <w:highlight w:val="none"/>
          <w:u w:val="single"/>
        </w:rPr>
        <w:t xml:space="preserve">                    </w:t>
      </w:r>
    </w:p>
    <w:p w14:paraId="27FF09DD">
      <w:pPr>
        <w:spacing w:line="460" w:lineRule="exact"/>
        <w:rPr>
          <w:color w:val="auto"/>
          <w:sz w:val="24"/>
          <w:highlight w:val="none"/>
        </w:rPr>
      </w:pPr>
      <w:r>
        <w:rPr>
          <w:color w:val="auto"/>
          <w:sz w:val="24"/>
          <w:highlight w:val="none"/>
        </w:rPr>
        <w:t>项目编号：</w:t>
      </w:r>
      <w:r>
        <w:rPr>
          <w:color w:val="auto"/>
          <w:sz w:val="24"/>
          <w:highlight w:val="none"/>
          <w:u w:val="single"/>
        </w:rPr>
        <w:t xml:space="preserve">                    </w:t>
      </w:r>
    </w:p>
    <w:p w14:paraId="70D26724">
      <w:pPr>
        <w:spacing w:line="460" w:lineRule="exact"/>
        <w:rPr>
          <w:color w:val="auto"/>
          <w:sz w:val="24"/>
          <w:highlight w:val="none"/>
          <w:u w:val="single"/>
        </w:rPr>
      </w:pPr>
      <w:r>
        <w:rPr>
          <w:color w:val="auto"/>
          <w:sz w:val="24"/>
          <w:highlight w:val="none"/>
        </w:rPr>
        <w:t>包号：</w:t>
      </w:r>
      <w:r>
        <w:rPr>
          <w:color w:val="auto"/>
          <w:sz w:val="24"/>
          <w:highlight w:val="none"/>
          <w:u w:val="single"/>
        </w:rPr>
        <w:t xml:space="preserve">                        </w:t>
      </w:r>
    </w:p>
    <w:p w14:paraId="2A6ECAB6">
      <w:pPr>
        <w:spacing w:line="460" w:lineRule="exact"/>
        <w:ind w:left="192"/>
        <w:rPr>
          <w:color w:val="auto"/>
          <w:sz w:val="24"/>
          <w:highlight w:val="none"/>
        </w:rPr>
      </w:pPr>
    </w:p>
    <w:tbl>
      <w:tblPr>
        <w:tblStyle w:val="23"/>
        <w:tblW w:w="80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4"/>
        <w:gridCol w:w="1615"/>
        <w:gridCol w:w="1239"/>
        <w:gridCol w:w="2628"/>
        <w:gridCol w:w="1735"/>
      </w:tblGrid>
      <w:tr w14:paraId="5C3F9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647F7C5F">
            <w:pPr>
              <w:snapToGrid w:val="0"/>
              <w:jc w:val="center"/>
              <w:rPr>
                <w:color w:val="auto"/>
                <w:sz w:val="24"/>
                <w:highlight w:val="none"/>
              </w:rPr>
            </w:pPr>
            <w:r>
              <w:rPr>
                <w:color w:val="auto"/>
                <w:sz w:val="24"/>
                <w:highlight w:val="none"/>
              </w:rPr>
              <w:t>序号</w:t>
            </w:r>
          </w:p>
        </w:tc>
        <w:tc>
          <w:tcPr>
            <w:tcW w:w="1615" w:type="dxa"/>
            <w:tcBorders>
              <w:top w:val="single" w:color="auto" w:sz="4" w:space="0"/>
              <w:left w:val="single" w:color="auto" w:sz="4" w:space="0"/>
              <w:bottom w:val="single" w:color="auto" w:sz="4" w:space="0"/>
              <w:right w:val="single" w:color="auto" w:sz="4" w:space="0"/>
            </w:tcBorders>
            <w:vAlign w:val="center"/>
          </w:tcPr>
          <w:p w14:paraId="23048B43">
            <w:pPr>
              <w:snapToGrid w:val="0"/>
              <w:jc w:val="center"/>
              <w:rPr>
                <w:color w:val="auto"/>
                <w:sz w:val="24"/>
                <w:highlight w:val="none"/>
              </w:rPr>
            </w:pPr>
            <w:r>
              <w:rPr>
                <w:color w:val="auto"/>
                <w:sz w:val="24"/>
                <w:highlight w:val="none"/>
              </w:rPr>
              <w:t>用户单位名称</w:t>
            </w:r>
          </w:p>
        </w:tc>
        <w:tc>
          <w:tcPr>
            <w:tcW w:w="1239" w:type="dxa"/>
            <w:tcBorders>
              <w:top w:val="single" w:color="auto" w:sz="4" w:space="0"/>
              <w:left w:val="single" w:color="auto" w:sz="4" w:space="0"/>
              <w:bottom w:val="single" w:color="auto" w:sz="4" w:space="0"/>
              <w:right w:val="single" w:color="auto" w:sz="4" w:space="0"/>
            </w:tcBorders>
            <w:vAlign w:val="center"/>
          </w:tcPr>
          <w:p w14:paraId="2D263100">
            <w:pPr>
              <w:snapToGrid w:val="0"/>
              <w:jc w:val="center"/>
              <w:rPr>
                <w:color w:val="auto"/>
                <w:sz w:val="24"/>
                <w:highlight w:val="none"/>
              </w:rPr>
            </w:pPr>
            <w:r>
              <w:rPr>
                <w:color w:val="auto"/>
                <w:sz w:val="24"/>
                <w:highlight w:val="none"/>
              </w:rPr>
              <w:t>项目内容</w:t>
            </w:r>
          </w:p>
        </w:tc>
        <w:tc>
          <w:tcPr>
            <w:tcW w:w="2628" w:type="dxa"/>
            <w:tcBorders>
              <w:top w:val="single" w:color="auto" w:sz="4" w:space="0"/>
              <w:left w:val="single" w:color="auto" w:sz="4" w:space="0"/>
              <w:bottom w:val="single" w:color="auto" w:sz="4" w:space="0"/>
              <w:right w:val="single" w:color="auto" w:sz="4" w:space="0"/>
            </w:tcBorders>
            <w:vAlign w:val="center"/>
          </w:tcPr>
          <w:p w14:paraId="16BA2B7F">
            <w:pPr>
              <w:snapToGrid w:val="0"/>
              <w:jc w:val="center"/>
              <w:rPr>
                <w:color w:val="auto"/>
                <w:sz w:val="24"/>
                <w:highlight w:val="none"/>
              </w:rPr>
            </w:pPr>
            <w:r>
              <w:rPr>
                <w:color w:val="auto"/>
                <w:sz w:val="24"/>
                <w:highlight w:val="none"/>
              </w:rPr>
              <w:t>用户联系人及联系方式</w:t>
            </w:r>
          </w:p>
        </w:tc>
        <w:tc>
          <w:tcPr>
            <w:tcW w:w="1735" w:type="dxa"/>
            <w:tcBorders>
              <w:top w:val="single" w:color="auto" w:sz="4" w:space="0"/>
              <w:left w:val="single" w:color="auto" w:sz="4" w:space="0"/>
              <w:bottom w:val="single" w:color="auto" w:sz="4" w:space="0"/>
              <w:right w:val="single" w:color="auto" w:sz="4" w:space="0"/>
            </w:tcBorders>
            <w:vAlign w:val="center"/>
          </w:tcPr>
          <w:p w14:paraId="791ADD57">
            <w:pPr>
              <w:snapToGrid w:val="0"/>
              <w:jc w:val="center"/>
              <w:rPr>
                <w:color w:val="auto"/>
                <w:sz w:val="24"/>
                <w:highlight w:val="none"/>
              </w:rPr>
            </w:pPr>
            <w:r>
              <w:rPr>
                <w:color w:val="auto"/>
                <w:sz w:val="24"/>
                <w:highlight w:val="none"/>
              </w:rPr>
              <w:t>项目起止时间</w:t>
            </w:r>
          </w:p>
        </w:tc>
      </w:tr>
      <w:tr w14:paraId="20E60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7666E29B">
            <w:pPr>
              <w:snapToGrid w:val="0"/>
              <w:jc w:val="center"/>
              <w:rPr>
                <w:color w:val="auto"/>
                <w:sz w:val="24"/>
                <w:highlight w:val="none"/>
              </w:rPr>
            </w:pPr>
          </w:p>
        </w:tc>
        <w:tc>
          <w:tcPr>
            <w:tcW w:w="1615" w:type="dxa"/>
            <w:tcBorders>
              <w:top w:val="single" w:color="auto" w:sz="4" w:space="0"/>
              <w:left w:val="single" w:color="auto" w:sz="4" w:space="0"/>
              <w:bottom w:val="single" w:color="auto" w:sz="4" w:space="0"/>
              <w:right w:val="single" w:color="auto" w:sz="4" w:space="0"/>
            </w:tcBorders>
            <w:vAlign w:val="center"/>
          </w:tcPr>
          <w:p w14:paraId="45E3A215">
            <w:pPr>
              <w:snapToGrid w:val="0"/>
              <w:jc w:val="center"/>
              <w:rPr>
                <w:color w:val="auto"/>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26341643">
            <w:pPr>
              <w:snapToGrid w:val="0"/>
              <w:jc w:val="center"/>
              <w:rPr>
                <w:color w:val="auto"/>
                <w:sz w:val="24"/>
                <w:highlight w:val="none"/>
              </w:rPr>
            </w:pPr>
          </w:p>
        </w:tc>
        <w:tc>
          <w:tcPr>
            <w:tcW w:w="2628" w:type="dxa"/>
            <w:tcBorders>
              <w:top w:val="single" w:color="auto" w:sz="4" w:space="0"/>
              <w:left w:val="single" w:color="auto" w:sz="4" w:space="0"/>
              <w:bottom w:val="single" w:color="auto" w:sz="4" w:space="0"/>
              <w:right w:val="single" w:color="auto" w:sz="4" w:space="0"/>
            </w:tcBorders>
            <w:vAlign w:val="center"/>
          </w:tcPr>
          <w:p w14:paraId="77421BCC">
            <w:pPr>
              <w:snapToGrid w:val="0"/>
              <w:jc w:val="center"/>
              <w:rPr>
                <w:color w:val="auto"/>
                <w:sz w:val="24"/>
                <w:highlight w:val="none"/>
              </w:rPr>
            </w:pPr>
          </w:p>
        </w:tc>
        <w:tc>
          <w:tcPr>
            <w:tcW w:w="1735" w:type="dxa"/>
            <w:tcBorders>
              <w:top w:val="single" w:color="auto" w:sz="4" w:space="0"/>
              <w:left w:val="single" w:color="auto" w:sz="4" w:space="0"/>
              <w:bottom w:val="single" w:color="auto" w:sz="4" w:space="0"/>
              <w:right w:val="single" w:color="auto" w:sz="4" w:space="0"/>
            </w:tcBorders>
            <w:vAlign w:val="center"/>
          </w:tcPr>
          <w:p w14:paraId="6CC63703">
            <w:pPr>
              <w:snapToGrid w:val="0"/>
              <w:jc w:val="center"/>
              <w:rPr>
                <w:color w:val="auto"/>
                <w:sz w:val="24"/>
                <w:highlight w:val="none"/>
              </w:rPr>
            </w:pPr>
          </w:p>
        </w:tc>
      </w:tr>
      <w:tr w14:paraId="3E386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1E8F6501">
            <w:pPr>
              <w:snapToGrid w:val="0"/>
              <w:jc w:val="center"/>
              <w:rPr>
                <w:color w:val="auto"/>
                <w:sz w:val="24"/>
                <w:highlight w:val="none"/>
              </w:rPr>
            </w:pPr>
          </w:p>
        </w:tc>
        <w:tc>
          <w:tcPr>
            <w:tcW w:w="1615" w:type="dxa"/>
            <w:tcBorders>
              <w:top w:val="single" w:color="auto" w:sz="4" w:space="0"/>
              <w:left w:val="single" w:color="auto" w:sz="4" w:space="0"/>
              <w:bottom w:val="single" w:color="auto" w:sz="4" w:space="0"/>
              <w:right w:val="single" w:color="auto" w:sz="4" w:space="0"/>
            </w:tcBorders>
            <w:vAlign w:val="center"/>
          </w:tcPr>
          <w:p w14:paraId="7C7DD0EB">
            <w:pPr>
              <w:snapToGrid w:val="0"/>
              <w:jc w:val="center"/>
              <w:rPr>
                <w:color w:val="auto"/>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4CA3F030">
            <w:pPr>
              <w:snapToGrid w:val="0"/>
              <w:jc w:val="center"/>
              <w:rPr>
                <w:color w:val="auto"/>
                <w:sz w:val="24"/>
                <w:highlight w:val="none"/>
              </w:rPr>
            </w:pPr>
          </w:p>
        </w:tc>
        <w:tc>
          <w:tcPr>
            <w:tcW w:w="2628" w:type="dxa"/>
            <w:tcBorders>
              <w:top w:val="single" w:color="auto" w:sz="4" w:space="0"/>
              <w:left w:val="single" w:color="auto" w:sz="4" w:space="0"/>
              <w:bottom w:val="single" w:color="auto" w:sz="4" w:space="0"/>
              <w:right w:val="single" w:color="auto" w:sz="4" w:space="0"/>
            </w:tcBorders>
            <w:vAlign w:val="center"/>
          </w:tcPr>
          <w:p w14:paraId="24FE3414">
            <w:pPr>
              <w:snapToGrid w:val="0"/>
              <w:jc w:val="center"/>
              <w:rPr>
                <w:color w:val="auto"/>
                <w:sz w:val="24"/>
                <w:highlight w:val="none"/>
              </w:rPr>
            </w:pPr>
          </w:p>
        </w:tc>
        <w:tc>
          <w:tcPr>
            <w:tcW w:w="1735" w:type="dxa"/>
            <w:tcBorders>
              <w:top w:val="single" w:color="auto" w:sz="4" w:space="0"/>
              <w:left w:val="single" w:color="auto" w:sz="4" w:space="0"/>
              <w:bottom w:val="single" w:color="auto" w:sz="4" w:space="0"/>
              <w:right w:val="single" w:color="auto" w:sz="4" w:space="0"/>
            </w:tcBorders>
            <w:vAlign w:val="center"/>
          </w:tcPr>
          <w:p w14:paraId="6799EF56">
            <w:pPr>
              <w:snapToGrid w:val="0"/>
              <w:jc w:val="center"/>
              <w:rPr>
                <w:color w:val="auto"/>
                <w:sz w:val="24"/>
                <w:highlight w:val="none"/>
              </w:rPr>
            </w:pPr>
          </w:p>
        </w:tc>
      </w:tr>
      <w:tr w14:paraId="639D7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2230F2AD">
            <w:pPr>
              <w:snapToGrid w:val="0"/>
              <w:jc w:val="center"/>
              <w:rPr>
                <w:color w:val="auto"/>
                <w:sz w:val="24"/>
                <w:highlight w:val="none"/>
              </w:rPr>
            </w:pPr>
          </w:p>
        </w:tc>
        <w:tc>
          <w:tcPr>
            <w:tcW w:w="1615" w:type="dxa"/>
            <w:tcBorders>
              <w:top w:val="single" w:color="auto" w:sz="4" w:space="0"/>
              <w:left w:val="single" w:color="auto" w:sz="4" w:space="0"/>
              <w:bottom w:val="single" w:color="auto" w:sz="4" w:space="0"/>
              <w:right w:val="single" w:color="auto" w:sz="4" w:space="0"/>
            </w:tcBorders>
            <w:vAlign w:val="center"/>
          </w:tcPr>
          <w:p w14:paraId="328C0939">
            <w:pPr>
              <w:snapToGrid w:val="0"/>
              <w:jc w:val="center"/>
              <w:rPr>
                <w:color w:val="auto"/>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52AE485E">
            <w:pPr>
              <w:snapToGrid w:val="0"/>
              <w:jc w:val="center"/>
              <w:rPr>
                <w:color w:val="auto"/>
                <w:sz w:val="24"/>
                <w:highlight w:val="none"/>
              </w:rPr>
            </w:pPr>
          </w:p>
        </w:tc>
        <w:tc>
          <w:tcPr>
            <w:tcW w:w="2628" w:type="dxa"/>
            <w:tcBorders>
              <w:top w:val="single" w:color="auto" w:sz="4" w:space="0"/>
              <w:left w:val="single" w:color="auto" w:sz="4" w:space="0"/>
              <w:bottom w:val="single" w:color="auto" w:sz="4" w:space="0"/>
              <w:right w:val="single" w:color="auto" w:sz="4" w:space="0"/>
            </w:tcBorders>
            <w:vAlign w:val="center"/>
          </w:tcPr>
          <w:p w14:paraId="1A8CB17D">
            <w:pPr>
              <w:snapToGrid w:val="0"/>
              <w:jc w:val="center"/>
              <w:rPr>
                <w:color w:val="auto"/>
                <w:sz w:val="24"/>
                <w:highlight w:val="none"/>
              </w:rPr>
            </w:pPr>
          </w:p>
        </w:tc>
        <w:tc>
          <w:tcPr>
            <w:tcW w:w="1735" w:type="dxa"/>
            <w:tcBorders>
              <w:top w:val="single" w:color="auto" w:sz="4" w:space="0"/>
              <w:left w:val="single" w:color="auto" w:sz="4" w:space="0"/>
              <w:bottom w:val="single" w:color="auto" w:sz="4" w:space="0"/>
              <w:right w:val="single" w:color="auto" w:sz="4" w:space="0"/>
            </w:tcBorders>
            <w:vAlign w:val="center"/>
          </w:tcPr>
          <w:p w14:paraId="29BFC479">
            <w:pPr>
              <w:snapToGrid w:val="0"/>
              <w:jc w:val="center"/>
              <w:rPr>
                <w:color w:val="auto"/>
                <w:sz w:val="24"/>
                <w:highlight w:val="none"/>
              </w:rPr>
            </w:pPr>
          </w:p>
        </w:tc>
      </w:tr>
      <w:tr w14:paraId="4A105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4AB005E4">
            <w:pPr>
              <w:snapToGrid w:val="0"/>
              <w:jc w:val="center"/>
              <w:rPr>
                <w:color w:val="auto"/>
                <w:sz w:val="24"/>
                <w:highlight w:val="none"/>
              </w:rPr>
            </w:pPr>
          </w:p>
        </w:tc>
        <w:tc>
          <w:tcPr>
            <w:tcW w:w="1615" w:type="dxa"/>
            <w:tcBorders>
              <w:top w:val="single" w:color="auto" w:sz="4" w:space="0"/>
              <w:left w:val="single" w:color="auto" w:sz="4" w:space="0"/>
              <w:bottom w:val="single" w:color="auto" w:sz="4" w:space="0"/>
              <w:right w:val="single" w:color="auto" w:sz="4" w:space="0"/>
            </w:tcBorders>
            <w:vAlign w:val="center"/>
          </w:tcPr>
          <w:p w14:paraId="77479DBB">
            <w:pPr>
              <w:snapToGrid w:val="0"/>
              <w:jc w:val="center"/>
              <w:rPr>
                <w:color w:val="auto"/>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48BDC956">
            <w:pPr>
              <w:snapToGrid w:val="0"/>
              <w:jc w:val="center"/>
              <w:rPr>
                <w:color w:val="auto"/>
                <w:sz w:val="24"/>
                <w:highlight w:val="none"/>
              </w:rPr>
            </w:pPr>
          </w:p>
        </w:tc>
        <w:tc>
          <w:tcPr>
            <w:tcW w:w="2628" w:type="dxa"/>
            <w:tcBorders>
              <w:top w:val="single" w:color="auto" w:sz="4" w:space="0"/>
              <w:left w:val="single" w:color="auto" w:sz="4" w:space="0"/>
              <w:bottom w:val="single" w:color="auto" w:sz="4" w:space="0"/>
              <w:right w:val="single" w:color="auto" w:sz="4" w:space="0"/>
            </w:tcBorders>
            <w:vAlign w:val="center"/>
          </w:tcPr>
          <w:p w14:paraId="2D76501F">
            <w:pPr>
              <w:snapToGrid w:val="0"/>
              <w:jc w:val="center"/>
              <w:rPr>
                <w:color w:val="auto"/>
                <w:sz w:val="24"/>
                <w:highlight w:val="none"/>
              </w:rPr>
            </w:pPr>
          </w:p>
        </w:tc>
        <w:tc>
          <w:tcPr>
            <w:tcW w:w="1735" w:type="dxa"/>
            <w:tcBorders>
              <w:top w:val="single" w:color="auto" w:sz="4" w:space="0"/>
              <w:left w:val="single" w:color="auto" w:sz="4" w:space="0"/>
              <w:bottom w:val="single" w:color="auto" w:sz="4" w:space="0"/>
              <w:right w:val="single" w:color="auto" w:sz="4" w:space="0"/>
            </w:tcBorders>
            <w:vAlign w:val="center"/>
          </w:tcPr>
          <w:p w14:paraId="4B6552F7">
            <w:pPr>
              <w:snapToGrid w:val="0"/>
              <w:jc w:val="center"/>
              <w:rPr>
                <w:color w:val="auto"/>
                <w:sz w:val="24"/>
                <w:highlight w:val="none"/>
              </w:rPr>
            </w:pPr>
          </w:p>
        </w:tc>
      </w:tr>
      <w:tr w14:paraId="2BCEA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4567EEAD">
            <w:pPr>
              <w:snapToGrid w:val="0"/>
              <w:jc w:val="center"/>
              <w:rPr>
                <w:color w:val="auto"/>
                <w:sz w:val="24"/>
                <w:highlight w:val="none"/>
              </w:rPr>
            </w:pPr>
          </w:p>
        </w:tc>
        <w:tc>
          <w:tcPr>
            <w:tcW w:w="1615" w:type="dxa"/>
            <w:tcBorders>
              <w:top w:val="single" w:color="auto" w:sz="4" w:space="0"/>
              <w:left w:val="single" w:color="auto" w:sz="4" w:space="0"/>
              <w:bottom w:val="single" w:color="auto" w:sz="4" w:space="0"/>
              <w:right w:val="single" w:color="auto" w:sz="4" w:space="0"/>
            </w:tcBorders>
            <w:vAlign w:val="center"/>
          </w:tcPr>
          <w:p w14:paraId="3F6A852A">
            <w:pPr>
              <w:snapToGrid w:val="0"/>
              <w:jc w:val="center"/>
              <w:rPr>
                <w:color w:val="auto"/>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2AB9A6C9">
            <w:pPr>
              <w:snapToGrid w:val="0"/>
              <w:jc w:val="center"/>
              <w:rPr>
                <w:color w:val="auto"/>
                <w:sz w:val="24"/>
                <w:highlight w:val="none"/>
              </w:rPr>
            </w:pPr>
          </w:p>
        </w:tc>
        <w:tc>
          <w:tcPr>
            <w:tcW w:w="2628" w:type="dxa"/>
            <w:tcBorders>
              <w:top w:val="single" w:color="auto" w:sz="4" w:space="0"/>
              <w:left w:val="single" w:color="auto" w:sz="4" w:space="0"/>
              <w:bottom w:val="single" w:color="auto" w:sz="4" w:space="0"/>
              <w:right w:val="single" w:color="auto" w:sz="4" w:space="0"/>
            </w:tcBorders>
            <w:vAlign w:val="center"/>
          </w:tcPr>
          <w:p w14:paraId="0080E4BB">
            <w:pPr>
              <w:snapToGrid w:val="0"/>
              <w:jc w:val="center"/>
              <w:rPr>
                <w:color w:val="auto"/>
                <w:sz w:val="24"/>
                <w:highlight w:val="none"/>
              </w:rPr>
            </w:pPr>
          </w:p>
        </w:tc>
        <w:tc>
          <w:tcPr>
            <w:tcW w:w="1735" w:type="dxa"/>
            <w:tcBorders>
              <w:top w:val="single" w:color="auto" w:sz="4" w:space="0"/>
              <w:left w:val="single" w:color="auto" w:sz="4" w:space="0"/>
              <w:bottom w:val="single" w:color="auto" w:sz="4" w:space="0"/>
              <w:right w:val="single" w:color="auto" w:sz="4" w:space="0"/>
            </w:tcBorders>
            <w:vAlign w:val="center"/>
          </w:tcPr>
          <w:p w14:paraId="48B5611F">
            <w:pPr>
              <w:snapToGrid w:val="0"/>
              <w:jc w:val="center"/>
              <w:rPr>
                <w:color w:val="auto"/>
                <w:sz w:val="24"/>
                <w:highlight w:val="none"/>
              </w:rPr>
            </w:pPr>
          </w:p>
        </w:tc>
      </w:tr>
      <w:tr w14:paraId="623FA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622C5E21">
            <w:pPr>
              <w:snapToGrid w:val="0"/>
              <w:jc w:val="center"/>
              <w:rPr>
                <w:color w:val="auto"/>
                <w:sz w:val="24"/>
                <w:highlight w:val="none"/>
              </w:rPr>
            </w:pPr>
          </w:p>
        </w:tc>
        <w:tc>
          <w:tcPr>
            <w:tcW w:w="1615" w:type="dxa"/>
            <w:tcBorders>
              <w:top w:val="single" w:color="auto" w:sz="4" w:space="0"/>
              <w:left w:val="single" w:color="auto" w:sz="4" w:space="0"/>
              <w:bottom w:val="single" w:color="auto" w:sz="4" w:space="0"/>
              <w:right w:val="single" w:color="auto" w:sz="4" w:space="0"/>
            </w:tcBorders>
            <w:vAlign w:val="center"/>
          </w:tcPr>
          <w:p w14:paraId="4930F518">
            <w:pPr>
              <w:snapToGrid w:val="0"/>
              <w:jc w:val="center"/>
              <w:rPr>
                <w:color w:val="auto"/>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070C3486">
            <w:pPr>
              <w:snapToGrid w:val="0"/>
              <w:jc w:val="center"/>
              <w:rPr>
                <w:color w:val="auto"/>
                <w:sz w:val="24"/>
                <w:highlight w:val="none"/>
              </w:rPr>
            </w:pPr>
          </w:p>
        </w:tc>
        <w:tc>
          <w:tcPr>
            <w:tcW w:w="2628" w:type="dxa"/>
            <w:tcBorders>
              <w:top w:val="single" w:color="auto" w:sz="4" w:space="0"/>
              <w:left w:val="single" w:color="auto" w:sz="4" w:space="0"/>
              <w:bottom w:val="single" w:color="auto" w:sz="4" w:space="0"/>
              <w:right w:val="single" w:color="auto" w:sz="4" w:space="0"/>
            </w:tcBorders>
            <w:vAlign w:val="center"/>
          </w:tcPr>
          <w:p w14:paraId="7F6192EC">
            <w:pPr>
              <w:snapToGrid w:val="0"/>
              <w:jc w:val="center"/>
              <w:rPr>
                <w:color w:val="auto"/>
                <w:sz w:val="24"/>
                <w:highlight w:val="none"/>
              </w:rPr>
            </w:pPr>
          </w:p>
        </w:tc>
        <w:tc>
          <w:tcPr>
            <w:tcW w:w="1735" w:type="dxa"/>
            <w:tcBorders>
              <w:top w:val="single" w:color="auto" w:sz="4" w:space="0"/>
              <w:left w:val="single" w:color="auto" w:sz="4" w:space="0"/>
              <w:bottom w:val="single" w:color="auto" w:sz="4" w:space="0"/>
              <w:right w:val="single" w:color="auto" w:sz="4" w:space="0"/>
            </w:tcBorders>
            <w:vAlign w:val="center"/>
          </w:tcPr>
          <w:p w14:paraId="3FA59330">
            <w:pPr>
              <w:snapToGrid w:val="0"/>
              <w:jc w:val="center"/>
              <w:rPr>
                <w:color w:val="auto"/>
                <w:sz w:val="24"/>
                <w:highlight w:val="none"/>
              </w:rPr>
            </w:pPr>
          </w:p>
        </w:tc>
      </w:tr>
      <w:tr w14:paraId="303C6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6397F2BD">
            <w:pPr>
              <w:snapToGrid w:val="0"/>
              <w:jc w:val="center"/>
              <w:rPr>
                <w:color w:val="auto"/>
                <w:sz w:val="24"/>
                <w:highlight w:val="none"/>
              </w:rPr>
            </w:pPr>
          </w:p>
        </w:tc>
        <w:tc>
          <w:tcPr>
            <w:tcW w:w="1615" w:type="dxa"/>
            <w:tcBorders>
              <w:top w:val="single" w:color="auto" w:sz="4" w:space="0"/>
              <w:left w:val="single" w:color="auto" w:sz="4" w:space="0"/>
              <w:bottom w:val="single" w:color="auto" w:sz="4" w:space="0"/>
              <w:right w:val="single" w:color="auto" w:sz="4" w:space="0"/>
            </w:tcBorders>
            <w:vAlign w:val="center"/>
          </w:tcPr>
          <w:p w14:paraId="1C8A451A">
            <w:pPr>
              <w:snapToGrid w:val="0"/>
              <w:jc w:val="center"/>
              <w:rPr>
                <w:color w:val="auto"/>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7AFE62C2">
            <w:pPr>
              <w:snapToGrid w:val="0"/>
              <w:jc w:val="center"/>
              <w:rPr>
                <w:color w:val="auto"/>
                <w:sz w:val="24"/>
                <w:highlight w:val="none"/>
              </w:rPr>
            </w:pPr>
          </w:p>
        </w:tc>
        <w:tc>
          <w:tcPr>
            <w:tcW w:w="2628" w:type="dxa"/>
            <w:tcBorders>
              <w:top w:val="single" w:color="auto" w:sz="4" w:space="0"/>
              <w:left w:val="single" w:color="auto" w:sz="4" w:space="0"/>
              <w:bottom w:val="single" w:color="auto" w:sz="4" w:space="0"/>
              <w:right w:val="single" w:color="auto" w:sz="4" w:space="0"/>
            </w:tcBorders>
            <w:vAlign w:val="center"/>
          </w:tcPr>
          <w:p w14:paraId="23F39074">
            <w:pPr>
              <w:snapToGrid w:val="0"/>
              <w:jc w:val="center"/>
              <w:rPr>
                <w:color w:val="auto"/>
                <w:sz w:val="24"/>
                <w:highlight w:val="none"/>
              </w:rPr>
            </w:pPr>
          </w:p>
        </w:tc>
        <w:tc>
          <w:tcPr>
            <w:tcW w:w="1735" w:type="dxa"/>
            <w:tcBorders>
              <w:top w:val="single" w:color="auto" w:sz="4" w:space="0"/>
              <w:left w:val="single" w:color="auto" w:sz="4" w:space="0"/>
              <w:bottom w:val="single" w:color="auto" w:sz="4" w:space="0"/>
              <w:right w:val="single" w:color="auto" w:sz="4" w:space="0"/>
            </w:tcBorders>
            <w:vAlign w:val="center"/>
          </w:tcPr>
          <w:p w14:paraId="19DBA87E">
            <w:pPr>
              <w:snapToGrid w:val="0"/>
              <w:jc w:val="center"/>
              <w:rPr>
                <w:color w:val="auto"/>
                <w:sz w:val="24"/>
                <w:highlight w:val="none"/>
              </w:rPr>
            </w:pPr>
          </w:p>
        </w:tc>
      </w:tr>
      <w:tr w14:paraId="5999A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3D8B2B37">
            <w:pPr>
              <w:snapToGrid w:val="0"/>
              <w:jc w:val="center"/>
              <w:rPr>
                <w:color w:val="auto"/>
                <w:sz w:val="24"/>
                <w:highlight w:val="none"/>
              </w:rPr>
            </w:pPr>
          </w:p>
        </w:tc>
        <w:tc>
          <w:tcPr>
            <w:tcW w:w="1615" w:type="dxa"/>
            <w:tcBorders>
              <w:top w:val="single" w:color="auto" w:sz="4" w:space="0"/>
              <w:left w:val="single" w:color="auto" w:sz="4" w:space="0"/>
              <w:bottom w:val="single" w:color="auto" w:sz="4" w:space="0"/>
              <w:right w:val="single" w:color="auto" w:sz="4" w:space="0"/>
            </w:tcBorders>
            <w:vAlign w:val="center"/>
          </w:tcPr>
          <w:p w14:paraId="12A644FB">
            <w:pPr>
              <w:snapToGrid w:val="0"/>
              <w:jc w:val="center"/>
              <w:rPr>
                <w:color w:val="auto"/>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00EE6052">
            <w:pPr>
              <w:snapToGrid w:val="0"/>
              <w:jc w:val="center"/>
              <w:rPr>
                <w:color w:val="auto"/>
                <w:sz w:val="24"/>
                <w:highlight w:val="none"/>
              </w:rPr>
            </w:pPr>
          </w:p>
        </w:tc>
        <w:tc>
          <w:tcPr>
            <w:tcW w:w="2628" w:type="dxa"/>
            <w:tcBorders>
              <w:top w:val="single" w:color="auto" w:sz="4" w:space="0"/>
              <w:left w:val="single" w:color="auto" w:sz="4" w:space="0"/>
              <w:bottom w:val="single" w:color="auto" w:sz="4" w:space="0"/>
              <w:right w:val="single" w:color="auto" w:sz="4" w:space="0"/>
            </w:tcBorders>
            <w:vAlign w:val="center"/>
          </w:tcPr>
          <w:p w14:paraId="18EC15AE">
            <w:pPr>
              <w:snapToGrid w:val="0"/>
              <w:jc w:val="center"/>
              <w:rPr>
                <w:color w:val="auto"/>
                <w:sz w:val="24"/>
                <w:highlight w:val="none"/>
              </w:rPr>
            </w:pPr>
          </w:p>
        </w:tc>
        <w:tc>
          <w:tcPr>
            <w:tcW w:w="1735" w:type="dxa"/>
            <w:tcBorders>
              <w:top w:val="single" w:color="auto" w:sz="4" w:space="0"/>
              <w:left w:val="single" w:color="auto" w:sz="4" w:space="0"/>
              <w:bottom w:val="single" w:color="auto" w:sz="4" w:space="0"/>
              <w:right w:val="single" w:color="auto" w:sz="4" w:space="0"/>
            </w:tcBorders>
            <w:vAlign w:val="center"/>
          </w:tcPr>
          <w:p w14:paraId="746A249D">
            <w:pPr>
              <w:snapToGrid w:val="0"/>
              <w:jc w:val="center"/>
              <w:rPr>
                <w:color w:val="auto"/>
                <w:sz w:val="24"/>
                <w:highlight w:val="none"/>
              </w:rPr>
            </w:pPr>
          </w:p>
        </w:tc>
      </w:tr>
      <w:tr w14:paraId="70561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7B95CB0D">
            <w:pPr>
              <w:snapToGrid w:val="0"/>
              <w:jc w:val="center"/>
              <w:rPr>
                <w:color w:val="auto"/>
                <w:sz w:val="24"/>
                <w:highlight w:val="none"/>
              </w:rPr>
            </w:pPr>
          </w:p>
        </w:tc>
        <w:tc>
          <w:tcPr>
            <w:tcW w:w="1615" w:type="dxa"/>
            <w:tcBorders>
              <w:top w:val="single" w:color="auto" w:sz="4" w:space="0"/>
              <w:left w:val="single" w:color="auto" w:sz="4" w:space="0"/>
              <w:bottom w:val="single" w:color="auto" w:sz="4" w:space="0"/>
              <w:right w:val="single" w:color="auto" w:sz="4" w:space="0"/>
            </w:tcBorders>
            <w:vAlign w:val="center"/>
          </w:tcPr>
          <w:p w14:paraId="3B71FA67">
            <w:pPr>
              <w:snapToGrid w:val="0"/>
              <w:jc w:val="center"/>
              <w:rPr>
                <w:color w:val="auto"/>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2CDC1EA4">
            <w:pPr>
              <w:snapToGrid w:val="0"/>
              <w:jc w:val="center"/>
              <w:rPr>
                <w:color w:val="auto"/>
                <w:sz w:val="24"/>
                <w:highlight w:val="none"/>
              </w:rPr>
            </w:pPr>
          </w:p>
        </w:tc>
        <w:tc>
          <w:tcPr>
            <w:tcW w:w="2628" w:type="dxa"/>
            <w:tcBorders>
              <w:top w:val="single" w:color="auto" w:sz="4" w:space="0"/>
              <w:left w:val="single" w:color="auto" w:sz="4" w:space="0"/>
              <w:bottom w:val="single" w:color="auto" w:sz="4" w:space="0"/>
              <w:right w:val="single" w:color="auto" w:sz="4" w:space="0"/>
            </w:tcBorders>
            <w:vAlign w:val="center"/>
          </w:tcPr>
          <w:p w14:paraId="359335DD">
            <w:pPr>
              <w:snapToGrid w:val="0"/>
              <w:jc w:val="center"/>
              <w:rPr>
                <w:color w:val="auto"/>
                <w:sz w:val="24"/>
                <w:highlight w:val="none"/>
              </w:rPr>
            </w:pPr>
          </w:p>
        </w:tc>
        <w:tc>
          <w:tcPr>
            <w:tcW w:w="1735" w:type="dxa"/>
            <w:tcBorders>
              <w:top w:val="single" w:color="auto" w:sz="4" w:space="0"/>
              <w:left w:val="single" w:color="auto" w:sz="4" w:space="0"/>
              <w:bottom w:val="single" w:color="auto" w:sz="4" w:space="0"/>
              <w:right w:val="single" w:color="auto" w:sz="4" w:space="0"/>
            </w:tcBorders>
            <w:vAlign w:val="center"/>
          </w:tcPr>
          <w:p w14:paraId="1250DCCC">
            <w:pPr>
              <w:snapToGrid w:val="0"/>
              <w:jc w:val="center"/>
              <w:rPr>
                <w:color w:val="auto"/>
                <w:sz w:val="24"/>
                <w:highlight w:val="none"/>
              </w:rPr>
            </w:pPr>
          </w:p>
        </w:tc>
      </w:tr>
      <w:tr w14:paraId="51552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4A40D0FB">
            <w:pPr>
              <w:snapToGrid w:val="0"/>
              <w:jc w:val="center"/>
              <w:rPr>
                <w:color w:val="auto"/>
                <w:sz w:val="24"/>
                <w:highlight w:val="none"/>
              </w:rPr>
            </w:pPr>
          </w:p>
        </w:tc>
        <w:tc>
          <w:tcPr>
            <w:tcW w:w="1615" w:type="dxa"/>
            <w:tcBorders>
              <w:top w:val="single" w:color="auto" w:sz="4" w:space="0"/>
              <w:left w:val="single" w:color="auto" w:sz="4" w:space="0"/>
              <w:bottom w:val="single" w:color="auto" w:sz="4" w:space="0"/>
              <w:right w:val="single" w:color="auto" w:sz="4" w:space="0"/>
            </w:tcBorders>
            <w:vAlign w:val="center"/>
          </w:tcPr>
          <w:p w14:paraId="33782FEE">
            <w:pPr>
              <w:snapToGrid w:val="0"/>
              <w:jc w:val="center"/>
              <w:rPr>
                <w:color w:val="auto"/>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31FCC6F7">
            <w:pPr>
              <w:snapToGrid w:val="0"/>
              <w:jc w:val="center"/>
              <w:rPr>
                <w:color w:val="auto"/>
                <w:sz w:val="24"/>
                <w:highlight w:val="none"/>
              </w:rPr>
            </w:pPr>
          </w:p>
        </w:tc>
        <w:tc>
          <w:tcPr>
            <w:tcW w:w="2628" w:type="dxa"/>
            <w:tcBorders>
              <w:top w:val="single" w:color="auto" w:sz="4" w:space="0"/>
              <w:left w:val="single" w:color="auto" w:sz="4" w:space="0"/>
              <w:bottom w:val="single" w:color="auto" w:sz="4" w:space="0"/>
              <w:right w:val="single" w:color="auto" w:sz="4" w:space="0"/>
            </w:tcBorders>
            <w:vAlign w:val="center"/>
          </w:tcPr>
          <w:p w14:paraId="65329038">
            <w:pPr>
              <w:snapToGrid w:val="0"/>
              <w:jc w:val="center"/>
              <w:rPr>
                <w:color w:val="auto"/>
                <w:sz w:val="24"/>
                <w:highlight w:val="none"/>
              </w:rPr>
            </w:pPr>
          </w:p>
        </w:tc>
        <w:tc>
          <w:tcPr>
            <w:tcW w:w="1735" w:type="dxa"/>
            <w:tcBorders>
              <w:top w:val="single" w:color="auto" w:sz="4" w:space="0"/>
              <w:left w:val="single" w:color="auto" w:sz="4" w:space="0"/>
              <w:bottom w:val="single" w:color="auto" w:sz="4" w:space="0"/>
              <w:right w:val="single" w:color="auto" w:sz="4" w:space="0"/>
            </w:tcBorders>
            <w:vAlign w:val="center"/>
          </w:tcPr>
          <w:p w14:paraId="194EB2DA">
            <w:pPr>
              <w:snapToGrid w:val="0"/>
              <w:jc w:val="center"/>
              <w:rPr>
                <w:color w:val="auto"/>
                <w:sz w:val="24"/>
                <w:highlight w:val="none"/>
              </w:rPr>
            </w:pPr>
          </w:p>
        </w:tc>
      </w:tr>
      <w:tr w14:paraId="38698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238B0BCD">
            <w:pPr>
              <w:snapToGrid w:val="0"/>
              <w:jc w:val="center"/>
              <w:rPr>
                <w:color w:val="auto"/>
                <w:sz w:val="24"/>
                <w:highlight w:val="none"/>
              </w:rPr>
            </w:pPr>
          </w:p>
        </w:tc>
        <w:tc>
          <w:tcPr>
            <w:tcW w:w="1615" w:type="dxa"/>
            <w:tcBorders>
              <w:top w:val="single" w:color="auto" w:sz="4" w:space="0"/>
              <w:left w:val="single" w:color="auto" w:sz="4" w:space="0"/>
              <w:bottom w:val="single" w:color="auto" w:sz="4" w:space="0"/>
              <w:right w:val="single" w:color="auto" w:sz="4" w:space="0"/>
            </w:tcBorders>
            <w:vAlign w:val="center"/>
          </w:tcPr>
          <w:p w14:paraId="7797D912">
            <w:pPr>
              <w:snapToGrid w:val="0"/>
              <w:jc w:val="center"/>
              <w:rPr>
                <w:color w:val="auto"/>
                <w:sz w:val="24"/>
                <w:highlight w:val="none"/>
              </w:rPr>
            </w:pPr>
          </w:p>
        </w:tc>
        <w:tc>
          <w:tcPr>
            <w:tcW w:w="1239" w:type="dxa"/>
            <w:tcBorders>
              <w:top w:val="single" w:color="auto" w:sz="4" w:space="0"/>
              <w:left w:val="single" w:color="auto" w:sz="4" w:space="0"/>
              <w:bottom w:val="single" w:color="auto" w:sz="4" w:space="0"/>
              <w:right w:val="single" w:color="auto" w:sz="4" w:space="0"/>
            </w:tcBorders>
            <w:vAlign w:val="center"/>
          </w:tcPr>
          <w:p w14:paraId="0E0A0BBD">
            <w:pPr>
              <w:snapToGrid w:val="0"/>
              <w:jc w:val="center"/>
              <w:rPr>
                <w:color w:val="auto"/>
                <w:sz w:val="24"/>
                <w:highlight w:val="none"/>
              </w:rPr>
            </w:pPr>
          </w:p>
        </w:tc>
        <w:tc>
          <w:tcPr>
            <w:tcW w:w="2628" w:type="dxa"/>
            <w:tcBorders>
              <w:top w:val="single" w:color="auto" w:sz="4" w:space="0"/>
              <w:left w:val="single" w:color="auto" w:sz="4" w:space="0"/>
              <w:bottom w:val="single" w:color="auto" w:sz="4" w:space="0"/>
              <w:right w:val="single" w:color="auto" w:sz="4" w:space="0"/>
            </w:tcBorders>
            <w:vAlign w:val="center"/>
          </w:tcPr>
          <w:p w14:paraId="5610CA38">
            <w:pPr>
              <w:snapToGrid w:val="0"/>
              <w:jc w:val="center"/>
              <w:rPr>
                <w:color w:val="auto"/>
                <w:sz w:val="24"/>
                <w:highlight w:val="none"/>
              </w:rPr>
            </w:pPr>
          </w:p>
        </w:tc>
        <w:tc>
          <w:tcPr>
            <w:tcW w:w="1735" w:type="dxa"/>
            <w:tcBorders>
              <w:top w:val="single" w:color="auto" w:sz="4" w:space="0"/>
              <w:left w:val="single" w:color="auto" w:sz="4" w:space="0"/>
              <w:bottom w:val="single" w:color="auto" w:sz="4" w:space="0"/>
              <w:right w:val="single" w:color="auto" w:sz="4" w:space="0"/>
            </w:tcBorders>
            <w:vAlign w:val="center"/>
          </w:tcPr>
          <w:p w14:paraId="30E853CF">
            <w:pPr>
              <w:snapToGrid w:val="0"/>
              <w:jc w:val="center"/>
              <w:rPr>
                <w:color w:val="auto"/>
                <w:sz w:val="24"/>
                <w:highlight w:val="none"/>
              </w:rPr>
            </w:pPr>
          </w:p>
        </w:tc>
      </w:tr>
    </w:tbl>
    <w:p w14:paraId="1BC3E328">
      <w:pPr>
        <w:spacing w:line="560" w:lineRule="exact"/>
        <w:rPr>
          <w:color w:val="auto"/>
          <w:sz w:val="24"/>
          <w:highlight w:val="none"/>
        </w:rPr>
      </w:pPr>
      <w:r>
        <w:rPr>
          <w:color w:val="auto"/>
          <w:sz w:val="24"/>
          <w:highlight w:val="none"/>
        </w:rPr>
        <w:t>备注：若招标文件第二部分评分因素及评标标准中要求提供业绩的，投标人所列业绩应按其要求将证明材料按顺序附后。</w:t>
      </w:r>
    </w:p>
    <w:p w14:paraId="45A813CD">
      <w:pPr>
        <w:spacing w:line="560" w:lineRule="exact"/>
        <w:rPr>
          <w:color w:val="auto"/>
          <w:sz w:val="24"/>
          <w:highlight w:val="none"/>
        </w:rPr>
      </w:pPr>
    </w:p>
    <w:p w14:paraId="7A00A75B">
      <w:pPr>
        <w:spacing w:line="360" w:lineRule="auto"/>
        <w:ind w:firstLine="3808" w:firstLineChars="1700"/>
        <w:rPr>
          <w:color w:val="auto"/>
          <w:sz w:val="24"/>
          <w:highlight w:val="none"/>
        </w:rPr>
      </w:pPr>
      <w:r>
        <w:rPr>
          <w:color w:val="auto"/>
          <w:sz w:val="24"/>
          <w:highlight w:val="none"/>
        </w:rPr>
        <w:t>投标人名称：</w:t>
      </w:r>
    </w:p>
    <w:p w14:paraId="38DC7255">
      <w:pPr>
        <w:spacing w:line="360" w:lineRule="auto"/>
        <w:ind w:firstLine="3808" w:firstLineChars="1700"/>
        <w:rPr>
          <w:color w:val="auto"/>
          <w:sz w:val="24"/>
          <w:highlight w:val="none"/>
        </w:rPr>
      </w:pPr>
    </w:p>
    <w:p w14:paraId="02039318">
      <w:pPr>
        <w:spacing w:line="360" w:lineRule="auto"/>
        <w:ind w:firstLine="3808" w:firstLineChars="1700"/>
        <w:rPr>
          <w:color w:val="auto"/>
          <w:sz w:val="24"/>
          <w:highlight w:val="none"/>
        </w:rPr>
      </w:pPr>
      <w:r>
        <w:rPr>
          <w:color w:val="auto"/>
          <w:sz w:val="24"/>
          <w:highlight w:val="none"/>
        </w:rPr>
        <w:t>日期：</w:t>
      </w:r>
      <w:r>
        <w:rPr>
          <w:color w:val="auto"/>
          <w:sz w:val="24"/>
          <w:highlight w:val="none"/>
          <w:u w:val="single"/>
        </w:rPr>
        <w:t xml:space="preserve">     </w:t>
      </w:r>
      <w:r>
        <w:rPr>
          <w:color w:val="auto"/>
          <w:sz w:val="24"/>
          <w:highlight w:val="none"/>
        </w:rPr>
        <w:t>年</w:t>
      </w:r>
      <w:r>
        <w:rPr>
          <w:color w:val="auto"/>
          <w:sz w:val="24"/>
          <w:highlight w:val="none"/>
          <w:u w:val="single"/>
        </w:rPr>
        <w:t xml:space="preserve">    </w:t>
      </w:r>
      <w:r>
        <w:rPr>
          <w:color w:val="auto"/>
          <w:sz w:val="24"/>
          <w:highlight w:val="none"/>
        </w:rPr>
        <w:t>月</w:t>
      </w:r>
      <w:r>
        <w:rPr>
          <w:color w:val="auto"/>
          <w:sz w:val="24"/>
          <w:highlight w:val="none"/>
          <w:u w:val="single"/>
        </w:rPr>
        <w:t xml:space="preserve">    </w:t>
      </w:r>
      <w:r>
        <w:rPr>
          <w:color w:val="auto"/>
          <w:sz w:val="24"/>
          <w:highlight w:val="none"/>
        </w:rPr>
        <w:t>日</w:t>
      </w:r>
    </w:p>
    <w:p w14:paraId="4497E6F8">
      <w:pPr>
        <w:spacing w:line="460" w:lineRule="exact"/>
        <w:rPr>
          <w:color w:val="auto"/>
          <w:sz w:val="24"/>
          <w:highlight w:val="none"/>
        </w:rPr>
      </w:pPr>
    </w:p>
    <w:p w14:paraId="2F386036">
      <w:pPr>
        <w:widowControl/>
        <w:jc w:val="left"/>
        <w:rPr>
          <w:color w:val="auto"/>
          <w:sz w:val="24"/>
          <w:highlight w:val="none"/>
        </w:rPr>
      </w:pPr>
      <w:r>
        <w:rPr>
          <w:color w:val="auto"/>
          <w:sz w:val="24"/>
          <w:highlight w:val="none"/>
        </w:rPr>
        <w:br w:type="page"/>
      </w:r>
    </w:p>
    <w:p w14:paraId="7BD087EC">
      <w:pPr>
        <w:tabs>
          <w:tab w:val="left" w:pos="360"/>
        </w:tabs>
        <w:spacing w:line="360" w:lineRule="auto"/>
        <w:rPr>
          <w:b/>
          <w:color w:val="auto"/>
          <w:sz w:val="24"/>
          <w:highlight w:val="none"/>
        </w:rPr>
      </w:pPr>
      <w:r>
        <w:rPr>
          <w:b/>
          <w:color w:val="auto"/>
          <w:sz w:val="24"/>
          <w:highlight w:val="none"/>
        </w:rPr>
        <w:t>附件</w:t>
      </w:r>
      <w:r>
        <w:rPr>
          <w:rFonts w:hint="eastAsia"/>
          <w:b/>
          <w:color w:val="auto"/>
          <w:sz w:val="24"/>
          <w:highlight w:val="none"/>
        </w:rPr>
        <w:t>8</w:t>
      </w:r>
    </w:p>
    <w:p w14:paraId="38420EFB">
      <w:pPr>
        <w:autoSpaceDN w:val="0"/>
        <w:spacing w:line="360" w:lineRule="auto"/>
        <w:jc w:val="center"/>
        <w:rPr>
          <w:b/>
          <w:bCs/>
          <w:color w:val="auto"/>
          <w:sz w:val="24"/>
          <w:highlight w:val="none"/>
        </w:rPr>
      </w:pPr>
      <w:r>
        <w:rPr>
          <w:rFonts w:hint="eastAsia"/>
          <w:b/>
          <w:bCs/>
          <w:color w:val="auto"/>
          <w:sz w:val="24"/>
          <w:highlight w:val="none"/>
        </w:rPr>
        <w:t>投标</w:t>
      </w:r>
      <w:r>
        <w:rPr>
          <w:b/>
          <w:bCs/>
          <w:color w:val="auto"/>
          <w:sz w:val="24"/>
          <w:highlight w:val="none"/>
        </w:rPr>
        <w:t>代表人授权书</w:t>
      </w:r>
    </w:p>
    <w:p w14:paraId="2AAED04A">
      <w:pPr>
        <w:spacing w:line="360" w:lineRule="auto"/>
        <w:rPr>
          <w:color w:val="auto"/>
          <w:sz w:val="24"/>
          <w:szCs w:val="21"/>
          <w:highlight w:val="none"/>
        </w:rPr>
      </w:pPr>
    </w:p>
    <w:p w14:paraId="0659FC95">
      <w:pPr>
        <w:spacing w:line="360" w:lineRule="auto"/>
        <w:rPr>
          <w:color w:val="auto"/>
          <w:sz w:val="24"/>
          <w:szCs w:val="21"/>
          <w:highlight w:val="none"/>
        </w:rPr>
      </w:pPr>
      <w:r>
        <w:rPr>
          <w:color w:val="auto"/>
          <w:sz w:val="24"/>
          <w:szCs w:val="21"/>
          <w:highlight w:val="none"/>
        </w:rPr>
        <w:t>致：天津市政府采购中心</w:t>
      </w:r>
    </w:p>
    <w:p w14:paraId="63F98B17">
      <w:pPr>
        <w:spacing w:line="360" w:lineRule="auto"/>
        <w:ind w:firstLine="448" w:firstLineChars="200"/>
        <w:rPr>
          <w:color w:val="auto"/>
          <w:sz w:val="24"/>
          <w:szCs w:val="21"/>
          <w:highlight w:val="none"/>
        </w:rPr>
      </w:pPr>
      <w:r>
        <w:rPr>
          <w:rFonts w:hint="eastAsia"/>
          <w:color w:val="auto"/>
          <w:sz w:val="24"/>
          <w:szCs w:val="21"/>
          <w:highlight w:val="none"/>
        </w:rPr>
        <w:t>我单位</w:t>
      </w:r>
      <w:r>
        <w:rPr>
          <w:color w:val="auto"/>
          <w:sz w:val="24"/>
          <w:szCs w:val="21"/>
          <w:highlight w:val="none"/>
        </w:rPr>
        <w:t>授权委托本月</w:t>
      </w:r>
      <w:r>
        <w:rPr>
          <w:rFonts w:hint="eastAsia"/>
          <w:color w:val="auto"/>
          <w:sz w:val="24"/>
          <w:szCs w:val="21"/>
          <w:highlight w:val="none"/>
        </w:rPr>
        <w:t>/上月（本月尚未缴纳社保的，则填写上月）由我单位缴纳社会保险的</w:t>
      </w:r>
      <w:r>
        <w:rPr>
          <w:color w:val="auto"/>
          <w:sz w:val="24"/>
          <w:szCs w:val="21"/>
          <w:highlight w:val="none"/>
        </w:rPr>
        <w:t>在职职工_______________（姓名）（身份证号码：____________________、联系电话：_______________）作为投标代表人以我方的名义参加贵中心组织的______________________项目（项目编号：_______________）的投标活动，并代表我方全权办理针对上述项目的投标、开标、投标文件澄清、签约等一切具体事务和签署相关文件。</w:t>
      </w:r>
    </w:p>
    <w:p w14:paraId="6CFFEF68">
      <w:pPr>
        <w:spacing w:line="360" w:lineRule="auto"/>
        <w:ind w:firstLine="448" w:firstLineChars="200"/>
        <w:rPr>
          <w:color w:val="auto"/>
          <w:sz w:val="24"/>
          <w:szCs w:val="21"/>
          <w:highlight w:val="none"/>
        </w:rPr>
      </w:pPr>
      <w:r>
        <w:rPr>
          <w:color w:val="auto"/>
          <w:sz w:val="24"/>
          <w:szCs w:val="21"/>
          <w:highlight w:val="none"/>
        </w:rPr>
        <w:t>我方对</w:t>
      </w:r>
      <w:r>
        <w:rPr>
          <w:rFonts w:hint="eastAsia"/>
          <w:color w:val="auto"/>
          <w:sz w:val="24"/>
          <w:szCs w:val="21"/>
          <w:highlight w:val="none"/>
        </w:rPr>
        <w:t>投标代表人</w:t>
      </w:r>
      <w:r>
        <w:rPr>
          <w:color w:val="auto"/>
          <w:sz w:val="24"/>
          <w:szCs w:val="21"/>
          <w:highlight w:val="none"/>
        </w:rPr>
        <w:t>的签名事项负全部责任。</w:t>
      </w:r>
    </w:p>
    <w:p w14:paraId="309498D6">
      <w:pPr>
        <w:spacing w:line="360" w:lineRule="auto"/>
        <w:ind w:firstLine="448" w:firstLineChars="200"/>
        <w:rPr>
          <w:color w:val="auto"/>
          <w:sz w:val="24"/>
          <w:szCs w:val="21"/>
          <w:highlight w:val="none"/>
        </w:rPr>
      </w:pPr>
      <w:r>
        <w:rPr>
          <w:color w:val="auto"/>
          <w:sz w:val="24"/>
          <w:szCs w:val="21"/>
          <w:highlight w:val="none"/>
        </w:rPr>
        <w:t>本授权书至投标有效期结束前始终有效。</w:t>
      </w:r>
    </w:p>
    <w:p w14:paraId="1CA956C6">
      <w:pPr>
        <w:spacing w:line="360" w:lineRule="auto"/>
        <w:ind w:firstLine="448" w:firstLineChars="200"/>
        <w:rPr>
          <w:color w:val="auto"/>
          <w:sz w:val="24"/>
          <w:szCs w:val="21"/>
          <w:highlight w:val="none"/>
        </w:rPr>
      </w:pPr>
      <w:r>
        <w:rPr>
          <w:color w:val="auto"/>
          <w:sz w:val="24"/>
          <w:szCs w:val="21"/>
          <w:highlight w:val="none"/>
        </w:rPr>
        <w:t>投标代表人无转委托权，特此委托。</w:t>
      </w:r>
    </w:p>
    <w:p w14:paraId="195604DD">
      <w:pPr>
        <w:spacing w:line="360" w:lineRule="auto"/>
        <w:ind w:firstLine="448" w:firstLineChars="200"/>
        <w:rPr>
          <w:color w:val="auto"/>
          <w:sz w:val="24"/>
          <w:highlight w:val="none"/>
        </w:rPr>
      </w:pPr>
    </w:p>
    <w:p w14:paraId="5FCE4088">
      <w:pPr>
        <w:spacing w:line="360" w:lineRule="auto"/>
        <w:ind w:firstLine="448" w:firstLineChars="200"/>
        <w:rPr>
          <w:color w:val="auto"/>
          <w:sz w:val="24"/>
          <w:highlight w:val="none"/>
        </w:rPr>
      </w:pPr>
    </w:p>
    <w:p w14:paraId="3DEB90D6">
      <w:pPr>
        <w:spacing w:line="480" w:lineRule="auto"/>
        <w:jc w:val="center"/>
        <w:rPr>
          <w:color w:val="auto"/>
          <w:sz w:val="24"/>
          <w:highlight w:val="none"/>
        </w:rPr>
      </w:pPr>
      <w:r>
        <w:rPr>
          <w:color w:val="auto"/>
          <w:sz w:val="24"/>
          <w:highlight w:val="none"/>
        </w:rPr>
        <w:t xml:space="preserve">     年   月   日 </w:t>
      </w:r>
    </w:p>
    <w:p w14:paraId="7E374360">
      <w:pPr>
        <w:spacing w:line="360" w:lineRule="auto"/>
        <w:ind w:firstLine="4704" w:firstLineChars="2100"/>
        <w:rPr>
          <w:color w:val="auto"/>
          <w:sz w:val="24"/>
          <w:highlight w:val="none"/>
        </w:rPr>
      </w:pPr>
    </w:p>
    <w:tbl>
      <w:tblPr>
        <w:tblStyle w:val="24"/>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4"/>
        <w:gridCol w:w="4264"/>
      </w:tblGrid>
      <w:tr w14:paraId="11F15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4" w:type="dxa"/>
          </w:tcPr>
          <w:p w14:paraId="6F7BF587">
            <w:pPr>
              <w:spacing w:line="360" w:lineRule="auto"/>
              <w:jc w:val="left"/>
              <w:rPr>
                <w:color w:val="auto"/>
                <w:sz w:val="24"/>
                <w:highlight w:val="none"/>
              </w:rPr>
            </w:pPr>
            <w:r>
              <w:rPr>
                <w:color w:val="auto"/>
                <w:sz w:val="24"/>
                <w:highlight w:val="none"/>
              </w:rPr>
              <w:t>投标代表人身份证正面</w:t>
            </w:r>
          </w:p>
          <w:p w14:paraId="233873C3">
            <w:pPr>
              <w:spacing w:line="360" w:lineRule="auto"/>
              <w:jc w:val="left"/>
              <w:rPr>
                <w:color w:val="auto"/>
                <w:sz w:val="24"/>
                <w:highlight w:val="none"/>
              </w:rPr>
            </w:pPr>
          </w:p>
          <w:p w14:paraId="78D0694F">
            <w:pPr>
              <w:spacing w:line="360" w:lineRule="auto"/>
              <w:jc w:val="left"/>
              <w:rPr>
                <w:color w:val="auto"/>
                <w:sz w:val="24"/>
                <w:highlight w:val="none"/>
              </w:rPr>
            </w:pPr>
          </w:p>
          <w:p w14:paraId="6D599FED">
            <w:pPr>
              <w:spacing w:line="360" w:lineRule="auto"/>
              <w:jc w:val="left"/>
              <w:rPr>
                <w:color w:val="auto"/>
                <w:sz w:val="24"/>
                <w:highlight w:val="none"/>
              </w:rPr>
            </w:pPr>
          </w:p>
          <w:p w14:paraId="689FBEBE">
            <w:pPr>
              <w:spacing w:line="360" w:lineRule="auto"/>
              <w:jc w:val="left"/>
              <w:rPr>
                <w:color w:val="auto"/>
                <w:sz w:val="24"/>
                <w:highlight w:val="none"/>
              </w:rPr>
            </w:pPr>
          </w:p>
          <w:p w14:paraId="548D2604">
            <w:pPr>
              <w:spacing w:line="360" w:lineRule="auto"/>
              <w:jc w:val="left"/>
              <w:rPr>
                <w:color w:val="auto"/>
                <w:sz w:val="24"/>
                <w:highlight w:val="none"/>
              </w:rPr>
            </w:pPr>
          </w:p>
        </w:tc>
        <w:tc>
          <w:tcPr>
            <w:tcW w:w="4264" w:type="dxa"/>
          </w:tcPr>
          <w:p w14:paraId="52A7F296">
            <w:pPr>
              <w:spacing w:line="360" w:lineRule="auto"/>
              <w:jc w:val="left"/>
              <w:rPr>
                <w:color w:val="auto"/>
                <w:sz w:val="24"/>
                <w:highlight w:val="none"/>
              </w:rPr>
            </w:pPr>
            <w:r>
              <w:rPr>
                <w:color w:val="auto"/>
                <w:sz w:val="24"/>
                <w:highlight w:val="none"/>
              </w:rPr>
              <w:t>投标代表人身份证背面</w:t>
            </w:r>
          </w:p>
        </w:tc>
      </w:tr>
    </w:tbl>
    <w:p w14:paraId="3992712E">
      <w:pPr>
        <w:widowControl/>
        <w:jc w:val="left"/>
        <w:rPr>
          <w:color w:val="auto"/>
          <w:sz w:val="24"/>
          <w:highlight w:val="none"/>
        </w:rPr>
      </w:pPr>
      <w:r>
        <w:rPr>
          <w:color w:val="auto"/>
          <w:sz w:val="24"/>
          <w:highlight w:val="none"/>
        </w:rPr>
        <w:br w:type="page"/>
      </w:r>
    </w:p>
    <w:p w14:paraId="556C1AB7">
      <w:pPr>
        <w:autoSpaceDN w:val="0"/>
        <w:spacing w:line="360" w:lineRule="auto"/>
        <w:jc w:val="left"/>
        <w:rPr>
          <w:b/>
          <w:bCs/>
          <w:color w:val="auto"/>
          <w:sz w:val="24"/>
          <w:highlight w:val="none"/>
        </w:rPr>
      </w:pPr>
      <w:r>
        <w:rPr>
          <w:b/>
          <w:bCs/>
          <w:color w:val="auto"/>
          <w:sz w:val="24"/>
          <w:highlight w:val="none"/>
        </w:rPr>
        <w:t>附件</w:t>
      </w:r>
      <w:r>
        <w:rPr>
          <w:rFonts w:hint="eastAsia"/>
          <w:b/>
          <w:bCs/>
          <w:color w:val="auto"/>
          <w:sz w:val="24"/>
          <w:highlight w:val="none"/>
        </w:rPr>
        <w:t>9-1</w:t>
      </w:r>
    </w:p>
    <w:p w14:paraId="173316AC">
      <w:pPr>
        <w:autoSpaceDE w:val="0"/>
        <w:autoSpaceDN w:val="0"/>
        <w:spacing w:line="480" w:lineRule="auto"/>
        <w:jc w:val="center"/>
        <w:rPr>
          <w:color w:val="auto"/>
          <w:sz w:val="24"/>
          <w:szCs w:val="24"/>
          <w:highlight w:val="none"/>
        </w:rPr>
      </w:pPr>
      <w:r>
        <w:rPr>
          <w:b/>
          <w:color w:val="auto"/>
          <w:sz w:val="24"/>
          <w:szCs w:val="24"/>
          <w:highlight w:val="none"/>
        </w:rPr>
        <w:t>中小企业声明函（服务）</w:t>
      </w:r>
    </w:p>
    <w:p w14:paraId="5E2E5B1D">
      <w:pPr>
        <w:widowControl/>
        <w:spacing w:line="500" w:lineRule="exact"/>
        <w:ind w:firstLine="448" w:firstLineChars="200"/>
        <w:jc w:val="left"/>
        <w:rPr>
          <w:color w:val="auto"/>
          <w:sz w:val="24"/>
          <w:szCs w:val="24"/>
          <w:highlight w:val="none"/>
        </w:rPr>
      </w:pPr>
      <w:r>
        <w:rPr>
          <w:color w:val="auto"/>
          <w:sz w:val="24"/>
          <w:szCs w:val="24"/>
          <w:highlight w:val="none"/>
        </w:rPr>
        <w:t>本公司（联合体）郑重声明，根据《政府采购促进中小企业发展管理办法》（财库﹝2020﹞46号）的规定，本公司（联合体）参加</w:t>
      </w:r>
      <w:r>
        <w:rPr>
          <w:color w:val="auto"/>
          <w:sz w:val="24"/>
          <w:szCs w:val="24"/>
          <w:highlight w:val="none"/>
          <w:u w:val="single"/>
        </w:rPr>
        <w:t xml:space="preserve">           </w:t>
      </w:r>
      <w:r>
        <w:rPr>
          <w:b/>
          <w:color w:val="auto"/>
          <w:sz w:val="24"/>
          <w:szCs w:val="24"/>
          <w:highlight w:val="none"/>
          <w:u w:val="single"/>
        </w:rPr>
        <w:t>（请填写项目名称）</w:t>
      </w:r>
      <w:r>
        <w:rPr>
          <w:color w:val="auto"/>
          <w:sz w:val="24"/>
          <w:szCs w:val="24"/>
          <w:highlight w:val="none"/>
        </w:rPr>
        <w:t>采购活动，服务全部由符合政策要求的中小企业承接。相关企业（含联合体中的中小企业、签订分包意向协议的中小企业）的具体情况如下：</w:t>
      </w:r>
    </w:p>
    <w:p w14:paraId="30BF5F3E">
      <w:pPr>
        <w:autoSpaceDE w:val="0"/>
        <w:autoSpaceDN w:val="0"/>
        <w:spacing w:line="500" w:lineRule="exact"/>
        <w:ind w:firstLine="448" w:firstLineChars="200"/>
        <w:jc w:val="left"/>
        <w:rPr>
          <w:color w:val="auto"/>
          <w:sz w:val="24"/>
          <w:szCs w:val="24"/>
          <w:highlight w:val="none"/>
        </w:rPr>
      </w:pPr>
      <w:r>
        <w:rPr>
          <w:color w:val="auto"/>
          <w:sz w:val="24"/>
          <w:szCs w:val="24"/>
          <w:highlight w:val="none"/>
        </w:rPr>
        <w:t>1.</w:t>
      </w:r>
      <w:r>
        <w:rPr>
          <w:color w:val="auto"/>
          <w:sz w:val="24"/>
          <w:szCs w:val="24"/>
          <w:highlight w:val="none"/>
          <w:u w:val="single"/>
        </w:rPr>
        <w:t xml:space="preserve">            （</w:t>
      </w:r>
      <w:r>
        <w:rPr>
          <w:b/>
          <w:color w:val="auto"/>
          <w:sz w:val="24"/>
          <w:szCs w:val="24"/>
          <w:highlight w:val="none"/>
        </w:rPr>
        <w:t>请填写标的名称</w:t>
      </w:r>
      <w:r>
        <w:rPr>
          <w:color w:val="auto"/>
          <w:sz w:val="24"/>
          <w:szCs w:val="24"/>
          <w:highlight w:val="none"/>
        </w:rPr>
        <w:t>），属于</w:t>
      </w:r>
      <w:r>
        <w:rPr>
          <w:color w:val="auto"/>
          <w:sz w:val="24"/>
          <w:szCs w:val="24"/>
          <w:highlight w:val="none"/>
          <w:u w:val="single"/>
        </w:rPr>
        <w:t xml:space="preserve">  </w:t>
      </w:r>
      <w:r>
        <w:rPr>
          <w:rFonts w:hint="eastAsia"/>
          <w:color w:val="auto"/>
          <w:sz w:val="24"/>
          <w:szCs w:val="24"/>
          <w:highlight w:val="none"/>
          <w:u w:val="single"/>
        </w:rPr>
        <w:t xml:space="preserve">信息传输 </w:t>
      </w:r>
      <w:r>
        <w:rPr>
          <w:b/>
          <w:color w:val="auto"/>
          <w:sz w:val="24"/>
          <w:szCs w:val="24"/>
          <w:highlight w:val="none"/>
        </w:rPr>
        <w:t>（请填写本项目采购文件中明确的所属行业）</w:t>
      </w:r>
      <w:r>
        <w:rPr>
          <w:color w:val="auto"/>
          <w:sz w:val="24"/>
          <w:szCs w:val="24"/>
          <w:highlight w:val="none"/>
        </w:rPr>
        <w:t>行业；承接企业为</w:t>
      </w:r>
      <w:r>
        <w:rPr>
          <w:color w:val="auto"/>
          <w:sz w:val="24"/>
          <w:szCs w:val="24"/>
          <w:highlight w:val="none"/>
          <w:u w:val="single"/>
        </w:rPr>
        <w:t xml:space="preserve">         （</w:t>
      </w:r>
      <w:r>
        <w:rPr>
          <w:b/>
          <w:color w:val="auto"/>
          <w:sz w:val="24"/>
          <w:szCs w:val="24"/>
          <w:highlight w:val="none"/>
        </w:rPr>
        <w:t>请填写承接该标的企业名称</w:t>
      </w:r>
      <w:r>
        <w:rPr>
          <w:color w:val="auto"/>
          <w:sz w:val="24"/>
          <w:szCs w:val="24"/>
          <w:highlight w:val="none"/>
        </w:rPr>
        <w:t>），从业人员</w:t>
      </w:r>
      <w:r>
        <w:rPr>
          <w:color w:val="auto"/>
          <w:sz w:val="24"/>
          <w:szCs w:val="24"/>
          <w:highlight w:val="none"/>
          <w:u w:val="single"/>
        </w:rPr>
        <w:t xml:space="preserve">       </w:t>
      </w:r>
      <w:r>
        <w:rPr>
          <w:color w:val="auto"/>
          <w:sz w:val="24"/>
          <w:szCs w:val="24"/>
          <w:highlight w:val="none"/>
        </w:rPr>
        <w:t>人，营业收入为</w:t>
      </w:r>
      <w:r>
        <w:rPr>
          <w:color w:val="auto"/>
          <w:sz w:val="24"/>
          <w:szCs w:val="24"/>
          <w:highlight w:val="none"/>
          <w:u w:val="single"/>
        </w:rPr>
        <w:t xml:space="preserve">       </w:t>
      </w:r>
      <w:r>
        <w:rPr>
          <w:color w:val="auto"/>
          <w:sz w:val="24"/>
          <w:szCs w:val="24"/>
          <w:highlight w:val="none"/>
        </w:rPr>
        <w:t>万元，资产总额为</w:t>
      </w:r>
      <w:r>
        <w:rPr>
          <w:color w:val="auto"/>
          <w:sz w:val="24"/>
          <w:szCs w:val="24"/>
          <w:highlight w:val="none"/>
          <w:u w:val="single"/>
        </w:rPr>
        <w:t xml:space="preserve">        </w:t>
      </w:r>
      <w:r>
        <w:rPr>
          <w:color w:val="auto"/>
          <w:sz w:val="24"/>
          <w:szCs w:val="24"/>
          <w:highlight w:val="none"/>
        </w:rPr>
        <w:t>万元，属于</w:t>
      </w:r>
      <w:r>
        <w:rPr>
          <w:color w:val="auto"/>
          <w:sz w:val="24"/>
          <w:szCs w:val="24"/>
          <w:highlight w:val="none"/>
          <w:u w:val="single"/>
        </w:rPr>
        <w:t xml:space="preserve">        （</w:t>
      </w:r>
      <w:r>
        <w:rPr>
          <w:b/>
          <w:color w:val="auto"/>
          <w:sz w:val="24"/>
          <w:szCs w:val="24"/>
          <w:highlight w:val="none"/>
        </w:rPr>
        <w:t>请根据中小企业划分标准填写中型企业/小型企业/微型企业</w:t>
      </w:r>
      <w:r>
        <w:rPr>
          <w:color w:val="auto"/>
          <w:sz w:val="24"/>
          <w:szCs w:val="24"/>
          <w:highlight w:val="none"/>
        </w:rPr>
        <w:t>）；</w:t>
      </w:r>
    </w:p>
    <w:p w14:paraId="7468F90A">
      <w:pPr>
        <w:autoSpaceDE w:val="0"/>
        <w:autoSpaceDN w:val="0"/>
        <w:spacing w:line="500" w:lineRule="exact"/>
        <w:ind w:firstLine="448" w:firstLineChars="200"/>
        <w:jc w:val="left"/>
        <w:rPr>
          <w:color w:val="auto"/>
          <w:sz w:val="24"/>
          <w:szCs w:val="24"/>
          <w:highlight w:val="none"/>
        </w:rPr>
      </w:pPr>
      <w:r>
        <w:rPr>
          <w:color w:val="auto"/>
          <w:sz w:val="24"/>
          <w:szCs w:val="24"/>
          <w:highlight w:val="none"/>
        </w:rPr>
        <w:t>2.</w:t>
      </w:r>
      <w:r>
        <w:rPr>
          <w:color w:val="auto"/>
          <w:sz w:val="24"/>
          <w:szCs w:val="24"/>
          <w:highlight w:val="none"/>
          <w:u w:val="single"/>
        </w:rPr>
        <w:t xml:space="preserve">            （</w:t>
      </w:r>
      <w:r>
        <w:rPr>
          <w:b/>
          <w:color w:val="auto"/>
          <w:sz w:val="24"/>
          <w:szCs w:val="24"/>
          <w:highlight w:val="none"/>
        </w:rPr>
        <w:t>请填写标的名称</w:t>
      </w:r>
      <w:r>
        <w:rPr>
          <w:color w:val="auto"/>
          <w:sz w:val="24"/>
          <w:szCs w:val="24"/>
          <w:highlight w:val="none"/>
        </w:rPr>
        <w:t>），属于</w:t>
      </w:r>
      <w:r>
        <w:rPr>
          <w:color w:val="auto"/>
          <w:sz w:val="24"/>
          <w:szCs w:val="24"/>
          <w:highlight w:val="none"/>
          <w:u w:val="single"/>
        </w:rPr>
        <w:t xml:space="preserve">           </w:t>
      </w:r>
      <w:r>
        <w:rPr>
          <w:b/>
          <w:color w:val="auto"/>
          <w:sz w:val="24"/>
          <w:szCs w:val="24"/>
          <w:highlight w:val="none"/>
        </w:rPr>
        <w:t>（请填写本项目采购文件中明确的所属行业）</w:t>
      </w:r>
      <w:r>
        <w:rPr>
          <w:color w:val="auto"/>
          <w:sz w:val="24"/>
          <w:szCs w:val="24"/>
          <w:highlight w:val="none"/>
        </w:rPr>
        <w:t>行业；承接企业为</w:t>
      </w:r>
      <w:r>
        <w:rPr>
          <w:color w:val="auto"/>
          <w:sz w:val="24"/>
          <w:szCs w:val="24"/>
          <w:highlight w:val="none"/>
          <w:u w:val="single"/>
        </w:rPr>
        <w:t xml:space="preserve">         （</w:t>
      </w:r>
      <w:r>
        <w:rPr>
          <w:b/>
          <w:color w:val="auto"/>
          <w:sz w:val="24"/>
          <w:szCs w:val="24"/>
          <w:highlight w:val="none"/>
        </w:rPr>
        <w:t>请填写承接该标的企业名称</w:t>
      </w:r>
      <w:r>
        <w:rPr>
          <w:color w:val="auto"/>
          <w:sz w:val="24"/>
          <w:szCs w:val="24"/>
          <w:highlight w:val="none"/>
        </w:rPr>
        <w:t>），从业人员</w:t>
      </w:r>
      <w:r>
        <w:rPr>
          <w:color w:val="auto"/>
          <w:sz w:val="24"/>
          <w:szCs w:val="24"/>
          <w:highlight w:val="none"/>
          <w:u w:val="single"/>
        </w:rPr>
        <w:t xml:space="preserve">       </w:t>
      </w:r>
      <w:r>
        <w:rPr>
          <w:color w:val="auto"/>
          <w:sz w:val="24"/>
          <w:szCs w:val="24"/>
          <w:highlight w:val="none"/>
        </w:rPr>
        <w:t>人，营业收入为</w:t>
      </w:r>
      <w:r>
        <w:rPr>
          <w:color w:val="auto"/>
          <w:sz w:val="24"/>
          <w:szCs w:val="24"/>
          <w:highlight w:val="none"/>
          <w:u w:val="single"/>
        </w:rPr>
        <w:t xml:space="preserve">       </w:t>
      </w:r>
      <w:r>
        <w:rPr>
          <w:color w:val="auto"/>
          <w:sz w:val="24"/>
          <w:szCs w:val="24"/>
          <w:highlight w:val="none"/>
        </w:rPr>
        <w:t>万元，资产总额为</w:t>
      </w:r>
      <w:r>
        <w:rPr>
          <w:color w:val="auto"/>
          <w:sz w:val="24"/>
          <w:szCs w:val="24"/>
          <w:highlight w:val="none"/>
          <w:u w:val="single"/>
        </w:rPr>
        <w:t xml:space="preserve">        </w:t>
      </w:r>
      <w:r>
        <w:rPr>
          <w:color w:val="auto"/>
          <w:sz w:val="24"/>
          <w:szCs w:val="24"/>
          <w:highlight w:val="none"/>
        </w:rPr>
        <w:t>万元，属于</w:t>
      </w:r>
      <w:r>
        <w:rPr>
          <w:color w:val="auto"/>
          <w:sz w:val="24"/>
          <w:szCs w:val="24"/>
          <w:highlight w:val="none"/>
          <w:u w:val="single"/>
        </w:rPr>
        <w:t xml:space="preserve">        （</w:t>
      </w:r>
      <w:r>
        <w:rPr>
          <w:b/>
          <w:color w:val="auto"/>
          <w:sz w:val="24"/>
          <w:szCs w:val="24"/>
          <w:highlight w:val="none"/>
        </w:rPr>
        <w:t>请根据中小企业划分标准填写中型企业/小型企业/微型企业</w:t>
      </w:r>
      <w:r>
        <w:rPr>
          <w:color w:val="auto"/>
          <w:sz w:val="24"/>
          <w:szCs w:val="24"/>
          <w:highlight w:val="none"/>
        </w:rPr>
        <w:t>）；</w:t>
      </w:r>
    </w:p>
    <w:p w14:paraId="5D3E05D0">
      <w:pPr>
        <w:autoSpaceDE w:val="0"/>
        <w:autoSpaceDN w:val="0"/>
        <w:spacing w:line="500" w:lineRule="exact"/>
        <w:ind w:left="641"/>
        <w:jc w:val="left"/>
        <w:rPr>
          <w:color w:val="auto"/>
          <w:sz w:val="24"/>
          <w:szCs w:val="24"/>
          <w:highlight w:val="none"/>
        </w:rPr>
      </w:pPr>
      <w:r>
        <w:rPr>
          <w:color w:val="auto"/>
          <w:sz w:val="24"/>
          <w:szCs w:val="24"/>
          <w:highlight w:val="none"/>
        </w:rPr>
        <w:t>……</w:t>
      </w:r>
    </w:p>
    <w:p w14:paraId="76608CAC">
      <w:pPr>
        <w:autoSpaceDE w:val="0"/>
        <w:autoSpaceDN w:val="0"/>
        <w:spacing w:line="500" w:lineRule="exact"/>
        <w:ind w:firstLine="448" w:firstLineChars="200"/>
        <w:jc w:val="left"/>
        <w:rPr>
          <w:color w:val="auto"/>
          <w:sz w:val="24"/>
          <w:szCs w:val="24"/>
          <w:highlight w:val="none"/>
        </w:rPr>
      </w:pPr>
      <w:r>
        <w:rPr>
          <w:color w:val="auto"/>
          <w:sz w:val="24"/>
          <w:szCs w:val="24"/>
          <w:highlight w:val="none"/>
        </w:rPr>
        <w:t>以上企业，不属于大型企业的分支机构，不存在控股股东为大型企业的情形，也不存在与大型企业的负责人为同一人的情形。</w:t>
      </w:r>
    </w:p>
    <w:p w14:paraId="324BB0E9">
      <w:pPr>
        <w:autoSpaceDE w:val="0"/>
        <w:autoSpaceDN w:val="0"/>
        <w:spacing w:line="500" w:lineRule="exact"/>
        <w:ind w:firstLine="448" w:firstLineChars="200"/>
        <w:jc w:val="left"/>
        <w:rPr>
          <w:color w:val="auto"/>
          <w:sz w:val="24"/>
          <w:szCs w:val="24"/>
          <w:highlight w:val="none"/>
        </w:rPr>
      </w:pPr>
      <w:r>
        <w:rPr>
          <w:color w:val="auto"/>
          <w:sz w:val="24"/>
          <w:szCs w:val="24"/>
          <w:highlight w:val="none"/>
        </w:rPr>
        <w:t>本企业对上述声明内容的真实性负责。如有虚假，将依法承担相应责任。</w:t>
      </w:r>
    </w:p>
    <w:p w14:paraId="13889310">
      <w:pPr>
        <w:autoSpaceDE w:val="0"/>
        <w:autoSpaceDN w:val="0"/>
        <w:spacing w:line="500" w:lineRule="exact"/>
        <w:ind w:left="3840"/>
        <w:jc w:val="left"/>
        <w:rPr>
          <w:color w:val="auto"/>
          <w:sz w:val="24"/>
          <w:szCs w:val="24"/>
          <w:highlight w:val="none"/>
        </w:rPr>
      </w:pPr>
      <w:r>
        <w:rPr>
          <w:color w:val="auto"/>
          <w:sz w:val="24"/>
          <w:szCs w:val="24"/>
          <w:highlight w:val="none"/>
        </w:rPr>
        <w:t>投标人名称：</w:t>
      </w:r>
    </w:p>
    <w:p w14:paraId="024247B6">
      <w:pPr>
        <w:autoSpaceDE w:val="0"/>
        <w:autoSpaceDN w:val="0"/>
        <w:spacing w:line="500" w:lineRule="exact"/>
        <w:ind w:left="3840"/>
        <w:jc w:val="left"/>
        <w:rPr>
          <w:color w:val="auto"/>
          <w:sz w:val="32"/>
          <w:highlight w:val="none"/>
        </w:rPr>
      </w:pPr>
      <w:r>
        <w:rPr>
          <w:color w:val="auto"/>
          <w:sz w:val="24"/>
          <w:szCs w:val="24"/>
          <w:highlight w:val="none"/>
        </w:rPr>
        <w:t>日期：</w:t>
      </w:r>
    </w:p>
    <w:p w14:paraId="27D2E4A8">
      <w:pPr>
        <w:spacing w:line="360" w:lineRule="auto"/>
        <w:ind w:right="84" w:firstLine="224" w:firstLineChars="100"/>
        <w:rPr>
          <w:b/>
          <w:color w:val="auto"/>
          <w:sz w:val="24"/>
          <w:szCs w:val="24"/>
          <w:highlight w:val="none"/>
        </w:rPr>
      </w:pPr>
      <w:r>
        <w:rPr>
          <w:b/>
          <w:color w:val="auto"/>
          <w:sz w:val="24"/>
          <w:szCs w:val="24"/>
          <w:highlight w:val="none"/>
        </w:rPr>
        <w:t>注：</w:t>
      </w:r>
    </w:p>
    <w:p w14:paraId="625DC8E9">
      <w:pPr>
        <w:spacing w:line="360" w:lineRule="auto"/>
        <w:ind w:firstLine="448" w:firstLineChars="200"/>
        <w:rPr>
          <w:b/>
          <w:color w:val="auto"/>
          <w:sz w:val="24"/>
          <w:szCs w:val="24"/>
          <w:highlight w:val="none"/>
        </w:rPr>
      </w:pPr>
      <w:r>
        <w:rPr>
          <w:b/>
          <w:color w:val="auto"/>
          <w:sz w:val="24"/>
          <w:szCs w:val="24"/>
          <w:highlight w:val="none"/>
        </w:rPr>
        <w:t>1.标的名称须按照采购文件中明确的标的名称进行填写；所属行业须按照采购文件中明确的所属行业进行填写。</w:t>
      </w:r>
    </w:p>
    <w:p w14:paraId="11FBE098">
      <w:pPr>
        <w:spacing w:line="360" w:lineRule="auto"/>
        <w:ind w:firstLine="448" w:firstLineChars="200"/>
        <w:rPr>
          <w:b/>
          <w:color w:val="auto"/>
          <w:sz w:val="24"/>
          <w:szCs w:val="24"/>
          <w:highlight w:val="none"/>
        </w:rPr>
      </w:pPr>
      <w:r>
        <w:rPr>
          <w:b/>
          <w:color w:val="auto"/>
          <w:sz w:val="24"/>
          <w:szCs w:val="24"/>
          <w:highlight w:val="none"/>
        </w:rPr>
        <w:t>2.从业人员、营业收入、资产总额填报上一年度数据，无上一年度数据的新成立企业可不填报。</w:t>
      </w:r>
    </w:p>
    <w:p w14:paraId="5E1362C9">
      <w:pPr>
        <w:spacing w:line="360" w:lineRule="auto"/>
        <w:ind w:firstLine="448" w:firstLineChars="200"/>
        <w:rPr>
          <w:b/>
          <w:color w:val="auto"/>
          <w:sz w:val="24"/>
          <w:szCs w:val="21"/>
          <w:highlight w:val="none"/>
        </w:rPr>
      </w:pPr>
      <w:r>
        <w:rPr>
          <w:b/>
          <w:color w:val="auto"/>
          <w:sz w:val="24"/>
          <w:szCs w:val="21"/>
          <w:highlight w:val="none"/>
        </w:rPr>
        <w:t>3.中标（成交）供应商享受中小企业扶持政策的，将随中标（成交）结果同时公告其《中小企业声明函》，接受社会监督。</w:t>
      </w:r>
    </w:p>
    <w:p w14:paraId="37A4D292">
      <w:pPr>
        <w:widowControl/>
        <w:jc w:val="left"/>
        <w:rPr>
          <w:color w:val="auto"/>
          <w:sz w:val="24"/>
          <w:highlight w:val="none"/>
        </w:rPr>
      </w:pPr>
      <w:r>
        <w:rPr>
          <w:color w:val="auto"/>
          <w:sz w:val="24"/>
          <w:highlight w:val="none"/>
        </w:rPr>
        <w:br w:type="page"/>
      </w:r>
    </w:p>
    <w:p w14:paraId="405BB37A">
      <w:pPr>
        <w:autoSpaceDN w:val="0"/>
        <w:spacing w:line="360" w:lineRule="auto"/>
        <w:rPr>
          <w:b/>
          <w:bCs/>
          <w:color w:val="auto"/>
          <w:sz w:val="24"/>
          <w:highlight w:val="none"/>
        </w:rPr>
      </w:pPr>
      <w:bookmarkStart w:id="8" w:name="OLE_LINK14"/>
      <w:bookmarkStart w:id="9" w:name="OLE_LINK13"/>
      <w:r>
        <w:rPr>
          <w:rFonts w:hint="eastAsia"/>
          <w:b/>
          <w:bCs/>
          <w:color w:val="auto"/>
          <w:sz w:val="24"/>
          <w:highlight w:val="none"/>
        </w:rPr>
        <w:t>附件9-2</w:t>
      </w:r>
    </w:p>
    <w:bookmarkEnd w:id="8"/>
    <w:bookmarkEnd w:id="9"/>
    <w:p w14:paraId="19C971DB">
      <w:pPr>
        <w:autoSpaceDN w:val="0"/>
        <w:spacing w:line="360" w:lineRule="auto"/>
        <w:jc w:val="left"/>
        <w:rPr>
          <w:b/>
          <w:bCs/>
          <w:color w:val="auto"/>
          <w:sz w:val="24"/>
          <w:highlight w:val="none"/>
        </w:rPr>
      </w:pPr>
      <w:r>
        <w:rPr>
          <w:rFonts w:hint="eastAsia"/>
          <w:b/>
          <w:color w:val="auto"/>
          <w:kern w:val="0"/>
          <w:sz w:val="24"/>
          <w:szCs w:val="21"/>
          <w:highlight w:val="none"/>
        </w:rPr>
        <w:t>若不是残疾人福利性单位，投标文件中可不提供此声明函</w:t>
      </w:r>
    </w:p>
    <w:p w14:paraId="7FEBB9EA">
      <w:pPr>
        <w:autoSpaceDN w:val="0"/>
        <w:spacing w:line="360" w:lineRule="auto"/>
        <w:jc w:val="center"/>
        <w:rPr>
          <w:b/>
          <w:bCs/>
          <w:color w:val="auto"/>
          <w:sz w:val="24"/>
          <w:highlight w:val="none"/>
        </w:rPr>
      </w:pPr>
    </w:p>
    <w:p w14:paraId="378E091D">
      <w:pPr>
        <w:snapToGrid w:val="0"/>
        <w:spacing w:line="360" w:lineRule="auto"/>
        <w:jc w:val="center"/>
        <w:rPr>
          <w:b/>
          <w:bCs/>
          <w:color w:val="auto"/>
          <w:sz w:val="24"/>
          <w:highlight w:val="none"/>
        </w:rPr>
      </w:pPr>
      <w:r>
        <w:rPr>
          <w:rFonts w:hint="eastAsia"/>
          <w:b/>
          <w:bCs/>
          <w:color w:val="auto"/>
          <w:sz w:val="24"/>
          <w:highlight w:val="none"/>
        </w:rPr>
        <w:t>残疾人福利性单位声明函</w:t>
      </w:r>
    </w:p>
    <w:p w14:paraId="1C355FE7">
      <w:pPr>
        <w:snapToGrid w:val="0"/>
        <w:spacing w:line="360" w:lineRule="auto"/>
        <w:ind w:firstLine="448" w:firstLineChars="200"/>
        <w:jc w:val="left"/>
        <w:rPr>
          <w:b/>
          <w:bCs/>
          <w:color w:val="auto"/>
          <w:sz w:val="24"/>
          <w:highlight w:val="none"/>
        </w:rPr>
      </w:pPr>
    </w:p>
    <w:p w14:paraId="651808F9">
      <w:pPr>
        <w:snapToGrid w:val="0"/>
        <w:spacing w:line="360" w:lineRule="auto"/>
        <w:ind w:firstLine="448" w:firstLineChars="200"/>
        <w:jc w:val="left"/>
        <w:rPr>
          <w:bCs/>
          <w:color w:val="auto"/>
          <w:sz w:val="24"/>
          <w:highlight w:val="none"/>
        </w:rPr>
      </w:pPr>
      <w:r>
        <w:rPr>
          <w:rFonts w:hint="eastAsia"/>
          <w:bCs/>
          <w:color w:val="auto"/>
          <w:sz w:val="24"/>
          <w:highlight w:val="none"/>
        </w:rPr>
        <w:t>本单位郑重声明，根据《财政部 民政部 中国残疾人联合会关于促进残疾人就业政府采购政策的通知》（财库〔2017〕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32D3FB47">
      <w:pPr>
        <w:snapToGrid w:val="0"/>
        <w:spacing w:line="360" w:lineRule="auto"/>
        <w:ind w:firstLine="448" w:firstLineChars="200"/>
        <w:jc w:val="left"/>
        <w:rPr>
          <w:bCs/>
          <w:color w:val="auto"/>
          <w:sz w:val="24"/>
          <w:highlight w:val="none"/>
        </w:rPr>
      </w:pPr>
      <w:r>
        <w:rPr>
          <w:rFonts w:hint="eastAsia"/>
          <w:bCs/>
          <w:color w:val="auto"/>
          <w:sz w:val="24"/>
          <w:highlight w:val="none"/>
        </w:rPr>
        <w:t>本单位对上述声明的真实性负责。如有虚假，将依法承担相应责任。</w:t>
      </w:r>
    </w:p>
    <w:p w14:paraId="67CC3843">
      <w:pPr>
        <w:snapToGrid w:val="0"/>
        <w:spacing w:line="360" w:lineRule="auto"/>
        <w:ind w:firstLine="448" w:firstLineChars="200"/>
        <w:jc w:val="left"/>
        <w:rPr>
          <w:bCs/>
          <w:color w:val="auto"/>
          <w:sz w:val="24"/>
          <w:highlight w:val="none"/>
        </w:rPr>
      </w:pPr>
    </w:p>
    <w:p w14:paraId="7B73B8B6">
      <w:pPr>
        <w:snapToGrid w:val="0"/>
        <w:spacing w:line="360" w:lineRule="auto"/>
        <w:ind w:firstLine="448" w:firstLineChars="200"/>
        <w:jc w:val="left"/>
        <w:rPr>
          <w:bCs/>
          <w:color w:val="auto"/>
          <w:sz w:val="24"/>
          <w:highlight w:val="none"/>
        </w:rPr>
      </w:pPr>
    </w:p>
    <w:p w14:paraId="74D47D6A">
      <w:pPr>
        <w:snapToGrid w:val="0"/>
        <w:spacing w:line="360" w:lineRule="auto"/>
        <w:ind w:firstLine="448" w:firstLineChars="200"/>
        <w:jc w:val="left"/>
        <w:rPr>
          <w:bCs/>
          <w:color w:val="auto"/>
          <w:sz w:val="24"/>
          <w:highlight w:val="none"/>
        </w:rPr>
      </w:pPr>
      <w:r>
        <w:rPr>
          <w:rFonts w:hint="eastAsia"/>
          <w:bCs/>
          <w:color w:val="auto"/>
          <w:sz w:val="24"/>
          <w:highlight w:val="none"/>
        </w:rPr>
        <w:t xml:space="preserve">               </w:t>
      </w:r>
      <w:r>
        <w:rPr>
          <w:color w:val="auto"/>
          <w:sz w:val="24"/>
          <w:szCs w:val="24"/>
          <w:highlight w:val="none"/>
        </w:rPr>
        <w:t>投标人名称：</w:t>
      </w:r>
    </w:p>
    <w:p w14:paraId="55BDC374">
      <w:pPr>
        <w:snapToGrid w:val="0"/>
        <w:spacing w:line="360" w:lineRule="auto"/>
        <w:ind w:firstLine="448" w:firstLineChars="200"/>
        <w:jc w:val="left"/>
        <w:rPr>
          <w:bCs/>
          <w:color w:val="auto"/>
          <w:sz w:val="24"/>
          <w:highlight w:val="none"/>
        </w:rPr>
      </w:pPr>
    </w:p>
    <w:p w14:paraId="4A503070">
      <w:pPr>
        <w:snapToGrid w:val="0"/>
        <w:spacing w:line="360" w:lineRule="auto"/>
        <w:ind w:firstLine="448" w:firstLineChars="200"/>
        <w:jc w:val="left"/>
        <w:rPr>
          <w:color w:val="auto"/>
          <w:sz w:val="24"/>
          <w:szCs w:val="21"/>
          <w:highlight w:val="none"/>
        </w:rPr>
      </w:pPr>
      <w:r>
        <w:rPr>
          <w:rFonts w:hint="eastAsia"/>
          <w:bCs/>
          <w:color w:val="auto"/>
          <w:sz w:val="24"/>
          <w:highlight w:val="none"/>
        </w:rPr>
        <w:t xml:space="preserve">               日  期：</w:t>
      </w:r>
    </w:p>
    <w:p w14:paraId="36381F4D">
      <w:pPr>
        <w:snapToGrid w:val="0"/>
        <w:spacing w:line="360" w:lineRule="auto"/>
        <w:ind w:firstLine="448" w:firstLineChars="200"/>
        <w:jc w:val="left"/>
        <w:rPr>
          <w:color w:val="auto"/>
          <w:sz w:val="24"/>
          <w:szCs w:val="21"/>
          <w:highlight w:val="none"/>
        </w:rPr>
      </w:pPr>
    </w:p>
    <w:p w14:paraId="609E6E7B">
      <w:pPr>
        <w:snapToGrid w:val="0"/>
        <w:spacing w:line="360" w:lineRule="auto"/>
        <w:ind w:firstLine="448" w:firstLineChars="200"/>
        <w:rPr>
          <w:color w:val="auto"/>
          <w:sz w:val="24"/>
          <w:szCs w:val="21"/>
          <w:highlight w:val="none"/>
        </w:rPr>
      </w:pPr>
      <w:r>
        <w:rPr>
          <w:color w:val="auto"/>
          <w:sz w:val="24"/>
          <w:szCs w:val="21"/>
          <w:highlight w:val="none"/>
        </w:rPr>
        <w:t>注：</w:t>
      </w:r>
    </w:p>
    <w:p w14:paraId="2BEAAA02">
      <w:pPr>
        <w:snapToGrid w:val="0"/>
        <w:spacing w:line="360" w:lineRule="auto"/>
        <w:ind w:firstLine="448" w:firstLineChars="200"/>
        <w:rPr>
          <w:b/>
          <w:color w:val="auto"/>
          <w:sz w:val="24"/>
          <w:szCs w:val="21"/>
          <w:highlight w:val="none"/>
        </w:rPr>
      </w:pPr>
      <w:r>
        <w:rPr>
          <w:b/>
          <w:color w:val="auto"/>
          <w:sz w:val="24"/>
          <w:szCs w:val="21"/>
          <w:highlight w:val="none"/>
        </w:rPr>
        <w:t>中标供应商为残疾人福利性单位的，将随中标结果同时公告其《残疾人福利性单位声明函》，接受社会监督。</w:t>
      </w:r>
    </w:p>
    <w:p w14:paraId="421CF5CE">
      <w:pPr>
        <w:snapToGrid w:val="0"/>
        <w:spacing w:line="360" w:lineRule="auto"/>
        <w:ind w:firstLine="448" w:firstLineChars="200"/>
        <w:rPr>
          <w:b/>
          <w:color w:val="auto"/>
          <w:sz w:val="24"/>
          <w:szCs w:val="21"/>
          <w:highlight w:val="none"/>
        </w:rPr>
      </w:pPr>
      <w:r>
        <w:rPr>
          <w:b/>
          <w:color w:val="auto"/>
          <w:kern w:val="0"/>
          <w:sz w:val="24"/>
          <w:szCs w:val="21"/>
          <w:highlight w:val="none"/>
        </w:rPr>
        <w:t>若不是残疾人福利性单位，投标文件中可不提供此声明函。</w:t>
      </w:r>
    </w:p>
    <w:p w14:paraId="0647E321">
      <w:pPr>
        <w:snapToGrid w:val="0"/>
        <w:spacing w:line="360" w:lineRule="auto"/>
        <w:ind w:firstLine="448" w:firstLineChars="200"/>
        <w:rPr>
          <w:color w:val="auto"/>
          <w:sz w:val="24"/>
          <w:szCs w:val="21"/>
          <w:highlight w:val="none"/>
        </w:rPr>
      </w:pPr>
    </w:p>
    <w:p w14:paraId="382ADD58">
      <w:pPr>
        <w:snapToGrid w:val="0"/>
        <w:spacing w:line="360" w:lineRule="auto"/>
        <w:ind w:firstLine="448" w:firstLineChars="200"/>
        <w:jc w:val="left"/>
        <w:rPr>
          <w:color w:val="auto"/>
          <w:sz w:val="24"/>
          <w:szCs w:val="21"/>
          <w:highlight w:val="none"/>
        </w:rPr>
      </w:pPr>
    </w:p>
    <w:p w14:paraId="3D49B191">
      <w:pPr>
        <w:spacing w:line="360" w:lineRule="auto"/>
        <w:ind w:right="84" w:firstLine="224" w:firstLineChars="100"/>
        <w:rPr>
          <w:color w:val="auto"/>
          <w:position w:val="-40"/>
          <w:sz w:val="24"/>
          <w:highlight w:val="none"/>
        </w:rPr>
      </w:pPr>
    </w:p>
    <w:p w14:paraId="2E6E58FC">
      <w:pPr>
        <w:tabs>
          <w:tab w:val="left" w:pos="360"/>
        </w:tabs>
        <w:spacing w:line="360" w:lineRule="auto"/>
        <w:rPr>
          <w:b/>
          <w:bCs/>
          <w:color w:val="auto"/>
          <w:sz w:val="24"/>
          <w:highlight w:val="none"/>
        </w:rPr>
      </w:pPr>
      <w:r>
        <w:rPr>
          <w:color w:val="auto"/>
          <w:sz w:val="24"/>
          <w:highlight w:val="none"/>
        </w:rPr>
        <w:br w:type="page"/>
      </w:r>
      <w:r>
        <w:rPr>
          <w:b/>
          <w:color w:val="auto"/>
          <w:sz w:val="24"/>
          <w:highlight w:val="none"/>
        </w:rPr>
        <w:t>附件</w:t>
      </w:r>
      <w:r>
        <w:rPr>
          <w:rFonts w:hint="eastAsia"/>
          <w:b/>
          <w:color w:val="auto"/>
          <w:sz w:val="24"/>
          <w:highlight w:val="none"/>
        </w:rPr>
        <w:t>10</w:t>
      </w:r>
      <w:r>
        <w:rPr>
          <w:b/>
          <w:color w:val="auto"/>
          <w:sz w:val="24"/>
          <w:szCs w:val="21"/>
          <w:highlight w:val="none"/>
        </w:rPr>
        <w:t>：</w:t>
      </w:r>
      <w:r>
        <w:rPr>
          <w:b/>
          <w:color w:val="auto"/>
          <w:sz w:val="24"/>
          <w:highlight w:val="none"/>
        </w:rPr>
        <w:t>招标文件</w:t>
      </w:r>
      <w:r>
        <w:rPr>
          <w:b/>
          <w:bCs/>
          <w:color w:val="auto"/>
          <w:sz w:val="24"/>
          <w:highlight w:val="none"/>
        </w:rPr>
        <w:t>评分因素及评标标准中要求的证明材料</w:t>
      </w:r>
      <w:r>
        <w:rPr>
          <w:rFonts w:hint="eastAsia"/>
          <w:b/>
          <w:bCs/>
          <w:color w:val="auto"/>
          <w:sz w:val="24"/>
          <w:highlight w:val="none"/>
          <w:lang w:eastAsia="zh-CN"/>
        </w:rPr>
        <w:t>电子件</w:t>
      </w:r>
      <w:r>
        <w:rPr>
          <w:b/>
          <w:bCs/>
          <w:color w:val="auto"/>
          <w:sz w:val="24"/>
          <w:highlight w:val="none"/>
        </w:rPr>
        <w:t>、方案等</w:t>
      </w:r>
    </w:p>
    <w:p w14:paraId="0ECE8853">
      <w:pPr>
        <w:snapToGrid w:val="0"/>
        <w:spacing w:line="360" w:lineRule="auto"/>
        <w:rPr>
          <w:b/>
          <w:color w:val="auto"/>
          <w:sz w:val="24"/>
          <w:szCs w:val="21"/>
          <w:highlight w:val="none"/>
        </w:rPr>
      </w:pPr>
      <w:r>
        <w:rPr>
          <w:b/>
          <w:bCs/>
          <w:color w:val="auto"/>
          <w:sz w:val="24"/>
          <w:highlight w:val="none"/>
        </w:rPr>
        <w:t>附件1</w:t>
      </w:r>
      <w:r>
        <w:rPr>
          <w:rFonts w:hint="eastAsia"/>
          <w:b/>
          <w:bCs/>
          <w:color w:val="auto"/>
          <w:sz w:val="24"/>
          <w:highlight w:val="none"/>
        </w:rPr>
        <w:t>1</w:t>
      </w:r>
      <w:r>
        <w:rPr>
          <w:b/>
          <w:bCs/>
          <w:color w:val="auto"/>
          <w:sz w:val="24"/>
          <w:highlight w:val="none"/>
        </w:rPr>
        <w:t>：</w:t>
      </w:r>
      <w:r>
        <w:rPr>
          <w:b/>
          <w:color w:val="auto"/>
          <w:sz w:val="24"/>
          <w:highlight w:val="none"/>
        </w:rPr>
        <w:t>投标人认为需要提供的其他资料</w:t>
      </w:r>
    </w:p>
    <w:bookmarkEnd w:id="10"/>
    <w:sectPr>
      <w:footerReference r:id="rId4" w:type="default"/>
      <w:pgSz w:w="11906" w:h="16838"/>
      <w:pgMar w:top="1440" w:right="1797" w:bottom="1440" w:left="1797" w:header="851" w:footer="992" w:gutter="0"/>
      <w:pgNumType w:start="1"/>
      <w:cols w:space="425" w:num="1"/>
      <w:docGrid w:type="linesAndChars" w:linePitch="285" w:charSpace="-34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
    <w:altName w:val="微软雅黑"/>
    <w:panose1 w:val="00000000000000000000"/>
    <w:charset w:val="86"/>
    <w:family w:val="auto"/>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F8BE4B">
    <w:pPr>
      <w:pStyle w:val="15"/>
      <w:jc w:val="center"/>
    </w:pPr>
    <w:r>
      <w:rPr>
        <w:b/>
      </w:rPr>
      <w:fldChar w:fldCharType="begin"/>
    </w:r>
    <w:r>
      <w:rPr>
        <w:b/>
      </w:rPr>
      <w:instrText xml:space="preserve">PAGE  \* Arabic  \* MERGEFORMAT</w:instrText>
    </w:r>
    <w:r>
      <w:rPr>
        <w:b/>
      </w:rPr>
      <w:fldChar w:fldCharType="separate"/>
    </w:r>
    <w:r>
      <w:rPr>
        <w:b/>
        <w:lang w:val="zh-CN"/>
      </w:rPr>
      <w:t>39</w:t>
    </w:r>
    <w:r>
      <w:rPr>
        <w:b/>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152320">
    <w:pPr>
      <w:pStyle w:val="1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1D1152"/>
    <w:multiLevelType w:val="multilevel"/>
    <w:tmpl w:val="1A1D1152"/>
    <w:lvl w:ilvl="0" w:tentative="0">
      <w:start w:val="1"/>
      <w:numFmt w:val="bullet"/>
      <w:lvlText w:val=""/>
      <w:lvlJc w:val="left"/>
      <w:pPr>
        <w:ind w:left="866" w:hanging="420"/>
      </w:pPr>
      <w:rPr>
        <w:rFonts w:hint="default" w:ascii="Wingdings" w:hAnsi="Wingdings"/>
      </w:rPr>
    </w:lvl>
    <w:lvl w:ilvl="1" w:tentative="0">
      <w:start w:val="1"/>
      <w:numFmt w:val="bullet"/>
      <w:lvlText w:val=""/>
      <w:lvlJc w:val="left"/>
      <w:pPr>
        <w:ind w:left="1286" w:hanging="420"/>
      </w:pPr>
      <w:rPr>
        <w:rFonts w:hint="default" w:ascii="Wingdings" w:hAnsi="Wingdings"/>
      </w:rPr>
    </w:lvl>
    <w:lvl w:ilvl="2" w:tentative="0">
      <w:start w:val="1"/>
      <w:numFmt w:val="bullet"/>
      <w:lvlText w:val=""/>
      <w:lvlJc w:val="left"/>
      <w:pPr>
        <w:ind w:left="1706" w:hanging="420"/>
      </w:pPr>
      <w:rPr>
        <w:rFonts w:hint="default" w:ascii="Wingdings" w:hAnsi="Wingdings"/>
      </w:rPr>
    </w:lvl>
    <w:lvl w:ilvl="3" w:tentative="0">
      <w:start w:val="1"/>
      <w:numFmt w:val="bullet"/>
      <w:lvlText w:val=""/>
      <w:lvlJc w:val="left"/>
      <w:pPr>
        <w:ind w:left="2126" w:hanging="420"/>
      </w:pPr>
      <w:rPr>
        <w:rFonts w:hint="default" w:ascii="Wingdings" w:hAnsi="Wingdings"/>
      </w:rPr>
    </w:lvl>
    <w:lvl w:ilvl="4" w:tentative="0">
      <w:start w:val="1"/>
      <w:numFmt w:val="bullet"/>
      <w:lvlText w:val=""/>
      <w:lvlJc w:val="left"/>
      <w:pPr>
        <w:ind w:left="2546" w:hanging="420"/>
      </w:pPr>
      <w:rPr>
        <w:rFonts w:hint="default" w:ascii="Wingdings" w:hAnsi="Wingdings"/>
      </w:rPr>
    </w:lvl>
    <w:lvl w:ilvl="5" w:tentative="0">
      <w:start w:val="1"/>
      <w:numFmt w:val="bullet"/>
      <w:lvlText w:val=""/>
      <w:lvlJc w:val="left"/>
      <w:pPr>
        <w:ind w:left="2966" w:hanging="420"/>
      </w:pPr>
      <w:rPr>
        <w:rFonts w:hint="default" w:ascii="Wingdings" w:hAnsi="Wingdings"/>
      </w:rPr>
    </w:lvl>
    <w:lvl w:ilvl="6" w:tentative="0">
      <w:start w:val="1"/>
      <w:numFmt w:val="bullet"/>
      <w:lvlText w:val=""/>
      <w:lvlJc w:val="left"/>
      <w:pPr>
        <w:ind w:left="3386" w:hanging="420"/>
      </w:pPr>
      <w:rPr>
        <w:rFonts w:hint="default" w:ascii="Wingdings" w:hAnsi="Wingdings"/>
      </w:rPr>
    </w:lvl>
    <w:lvl w:ilvl="7" w:tentative="0">
      <w:start w:val="1"/>
      <w:numFmt w:val="bullet"/>
      <w:lvlText w:val=""/>
      <w:lvlJc w:val="left"/>
      <w:pPr>
        <w:ind w:left="3806" w:hanging="420"/>
      </w:pPr>
      <w:rPr>
        <w:rFonts w:hint="default" w:ascii="Wingdings" w:hAnsi="Wingdings"/>
      </w:rPr>
    </w:lvl>
    <w:lvl w:ilvl="8" w:tentative="0">
      <w:start w:val="1"/>
      <w:numFmt w:val="bullet"/>
      <w:lvlText w:val=""/>
      <w:lvlJc w:val="left"/>
      <w:pPr>
        <w:ind w:left="4226" w:hanging="420"/>
      </w:pPr>
      <w:rPr>
        <w:rFonts w:hint="default" w:ascii="Wingdings" w:hAnsi="Wingdings"/>
      </w:rPr>
    </w:lvl>
  </w:abstractNum>
  <w:abstractNum w:abstractNumId="1">
    <w:nsid w:val="367F6A45"/>
    <w:multiLevelType w:val="multilevel"/>
    <w:tmpl w:val="367F6A45"/>
    <w:lvl w:ilvl="0" w:tentative="0">
      <w:start w:val="1"/>
      <w:numFmt w:val="decimal"/>
      <w:pStyle w:val="5"/>
      <w:lvlText w:val="%1."/>
      <w:lvlJc w:val="left"/>
      <w:pPr>
        <w:ind w:left="360" w:hanging="360"/>
      </w:pPr>
      <w:rPr>
        <w:rFonts w:hint="default"/>
      </w:rPr>
    </w:lvl>
    <w:lvl w:ilvl="1" w:tentative="0">
      <w:start w:val="1"/>
      <w:numFmt w:val="decimal"/>
      <w:pStyle w:val="4"/>
      <w:lvlText w:val="%1.%2"/>
      <w:lvlJc w:val="left"/>
      <w:pPr>
        <w:tabs>
          <w:tab w:val="left" w:pos="432"/>
        </w:tabs>
        <w:ind w:left="432" w:hanging="432"/>
      </w:pPr>
      <w:rPr>
        <w:rFonts w:hint="default"/>
      </w:rPr>
    </w:lvl>
    <w:lvl w:ilvl="2" w:tentative="0">
      <w:start w:val="1"/>
      <w:numFmt w:val="lowerLetter"/>
      <w:pStyle w:val="9"/>
      <w:lvlText w:val="%3."/>
      <w:lvlJc w:val="left"/>
      <w:pPr>
        <w:ind w:left="792" w:hanging="360"/>
      </w:pPr>
      <w:rPr>
        <w:rFonts w:hint="default"/>
      </w:rPr>
    </w:lvl>
    <w:lvl w:ilvl="3" w:tentative="0">
      <w:start w:val="1"/>
      <w:numFmt w:val="lowerRoman"/>
      <w:pStyle w:val="11"/>
      <w:lvlText w:val="%4."/>
      <w:lvlJc w:val="left"/>
      <w:pPr>
        <w:ind w:left="1152" w:hanging="360"/>
      </w:pPr>
      <w:rPr>
        <w:rFonts w:hint="default"/>
      </w:rPr>
    </w:lvl>
    <w:lvl w:ilvl="4" w:tentative="0">
      <w:start w:val="1"/>
      <w:numFmt w:val="lowerLetter"/>
      <w:pStyle w:val="18"/>
      <w:lvlText w:val="(%5)"/>
      <w:lvlJc w:val="left"/>
      <w:pPr>
        <w:ind w:left="1512" w:hanging="360"/>
      </w:pPr>
      <w:rPr>
        <w:rFonts w:hint="default"/>
      </w:rPr>
    </w:lvl>
    <w:lvl w:ilvl="5" w:tentative="0">
      <w:start w:val="1"/>
      <w:numFmt w:val="lowerRoman"/>
      <w:lvlText w:val="(%6)"/>
      <w:lvlJc w:val="left"/>
      <w:pPr>
        <w:ind w:left="1872" w:hanging="360"/>
      </w:pPr>
      <w:rPr>
        <w:rFonts w:hint="default"/>
      </w:rPr>
    </w:lvl>
    <w:lvl w:ilvl="6" w:tentative="0">
      <w:start w:val="1"/>
      <w:numFmt w:val="decimal"/>
      <w:lvlText w:val="%7."/>
      <w:lvlJc w:val="left"/>
      <w:pPr>
        <w:ind w:left="2232" w:hanging="360"/>
      </w:pPr>
      <w:rPr>
        <w:rFonts w:hint="default"/>
      </w:rPr>
    </w:lvl>
    <w:lvl w:ilvl="7" w:tentative="0">
      <w:start w:val="1"/>
      <w:numFmt w:val="lowerLetter"/>
      <w:lvlText w:val="%8."/>
      <w:lvlJc w:val="left"/>
      <w:pPr>
        <w:ind w:left="2592" w:hanging="360"/>
      </w:pPr>
      <w:rPr>
        <w:rFonts w:hint="default"/>
      </w:rPr>
    </w:lvl>
    <w:lvl w:ilvl="8" w:tentative="0">
      <w:start w:val="1"/>
      <w:numFmt w:val="lowerRoman"/>
      <w:lvlText w:val="%9."/>
      <w:lvlJc w:val="left"/>
      <w:pPr>
        <w:ind w:left="2952" w:hanging="3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832"/>
    <w:rsid w:val="00000D09"/>
    <w:rsid w:val="00001FD1"/>
    <w:rsid w:val="00003CDB"/>
    <w:rsid w:val="000062F6"/>
    <w:rsid w:val="000064C2"/>
    <w:rsid w:val="00007AE8"/>
    <w:rsid w:val="00010DCF"/>
    <w:rsid w:val="00011B73"/>
    <w:rsid w:val="00012B67"/>
    <w:rsid w:val="00013068"/>
    <w:rsid w:val="00013528"/>
    <w:rsid w:val="00013701"/>
    <w:rsid w:val="00013816"/>
    <w:rsid w:val="00013FE9"/>
    <w:rsid w:val="000165C5"/>
    <w:rsid w:val="00017C2D"/>
    <w:rsid w:val="00025A7A"/>
    <w:rsid w:val="00026A9F"/>
    <w:rsid w:val="000308AC"/>
    <w:rsid w:val="00032015"/>
    <w:rsid w:val="00036A32"/>
    <w:rsid w:val="00040332"/>
    <w:rsid w:val="000403B6"/>
    <w:rsid w:val="0004130F"/>
    <w:rsid w:val="00042FFE"/>
    <w:rsid w:val="0004454C"/>
    <w:rsid w:val="00044BFE"/>
    <w:rsid w:val="00046460"/>
    <w:rsid w:val="00047699"/>
    <w:rsid w:val="00050365"/>
    <w:rsid w:val="000518D4"/>
    <w:rsid w:val="000520AC"/>
    <w:rsid w:val="00055FEB"/>
    <w:rsid w:val="00056208"/>
    <w:rsid w:val="0005643C"/>
    <w:rsid w:val="00056EF3"/>
    <w:rsid w:val="000607D4"/>
    <w:rsid w:val="0006104E"/>
    <w:rsid w:val="00065BDD"/>
    <w:rsid w:val="00066920"/>
    <w:rsid w:val="00067B4D"/>
    <w:rsid w:val="0007081F"/>
    <w:rsid w:val="00072919"/>
    <w:rsid w:val="00074F44"/>
    <w:rsid w:val="000756A0"/>
    <w:rsid w:val="00075C85"/>
    <w:rsid w:val="00076BA5"/>
    <w:rsid w:val="00080C44"/>
    <w:rsid w:val="0008233D"/>
    <w:rsid w:val="000826F9"/>
    <w:rsid w:val="0008295B"/>
    <w:rsid w:val="00086439"/>
    <w:rsid w:val="00087438"/>
    <w:rsid w:val="00087648"/>
    <w:rsid w:val="00087943"/>
    <w:rsid w:val="00087ACA"/>
    <w:rsid w:val="00090318"/>
    <w:rsid w:val="000903A8"/>
    <w:rsid w:val="00090459"/>
    <w:rsid w:val="00092400"/>
    <w:rsid w:val="00092906"/>
    <w:rsid w:val="0009353B"/>
    <w:rsid w:val="000A2B83"/>
    <w:rsid w:val="000A2FB6"/>
    <w:rsid w:val="000A4A8A"/>
    <w:rsid w:val="000A5651"/>
    <w:rsid w:val="000A5CEA"/>
    <w:rsid w:val="000A62E5"/>
    <w:rsid w:val="000B1CA7"/>
    <w:rsid w:val="000B2438"/>
    <w:rsid w:val="000B2975"/>
    <w:rsid w:val="000B35DC"/>
    <w:rsid w:val="000B4BF2"/>
    <w:rsid w:val="000B5A53"/>
    <w:rsid w:val="000C337F"/>
    <w:rsid w:val="000C52DB"/>
    <w:rsid w:val="000C6CA8"/>
    <w:rsid w:val="000C7A3F"/>
    <w:rsid w:val="000C7C9D"/>
    <w:rsid w:val="000D0652"/>
    <w:rsid w:val="000D0B60"/>
    <w:rsid w:val="000D26D7"/>
    <w:rsid w:val="000D2BA2"/>
    <w:rsid w:val="000D2F5A"/>
    <w:rsid w:val="000D41F2"/>
    <w:rsid w:val="000D514E"/>
    <w:rsid w:val="000D5DE9"/>
    <w:rsid w:val="000E1224"/>
    <w:rsid w:val="000E1521"/>
    <w:rsid w:val="000E2735"/>
    <w:rsid w:val="000E3215"/>
    <w:rsid w:val="000E50F9"/>
    <w:rsid w:val="000E5380"/>
    <w:rsid w:val="000E6A76"/>
    <w:rsid w:val="000F1202"/>
    <w:rsid w:val="000F1454"/>
    <w:rsid w:val="000F48D9"/>
    <w:rsid w:val="000F4D4E"/>
    <w:rsid w:val="000F5A1B"/>
    <w:rsid w:val="000F5C82"/>
    <w:rsid w:val="000F6957"/>
    <w:rsid w:val="000F7837"/>
    <w:rsid w:val="00100136"/>
    <w:rsid w:val="00100A44"/>
    <w:rsid w:val="00103274"/>
    <w:rsid w:val="00104BA9"/>
    <w:rsid w:val="001057B2"/>
    <w:rsid w:val="0010695D"/>
    <w:rsid w:val="00106EFA"/>
    <w:rsid w:val="00107547"/>
    <w:rsid w:val="0011294F"/>
    <w:rsid w:val="00112C87"/>
    <w:rsid w:val="00113FF0"/>
    <w:rsid w:val="001156C6"/>
    <w:rsid w:val="001165C6"/>
    <w:rsid w:val="0011666B"/>
    <w:rsid w:val="001173D9"/>
    <w:rsid w:val="00121654"/>
    <w:rsid w:val="00121CDE"/>
    <w:rsid w:val="001232CD"/>
    <w:rsid w:val="00123611"/>
    <w:rsid w:val="00123BF8"/>
    <w:rsid w:val="001242F7"/>
    <w:rsid w:val="001256ED"/>
    <w:rsid w:val="0012609D"/>
    <w:rsid w:val="001307AA"/>
    <w:rsid w:val="00130AD2"/>
    <w:rsid w:val="0013288C"/>
    <w:rsid w:val="00136F51"/>
    <w:rsid w:val="00137864"/>
    <w:rsid w:val="001411F4"/>
    <w:rsid w:val="00141664"/>
    <w:rsid w:val="00143B4D"/>
    <w:rsid w:val="0014712D"/>
    <w:rsid w:val="00150DE5"/>
    <w:rsid w:val="00151B51"/>
    <w:rsid w:val="001524A8"/>
    <w:rsid w:val="001544ED"/>
    <w:rsid w:val="00155128"/>
    <w:rsid w:val="00156564"/>
    <w:rsid w:val="00161A5D"/>
    <w:rsid w:val="001630A1"/>
    <w:rsid w:val="00163DC6"/>
    <w:rsid w:val="00164FD8"/>
    <w:rsid w:val="00165592"/>
    <w:rsid w:val="00165934"/>
    <w:rsid w:val="001659F0"/>
    <w:rsid w:val="001704C8"/>
    <w:rsid w:val="001707F2"/>
    <w:rsid w:val="001712BA"/>
    <w:rsid w:val="001725A9"/>
    <w:rsid w:val="00173561"/>
    <w:rsid w:val="00173A83"/>
    <w:rsid w:val="00174526"/>
    <w:rsid w:val="00175AC2"/>
    <w:rsid w:val="00177293"/>
    <w:rsid w:val="00181348"/>
    <w:rsid w:val="00181ED5"/>
    <w:rsid w:val="001834DA"/>
    <w:rsid w:val="001837F4"/>
    <w:rsid w:val="0018551D"/>
    <w:rsid w:val="00185D85"/>
    <w:rsid w:val="00192EBE"/>
    <w:rsid w:val="00193BCD"/>
    <w:rsid w:val="00193DE8"/>
    <w:rsid w:val="0019431D"/>
    <w:rsid w:val="00194438"/>
    <w:rsid w:val="00194FBC"/>
    <w:rsid w:val="00196A86"/>
    <w:rsid w:val="00196D6B"/>
    <w:rsid w:val="00196E07"/>
    <w:rsid w:val="001A142F"/>
    <w:rsid w:val="001A2919"/>
    <w:rsid w:val="001A3DE3"/>
    <w:rsid w:val="001A46F9"/>
    <w:rsid w:val="001A7953"/>
    <w:rsid w:val="001B4B24"/>
    <w:rsid w:val="001B5BEA"/>
    <w:rsid w:val="001C0E64"/>
    <w:rsid w:val="001C1981"/>
    <w:rsid w:val="001C4A2D"/>
    <w:rsid w:val="001C50CC"/>
    <w:rsid w:val="001C7F50"/>
    <w:rsid w:val="001D0EB0"/>
    <w:rsid w:val="001D1850"/>
    <w:rsid w:val="001D249B"/>
    <w:rsid w:val="001D4FB9"/>
    <w:rsid w:val="001D619B"/>
    <w:rsid w:val="001E2BA2"/>
    <w:rsid w:val="001E3387"/>
    <w:rsid w:val="001E3CB7"/>
    <w:rsid w:val="001F10A7"/>
    <w:rsid w:val="001F1AB4"/>
    <w:rsid w:val="001F2B50"/>
    <w:rsid w:val="001F345B"/>
    <w:rsid w:val="001F4AD6"/>
    <w:rsid w:val="001F65EF"/>
    <w:rsid w:val="001F6DCF"/>
    <w:rsid w:val="0020203B"/>
    <w:rsid w:val="002027E3"/>
    <w:rsid w:val="00206328"/>
    <w:rsid w:val="0021020C"/>
    <w:rsid w:val="002113A2"/>
    <w:rsid w:val="00212E26"/>
    <w:rsid w:val="00214D65"/>
    <w:rsid w:val="0021638D"/>
    <w:rsid w:val="00220883"/>
    <w:rsid w:val="00222C60"/>
    <w:rsid w:val="002263C6"/>
    <w:rsid w:val="00226A28"/>
    <w:rsid w:val="00226A32"/>
    <w:rsid w:val="00227031"/>
    <w:rsid w:val="00230077"/>
    <w:rsid w:val="0023092D"/>
    <w:rsid w:val="002320BD"/>
    <w:rsid w:val="0023232A"/>
    <w:rsid w:val="00233239"/>
    <w:rsid w:val="00234A05"/>
    <w:rsid w:val="00243389"/>
    <w:rsid w:val="00243C5D"/>
    <w:rsid w:val="00243DC1"/>
    <w:rsid w:val="00244482"/>
    <w:rsid w:val="0024688B"/>
    <w:rsid w:val="0024790F"/>
    <w:rsid w:val="00247A26"/>
    <w:rsid w:val="00247B56"/>
    <w:rsid w:val="00250432"/>
    <w:rsid w:val="00250531"/>
    <w:rsid w:val="00250DD8"/>
    <w:rsid w:val="00251BFA"/>
    <w:rsid w:val="00251ED7"/>
    <w:rsid w:val="002524DA"/>
    <w:rsid w:val="00256A4A"/>
    <w:rsid w:val="002575F6"/>
    <w:rsid w:val="00260345"/>
    <w:rsid w:val="00260D64"/>
    <w:rsid w:val="00261C83"/>
    <w:rsid w:val="00264E8A"/>
    <w:rsid w:val="00265B2C"/>
    <w:rsid w:val="00265EF8"/>
    <w:rsid w:val="00266956"/>
    <w:rsid w:val="00266AAA"/>
    <w:rsid w:val="0027048D"/>
    <w:rsid w:val="00272089"/>
    <w:rsid w:val="002720F7"/>
    <w:rsid w:val="00273A03"/>
    <w:rsid w:val="00274CF5"/>
    <w:rsid w:val="00275C48"/>
    <w:rsid w:val="00277AEF"/>
    <w:rsid w:val="00280389"/>
    <w:rsid w:val="002804EC"/>
    <w:rsid w:val="00280C49"/>
    <w:rsid w:val="00292BE5"/>
    <w:rsid w:val="00293139"/>
    <w:rsid w:val="00293728"/>
    <w:rsid w:val="00293B4A"/>
    <w:rsid w:val="002948B5"/>
    <w:rsid w:val="00294986"/>
    <w:rsid w:val="00294EAF"/>
    <w:rsid w:val="00295416"/>
    <w:rsid w:val="00295883"/>
    <w:rsid w:val="00295C13"/>
    <w:rsid w:val="0029610C"/>
    <w:rsid w:val="00296BBB"/>
    <w:rsid w:val="00297463"/>
    <w:rsid w:val="00297EAE"/>
    <w:rsid w:val="002A4B3C"/>
    <w:rsid w:val="002A5235"/>
    <w:rsid w:val="002A5E55"/>
    <w:rsid w:val="002B24AD"/>
    <w:rsid w:val="002B3BB4"/>
    <w:rsid w:val="002B3BFC"/>
    <w:rsid w:val="002B538F"/>
    <w:rsid w:val="002C696D"/>
    <w:rsid w:val="002D006F"/>
    <w:rsid w:val="002D09CD"/>
    <w:rsid w:val="002D17E4"/>
    <w:rsid w:val="002D1D64"/>
    <w:rsid w:val="002D42CC"/>
    <w:rsid w:val="002D48F4"/>
    <w:rsid w:val="002D49A4"/>
    <w:rsid w:val="002D5B4E"/>
    <w:rsid w:val="002D6501"/>
    <w:rsid w:val="002D7A78"/>
    <w:rsid w:val="002D7F06"/>
    <w:rsid w:val="002E0B2E"/>
    <w:rsid w:val="002E1053"/>
    <w:rsid w:val="002E4551"/>
    <w:rsid w:val="002E689A"/>
    <w:rsid w:val="002E6E16"/>
    <w:rsid w:val="002E789D"/>
    <w:rsid w:val="002F1119"/>
    <w:rsid w:val="002F245E"/>
    <w:rsid w:val="002F3D09"/>
    <w:rsid w:val="002F4792"/>
    <w:rsid w:val="002F4F17"/>
    <w:rsid w:val="0030126F"/>
    <w:rsid w:val="003036EA"/>
    <w:rsid w:val="00310819"/>
    <w:rsid w:val="0031086D"/>
    <w:rsid w:val="00311A89"/>
    <w:rsid w:val="00313073"/>
    <w:rsid w:val="0031461A"/>
    <w:rsid w:val="003159EF"/>
    <w:rsid w:val="00315FA2"/>
    <w:rsid w:val="003163A7"/>
    <w:rsid w:val="00316DDF"/>
    <w:rsid w:val="00320416"/>
    <w:rsid w:val="00321DA5"/>
    <w:rsid w:val="00321DB3"/>
    <w:rsid w:val="00322EA4"/>
    <w:rsid w:val="00325832"/>
    <w:rsid w:val="00325E11"/>
    <w:rsid w:val="00326E2A"/>
    <w:rsid w:val="0033138A"/>
    <w:rsid w:val="00332911"/>
    <w:rsid w:val="003346D3"/>
    <w:rsid w:val="00335148"/>
    <w:rsid w:val="003353C7"/>
    <w:rsid w:val="00337301"/>
    <w:rsid w:val="00340281"/>
    <w:rsid w:val="00340C35"/>
    <w:rsid w:val="003424AE"/>
    <w:rsid w:val="00343849"/>
    <w:rsid w:val="00343957"/>
    <w:rsid w:val="00343E7C"/>
    <w:rsid w:val="0034565D"/>
    <w:rsid w:val="00346F22"/>
    <w:rsid w:val="003473CD"/>
    <w:rsid w:val="0035257E"/>
    <w:rsid w:val="00355EEA"/>
    <w:rsid w:val="003562E3"/>
    <w:rsid w:val="0036142F"/>
    <w:rsid w:val="00364265"/>
    <w:rsid w:val="0036751A"/>
    <w:rsid w:val="00367868"/>
    <w:rsid w:val="0037009C"/>
    <w:rsid w:val="0037085F"/>
    <w:rsid w:val="00373C07"/>
    <w:rsid w:val="003742C6"/>
    <w:rsid w:val="00374D2C"/>
    <w:rsid w:val="00377781"/>
    <w:rsid w:val="003801D1"/>
    <w:rsid w:val="003839AE"/>
    <w:rsid w:val="00383A1B"/>
    <w:rsid w:val="00383A58"/>
    <w:rsid w:val="0038436A"/>
    <w:rsid w:val="00384A14"/>
    <w:rsid w:val="003852A9"/>
    <w:rsid w:val="00386A81"/>
    <w:rsid w:val="00387CC7"/>
    <w:rsid w:val="003915F2"/>
    <w:rsid w:val="003918BD"/>
    <w:rsid w:val="00391FD0"/>
    <w:rsid w:val="0039235B"/>
    <w:rsid w:val="003926CA"/>
    <w:rsid w:val="00392BBE"/>
    <w:rsid w:val="003937B9"/>
    <w:rsid w:val="00394B36"/>
    <w:rsid w:val="00394FCC"/>
    <w:rsid w:val="00395727"/>
    <w:rsid w:val="0039645C"/>
    <w:rsid w:val="003A4B1D"/>
    <w:rsid w:val="003A4EE6"/>
    <w:rsid w:val="003A55B5"/>
    <w:rsid w:val="003A64CB"/>
    <w:rsid w:val="003A7991"/>
    <w:rsid w:val="003A7FEB"/>
    <w:rsid w:val="003B6D2D"/>
    <w:rsid w:val="003B78E0"/>
    <w:rsid w:val="003C189D"/>
    <w:rsid w:val="003C3220"/>
    <w:rsid w:val="003C6E34"/>
    <w:rsid w:val="003C6ECC"/>
    <w:rsid w:val="003C71A3"/>
    <w:rsid w:val="003C7A89"/>
    <w:rsid w:val="003D2EF8"/>
    <w:rsid w:val="003D73C3"/>
    <w:rsid w:val="003E0A55"/>
    <w:rsid w:val="003E2404"/>
    <w:rsid w:val="003E2BBE"/>
    <w:rsid w:val="003E4B1B"/>
    <w:rsid w:val="003E5355"/>
    <w:rsid w:val="003E5E39"/>
    <w:rsid w:val="003E6E8F"/>
    <w:rsid w:val="003E71CA"/>
    <w:rsid w:val="003F0204"/>
    <w:rsid w:val="003F2FCC"/>
    <w:rsid w:val="003F68DF"/>
    <w:rsid w:val="003F6B18"/>
    <w:rsid w:val="003F7025"/>
    <w:rsid w:val="0040134A"/>
    <w:rsid w:val="004025F5"/>
    <w:rsid w:val="00402BE6"/>
    <w:rsid w:val="004038D6"/>
    <w:rsid w:val="004052B8"/>
    <w:rsid w:val="0040553A"/>
    <w:rsid w:val="004055D4"/>
    <w:rsid w:val="0040569C"/>
    <w:rsid w:val="00410A95"/>
    <w:rsid w:val="00411416"/>
    <w:rsid w:val="00412082"/>
    <w:rsid w:val="00412894"/>
    <w:rsid w:val="00413972"/>
    <w:rsid w:val="00415210"/>
    <w:rsid w:val="004153D6"/>
    <w:rsid w:val="00415D1E"/>
    <w:rsid w:val="00415D39"/>
    <w:rsid w:val="00416AFE"/>
    <w:rsid w:val="004176FC"/>
    <w:rsid w:val="00421347"/>
    <w:rsid w:val="004239F9"/>
    <w:rsid w:val="00423F94"/>
    <w:rsid w:val="00424D37"/>
    <w:rsid w:val="00424F07"/>
    <w:rsid w:val="004267C9"/>
    <w:rsid w:val="00427F8D"/>
    <w:rsid w:val="00430F9D"/>
    <w:rsid w:val="00431536"/>
    <w:rsid w:val="00431C42"/>
    <w:rsid w:val="00432C99"/>
    <w:rsid w:val="00434187"/>
    <w:rsid w:val="00437067"/>
    <w:rsid w:val="004377AC"/>
    <w:rsid w:val="00437DB0"/>
    <w:rsid w:val="004424FE"/>
    <w:rsid w:val="00443C74"/>
    <w:rsid w:val="00444A11"/>
    <w:rsid w:val="00445313"/>
    <w:rsid w:val="00446120"/>
    <w:rsid w:val="00447D32"/>
    <w:rsid w:val="004519C8"/>
    <w:rsid w:val="004540E3"/>
    <w:rsid w:val="00454160"/>
    <w:rsid w:val="004555B4"/>
    <w:rsid w:val="004559D5"/>
    <w:rsid w:val="00455F7E"/>
    <w:rsid w:val="004561DE"/>
    <w:rsid w:val="00457B84"/>
    <w:rsid w:val="004606F7"/>
    <w:rsid w:val="00460809"/>
    <w:rsid w:val="00461A5D"/>
    <w:rsid w:val="00463D4B"/>
    <w:rsid w:val="00467902"/>
    <w:rsid w:val="00467BBC"/>
    <w:rsid w:val="0047030D"/>
    <w:rsid w:val="00470CBB"/>
    <w:rsid w:val="00471BA8"/>
    <w:rsid w:val="00472C82"/>
    <w:rsid w:val="004739E8"/>
    <w:rsid w:val="00473D87"/>
    <w:rsid w:val="004740E4"/>
    <w:rsid w:val="00477597"/>
    <w:rsid w:val="00477E16"/>
    <w:rsid w:val="00480BCD"/>
    <w:rsid w:val="004826E0"/>
    <w:rsid w:val="004829AC"/>
    <w:rsid w:val="00485AF3"/>
    <w:rsid w:val="004905F4"/>
    <w:rsid w:val="00490AE5"/>
    <w:rsid w:val="00495ECD"/>
    <w:rsid w:val="004A0F57"/>
    <w:rsid w:val="004A18BA"/>
    <w:rsid w:val="004A1E95"/>
    <w:rsid w:val="004A3709"/>
    <w:rsid w:val="004A3B65"/>
    <w:rsid w:val="004A43C4"/>
    <w:rsid w:val="004A4E98"/>
    <w:rsid w:val="004A7516"/>
    <w:rsid w:val="004A7F72"/>
    <w:rsid w:val="004B17D6"/>
    <w:rsid w:val="004B2DBB"/>
    <w:rsid w:val="004B6741"/>
    <w:rsid w:val="004B725D"/>
    <w:rsid w:val="004C2455"/>
    <w:rsid w:val="004C6569"/>
    <w:rsid w:val="004C7111"/>
    <w:rsid w:val="004D5F22"/>
    <w:rsid w:val="004D6293"/>
    <w:rsid w:val="004D6546"/>
    <w:rsid w:val="004E0B40"/>
    <w:rsid w:val="004E38E3"/>
    <w:rsid w:val="004E69C8"/>
    <w:rsid w:val="004F2476"/>
    <w:rsid w:val="004F27FD"/>
    <w:rsid w:val="004F2F7D"/>
    <w:rsid w:val="004F2FEF"/>
    <w:rsid w:val="004F55DE"/>
    <w:rsid w:val="004F7B5C"/>
    <w:rsid w:val="0050024B"/>
    <w:rsid w:val="00501590"/>
    <w:rsid w:val="00502349"/>
    <w:rsid w:val="00502D44"/>
    <w:rsid w:val="005049CC"/>
    <w:rsid w:val="00505178"/>
    <w:rsid w:val="00506C8E"/>
    <w:rsid w:val="00506CD1"/>
    <w:rsid w:val="00506CFF"/>
    <w:rsid w:val="00512ABA"/>
    <w:rsid w:val="005131C3"/>
    <w:rsid w:val="00513A4E"/>
    <w:rsid w:val="005175A0"/>
    <w:rsid w:val="005201BE"/>
    <w:rsid w:val="00523636"/>
    <w:rsid w:val="00524604"/>
    <w:rsid w:val="00524852"/>
    <w:rsid w:val="0052485F"/>
    <w:rsid w:val="00525EE9"/>
    <w:rsid w:val="00526035"/>
    <w:rsid w:val="00526D86"/>
    <w:rsid w:val="0053021A"/>
    <w:rsid w:val="00530B5B"/>
    <w:rsid w:val="00530D50"/>
    <w:rsid w:val="005329BE"/>
    <w:rsid w:val="005334B4"/>
    <w:rsid w:val="005349D4"/>
    <w:rsid w:val="00535894"/>
    <w:rsid w:val="00537D63"/>
    <w:rsid w:val="005407BF"/>
    <w:rsid w:val="00541927"/>
    <w:rsid w:val="00542508"/>
    <w:rsid w:val="00544107"/>
    <w:rsid w:val="005449BE"/>
    <w:rsid w:val="00545AE3"/>
    <w:rsid w:val="0054736B"/>
    <w:rsid w:val="00547ED4"/>
    <w:rsid w:val="005506C7"/>
    <w:rsid w:val="0055079B"/>
    <w:rsid w:val="00550B2F"/>
    <w:rsid w:val="00552B17"/>
    <w:rsid w:val="00555C5A"/>
    <w:rsid w:val="00555DDD"/>
    <w:rsid w:val="0055739D"/>
    <w:rsid w:val="0055759C"/>
    <w:rsid w:val="0056011E"/>
    <w:rsid w:val="005613FF"/>
    <w:rsid w:val="005639EE"/>
    <w:rsid w:val="0056453E"/>
    <w:rsid w:val="00566A4F"/>
    <w:rsid w:val="0056761D"/>
    <w:rsid w:val="00570D6F"/>
    <w:rsid w:val="00570EA8"/>
    <w:rsid w:val="0057120E"/>
    <w:rsid w:val="005718A8"/>
    <w:rsid w:val="00571C20"/>
    <w:rsid w:val="00572118"/>
    <w:rsid w:val="00572BEE"/>
    <w:rsid w:val="00572E0A"/>
    <w:rsid w:val="005737C6"/>
    <w:rsid w:val="00574771"/>
    <w:rsid w:val="00575042"/>
    <w:rsid w:val="00575DF4"/>
    <w:rsid w:val="005765B0"/>
    <w:rsid w:val="00577F0C"/>
    <w:rsid w:val="00580546"/>
    <w:rsid w:val="00580CB3"/>
    <w:rsid w:val="005831FA"/>
    <w:rsid w:val="005842A0"/>
    <w:rsid w:val="0058472E"/>
    <w:rsid w:val="00584D37"/>
    <w:rsid w:val="00585991"/>
    <w:rsid w:val="0058701B"/>
    <w:rsid w:val="0059473B"/>
    <w:rsid w:val="005953CA"/>
    <w:rsid w:val="005960BA"/>
    <w:rsid w:val="005960DE"/>
    <w:rsid w:val="00596744"/>
    <w:rsid w:val="005A213B"/>
    <w:rsid w:val="005A4012"/>
    <w:rsid w:val="005A4121"/>
    <w:rsid w:val="005A6731"/>
    <w:rsid w:val="005A76F1"/>
    <w:rsid w:val="005B1221"/>
    <w:rsid w:val="005B352D"/>
    <w:rsid w:val="005B631B"/>
    <w:rsid w:val="005B6420"/>
    <w:rsid w:val="005C061E"/>
    <w:rsid w:val="005C463B"/>
    <w:rsid w:val="005C5EB1"/>
    <w:rsid w:val="005C7DC3"/>
    <w:rsid w:val="005D06F7"/>
    <w:rsid w:val="005D1B17"/>
    <w:rsid w:val="005D1D02"/>
    <w:rsid w:val="005D25B2"/>
    <w:rsid w:val="005D330D"/>
    <w:rsid w:val="005D3683"/>
    <w:rsid w:val="005D3AB2"/>
    <w:rsid w:val="005D4C3D"/>
    <w:rsid w:val="005D591F"/>
    <w:rsid w:val="005D5D9E"/>
    <w:rsid w:val="005D792B"/>
    <w:rsid w:val="005E05E9"/>
    <w:rsid w:val="005E09A7"/>
    <w:rsid w:val="005E292B"/>
    <w:rsid w:val="005E2966"/>
    <w:rsid w:val="005E6149"/>
    <w:rsid w:val="005E7FF4"/>
    <w:rsid w:val="005F09CC"/>
    <w:rsid w:val="005F15EF"/>
    <w:rsid w:val="005F2890"/>
    <w:rsid w:val="005F297C"/>
    <w:rsid w:val="005F3BAE"/>
    <w:rsid w:val="005F3EB2"/>
    <w:rsid w:val="005F495F"/>
    <w:rsid w:val="005F6E0D"/>
    <w:rsid w:val="006001B2"/>
    <w:rsid w:val="006009CC"/>
    <w:rsid w:val="006014DA"/>
    <w:rsid w:val="006038D0"/>
    <w:rsid w:val="00611A86"/>
    <w:rsid w:val="00612BD3"/>
    <w:rsid w:val="00612F42"/>
    <w:rsid w:val="00613AFF"/>
    <w:rsid w:val="00614E81"/>
    <w:rsid w:val="00616B13"/>
    <w:rsid w:val="00616C15"/>
    <w:rsid w:val="00620130"/>
    <w:rsid w:val="00622893"/>
    <w:rsid w:val="00625361"/>
    <w:rsid w:val="006253AB"/>
    <w:rsid w:val="0062548D"/>
    <w:rsid w:val="00626103"/>
    <w:rsid w:val="00627EED"/>
    <w:rsid w:val="00630655"/>
    <w:rsid w:val="00630B07"/>
    <w:rsid w:val="00630DB5"/>
    <w:rsid w:val="00631029"/>
    <w:rsid w:val="0063189E"/>
    <w:rsid w:val="00632268"/>
    <w:rsid w:val="00633921"/>
    <w:rsid w:val="00634087"/>
    <w:rsid w:val="00635552"/>
    <w:rsid w:val="0063555E"/>
    <w:rsid w:val="00635DAE"/>
    <w:rsid w:val="00637E05"/>
    <w:rsid w:val="00641801"/>
    <w:rsid w:val="006437B9"/>
    <w:rsid w:val="00643D14"/>
    <w:rsid w:val="00644C09"/>
    <w:rsid w:val="006478CA"/>
    <w:rsid w:val="00653F68"/>
    <w:rsid w:val="0066099D"/>
    <w:rsid w:val="006631C0"/>
    <w:rsid w:val="00665F3D"/>
    <w:rsid w:val="0066772F"/>
    <w:rsid w:val="00670BE5"/>
    <w:rsid w:val="006713E4"/>
    <w:rsid w:val="0067226C"/>
    <w:rsid w:val="006741E5"/>
    <w:rsid w:val="00677AF1"/>
    <w:rsid w:val="006802EF"/>
    <w:rsid w:val="006816E0"/>
    <w:rsid w:val="00681AE4"/>
    <w:rsid w:val="00682A4A"/>
    <w:rsid w:val="0068581C"/>
    <w:rsid w:val="00685987"/>
    <w:rsid w:val="006863BB"/>
    <w:rsid w:val="00690924"/>
    <w:rsid w:val="00691E24"/>
    <w:rsid w:val="00692004"/>
    <w:rsid w:val="006920AC"/>
    <w:rsid w:val="00692429"/>
    <w:rsid w:val="00693B94"/>
    <w:rsid w:val="00697EBC"/>
    <w:rsid w:val="006A0563"/>
    <w:rsid w:val="006A1C8A"/>
    <w:rsid w:val="006A258A"/>
    <w:rsid w:val="006A3604"/>
    <w:rsid w:val="006A437D"/>
    <w:rsid w:val="006A4BDB"/>
    <w:rsid w:val="006A5C56"/>
    <w:rsid w:val="006A5C81"/>
    <w:rsid w:val="006A5D28"/>
    <w:rsid w:val="006A6F48"/>
    <w:rsid w:val="006A6F51"/>
    <w:rsid w:val="006A75E7"/>
    <w:rsid w:val="006A7941"/>
    <w:rsid w:val="006B0EC3"/>
    <w:rsid w:val="006B19B9"/>
    <w:rsid w:val="006B20F1"/>
    <w:rsid w:val="006B52A7"/>
    <w:rsid w:val="006B5A49"/>
    <w:rsid w:val="006B7DBE"/>
    <w:rsid w:val="006C0461"/>
    <w:rsid w:val="006C0721"/>
    <w:rsid w:val="006C22FD"/>
    <w:rsid w:val="006C23C2"/>
    <w:rsid w:val="006C3543"/>
    <w:rsid w:val="006C59A5"/>
    <w:rsid w:val="006C751A"/>
    <w:rsid w:val="006C7624"/>
    <w:rsid w:val="006C7A95"/>
    <w:rsid w:val="006C7FB3"/>
    <w:rsid w:val="006D2F31"/>
    <w:rsid w:val="006D6564"/>
    <w:rsid w:val="006E0CD2"/>
    <w:rsid w:val="006E1997"/>
    <w:rsid w:val="006E203E"/>
    <w:rsid w:val="006E2EB7"/>
    <w:rsid w:val="006E651E"/>
    <w:rsid w:val="006E76A5"/>
    <w:rsid w:val="006F0645"/>
    <w:rsid w:val="006F0DDD"/>
    <w:rsid w:val="006F1700"/>
    <w:rsid w:val="006F239F"/>
    <w:rsid w:val="006F5644"/>
    <w:rsid w:val="007000FF"/>
    <w:rsid w:val="00700507"/>
    <w:rsid w:val="0070070A"/>
    <w:rsid w:val="007032F8"/>
    <w:rsid w:val="00704962"/>
    <w:rsid w:val="00707DB6"/>
    <w:rsid w:val="0071193F"/>
    <w:rsid w:val="00712D19"/>
    <w:rsid w:val="0071532D"/>
    <w:rsid w:val="00716B0C"/>
    <w:rsid w:val="007200EC"/>
    <w:rsid w:val="00721187"/>
    <w:rsid w:val="0072124A"/>
    <w:rsid w:val="00722F14"/>
    <w:rsid w:val="007236BA"/>
    <w:rsid w:val="007238DD"/>
    <w:rsid w:val="00723C9D"/>
    <w:rsid w:val="00723D02"/>
    <w:rsid w:val="00723D84"/>
    <w:rsid w:val="00723EDE"/>
    <w:rsid w:val="007241F1"/>
    <w:rsid w:val="00724717"/>
    <w:rsid w:val="00725E8D"/>
    <w:rsid w:val="0072660C"/>
    <w:rsid w:val="00727CF8"/>
    <w:rsid w:val="00730404"/>
    <w:rsid w:val="00730D0F"/>
    <w:rsid w:val="00731AB7"/>
    <w:rsid w:val="00734FF9"/>
    <w:rsid w:val="0074180F"/>
    <w:rsid w:val="0074307F"/>
    <w:rsid w:val="007446DE"/>
    <w:rsid w:val="00746019"/>
    <w:rsid w:val="00746D3F"/>
    <w:rsid w:val="00747E7C"/>
    <w:rsid w:val="00750AB2"/>
    <w:rsid w:val="007532A0"/>
    <w:rsid w:val="00755358"/>
    <w:rsid w:val="007558DB"/>
    <w:rsid w:val="00755AB9"/>
    <w:rsid w:val="00757FB9"/>
    <w:rsid w:val="00760746"/>
    <w:rsid w:val="007633E5"/>
    <w:rsid w:val="00766299"/>
    <w:rsid w:val="00766870"/>
    <w:rsid w:val="00766EC1"/>
    <w:rsid w:val="0077007B"/>
    <w:rsid w:val="007702C7"/>
    <w:rsid w:val="00770A25"/>
    <w:rsid w:val="007737A3"/>
    <w:rsid w:val="007738A0"/>
    <w:rsid w:val="007739DD"/>
    <w:rsid w:val="0077606A"/>
    <w:rsid w:val="007801CD"/>
    <w:rsid w:val="0078146D"/>
    <w:rsid w:val="00781801"/>
    <w:rsid w:val="0078209B"/>
    <w:rsid w:val="00782A8B"/>
    <w:rsid w:val="00783E3F"/>
    <w:rsid w:val="00784C33"/>
    <w:rsid w:val="00787C14"/>
    <w:rsid w:val="00790453"/>
    <w:rsid w:val="0079363C"/>
    <w:rsid w:val="00793B6E"/>
    <w:rsid w:val="0079785B"/>
    <w:rsid w:val="007A2AF5"/>
    <w:rsid w:val="007A4BB5"/>
    <w:rsid w:val="007A4FB6"/>
    <w:rsid w:val="007A5AEB"/>
    <w:rsid w:val="007A6AA6"/>
    <w:rsid w:val="007A74FE"/>
    <w:rsid w:val="007B1550"/>
    <w:rsid w:val="007B17D6"/>
    <w:rsid w:val="007B1B3A"/>
    <w:rsid w:val="007B4E82"/>
    <w:rsid w:val="007B5D7F"/>
    <w:rsid w:val="007B6992"/>
    <w:rsid w:val="007B7C1E"/>
    <w:rsid w:val="007B7E26"/>
    <w:rsid w:val="007C1D1B"/>
    <w:rsid w:val="007C1F44"/>
    <w:rsid w:val="007C6783"/>
    <w:rsid w:val="007D67E0"/>
    <w:rsid w:val="007D6EC1"/>
    <w:rsid w:val="007D6FD7"/>
    <w:rsid w:val="007D70E9"/>
    <w:rsid w:val="007E1B82"/>
    <w:rsid w:val="007E4CD6"/>
    <w:rsid w:val="007E73D8"/>
    <w:rsid w:val="007F0803"/>
    <w:rsid w:val="007F1D75"/>
    <w:rsid w:val="007F1F0C"/>
    <w:rsid w:val="007F223F"/>
    <w:rsid w:val="007F34C7"/>
    <w:rsid w:val="007F5589"/>
    <w:rsid w:val="007F55DE"/>
    <w:rsid w:val="007F5E90"/>
    <w:rsid w:val="007F79A8"/>
    <w:rsid w:val="00800009"/>
    <w:rsid w:val="008005A8"/>
    <w:rsid w:val="00800C04"/>
    <w:rsid w:val="0080286C"/>
    <w:rsid w:val="00802CE5"/>
    <w:rsid w:val="00804A39"/>
    <w:rsid w:val="00805098"/>
    <w:rsid w:val="00807A77"/>
    <w:rsid w:val="00810B35"/>
    <w:rsid w:val="0081120F"/>
    <w:rsid w:val="00813916"/>
    <w:rsid w:val="00814C9A"/>
    <w:rsid w:val="008152F1"/>
    <w:rsid w:val="008178BA"/>
    <w:rsid w:val="00821FCA"/>
    <w:rsid w:val="00822A78"/>
    <w:rsid w:val="008233A0"/>
    <w:rsid w:val="0082417D"/>
    <w:rsid w:val="008259FC"/>
    <w:rsid w:val="00832534"/>
    <w:rsid w:val="008343D0"/>
    <w:rsid w:val="00834EDE"/>
    <w:rsid w:val="00837228"/>
    <w:rsid w:val="00837495"/>
    <w:rsid w:val="00837F06"/>
    <w:rsid w:val="0084340D"/>
    <w:rsid w:val="008444AE"/>
    <w:rsid w:val="00844EE4"/>
    <w:rsid w:val="008465BF"/>
    <w:rsid w:val="0084680C"/>
    <w:rsid w:val="008473BE"/>
    <w:rsid w:val="00847AE8"/>
    <w:rsid w:val="00847DBA"/>
    <w:rsid w:val="008527D8"/>
    <w:rsid w:val="00852DD8"/>
    <w:rsid w:val="00852EBB"/>
    <w:rsid w:val="0085585F"/>
    <w:rsid w:val="00855D29"/>
    <w:rsid w:val="00855FFB"/>
    <w:rsid w:val="008563E3"/>
    <w:rsid w:val="00856C7F"/>
    <w:rsid w:val="00857E49"/>
    <w:rsid w:val="0086039E"/>
    <w:rsid w:val="00861293"/>
    <w:rsid w:val="0086630A"/>
    <w:rsid w:val="00871352"/>
    <w:rsid w:val="00871418"/>
    <w:rsid w:val="00872A7C"/>
    <w:rsid w:val="00874016"/>
    <w:rsid w:val="0087475F"/>
    <w:rsid w:val="00877294"/>
    <w:rsid w:val="008823B4"/>
    <w:rsid w:val="00883479"/>
    <w:rsid w:val="00884F78"/>
    <w:rsid w:val="00884FD3"/>
    <w:rsid w:val="00885DD4"/>
    <w:rsid w:val="00886809"/>
    <w:rsid w:val="0088750D"/>
    <w:rsid w:val="008879C5"/>
    <w:rsid w:val="00887BEC"/>
    <w:rsid w:val="00890051"/>
    <w:rsid w:val="00890567"/>
    <w:rsid w:val="00890E84"/>
    <w:rsid w:val="0089306D"/>
    <w:rsid w:val="0089306E"/>
    <w:rsid w:val="008951B3"/>
    <w:rsid w:val="00895914"/>
    <w:rsid w:val="008A1E8A"/>
    <w:rsid w:val="008A57E5"/>
    <w:rsid w:val="008A7D42"/>
    <w:rsid w:val="008B0E8C"/>
    <w:rsid w:val="008B1700"/>
    <w:rsid w:val="008B1F33"/>
    <w:rsid w:val="008B202B"/>
    <w:rsid w:val="008B3001"/>
    <w:rsid w:val="008B3CFE"/>
    <w:rsid w:val="008B54B4"/>
    <w:rsid w:val="008B5DBC"/>
    <w:rsid w:val="008B5F6A"/>
    <w:rsid w:val="008C3676"/>
    <w:rsid w:val="008C3C92"/>
    <w:rsid w:val="008C4E8A"/>
    <w:rsid w:val="008C6B3D"/>
    <w:rsid w:val="008D0DB5"/>
    <w:rsid w:val="008D2B13"/>
    <w:rsid w:val="008D394D"/>
    <w:rsid w:val="008D4422"/>
    <w:rsid w:val="008D45D9"/>
    <w:rsid w:val="008D640B"/>
    <w:rsid w:val="008D7017"/>
    <w:rsid w:val="008E2762"/>
    <w:rsid w:val="008E2AF9"/>
    <w:rsid w:val="008E3B38"/>
    <w:rsid w:val="008E3C04"/>
    <w:rsid w:val="008E56E2"/>
    <w:rsid w:val="008E57F5"/>
    <w:rsid w:val="008E626A"/>
    <w:rsid w:val="008E68B5"/>
    <w:rsid w:val="008F35A8"/>
    <w:rsid w:val="008F4B74"/>
    <w:rsid w:val="0090049C"/>
    <w:rsid w:val="009016E3"/>
    <w:rsid w:val="00902527"/>
    <w:rsid w:val="00902FCD"/>
    <w:rsid w:val="0090408E"/>
    <w:rsid w:val="009059CD"/>
    <w:rsid w:val="00905F5D"/>
    <w:rsid w:val="0090766A"/>
    <w:rsid w:val="009111AD"/>
    <w:rsid w:val="00913750"/>
    <w:rsid w:val="00913F09"/>
    <w:rsid w:val="00917496"/>
    <w:rsid w:val="00920DC3"/>
    <w:rsid w:val="0092151E"/>
    <w:rsid w:val="00924EA4"/>
    <w:rsid w:val="0092600D"/>
    <w:rsid w:val="009262B5"/>
    <w:rsid w:val="00926B0C"/>
    <w:rsid w:val="00931A37"/>
    <w:rsid w:val="00935C87"/>
    <w:rsid w:val="00935FF3"/>
    <w:rsid w:val="0093630E"/>
    <w:rsid w:val="00936E99"/>
    <w:rsid w:val="00940318"/>
    <w:rsid w:val="0094062F"/>
    <w:rsid w:val="0094212E"/>
    <w:rsid w:val="009422EB"/>
    <w:rsid w:val="009438AB"/>
    <w:rsid w:val="0094458A"/>
    <w:rsid w:val="0094466C"/>
    <w:rsid w:val="00947EC9"/>
    <w:rsid w:val="00951A8D"/>
    <w:rsid w:val="00952A84"/>
    <w:rsid w:val="00953254"/>
    <w:rsid w:val="009533CE"/>
    <w:rsid w:val="009539F1"/>
    <w:rsid w:val="00955B43"/>
    <w:rsid w:val="0095612C"/>
    <w:rsid w:val="009561C1"/>
    <w:rsid w:val="00962A82"/>
    <w:rsid w:val="0096326C"/>
    <w:rsid w:val="00963601"/>
    <w:rsid w:val="00965CA0"/>
    <w:rsid w:val="009662F0"/>
    <w:rsid w:val="00966BCE"/>
    <w:rsid w:val="00971C68"/>
    <w:rsid w:val="0097450A"/>
    <w:rsid w:val="009745C4"/>
    <w:rsid w:val="00974B43"/>
    <w:rsid w:val="00974FAA"/>
    <w:rsid w:val="00977FB6"/>
    <w:rsid w:val="009809F0"/>
    <w:rsid w:val="00980F32"/>
    <w:rsid w:val="00981B21"/>
    <w:rsid w:val="009820A2"/>
    <w:rsid w:val="009829B0"/>
    <w:rsid w:val="0098433A"/>
    <w:rsid w:val="00984AB0"/>
    <w:rsid w:val="00984F44"/>
    <w:rsid w:val="0098544D"/>
    <w:rsid w:val="009861D9"/>
    <w:rsid w:val="00986FAC"/>
    <w:rsid w:val="00987484"/>
    <w:rsid w:val="009908ED"/>
    <w:rsid w:val="00994363"/>
    <w:rsid w:val="00994D53"/>
    <w:rsid w:val="0099688A"/>
    <w:rsid w:val="0099787F"/>
    <w:rsid w:val="00997F7E"/>
    <w:rsid w:val="009A02C9"/>
    <w:rsid w:val="009A0D32"/>
    <w:rsid w:val="009A15DF"/>
    <w:rsid w:val="009A2D36"/>
    <w:rsid w:val="009A334D"/>
    <w:rsid w:val="009A3371"/>
    <w:rsid w:val="009A3ABC"/>
    <w:rsid w:val="009A3F39"/>
    <w:rsid w:val="009A418D"/>
    <w:rsid w:val="009A4641"/>
    <w:rsid w:val="009A5F5B"/>
    <w:rsid w:val="009A70B1"/>
    <w:rsid w:val="009A7596"/>
    <w:rsid w:val="009B32D1"/>
    <w:rsid w:val="009B425F"/>
    <w:rsid w:val="009B477B"/>
    <w:rsid w:val="009B50B5"/>
    <w:rsid w:val="009B569D"/>
    <w:rsid w:val="009B72E8"/>
    <w:rsid w:val="009C086C"/>
    <w:rsid w:val="009C0EA3"/>
    <w:rsid w:val="009C602F"/>
    <w:rsid w:val="009C69C7"/>
    <w:rsid w:val="009C7F63"/>
    <w:rsid w:val="009D0613"/>
    <w:rsid w:val="009D0786"/>
    <w:rsid w:val="009D187B"/>
    <w:rsid w:val="009D1E28"/>
    <w:rsid w:val="009D2059"/>
    <w:rsid w:val="009D2385"/>
    <w:rsid w:val="009D24A0"/>
    <w:rsid w:val="009D2784"/>
    <w:rsid w:val="009D5C8E"/>
    <w:rsid w:val="009D749F"/>
    <w:rsid w:val="009E0499"/>
    <w:rsid w:val="009E105F"/>
    <w:rsid w:val="009E1EED"/>
    <w:rsid w:val="009E2558"/>
    <w:rsid w:val="009E3B6B"/>
    <w:rsid w:val="009E44DC"/>
    <w:rsid w:val="009E7A03"/>
    <w:rsid w:val="009E7D35"/>
    <w:rsid w:val="009F2269"/>
    <w:rsid w:val="009F2B77"/>
    <w:rsid w:val="009F3382"/>
    <w:rsid w:val="009F598A"/>
    <w:rsid w:val="009F5AC3"/>
    <w:rsid w:val="009F60C9"/>
    <w:rsid w:val="009F74B2"/>
    <w:rsid w:val="00A002FE"/>
    <w:rsid w:val="00A02228"/>
    <w:rsid w:val="00A033CC"/>
    <w:rsid w:val="00A03C90"/>
    <w:rsid w:val="00A03EDD"/>
    <w:rsid w:val="00A051B1"/>
    <w:rsid w:val="00A071FC"/>
    <w:rsid w:val="00A07304"/>
    <w:rsid w:val="00A07548"/>
    <w:rsid w:val="00A11FFD"/>
    <w:rsid w:val="00A12C8D"/>
    <w:rsid w:val="00A148A6"/>
    <w:rsid w:val="00A14B33"/>
    <w:rsid w:val="00A21AF8"/>
    <w:rsid w:val="00A2223B"/>
    <w:rsid w:val="00A251A6"/>
    <w:rsid w:val="00A252F0"/>
    <w:rsid w:val="00A25A4B"/>
    <w:rsid w:val="00A264A9"/>
    <w:rsid w:val="00A26C90"/>
    <w:rsid w:val="00A32FF5"/>
    <w:rsid w:val="00A33163"/>
    <w:rsid w:val="00A33B39"/>
    <w:rsid w:val="00A3561D"/>
    <w:rsid w:val="00A35BC5"/>
    <w:rsid w:val="00A36386"/>
    <w:rsid w:val="00A425B4"/>
    <w:rsid w:val="00A440E2"/>
    <w:rsid w:val="00A447A8"/>
    <w:rsid w:val="00A45815"/>
    <w:rsid w:val="00A45FEB"/>
    <w:rsid w:val="00A50A00"/>
    <w:rsid w:val="00A5132F"/>
    <w:rsid w:val="00A5241A"/>
    <w:rsid w:val="00A52EEA"/>
    <w:rsid w:val="00A53C66"/>
    <w:rsid w:val="00A53D49"/>
    <w:rsid w:val="00A55596"/>
    <w:rsid w:val="00A55A0E"/>
    <w:rsid w:val="00A55CB3"/>
    <w:rsid w:val="00A5615D"/>
    <w:rsid w:val="00A57696"/>
    <w:rsid w:val="00A60795"/>
    <w:rsid w:val="00A60AF2"/>
    <w:rsid w:val="00A62455"/>
    <w:rsid w:val="00A63263"/>
    <w:rsid w:val="00A64A0D"/>
    <w:rsid w:val="00A64F8F"/>
    <w:rsid w:val="00A65418"/>
    <w:rsid w:val="00A65AD1"/>
    <w:rsid w:val="00A670F6"/>
    <w:rsid w:val="00A711EB"/>
    <w:rsid w:val="00A72313"/>
    <w:rsid w:val="00A758FC"/>
    <w:rsid w:val="00A76AD8"/>
    <w:rsid w:val="00A8009D"/>
    <w:rsid w:val="00A80583"/>
    <w:rsid w:val="00A80AAB"/>
    <w:rsid w:val="00A82D2B"/>
    <w:rsid w:val="00A90C1C"/>
    <w:rsid w:val="00A90E13"/>
    <w:rsid w:val="00A91021"/>
    <w:rsid w:val="00A92667"/>
    <w:rsid w:val="00A92A1A"/>
    <w:rsid w:val="00A936E7"/>
    <w:rsid w:val="00A937B4"/>
    <w:rsid w:val="00A95590"/>
    <w:rsid w:val="00A9562A"/>
    <w:rsid w:val="00A95654"/>
    <w:rsid w:val="00A97408"/>
    <w:rsid w:val="00A97998"/>
    <w:rsid w:val="00A979D9"/>
    <w:rsid w:val="00AA0FDA"/>
    <w:rsid w:val="00AA1333"/>
    <w:rsid w:val="00AA2CF3"/>
    <w:rsid w:val="00AA3118"/>
    <w:rsid w:val="00AA3963"/>
    <w:rsid w:val="00AA5D4E"/>
    <w:rsid w:val="00AA6B88"/>
    <w:rsid w:val="00AA760B"/>
    <w:rsid w:val="00AA772B"/>
    <w:rsid w:val="00AB0F96"/>
    <w:rsid w:val="00AB1AAB"/>
    <w:rsid w:val="00AB1AB2"/>
    <w:rsid w:val="00AB472B"/>
    <w:rsid w:val="00AB6969"/>
    <w:rsid w:val="00AB7376"/>
    <w:rsid w:val="00AC04F7"/>
    <w:rsid w:val="00AC0B2F"/>
    <w:rsid w:val="00AC1B14"/>
    <w:rsid w:val="00AC22A6"/>
    <w:rsid w:val="00AC6628"/>
    <w:rsid w:val="00AC664D"/>
    <w:rsid w:val="00AC6CC6"/>
    <w:rsid w:val="00AC74ED"/>
    <w:rsid w:val="00AC7CD8"/>
    <w:rsid w:val="00AD10DB"/>
    <w:rsid w:val="00AD3464"/>
    <w:rsid w:val="00AD4123"/>
    <w:rsid w:val="00AD422E"/>
    <w:rsid w:val="00AE15EA"/>
    <w:rsid w:val="00AE1773"/>
    <w:rsid w:val="00AE2ECF"/>
    <w:rsid w:val="00AE4505"/>
    <w:rsid w:val="00AE509D"/>
    <w:rsid w:val="00AE5C1F"/>
    <w:rsid w:val="00AE7B06"/>
    <w:rsid w:val="00AF06D9"/>
    <w:rsid w:val="00AF3689"/>
    <w:rsid w:val="00AF3DA6"/>
    <w:rsid w:val="00AF4C34"/>
    <w:rsid w:val="00AF50C2"/>
    <w:rsid w:val="00B00486"/>
    <w:rsid w:val="00B012DE"/>
    <w:rsid w:val="00B03A0E"/>
    <w:rsid w:val="00B03D2C"/>
    <w:rsid w:val="00B05458"/>
    <w:rsid w:val="00B07152"/>
    <w:rsid w:val="00B1328E"/>
    <w:rsid w:val="00B13707"/>
    <w:rsid w:val="00B13CD0"/>
    <w:rsid w:val="00B176AC"/>
    <w:rsid w:val="00B208E4"/>
    <w:rsid w:val="00B2233E"/>
    <w:rsid w:val="00B24A31"/>
    <w:rsid w:val="00B25107"/>
    <w:rsid w:val="00B27DE5"/>
    <w:rsid w:val="00B27F01"/>
    <w:rsid w:val="00B31F81"/>
    <w:rsid w:val="00B32A76"/>
    <w:rsid w:val="00B32C88"/>
    <w:rsid w:val="00B331B2"/>
    <w:rsid w:val="00B37FB0"/>
    <w:rsid w:val="00B4237D"/>
    <w:rsid w:val="00B42656"/>
    <w:rsid w:val="00B42879"/>
    <w:rsid w:val="00B42921"/>
    <w:rsid w:val="00B443B4"/>
    <w:rsid w:val="00B45888"/>
    <w:rsid w:val="00B45B15"/>
    <w:rsid w:val="00B45F58"/>
    <w:rsid w:val="00B460B0"/>
    <w:rsid w:val="00B51D96"/>
    <w:rsid w:val="00B53BD7"/>
    <w:rsid w:val="00B55825"/>
    <w:rsid w:val="00B558D2"/>
    <w:rsid w:val="00B56096"/>
    <w:rsid w:val="00B601DA"/>
    <w:rsid w:val="00B63A52"/>
    <w:rsid w:val="00B64CBE"/>
    <w:rsid w:val="00B6637D"/>
    <w:rsid w:val="00B666EF"/>
    <w:rsid w:val="00B671A0"/>
    <w:rsid w:val="00B672EC"/>
    <w:rsid w:val="00B67FB9"/>
    <w:rsid w:val="00B7128A"/>
    <w:rsid w:val="00B71536"/>
    <w:rsid w:val="00B7176B"/>
    <w:rsid w:val="00B71DF3"/>
    <w:rsid w:val="00B728F9"/>
    <w:rsid w:val="00B743B8"/>
    <w:rsid w:val="00B753EA"/>
    <w:rsid w:val="00B8141F"/>
    <w:rsid w:val="00B824E1"/>
    <w:rsid w:val="00B84566"/>
    <w:rsid w:val="00B85D52"/>
    <w:rsid w:val="00B86890"/>
    <w:rsid w:val="00B90DA7"/>
    <w:rsid w:val="00B9128E"/>
    <w:rsid w:val="00B91501"/>
    <w:rsid w:val="00B97FD0"/>
    <w:rsid w:val="00BA2789"/>
    <w:rsid w:val="00BA33E7"/>
    <w:rsid w:val="00BA48C0"/>
    <w:rsid w:val="00BA4E83"/>
    <w:rsid w:val="00BA632F"/>
    <w:rsid w:val="00BB21E1"/>
    <w:rsid w:val="00BB2662"/>
    <w:rsid w:val="00BB41E8"/>
    <w:rsid w:val="00BB778C"/>
    <w:rsid w:val="00BC2C56"/>
    <w:rsid w:val="00BC328C"/>
    <w:rsid w:val="00BC5201"/>
    <w:rsid w:val="00BC5D73"/>
    <w:rsid w:val="00BC6742"/>
    <w:rsid w:val="00BC74D7"/>
    <w:rsid w:val="00BC78CE"/>
    <w:rsid w:val="00BD0EA1"/>
    <w:rsid w:val="00BD11D6"/>
    <w:rsid w:val="00BD183A"/>
    <w:rsid w:val="00BD1859"/>
    <w:rsid w:val="00BD2EB4"/>
    <w:rsid w:val="00BD3CB4"/>
    <w:rsid w:val="00BD5490"/>
    <w:rsid w:val="00BD5A2E"/>
    <w:rsid w:val="00BD751A"/>
    <w:rsid w:val="00BE17A8"/>
    <w:rsid w:val="00BE20B2"/>
    <w:rsid w:val="00BE3AA7"/>
    <w:rsid w:val="00BE4FFC"/>
    <w:rsid w:val="00BF1387"/>
    <w:rsid w:val="00BF1B15"/>
    <w:rsid w:val="00BF27F1"/>
    <w:rsid w:val="00BF2C78"/>
    <w:rsid w:val="00BF3297"/>
    <w:rsid w:val="00BF3B42"/>
    <w:rsid w:val="00BF402E"/>
    <w:rsid w:val="00BF4384"/>
    <w:rsid w:val="00C00AE9"/>
    <w:rsid w:val="00C01AD0"/>
    <w:rsid w:val="00C029D0"/>
    <w:rsid w:val="00C030CD"/>
    <w:rsid w:val="00C04312"/>
    <w:rsid w:val="00C0504F"/>
    <w:rsid w:val="00C054A8"/>
    <w:rsid w:val="00C0765F"/>
    <w:rsid w:val="00C07C56"/>
    <w:rsid w:val="00C12B7B"/>
    <w:rsid w:val="00C12ED3"/>
    <w:rsid w:val="00C137F2"/>
    <w:rsid w:val="00C1421A"/>
    <w:rsid w:val="00C15609"/>
    <w:rsid w:val="00C15BAE"/>
    <w:rsid w:val="00C21471"/>
    <w:rsid w:val="00C21C0D"/>
    <w:rsid w:val="00C23D41"/>
    <w:rsid w:val="00C24369"/>
    <w:rsid w:val="00C24668"/>
    <w:rsid w:val="00C258AC"/>
    <w:rsid w:val="00C26AB0"/>
    <w:rsid w:val="00C27942"/>
    <w:rsid w:val="00C337B7"/>
    <w:rsid w:val="00C352E4"/>
    <w:rsid w:val="00C37976"/>
    <w:rsid w:val="00C37D1F"/>
    <w:rsid w:val="00C42C17"/>
    <w:rsid w:val="00C4539B"/>
    <w:rsid w:val="00C4698B"/>
    <w:rsid w:val="00C476FB"/>
    <w:rsid w:val="00C50F43"/>
    <w:rsid w:val="00C528CC"/>
    <w:rsid w:val="00C52EC6"/>
    <w:rsid w:val="00C53639"/>
    <w:rsid w:val="00C55371"/>
    <w:rsid w:val="00C553EC"/>
    <w:rsid w:val="00C555A4"/>
    <w:rsid w:val="00C55AB7"/>
    <w:rsid w:val="00C55ACC"/>
    <w:rsid w:val="00C6143B"/>
    <w:rsid w:val="00C6329B"/>
    <w:rsid w:val="00C637D6"/>
    <w:rsid w:val="00C6657F"/>
    <w:rsid w:val="00C67013"/>
    <w:rsid w:val="00C6748E"/>
    <w:rsid w:val="00C70482"/>
    <w:rsid w:val="00C720A2"/>
    <w:rsid w:val="00C7230E"/>
    <w:rsid w:val="00C72A5F"/>
    <w:rsid w:val="00C752C5"/>
    <w:rsid w:val="00C77FFA"/>
    <w:rsid w:val="00C842AF"/>
    <w:rsid w:val="00C8474B"/>
    <w:rsid w:val="00C84D0E"/>
    <w:rsid w:val="00C90170"/>
    <w:rsid w:val="00C9227D"/>
    <w:rsid w:val="00C961AD"/>
    <w:rsid w:val="00C96440"/>
    <w:rsid w:val="00C97D7D"/>
    <w:rsid w:val="00CA0D71"/>
    <w:rsid w:val="00CA262C"/>
    <w:rsid w:val="00CA26F5"/>
    <w:rsid w:val="00CA483A"/>
    <w:rsid w:val="00CA5582"/>
    <w:rsid w:val="00CA6449"/>
    <w:rsid w:val="00CA6E19"/>
    <w:rsid w:val="00CA75A4"/>
    <w:rsid w:val="00CB0677"/>
    <w:rsid w:val="00CB1696"/>
    <w:rsid w:val="00CB26BB"/>
    <w:rsid w:val="00CB439E"/>
    <w:rsid w:val="00CB70B6"/>
    <w:rsid w:val="00CC1D1F"/>
    <w:rsid w:val="00CC2060"/>
    <w:rsid w:val="00CC3776"/>
    <w:rsid w:val="00CC3889"/>
    <w:rsid w:val="00CC3D49"/>
    <w:rsid w:val="00CC6B8A"/>
    <w:rsid w:val="00CC7400"/>
    <w:rsid w:val="00CC741C"/>
    <w:rsid w:val="00CC749E"/>
    <w:rsid w:val="00CC7FCE"/>
    <w:rsid w:val="00CD0B61"/>
    <w:rsid w:val="00CD214D"/>
    <w:rsid w:val="00CD3FAC"/>
    <w:rsid w:val="00CD4977"/>
    <w:rsid w:val="00CD4D29"/>
    <w:rsid w:val="00CD5427"/>
    <w:rsid w:val="00CD5991"/>
    <w:rsid w:val="00CE143E"/>
    <w:rsid w:val="00CE2088"/>
    <w:rsid w:val="00CE3129"/>
    <w:rsid w:val="00CE48BF"/>
    <w:rsid w:val="00CF0A02"/>
    <w:rsid w:val="00CF1098"/>
    <w:rsid w:val="00CF1AAC"/>
    <w:rsid w:val="00CF31B8"/>
    <w:rsid w:val="00CF3D52"/>
    <w:rsid w:val="00CF3FB6"/>
    <w:rsid w:val="00CF4653"/>
    <w:rsid w:val="00CF492A"/>
    <w:rsid w:val="00CF5219"/>
    <w:rsid w:val="00CF5381"/>
    <w:rsid w:val="00CF67CD"/>
    <w:rsid w:val="00CF6EAD"/>
    <w:rsid w:val="00D021FB"/>
    <w:rsid w:val="00D04802"/>
    <w:rsid w:val="00D04F5A"/>
    <w:rsid w:val="00D058A4"/>
    <w:rsid w:val="00D06931"/>
    <w:rsid w:val="00D07A83"/>
    <w:rsid w:val="00D10C04"/>
    <w:rsid w:val="00D12CAF"/>
    <w:rsid w:val="00D13280"/>
    <w:rsid w:val="00D14A9D"/>
    <w:rsid w:val="00D20DB7"/>
    <w:rsid w:val="00D2261A"/>
    <w:rsid w:val="00D22B72"/>
    <w:rsid w:val="00D24498"/>
    <w:rsid w:val="00D25D8C"/>
    <w:rsid w:val="00D260FE"/>
    <w:rsid w:val="00D27C0B"/>
    <w:rsid w:val="00D32B3C"/>
    <w:rsid w:val="00D33413"/>
    <w:rsid w:val="00D36117"/>
    <w:rsid w:val="00D37D95"/>
    <w:rsid w:val="00D43785"/>
    <w:rsid w:val="00D43D4D"/>
    <w:rsid w:val="00D43DD5"/>
    <w:rsid w:val="00D45DC6"/>
    <w:rsid w:val="00D47E11"/>
    <w:rsid w:val="00D51367"/>
    <w:rsid w:val="00D515B3"/>
    <w:rsid w:val="00D51C7E"/>
    <w:rsid w:val="00D52BE7"/>
    <w:rsid w:val="00D540CF"/>
    <w:rsid w:val="00D54339"/>
    <w:rsid w:val="00D563DF"/>
    <w:rsid w:val="00D574C6"/>
    <w:rsid w:val="00D57E7B"/>
    <w:rsid w:val="00D616C1"/>
    <w:rsid w:val="00D63879"/>
    <w:rsid w:val="00D65F9B"/>
    <w:rsid w:val="00D660F1"/>
    <w:rsid w:val="00D70418"/>
    <w:rsid w:val="00D70509"/>
    <w:rsid w:val="00D7159C"/>
    <w:rsid w:val="00D73247"/>
    <w:rsid w:val="00D7384F"/>
    <w:rsid w:val="00D74C88"/>
    <w:rsid w:val="00D76546"/>
    <w:rsid w:val="00D8166A"/>
    <w:rsid w:val="00D8307B"/>
    <w:rsid w:val="00D8458A"/>
    <w:rsid w:val="00D85E94"/>
    <w:rsid w:val="00D872E5"/>
    <w:rsid w:val="00D873D6"/>
    <w:rsid w:val="00D87A4B"/>
    <w:rsid w:val="00D87A82"/>
    <w:rsid w:val="00D918E0"/>
    <w:rsid w:val="00D91E56"/>
    <w:rsid w:val="00D94293"/>
    <w:rsid w:val="00D9463C"/>
    <w:rsid w:val="00D94BC3"/>
    <w:rsid w:val="00D9515A"/>
    <w:rsid w:val="00D95793"/>
    <w:rsid w:val="00D96DF3"/>
    <w:rsid w:val="00D9739B"/>
    <w:rsid w:val="00DA1C99"/>
    <w:rsid w:val="00DA30D4"/>
    <w:rsid w:val="00DA3B07"/>
    <w:rsid w:val="00DA44A4"/>
    <w:rsid w:val="00DA4AE5"/>
    <w:rsid w:val="00DA4CAB"/>
    <w:rsid w:val="00DA5924"/>
    <w:rsid w:val="00DA600B"/>
    <w:rsid w:val="00DB0AB9"/>
    <w:rsid w:val="00DB1959"/>
    <w:rsid w:val="00DB3474"/>
    <w:rsid w:val="00DB3685"/>
    <w:rsid w:val="00DB4158"/>
    <w:rsid w:val="00DB45F8"/>
    <w:rsid w:val="00DB4C16"/>
    <w:rsid w:val="00DB682A"/>
    <w:rsid w:val="00DC1E27"/>
    <w:rsid w:val="00DC1FCD"/>
    <w:rsid w:val="00DC35DE"/>
    <w:rsid w:val="00DC3931"/>
    <w:rsid w:val="00DC5888"/>
    <w:rsid w:val="00DD1FB1"/>
    <w:rsid w:val="00DD250D"/>
    <w:rsid w:val="00DD42C9"/>
    <w:rsid w:val="00DD4907"/>
    <w:rsid w:val="00DD4A57"/>
    <w:rsid w:val="00DD4D01"/>
    <w:rsid w:val="00DD7985"/>
    <w:rsid w:val="00DE45AA"/>
    <w:rsid w:val="00DE4901"/>
    <w:rsid w:val="00DE5B26"/>
    <w:rsid w:val="00DE662C"/>
    <w:rsid w:val="00DE78D0"/>
    <w:rsid w:val="00DF03C2"/>
    <w:rsid w:val="00DF12BE"/>
    <w:rsid w:val="00DF2A97"/>
    <w:rsid w:val="00DF460E"/>
    <w:rsid w:val="00E03E6D"/>
    <w:rsid w:val="00E0438B"/>
    <w:rsid w:val="00E070DF"/>
    <w:rsid w:val="00E07B01"/>
    <w:rsid w:val="00E10441"/>
    <w:rsid w:val="00E12E28"/>
    <w:rsid w:val="00E15291"/>
    <w:rsid w:val="00E152B8"/>
    <w:rsid w:val="00E15D14"/>
    <w:rsid w:val="00E17FA9"/>
    <w:rsid w:val="00E20F2B"/>
    <w:rsid w:val="00E227FF"/>
    <w:rsid w:val="00E22993"/>
    <w:rsid w:val="00E2347A"/>
    <w:rsid w:val="00E24C09"/>
    <w:rsid w:val="00E26969"/>
    <w:rsid w:val="00E269BA"/>
    <w:rsid w:val="00E3028F"/>
    <w:rsid w:val="00E3103F"/>
    <w:rsid w:val="00E3184A"/>
    <w:rsid w:val="00E337A0"/>
    <w:rsid w:val="00E34F78"/>
    <w:rsid w:val="00E3578B"/>
    <w:rsid w:val="00E3596D"/>
    <w:rsid w:val="00E40D53"/>
    <w:rsid w:val="00E41D23"/>
    <w:rsid w:val="00E42474"/>
    <w:rsid w:val="00E43E9E"/>
    <w:rsid w:val="00E44D4E"/>
    <w:rsid w:val="00E455E0"/>
    <w:rsid w:val="00E47800"/>
    <w:rsid w:val="00E51066"/>
    <w:rsid w:val="00E53369"/>
    <w:rsid w:val="00E55F97"/>
    <w:rsid w:val="00E5748F"/>
    <w:rsid w:val="00E575B1"/>
    <w:rsid w:val="00E578C5"/>
    <w:rsid w:val="00E60CAD"/>
    <w:rsid w:val="00E67265"/>
    <w:rsid w:val="00E70135"/>
    <w:rsid w:val="00E70592"/>
    <w:rsid w:val="00E70885"/>
    <w:rsid w:val="00E716E0"/>
    <w:rsid w:val="00E71BED"/>
    <w:rsid w:val="00E728A3"/>
    <w:rsid w:val="00E739BE"/>
    <w:rsid w:val="00E753DF"/>
    <w:rsid w:val="00E768C3"/>
    <w:rsid w:val="00E77325"/>
    <w:rsid w:val="00E81292"/>
    <w:rsid w:val="00E81B33"/>
    <w:rsid w:val="00E81BCC"/>
    <w:rsid w:val="00E81D71"/>
    <w:rsid w:val="00E839EF"/>
    <w:rsid w:val="00E83A99"/>
    <w:rsid w:val="00E84A27"/>
    <w:rsid w:val="00E85C37"/>
    <w:rsid w:val="00E902A9"/>
    <w:rsid w:val="00E91379"/>
    <w:rsid w:val="00E91683"/>
    <w:rsid w:val="00E92A1C"/>
    <w:rsid w:val="00E92C60"/>
    <w:rsid w:val="00E940DA"/>
    <w:rsid w:val="00E94513"/>
    <w:rsid w:val="00E95526"/>
    <w:rsid w:val="00EA08B4"/>
    <w:rsid w:val="00EA3643"/>
    <w:rsid w:val="00EA3BA2"/>
    <w:rsid w:val="00EA48B8"/>
    <w:rsid w:val="00EA6EC8"/>
    <w:rsid w:val="00EB01B6"/>
    <w:rsid w:val="00EB09D6"/>
    <w:rsid w:val="00EB1F35"/>
    <w:rsid w:val="00EB39C5"/>
    <w:rsid w:val="00EB47D5"/>
    <w:rsid w:val="00EB6A99"/>
    <w:rsid w:val="00EB6C44"/>
    <w:rsid w:val="00EC07CF"/>
    <w:rsid w:val="00EC0FB5"/>
    <w:rsid w:val="00EC29FA"/>
    <w:rsid w:val="00EC2FAA"/>
    <w:rsid w:val="00EC36BA"/>
    <w:rsid w:val="00EC3ACA"/>
    <w:rsid w:val="00EC41BC"/>
    <w:rsid w:val="00EC6C23"/>
    <w:rsid w:val="00EC6E7D"/>
    <w:rsid w:val="00EC7C9F"/>
    <w:rsid w:val="00ED080B"/>
    <w:rsid w:val="00ED0E03"/>
    <w:rsid w:val="00ED360E"/>
    <w:rsid w:val="00ED3B82"/>
    <w:rsid w:val="00ED3E72"/>
    <w:rsid w:val="00ED4B6D"/>
    <w:rsid w:val="00ED5A2F"/>
    <w:rsid w:val="00ED677F"/>
    <w:rsid w:val="00ED6893"/>
    <w:rsid w:val="00ED714D"/>
    <w:rsid w:val="00EE27CC"/>
    <w:rsid w:val="00EE564B"/>
    <w:rsid w:val="00EE5825"/>
    <w:rsid w:val="00EE79D6"/>
    <w:rsid w:val="00EF0D03"/>
    <w:rsid w:val="00EF0E84"/>
    <w:rsid w:val="00EF18D1"/>
    <w:rsid w:val="00EF47C1"/>
    <w:rsid w:val="00EF5154"/>
    <w:rsid w:val="00EF5351"/>
    <w:rsid w:val="00EF6A27"/>
    <w:rsid w:val="00EF7338"/>
    <w:rsid w:val="00F017F4"/>
    <w:rsid w:val="00F01A41"/>
    <w:rsid w:val="00F041C4"/>
    <w:rsid w:val="00F04FF1"/>
    <w:rsid w:val="00F06646"/>
    <w:rsid w:val="00F0691A"/>
    <w:rsid w:val="00F07FF9"/>
    <w:rsid w:val="00F14FBA"/>
    <w:rsid w:val="00F1570A"/>
    <w:rsid w:val="00F167C1"/>
    <w:rsid w:val="00F1693F"/>
    <w:rsid w:val="00F20A4A"/>
    <w:rsid w:val="00F217C8"/>
    <w:rsid w:val="00F22341"/>
    <w:rsid w:val="00F22DB2"/>
    <w:rsid w:val="00F238DF"/>
    <w:rsid w:val="00F23FA0"/>
    <w:rsid w:val="00F24404"/>
    <w:rsid w:val="00F24726"/>
    <w:rsid w:val="00F25204"/>
    <w:rsid w:val="00F25935"/>
    <w:rsid w:val="00F26B16"/>
    <w:rsid w:val="00F306C7"/>
    <w:rsid w:val="00F30FEC"/>
    <w:rsid w:val="00F32F05"/>
    <w:rsid w:val="00F33DDF"/>
    <w:rsid w:val="00F374A1"/>
    <w:rsid w:val="00F40389"/>
    <w:rsid w:val="00F41B8B"/>
    <w:rsid w:val="00F42000"/>
    <w:rsid w:val="00F436AA"/>
    <w:rsid w:val="00F43FF6"/>
    <w:rsid w:val="00F46497"/>
    <w:rsid w:val="00F471A3"/>
    <w:rsid w:val="00F51AD2"/>
    <w:rsid w:val="00F545AC"/>
    <w:rsid w:val="00F57097"/>
    <w:rsid w:val="00F57232"/>
    <w:rsid w:val="00F61CAD"/>
    <w:rsid w:val="00F65E31"/>
    <w:rsid w:val="00F66DD2"/>
    <w:rsid w:val="00F67526"/>
    <w:rsid w:val="00F67C9D"/>
    <w:rsid w:val="00F70820"/>
    <w:rsid w:val="00F82AF0"/>
    <w:rsid w:val="00F82D25"/>
    <w:rsid w:val="00F83355"/>
    <w:rsid w:val="00F86DB5"/>
    <w:rsid w:val="00F86E3C"/>
    <w:rsid w:val="00F86E7B"/>
    <w:rsid w:val="00F87409"/>
    <w:rsid w:val="00F9117A"/>
    <w:rsid w:val="00F918EF"/>
    <w:rsid w:val="00F92891"/>
    <w:rsid w:val="00F97162"/>
    <w:rsid w:val="00FA16EF"/>
    <w:rsid w:val="00FA250E"/>
    <w:rsid w:val="00FA4865"/>
    <w:rsid w:val="00FA56C5"/>
    <w:rsid w:val="00FA5C9E"/>
    <w:rsid w:val="00FB0A47"/>
    <w:rsid w:val="00FB109B"/>
    <w:rsid w:val="00FB3025"/>
    <w:rsid w:val="00FB40BC"/>
    <w:rsid w:val="00FB56AE"/>
    <w:rsid w:val="00FB5E5B"/>
    <w:rsid w:val="00FB7D50"/>
    <w:rsid w:val="00FC2F18"/>
    <w:rsid w:val="00FC417E"/>
    <w:rsid w:val="00FC4DF5"/>
    <w:rsid w:val="00FC5AA6"/>
    <w:rsid w:val="00FC6823"/>
    <w:rsid w:val="00FC7BCC"/>
    <w:rsid w:val="00FC7FDF"/>
    <w:rsid w:val="00FD2929"/>
    <w:rsid w:val="00FD3118"/>
    <w:rsid w:val="00FD4590"/>
    <w:rsid w:val="00FD4948"/>
    <w:rsid w:val="00FD4F8F"/>
    <w:rsid w:val="00FD5956"/>
    <w:rsid w:val="00FD796D"/>
    <w:rsid w:val="00FD7DDF"/>
    <w:rsid w:val="00FE2105"/>
    <w:rsid w:val="00FE251C"/>
    <w:rsid w:val="00FE3329"/>
    <w:rsid w:val="00FE3B15"/>
    <w:rsid w:val="00FE4A64"/>
    <w:rsid w:val="00FE573C"/>
    <w:rsid w:val="00FE5F20"/>
    <w:rsid w:val="00FE65E8"/>
    <w:rsid w:val="00FF536E"/>
    <w:rsid w:val="00FF5536"/>
    <w:rsid w:val="00FF5906"/>
    <w:rsid w:val="00FF5A35"/>
    <w:rsid w:val="03B04513"/>
    <w:rsid w:val="04A528DC"/>
    <w:rsid w:val="05EC3931"/>
    <w:rsid w:val="077D3BBE"/>
    <w:rsid w:val="1E404E83"/>
    <w:rsid w:val="1EC608FC"/>
    <w:rsid w:val="22925A71"/>
    <w:rsid w:val="27956CE2"/>
    <w:rsid w:val="388102FB"/>
    <w:rsid w:val="3AF11EE8"/>
    <w:rsid w:val="3FA62319"/>
    <w:rsid w:val="40E21887"/>
    <w:rsid w:val="483E0405"/>
    <w:rsid w:val="491730EB"/>
    <w:rsid w:val="4F363487"/>
    <w:rsid w:val="4FB77876"/>
    <w:rsid w:val="52302068"/>
    <w:rsid w:val="589228D5"/>
    <w:rsid w:val="6E46106F"/>
    <w:rsid w:val="6EE81057"/>
    <w:rsid w:val="6FE8163F"/>
    <w:rsid w:val="73386772"/>
    <w:rsid w:val="7E975B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qFormat="1" w:uiPriority="1" w:semiHidden="0"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qFormat="1" w:uiPriority="1" w:semiHidden="0" w:name="List Number 2"/>
    <w:lsdException w:qFormat="1" w:uiPriority="18" w:semiHidden="0" w:name="List Number 3"/>
    <w:lsdException w:qFormat="1" w:uiPriority="18" w:semiHidden="0" w:name="List Number 4"/>
    <w:lsdException w:qFormat="1" w:uiPriority="18" w:semiHidden="0"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qFormat="1" w:uiPriority="99" w:name="Body Text 2"/>
    <w:lsdException w:uiPriority="99" w:name="Body Text 3"/>
    <w:lsdException w:qFormat="1" w:uiPriority="99" w:name="Body Text Indent 2"/>
    <w:lsdException w:qFormat="1"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3">
    <w:name w:val="heading 3"/>
    <w:basedOn w:val="1"/>
    <w:next w:val="1"/>
    <w:link w:val="37"/>
    <w:qFormat/>
    <w:uiPriority w:val="0"/>
    <w:pPr>
      <w:keepNext/>
      <w:keepLines/>
      <w:spacing w:before="260" w:after="260" w:line="416" w:lineRule="auto"/>
      <w:outlineLvl w:val="2"/>
    </w:pPr>
    <w:rPr>
      <w:b/>
      <w:bCs/>
      <w:sz w:val="32"/>
      <w:szCs w:val="32"/>
    </w:rPr>
  </w:style>
  <w:style w:type="character" w:default="1" w:styleId="25">
    <w:name w:val="Default Paragraph Font"/>
    <w:semiHidden/>
    <w:unhideWhenUsed/>
    <w:qFormat/>
    <w:uiPriority w:val="1"/>
  </w:style>
  <w:style w:type="table" w:default="1" w:styleId="23">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tabs>
        <w:tab w:val="left" w:pos="8970"/>
      </w:tabs>
      <w:ind w:firstLine="560"/>
    </w:pPr>
    <w:rPr>
      <w:rFonts w:cs="Times New Roman"/>
      <w:kern w:val="0"/>
      <w:sz w:val="28"/>
      <w:szCs w:val="24"/>
    </w:rPr>
  </w:style>
  <w:style w:type="paragraph" w:styleId="4">
    <w:name w:val="List Number 2"/>
    <w:basedOn w:val="1"/>
    <w:unhideWhenUsed/>
    <w:qFormat/>
    <w:uiPriority w:val="1"/>
    <w:pPr>
      <w:widowControl/>
      <w:numPr>
        <w:ilvl w:val="1"/>
        <w:numId w:val="1"/>
      </w:numPr>
      <w:ind w:left="431" w:hanging="431"/>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5">
    <w:name w:val="List Number"/>
    <w:basedOn w:val="1"/>
    <w:unhideWhenUsed/>
    <w:qFormat/>
    <w:uiPriority w:val="1"/>
    <w:pPr>
      <w:widowControl/>
      <w:numPr>
        <w:ilvl w:val="0"/>
        <w:numId w:val="1"/>
      </w:numPr>
      <w:ind w:left="357" w:hanging="357"/>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6">
    <w:name w:val="annotation text"/>
    <w:basedOn w:val="1"/>
    <w:link w:val="51"/>
    <w:semiHidden/>
    <w:unhideWhenUsed/>
    <w:qFormat/>
    <w:uiPriority w:val="99"/>
    <w:pPr>
      <w:jc w:val="left"/>
    </w:pPr>
  </w:style>
  <w:style w:type="paragraph" w:styleId="7">
    <w:name w:val="Body Text"/>
    <w:basedOn w:val="1"/>
    <w:link w:val="54"/>
    <w:semiHidden/>
    <w:unhideWhenUsed/>
    <w:qFormat/>
    <w:uiPriority w:val="99"/>
    <w:pPr>
      <w:spacing w:after="120"/>
    </w:pPr>
  </w:style>
  <w:style w:type="paragraph" w:styleId="8">
    <w:name w:val="Body Text Indent"/>
    <w:basedOn w:val="1"/>
    <w:link w:val="29"/>
    <w:qFormat/>
    <w:uiPriority w:val="0"/>
    <w:pPr>
      <w:tabs>
        <w:tab w:val="left" w:pos="480"/>
      </w:tabs>
      <w:spacing w:line="560" w:lineRule="exact"/>
      <w:ind w:firstLine="480"/>
      <w:jc w:val="left"/>
    </w:pPr>
    <w:rPr>
      <w:rFonts w:ascii="宋体" w:hAnsi="宋体"/>
      <w:sz w:val="24"/>
    </w:rPr>
  </w:style>
  <w:style w:type="paragraph" w:styleId="9">
    <w:name w:val="List Number 3"/>
    <w:basedOn w:val="1"/>
    <w:unhideWhenUsed/>
    <w:qFormat/>
    <w:uiPriority w:val="18"/>
    <w:pPr>
      <w:widowControl/>
      <w:numPr>
        <w:ilvl w:val="2"/>
        <w:numId w:val="1"/>
      </w:numPr>
      <w:spacing w:before="40" w:after="160"/>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10">
    <w:name w:val="Plain Text"/>
    <w:basedOn w:val="1"/>
    <w:link w:val="41"/>
    <w:qFormat/>
    <w:uiPriority w:val="0"/>
    <w:rPr>
      <w:rFonts w:ascii="宋体" w:hAnsi="Courier New"/>
      <w:lang w:val="zh-CN" w:eastAsia="zh-CN"/>
    </w:rPr>
  </w:style>
  <w:style w:type="paragraph" w:styleId="11">
    <w:name w:val="List Number 4"/>
    <w:basedOn w:val="1"/>
    <w:unhideWhenUsed/>
    <w:qFormat/>
    <w:uiPriority w:val="18"/>
    <w:pPr>
      <w:widowControl/>
      <w:numPr>
        <w:ilvl w:val="3"/>
        <w:numId w:val="1"/>
      </w:numPr>
      <w:spacing w:before="40" w:after="160"/>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12">
    <w:name w:val="Date"/>
    <w:basedOn w:val="1"/>
    <w:next w:val="1"/>
    <w:link w:val="34"/>
    <w:qFormat/>
    <w:uiPriority w:val="0"/>
    <w:pPr>
      <w:adjustRightInd w:val="0"/>
      <w:spacing w:line="360" w:lineRule="atLeast"/>
      <w:textAlignment w:val="baseline"/>
    </w:pPr>
    <w:rPr>
      <w:sz w:val="32"/>
    </w:rPr>
  </w:style>
  <w:style w:type="paragraph" w:styleId="13">
    <w:name w:val="Body Text Indent 2"/>
    <w:basedOn w:val="1"/>
    <w:link w:val="36"/>
    <w:semiHidden/>
    <w:unhideWhenUsed/>
    <w:qFormat/>
    <w:uiPriority w:val="99"/>
    <w:pPr>
      <w:spacing w:after="120" w:line="480" w:lineRule="auto"/>
      <w:ind w:left="420" w:leftChars="200"/>
    </w:pPr>
  </w:style>
  <w:style w:type="paragraph" w:styleId="14">
    <w:name w:val="Balloon Text"/>
    <w:basedOn w:val="1"/>
    <w:link w:val="53"/>
    <w:semiHidden/>
    <w:unhideWhenUsed/>
    <w:qFormat/>
    <w:uiPriority w:val="99"/>
    <w:rPr>
      <w:sz w:val="18"/>
      <w:szCs w:val="18"/>
    </w:rPr>
  </w:style>
  <w:style w:type="paragraph" w:styleId="15">
    <w:name w:val="footer"/>
    <w:basedOn w:val="1"/>
    <w:link w:val="33"/>
    <w:unhideWhenUsed/>
    <w:qFormat/>
    <w:uiPriority w:val="99"/>
    <w:pPr>
      <w:tabs>
        <w:tab w:val="center" w:pos="4153"/>
        <w:tab w:val="right" w:pos="8306"/>
      </w:tabs>
      <w:snapToGrid w:val="0"/>
      <w:jc w:val="left"/>
    </w:pPr>
    <w:rPr>
      <w:sz w:val="18"/>
      <w:szCs w:val="18"/>
    </w:rPr>
  </w:style>
  <w:style w:type="paragraph" w:styleId="16">
    <w:name w:val="header"/>
    <w:basedOn w:val="1"/>
    <w:link w:val="32"/>
    <w:unhideWhenUsed/>
    <w:qFormat/>
    <w:uiPriority w:val="99"/>
    <w:pPr>
      <w:pBdr>
        <w:bottom w:val="single" w:color="auto" w:sz="6" w:space="1"/>
      </w:pBdr>
      <w:tabs>
        <w:tab w:val="center" w:pos="4153"/>
        <w:tab w:val="right" w:pos="8306"/>
      </w:tabs>
      <w:snapToGrid w:val="0"/>
      <w:jc w:val="center"/>
    </w:pPr>
    <w:rPr>
      <w:sz w:val="18"/>
      <w:szCs w:val="18"/>
    </w:rPr>
  </w:style>
  <w:style w:type="paragraph" w:styleId="17">
    <w:name w:val="Subtitle"/>
    <w:basedOn w:val="1"/>
    <w:next w:val="1"/>
    <w:link w:val="31"/>
    <w:qFormat/>
    <w:uiPriority w:val="11"/>
    <w:pPr>
      <w:spacing w:before="240" w:after="60" w:line="312" w:lineRule="auto"/>
      <w:jc w:val="center"/>
      <w:outlineLvl w:val="1"/>
    </w:pPr>
    <w:rPr>
      <w:rFonts w:ascii="Cambria" w:hAnsi="Cambria"/>
      <w:b/>
      <w:bCs/>
      <w:kern w:val="28"/>
      <w:sz w:val="32"/>
      <w:szCs w:val="32"/>
      <w:lang w:val="zh-CN" w:eastAsia="zh-CN"/>
    </w:rPr>
  </w:style>
  <w:style w:type="paragraph" w:styleId="18">
    <w:name w:val="List Number 5"/>
    <w:basedOn w:val="1"/>
    <w:unhideWhenUsed/>
    <w:qFormat/>
    <w:uiPriority w:val="18"/>
    <w:pPr>
      <w:widowControl/>
      <w:numPr>
        <w:ilvl w:val="4"/>
        <w:numId w:val="1"/>
      </w:numPr>
      <w:spacing w:before="40" w:after="160"/>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19">
    <w:name w:val="Body Text Indent 3"/>
    <w:basedOn w:val="1"/>
    <w:link w:val="42"/>
    <w:semiHidden/>
    <w:unhideWhenUsed/>
    <w:qFormat/>
    <w:uiPriority w:val="99"/>
    <w:pPr>
      <w:spacing w:after="120"/>
      <w:ind w:left="420" w:leftChars="200"/>
    </w:pPr>
    <w:rPr>
      <w:sz w:val="16"/>
      <w:szCs w:val="16"/>
    </w:rPr>
  </w:style>
  <w:style w:type="paragraph" w:styleId="20">
    <w:name w:val="Body Text 2"/>
    <w:basedOn w:val="1"/>
    <w:link w:val="38"/>
    <w:semiHidden/>
    <w:unhideWhenUsed/>
    <w:qFormat/>
    <w:uiPriority w:val="99"/>
    <w:pPr>
      <w:spacing w:after="120" w:line="480" w:lineRule="auto"/>
    </w:pPr>
  </w:style>
  <w:style w:type="paragraph" w:styleId="21">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paragraph" w:styleId="22">
    <w:name w:val="annotation subject"/>
    <w:basedOn w:val="6"/>
    <w:next w:val="6"/>
    <w:link w:val="52"/>
    <w:semiHidden/>
    <w:unhideWhenUsed/>
    <w:qFormat/>
    <w:uiPriority w:val="99"/>
    <w:rPr>
      <w:b/>
      <w:bCs/>
    </w:rPr>
  </w:style>
  <w:style w:type="table" w:styleId="24">
    <w:name w:val="Table Grid"/>
    <w:basedOn w:val="23"/>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6">
    <w:name w:val="Strong"/>
    <w:qFormat/>
    <w:uiPriority w:val="22"/>
    <w:rPr>
      <w:b/>
      <w:bCs/>
    </w:rPr>
  </w:style>
  <w:style w:type="character" w:styleId="27">
    <w:name w:val="Hyperlink"/>
    <w:basedOn w:val="25"/>
    <w:unhideWhenUsed/>
    <w:qFormat/>
    <w:uiPriority w:val="99"/>
    <w:rPr>
      <w:color w:val="0000FF" w:themeColor="hyperlink"/>
      <w:u w:val="single"/>
      <w14:textFill>
        <w14:solidFill>
          <w14:schemeClr w14:val="hlink"/>
        </w14:solidFill>
      </w14:textFill>
    </w:rPr>
  </w:style>
  <w:style w:type="character" w:styleId="28">
    <w:name w:val="annotation reference"/>
    <w:basedOn w:val="25"/>
    <w:semiHidden/>
    <w:unhideWhenUsed/>
    <w:qFormat/>
    <w:uiPriority w:val="99"/>
    <w:rPr>
      <w:sz w:val="21"/>
      <w:szCs w:val="21"/>
    </w:rPr>
  </w:style>
  <w:style w:type="character" w:customStyle="1" w:styleId="29">
    <w:name w:val="正文文本缩进 Char"/>
    <w:basedOn w:val="25"/>
    <w:link w:val="8"/>
    <w:qFormat/>
    <w:uiPriority w:val="0"/>
    <w:rPr>
      <w:rFonts w:ascii="宋体" w:hAnsi="宋体" w:eastAsia="宋体" w:cs="Times New Roman"/>
      <w:sz w:val="24"/>
      <w:szCs w:val="20"/>
    </w:rPr>
  </w:style>
  <w:style w:type="paragraph" w:customStyle="1" w:styleId="30">
    <w:name w:val="Default"/>
    <w:link w:val="49"/>
    <w:qFormat/>
    <w:uiPriority w:val="0"/>
    <w:pPr>
      <w:widowControl w:val="0"/>
      <w:autoSpaceDE w:val="0"/>
      <w:autoSpaceDN w:val="0"/>
      <w:adjustRightInd w:val="0"/>
    </w:pPr>
    <w:rPr>
      <w:rFonts w:ascii="......." w:hAnsi="Calibri" w:eastAsia="......." w:cs="......."/>
      <w:color w:val="000000"/>
      <w:kern w:val="0"/>
      <w:sz w:val="24"/>
      <w:szCs w:val="24"/>
      <w:lang w:val="en-US" w:eastAsia="zh-CN" w:bidi="ar-SA"/>
    </w:rPr>
  </w:style>
  <w:style w:type="character" w:customStyle="1" w:styleId="31">
    <w:name w:val="副标题 Char"/>
    <w:basedOn w:val="25"/>
    <w:link w:val="17"/>
    <w:qFormat/>
    <w:uiPriority w:val="11"/>
    <w:rPr>
      <w:rFonts w:ascii="Cambria" w:hAnsi="Cambria" w:eastAsia="宋体" w:cs="Times New Roman"/>
      <w:b/>
      <w:bCs/>
      <w:kern w:val="28"/>
      <w:sz w:val="32"/>
      <w:szCs w:val="32"/>
      <w:lang w:val="zh-CN" w:eastAsia="zh-CN"/>
    </w:rPr>
  </w:style>
  <w:style w:type="character" w:customStyle="1" w:styleId="32">
    <w:name w:val="页眉 Char"/>
    <w:basedOn w:val="25"/>
    <w:link w:val="16"/>
    <w:qFormat/>
    <w:uiPriority w:val="99"/>
    <w:rPr>
      <w:rFonts w:ascii="Times New Roman" w:hAnsi="Times New Roman" w:eastAsia="宋体" w:cs="Times New Roman"/>
      <w:sz w:val="18"/>
      <w:szCs w:val="18"/>
    </w:rPr>
  </w:style>
  <w:style w:type="character" w:customStyle="1" w:styleId="33">
    <w:name w:val="页脚 Char"/>
    <w:basedOn w:val="25"/>
    <w:link w:val="15"/>
    <w:qFormat/>
    <w:uiPriority w:val="99"/>
    <w:rPr>
      <w:rFonts w:ascii="Times New Roman" w:hAnsi="Times New Roman" w:eastAsia="宋体" w:cs="Times New Roman"/>
      <w:sz w:val="18"/>
      <w:szCs w:val="18"/>
    </w:rPr>
  </w:style>
  <w:style w:type="character" w:customStyle="1" w:styleId="34">
    <w:name w:val="日期 Char"/>
    <w:basedOn w:val="25"/>
    <w:link w:val="12"/>
    <w:qFormat/>
    <w:uiPriority w:val="0"/>
    <w:rPr>
      <w:rFonts w:ascii="Times New Roman" w:hAnsi="Times New Roman" w:eastAsia="宋体" w:cs="Times New Roman"/>
      <w:sz w:val="32"/>
      <w:szCs w:val="20"/>
    </w:rPr>
  </w:style>
  <w:style w:type="paragraph" w:styleId="35">
    <w:name w:val="List Paragraph"/>
    <w:basedOn w:val="1"/>
    <w:link w:val="50"/>
    <w:qFormat/>
    <w:uiPriority w:val="34"/>
    <w:pPr>
      <w:ind w:firstLine="420" w:firstLineChars="200"/>
    </w:pPr>
  </w:style>
  <w:style w:type="character" w:customStyle="1" w:styleId="36">
    <w:name w:val="正文文本缩进 2 Char"/>
    <w:basedOn w:val="25"/>
    <w:link w:val="13"/>
    <w:semiHidden/>
    <w:qFormat/>
    <w:uiPriority w:val="99"/>
    <w:rPr>
      <w:rFonts w:ascii="Times New Roman" w:hAnsi="Times New Roman" w:eastAsia="宋体" w:cs="Times New Roman"/>
      <w:szCs w:val="20"/>
    </w:rPr>
  </w:style>
  <w:style w:type="character" w:customStyle="1" w:styleId="37">
    <w:name w:val="标题 3 Char"/>
    <w:basedOn w:val="25"/>
    <w:link w:val="3"/>
    <w:qFormat/>
    <w:uiPriority w:val="0"/>
    <w:rPr>
      <w:rFonts w:ascii="Times New Roman" w:hAnsi="Times New Roman" w:eastAsia="宋体" w:cs="Times New Roman"/>
      <w:b/>
      <w:bCs/>
      <w:sz w:val="32"/>
      <w:szCs w:val="32"/>
    </w:rPr>
  </w:style>
  <w:style w:type="character" w:customStyle="1" w:styleId="38">
    <w:name w:val="正文文本 2 Char"/>
    <w:basedOn w:val="25"/>
    <w:link w:val="20"/>
    <w:semiHidden/>
    <w:qFormat/>
    <w:uiPriority w:val="99"/>
    <w:rPr>
      <w:rFonts w:ascii="Times New Roman" w:hAnsi="Times New Roman" w:eastAsia="宋体" w:cs="Times New Roman"/>
      <w:szCs w:val="20"/>
    </w:rPr>
  </w:style>
  <w:style w:type="paragraph" w:customStyle="1" w:styleId="39">
    <w:name w:val="Char"/>
    <w:basedOn w:val="1"/>
    <w:qFormat/>
    <w:uiPriority w:val="0"/>
    <w:pPr>
      <w:tabs>
        <w:tab w:val="left" w:pos="360"/>
      </w:tabs>
    </w:pPr>
    <w:rPr>
      <w:sz w:val="24"/>
      <w:szCs w:val="24"/>
    </w:rPr>
  </w:style>
  <w:style w:type="character" w:customStyle="1" w:styleId="40">
    <w:name w:val="纯文本 Char"/>
    <w:basedOn w:val="25"/>
    <w:semiHidden/>
    <w:qFormat/>
    <w:uiPriority w:val="99"/>
    <w:rPr>
      <w:rFonts w:ascii="宋体" w:hAnsi="Courier New" w:eastAsia="宋体" w:cs="Courier New"/>
      <w:szCs w:val="21"/>
    </w:rPr>
  </w:style>
  <w:style w:type="character" w:customStyle="1" w:styleId="41">
    <w:name w:val="纯文本 Char1"/>
    <w:link w:val="10"/>
    <w:qFormat/>
    <w:locked/>
    <w:uiPriority w:val="0"/>
    <w:rPr>
      <w:rFonts w:ascii="宋体" w:hAnsi="Courier New" w:eastAsia="宋体" w:cs="Times New Roman"/>
      <w:szCs w:val="20"/>
      <w:lang w:val="zh-CN" w:eastAsia="zh-CN"/>
    </w:rPr>
  </w:style>
  <w:style w:type="character" w:customStyle="1" w:styleId="42">
    <w:name w:val="正文文本缩进 3 Char"/>
    <w:basedOn w:val="25"/>
    <w:link w:val="19"/>
    <w:semiHidden/>
    <w:qFormat/>
    <w:uiPriority w:val="99"/>
    <w:rPr>
      <w:rFonts w:ascii="Times New Roman" w:hAnsi="Times New Roman" w:eastAsia="宋体" w:cs="Times New Roman"/>
      <w:sz w:val="16"/>
      <w:szCs w:val="16"/>
    </w:rPr>
  </w:style>
  <w:style w:type="paragraph" w:customStyle="1" w:styleId="43">
    <w:name w:val="正文_1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4">
    <w:name w:val="正文_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5">
    <w:name w:val="正文_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6">
    <w:name w:val="正文_1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7">
    <w:name w:val="Char2"/>
    <w:basedOn w:val="1"/>
    <w:qFormat/>
    <w:uiPriority w:val="0"/>
    <w:pPr>
      <w:tabs>
        <w:tab w:val="left" w:pos="360"/>
      </w:tabs>
    </w:pPr>
    <w:rPr>
      <w:sz w:val="24"/>
      <w:szCs w:val="24"/>
    </w:rPr>
  </w:style>
  <w:style w:type="paragraph" w:customStyle="1" w:styleId="48">
    <w:name w:val="列出段落1"/>
    <w:basedOn w:val="1"/>
    <w:semiHidden/>
    <w:qFormat/>
    <w:uiPriority w:val="34"/>
    <w:pPr>
      <w:widowControl/>
      <w:spacing w:before="40" w:after="160"/>
      <w:ind w:firstLine="420" w:firstLineChars="200"/>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character" w:customStyle="1" w:styleId="49">
    <w:name w:val="Default Char"/>
    <w:link w:val="30"/>
    <w:qFormat/>
    <w:locked/>
    <w:uiPriority w:val="0"/>
    <w:rPr>
      <w:rFonts w:ascii="......." w:hAnsi="Calibri" w:eastAsia="......." w:cs="......."/>
      <w:color w:val="000000"/>
      <w:kern w:val="0"/>
      <w:sz w:val="24"/>
      <w:szCs w:val="24"/>
    </w:rPr>
  </w:style>
  <w:style w:type="character" w:customStyle="1" w:styleId="50">
    <w:name w:val="列出段落 Char"/>
    <w:link w:val="35"/>
    <w:qFormat/>
    <w:uiPriority w:val="34"/>
    <w:rPr>
      <w:rFonts w:ascii="Times New Roman" w:hAnsi="Times New Roman" w:eastAsia="宋体" w:cs="Times New Roman"/>
      <w:szCs w:val="20"/>
    </w:rPr>
  </w:style>
  <w:style w:type="character" w:customStyle="1" w:styleId="51">
    <w:name w:val="批注文字 Char"/>
    <w:basedOn w:val="25"/>
    <w:link w:val="6"/>
    <w:semiHidden/>
    <w:qFormat/>
    <w:uiPriority w:val="99"/>
    <w:rPr>
      <w:rFonts w:ascii="Times New Roman" w:hAnsi="Times New Roman" w:eastAsia="宋体" w:cs="Times New Roman"/>
      <w:szCs w:val="20"/>
    </w:rPr>
  </w:style>
  <w:style w:type="character" w:customStyle="1" w:styleId="52">
    <w:name w:val="批注主题 Char"/>
    <w:basedOn w:val="51"/>
    <w:link w:val="22"/>
    <w:semiHidden/>
    <w:qFormat/>
    <w:uiPriority w:val="99"/>
    <w:rPr>
      <w:rFonts w:ascii="Times New Roman" w:hAnsi="Times New Roman" w:eastAsia="宋体" w:cs="Times New Roman"/>
      <w:b/>
      <w:bCs/>
      <w:szCs w:val="20"/>
    </w:rPr>
  </w:style>
  <w:style w:type="character" w:customStyle="1" w:styleId="53">
    <w:name w:val="批注框文本 Char"/>
    <w:basedOn w:val="25"/>
    <w:link w:val="14"/>
    <w:semiHidden/>
    <w:qFormat/>
    <w:uiPriority w:val="99"/>
    <w:rPr>
      <w:rFonts w:ascii="Times New Roman" w:hAnsi="Times New Roman" w:eastAsia="宋体" w:cs="Times New Roman"/>
      <w:sz w:val="18"/>
      <w:szCs w:val="18"/>
    </w:rPr>
  </w:style>
  <w:style w:type="character" w:customStyle="1" w:styleId="54">
    <w:name w:val="正文文本 Char"/>
    <w:basedOn w:val="25"/>
    <w:link w:val="7"/>
    <w:semiHidden/>
    <w:qFormat/>
    <w:uiPriority w:val="99"/>
    <w:rPr>
      <w:rFonts w:ascii="Times New Roman" w:hAnsi="Times New Roman" w:eastAsia="宋体" w:cs="Times New Roman"/>
      <w:szCs w:val="2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7C4A27C-A7EF-4C08-B66C-234EE4589F57}">
  <ds:schemaRefs/>
</ds:datastoreItem>
</file>

<file path=docProps/app.xml><?xml version="1.0" encoding="utf-8"?>
<Properties xmlns="http://schemas.openxmlformats.org/officeDocument/2006/extended-properties" xmlns:vt="http://schemas.openxmlformats.org/officeDocument/2006/docPropsVTypes">
  <Template>Normal.dotm</Template>
  <Company>MS</Company>
  <Pages>56</Pages>
  <Words>41</Words>
  <Characters>60</Characters>
  <Lines>198</Lines>
  <Paragraphs>55</Paragraphs>
  <TotalTime>16</TotalTime>
  <ScaleCrop>false</ScaleCrop>
  <LinksUpToDate>false</LinksUpToDate>
  <CharactersWithSpaces>77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2026-01-22T08:43:00Z</dcterms:created>
  <dc:creator>未定义</dc:creator>
  <cp:lastModifiedBy>小魔鼠</cp:lastModifiedBy>
  <dcterms:modified xsi:type="dcterms:W3CDTF">2026-10-23T05:49:28Z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eyJoZGlkIjoiYzE2YmYxMmEyOWMyMTFiZjE3NmVlZjIyZjViNmVkOTEiLCJ1c2VySWQiOiI0NjY3MzIwMTMifQ==</vt:lpwstr>
  </property>
  <property fmtid="{D5CDD505-2E9C-101B-9397-08002B2CF9AE}" pid="3" name="KSOProductBuildVer">
    <vt:lpwstr>2052-12.1.0.29161</vt:lpwstr>
  </property>
  <property fmtid="{D5CDD505-2E9C-101B-9397-08002B2CF9AE}" pid="4" name="ICV">
    <vt:lpwstr>2792B85495D34079AFEC19B28F038C99_12</vt:lpwstr>
  </property>
</Properties>
</file>