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7EDCF"/>
  <w:body>
    <w:p w14:paraId="723CC872">
      <w:pPr>
        <w:rPr>
          <w:sz w:val="84"/>
          <w:highlight w:val="none"/>
        </w:rPr>
      </w:pPr>
    </w:p>
    <w:p w14:paraId="20E2B8F9">
      <w:pPr>
        <w:ind w:right="105"/>
        <w:jc w:val="right"/>
        <w:rPr>
          <w:rFonts w:ascii="黑体" w:hAnsi="黑体" w:eastAsia="黑体"/>
          <w:b/>
          <w:spacing w:val="40"/>
          <w:w w:val="66"/>
          <w:sz w:val="60"/>
          <w:szCs w:val="60"/>
          <w:highlight w:val="none"/>
        </w:rPr>
      </w:pPr>
      <w:r>
        <w:rPr>
          <w:rFonts w:ascii="黑体" w:hAnsi="黑体" w:eastAsia="黑体"/>
          <w:b/>
          <w:spacing w:val="40"/>
          <w:w w:val="66"/>
          <w:sz w:val="60"/>
          <w:szCs w:val="60"/>
          <w:highlight w:val="none"/>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241300</wp:posOffset>
                </wp:positionV>
                <wp:extent cx="215900" cy="0"/>
                <wp:effectExtent l="0" t="95250" r="12700"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margin-left:-0.65pt;margin-top:19pt;height:0pt;width:17pt;z-index:251659264;mso-width-relative:page;mso-height-relative:page;" filled="f" stroked="t" coordsize="21600,21600" o:gfxdata="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iIAL3U&#10;AAAABwEAAA8AAAAAAAAAAQAgAAAAIgAAAGRycy9kb3ducmV2LnhtbFBLAQIUABQAAAAIAIdO4kBI&#10;bzmM6wEAALkDAAAOAAAAAAAAAAEAIAAAACMBAABkcnMvZTJvRG9jLnhtbFBLBQYAAAAABgAGAFkB&#10;AACABQAAAAA=&#10;">
                <v:fill on="f" focussize="0,0"/>
                <v:stroke weight="15pt" color="#4B69B5" joinstyle="round"/>
                <v:imagedata o:title=""/>
                <o:lock v:ext="edit" aspectratio="f"/>
              </v:line>
            </w:pict>
          </mc:Fallback>
        </mc:AlternateContent>
      </w:r>
      <w:r>
        <w:rPr>
          <w:rFonts w:hint="eastAsia" w:ascii="黑体" w:hAnsi="黑体" w:eastAsia="黑体"/>
          <w:b/>
          <w:spacing w:val="40"/>
          <w:w w:val="66"/>
          <w:sz w:val="60"/>
          <w:szCs w:val="60"/>
          <w:highlight w:val="none"/>
        </w:rPr>
        <w:t>天津市公安局滨海分局采购视频监控网前端第6、7、8包2026至2027年运维</w:t>
      </w:r>
    </w:p>
    <w:p w14:paraId="34DEF02A">
      <w:pPr>
        <w:ind w:right="105"/>
        <w:jc w:val="right"/>
        <w:rPr>
          <w:rFonts w:ascii="黑体" w:hAnsi="黑体" w:eastAsia="黑体"/>
          <w:b/>
          <w:spacing w:val="40"/>
          <w:w w:val="66"/>
          <w:sz w:val="60"/>
          <w:szCs w:val="60"/>
          <w:highlight w:val="none"/>
        </w:rPr>
      </w:pPr>
      <w:r>
        <w:rPr>
          <w:rFonts w:ascii="黑体" w:hAnsi="黑体" w:eastAsia="黑体"/>
          <w:b/>
          <w:spacing w:val="40"/>
          <w:sz w:val="60"/>
          <w:szCs w:val="60"/>
          <w:highlight w:val="none"/>
        </w:rPr>
        <mc:AlternateContent>
          <mc:Choice Requires="wps">
            <w:drawing>
              <wp:anchor distT="0" distB="0" distL="114300" distR="114300" simplePos="0" relativeHeight="251660288" behindDoc="0" locked="0" layoutInCell="1" allowOverlap="1">
                <wp:simplePos x="0" y="0"/>
                <wp:positionH relativeFrom="column">
                  <wp:posOffset>29845</wp:posOffset>
                </wp:positionH>
                <wp:positionV relativeFrom="paragraph">
                  <wp:posOffset>296545</wp:posOffset>
                </wp:positionV>
                <wp:extent cx="2597785" cy="635"/>
                <wp:effectExtent l="0" t="95250" r="12065" b="113665"/>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flipV="1">
                          <a:off x="0" y="0"/>
                          <a:ext cx="2597785" cy="635"/>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flip:y;margin-left:2.35pt;margin-top:23.35pt;height:0.05pt;width:204.55pt;z-index:251660288;mso-width-relative:page;mso-height-relative:page;" filled="f" stroked="t" coordsize="21600,21600" o:gfxdata="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eScIHtYAAAAHAQAADwAAAAAAAAABACAAAAAiAAAAZHJzL2Rvd25yZXYueG1sUEsB&#10;AhQAFAAAAAgAh07iQM5rTan3AQAAxgMAAA4AAAAAAAAAAQAgAAAAJQEAAGRycy9lMm9Eb2MueG1s&#10;UEsFBgAAAAAGAAYAWQEAAI4FAAAAAA==&#10;">
                <v:fill on="f" focussize="0,0"/>
                <v:stroke weight="15pt" color="#4B69B5" joinstyle="round"/>
                <v:imagedata o:title=""/>
                <o:lock v:ext="edit" aspectratio="f"/>
              </v:line>
            </w:pict>
          </mc:Fallback>
        </mc:AlternateContent>
      </w:r>
      <w:r>
        <w:rPr>
          <w:rFonts w:hint="eastAsia" w:ascii="黑体" w:hAnsi="黑体" w:eastAsia="黑体"/>
          <w:b/>
          <w:spacing w:val="40"/>
          <w:w w:val="66"/>
          <w:sz w:val="60"/>
          <w:szCs w:val="60"/>
          <w:highlight w:val="none"/>
        </w:rPr>
        <w:t>服务项目</w:t>
      </w:r>
      <w:r>
        <w:rPr>
          <w:rFonts w:ascii="黑体" w:hAnsi="黑体" w:eastAsia="黑体"/>
          <w:b/>
          <w:spacing w:val="40"/>
          <w:w w:val="66"/>
          <w:sz w:val="60"/>
          <w:szCs w:val="60"/>
          <w:highlight w:val="none"/>
        </w:rPr>
        <w:t>招标文件</w:t>
      </w:r>
    </w:p>
    <w:p w14:paraId="67B04E93">
      <w:pPr>
        <w:ind w:right="1025"/>
        <w:jc w:val="center"/>
        <w:rPr>
          <w:rFonts w:ascii="黑体" w:hAnsi="黑体" w:eastAsia="黑体"/>
          <w:b/>
          <w:spacing w:val="40"/>
          <w:w w:val="66"/>
          <w:sz w:val="60"/>
          <w:szCs w:val="60"/>
          <w:highlight w:val="none"/>
        </w:rPr>
      </w:pPr>
    </w:p>
    <w:p w14:paraId="71C35D01">
      <w:pPr>
        <w:jc w:val="center"/>
        <w:rPr>
          <w:rFonts w:ascii="黑体" w:hAnsi="黑体" w:eastAsia="黑体"/>
          <w:b/>
          <w:spacing w:val="40"/>
          <w:w w:val="66"/>
          <w:sz w:val="15"/>
          <w:szCs w:val="15"/>
          <w:highlight w:val="none"/>
        </w:rPr>
      </w:pPr>
    </w:p>
    <w:p w14:paraId="6ED3D603">
      <w:pPr>
        <w:jc w:val="center"/>
        <w:rPr>
          <w:rFonts w:ascii="黑体" w:hAnsi="黑体" w:eastAsia="黑体"/>
          <w:b/>
          <w:color w:val="FF0000"/>
          <w:spacing w:val="40"/>
          <w:w w:val="66"/>
          <w:sz w:val="32"/>
          <w:szCs w:val="32"/>
          <w:highlight w:val="none"/>
        </w:rPr>
      </w:pPr>
      <w:r>
        <w:rPr>
          <w:rFonts w:ascii="黑体" w:hAnsi="黑体" w:eastAsia="黑体"/>
          <w:b/>
          <w:spacing w:val="40"/>
          <w:w w:val="66"/>
          <w:sz w:val="32"/>
          <w:szCs w:val="32"/>
          <w:highlight w:val="none"/>
        </w:rPr>
        <w:t>（项目编号：</w:t>
      </w:r>
      <w:r>
        <w:rPr>
          <w:rFonts w:hint="eastAsia" w:ascii="黑体" w:hAnsi="黑体" w:eastAsia="黑体"/>
          <w:b/>
          <w:spacing w:val="40"/>
          <w:w w:val="66"/>
          <w:sz w:val="32"/>
          <w:szCs w:val="32"/>
          <w:highlight w:val="none"/>
        </w:rPr>
        <w:t>TJBH-2026-D-0165</w:t>
      </w:r>
      <w:r>
        <w:rPr>
          <w:rFonts w:ascii="黑体" w:hAnsi="黑体" w:eastAsia="黑体"/>
          <w:b/>
          <w:spacing w:val="40"/>
          <w:w w:val="66"/>
          <w:sz w:val="32"/>
          <w:szCs w:val="32"/>
          <w:highlight w:val="none"/>
        </w:rPr>
        <w:t>）</w:t>
      </w:r>
    </w:p>
    <w:p w14:paraId="4FC62B99">
      <w:pPr>
        <w:rPr>
          <w:rFonts w:ascii="黑体" w:hAnsi="黑体" w:eastAsia="黑体"/>
          <w:b/>
          <w:sz w:val="40"/>
          <w:highlight w:val="none"/>
        </w:rPr>
      </w:pPr>
    </w:p>
    <w:p w14:paraId="008365D3">
      <w:pPr>
        <w:rPr>
          <w:rFonts w:ascii="黑体" w:hAnsi="黑体" w:eastAsia="黑体"/>
          <w:b/>
          <w:sz w:val="36"/>
          <w:highlight w:val="none"/>
        </w:rPr>
      </w:pPr>
    </w:p>
    <w:p w14:paraId="4BE60FF1">
      <w:pPr>
        <w:rPr>
          <w:rFonts w:ascii="黑体" w:hAnsi="黑体" w:eastAsia="黑体"/>
          <w:b/>
          <w:sz w:val="36"/>
          <w:highlight w:val="none"/>
        </w:rPr>
      </w:pPr>
    </w:p>
    <w:p w14:paraId="53FE648C">
      <w:pPr>
        <w:rPr>
          <w:rFonts w:ascii="黑体" w:hAnsi="黑体" w:eastAsia="黑体"/>
          <w:b/>
          <w:sz w:val="36"/>
          <w:highlight w:val="none"/>
        </w:rPr>
      </w:pPr>
    </w:p>
    <w:p w14:paraId="6164258D">
      <w:pPr>
        <w:rPr>
          <w:rFonts w:ascii="黑体" w:hAnsi="黑体" w:eastAsia="黑体"/>
          <w:b/>
          <w:sz w:val="36"/>
          <w:highlight w:val="none"/>
        </w:rPr>
      </w:pPr>
    </w:p>
    <w:p w14:paraId="5A017221">
      <w:pPr>
        <w:rPr>
          <w:rFonts w:ascii="黑体" w:hAnsi="黑体" w:eastAsia="黑体"/>
          <w:b/>
          <w:sz w:val="36"/>
          <w:highlight w:val="none"/>
        </w:rPr>
      </w:pPr>
    </w:p>
    <w:p w14:paraId="04844903">
      <w:pPr>
        <w:rPr>
          <w:rFonts w:ascii="黑体" w:hAnsi="黑体" w:eastAsia="黑体"/>
          <w:b/>
          <w:sz w:val="36"/>
          <w:highlight w:val="none"/>
        </w:rPr>
      </w:pPr>
    </w:p>
    <w:p w14:paraId="61F1B694">
      <w:pPr>
        <w:rPr>
          <w:rFonts w:ascii="黑体" w:hAnsi="黑体" w:eastAsia="黑体"/>
          <w:b/>
          <w:sz w:val="36"/>
          <w:highlight w:val="none"/>
        </w:rPr>
      </w:pPr>
    </w:p>
    <w:p w14:paraId="10F63857">
      <w:pPr>
        <w:rPr>
          <w:rFonts w:ascii="黑体" w:hAnsi="黑体" w:eastAsia="黑体"/>
          <w:b/>
          <w:sz w:val="36"/>
          <w:highlight w:val="none"/>
        </w:rPr>
      </w:pPr>
    </w:p>
    <w:p w14:paraId="50DC1CA6">
      <w:pPr>
        <w:jc w:val="center"/>
        <w:rPr>
          <w:rFonts w:ascii="黑体" w:hAnsi="黑体" w:eastAsia="黑体"/>
          <w:b/>
          <w:spacing w:val="20"/>
          <w:w w:val="66"/>
          <w:sz w:val="44"/>
          <w:szCs w:val="44"/>
          <w:highlight w:val="none"/>
        </w:rPr>
      </w:pPr>
      <w:r>
        <w:rPr>
          <w:rFonts w:ascii="黑体" w:hAnsi="黑体" w:eastAsia="黑体"/>
          <w:b/>
          <w:spacing w:val="20"/>
          <w:w w:val="66"/>
          <w:sz w:val="44"/>
          <w:szCs w:val="44"/>
          <w:highlight w:val="none"/>
        </w:rPr>
        <w:t>天津市滨海新区政府采购中心</w:t>
      </w:r>
    </w:p>
    <w:p w14:paraId="2743EB3E">
      <w:pPr>
        <w:tabs>
          <w:tab w:val="left" w:pos="3281"/>
          <w:tab w:val="center" w:pos="4711"/>
        </w:tabs>
        <w:jc w:val="center"/>
        <w:rPr>
          <w:rFonts w:ascii="黑体" w:hAnsi="黑体" w:eastAsia="黑体"/>
          <w:b/>
          <w:bCs/>
          <w:kern w:val="0"/>
          <w:sz w:val="44"/>
          <w:szCs w:val="44"/>
          <w:highlight w:val="none"/>
        </w:rPr>
      </w:pPr>
      <w:r>
        <w:rPr>
          <w:rFonts w:ascii="黑体" w:hAnsi="黑体" w:eastAsia="黑体"/>
          <w:b/>
          <w:bCs/>
          <w:kern w:val="0"/>
          <w:sz w:val="44"/>
          <w:szCs w:val="44"/>
          <w:highlight w:val="none"/>
        </w:rPr>
        <w:t>2026.</w:t>
      </w:r>
      <w:r>
        <w:rPr>
          <w:rFonts w:hint="eastAsia" w:ascii="黑体" w:hAnsi="黑体" w:eastAsia="黑体"/>
          <w:b/>
          <w:bCs/>
          <w:kern w:val="0"/>
          <w:sz w:val="44"/>
          <w:szCs w:val="44"/>
          <w:highlight w:val="none"/>
        </w:rPr>
        <w:t>10</w:t>
      </w:r>
    </w:p>
    <w:p w14:paraId="73A46251">
      <w:pPr>
        <w:widowControl/>
        <w:jc w:val="left"/>
        <w:rPr>
          <w:rFonts w:ascii="黑体" w:hAnsi="黑体" w:eastAsia="黑体"/>
          <w:b/>
          <w:bCs/>
          <w:kern w:val="0"/>
          <w:sz w:val="44"/>
          <w:szCs w:val="44"/>
          <w:highlight w:val="none"/>
        </w:rPr>
      </w:pPr>
    </w:p>
    <w:p w14:paraId="02ABDDDE">
      <w:pPr>
        <w:ind w:firstLine="408" w:firstLineChars="100"/>
        <w:jc w:val="center"/>
        <w:rPr>
          <w:b/>
          <w:spacing w:val="20"/>
          <w:w w:val="80"/>
          <w:sz w:val="48"/>
          <w:szCs w:val="48"/>
          <w:highlight w:val="none"/>
        </w:rPr>
        <w:sectPr>
          <w:pgSz w:w="11906" w:h="16838"/>
          <w:pgMar w:top="1440" w:right="1797" w:bottom="1440" w:left="1797" w:header="851" w:footer="992" w:gutter="0"/>
          <w:pgNumType w:start="1"/>
          <w:cols w:space="425" w:num="1"/>
          <w:docGrid w:type="linesAndChars" w:linePitch="285" w:charSpace="-3449"/>
        </w:sectPr>
      </w:pPr>
    </w:p>
    <w:p w14:paraId="7311F02F">
      <w:pPr>
        <w:ind w:firstLine="408" w:firstLineChars="100"/>
        <w:jc w:val="center"/>
        <w:rPr>
          <w:b/>
          <w:spacing w:val="20"/>
          <w:w w:val="80"/>
          <w:sz w:val="48"/>
          <w:szCs w:val="48"/>
          <w:highlight w:val="none"/>
        </w:rPr>
      </w:pPr>
      <w:r>
        <w:rPr>
          <w:rFonts w:hAnsiTheme="minorEastAsia"/>
          <w:b/>
          <w:spacing w:val="20"/>
          <w:w w:val="80"/>
          <w:sz w:val="48"/>
          <w:szCs w:val="48"/>
          <w:highlight w:val="none"/>
        </w:rPr>
        <w:t>目录</w:t>
      </w:r>
    </w:p>
    <w:p w14:paraId="12382ADF">
      <w:pPr>
        <w:spacing w:line="560" w:lineRule="exact"/>
        <w:ind w:right="-141" w:rightChars="-73"/>
        <w:rPr>
          <w:b/>
          <w:sz w:val="24"/>
          <w:highlight w:val="none"/>
        </w:rPr>
      </w:pPr>
      <w:r>
        <w:rPr>
          <w:rFonts w:hAnsiTheme="minorEastAsia"/>
          <w:b/>
          <w:sz w:val="24"/>
          <w:highlight w:val="none"/>
        </w:rPr>
        <w:t>第一部分投标邀请函</w:t>
      </w:r>
    </w:p>
    <w:p w14:paraId="0FD160CA">
      <w:pPr>
        <w:spacing w:line="560" w:lineRule="exact"/>
        <w:ind w:right="-141" w:rightChars="-73"/>
        <w:rPr>
          <w:b/>
          <w:sz w:val="24"/>
          <w:highlight w:val="none"/>
        </w:rPr>
      </w:pPr>
    </w:p>
    <w:p w14:paraId="6E7AEC90">
      <w:pPr>
        <w:spacing w:line="560" w:lineRule="exact"/>
        <w:ind w:right="-141" w:rightChars="-73"/>
        <w:rPr>
          <w:b/>
          <w:sz w:val="24"/>
          <w:highlight w:val="none"/>
        </w:rPr>
      </w:pPr>
      <w:r>
        <w:rPr>
          <w:rFonts w:hAnsiTheme="minorEastAsia"/>
          <w:b/>
          <w:sz w:val="24"/>
          <w:highlight w:val="none"/>
        </w:rPr>
        <w:t>第二部分招标项目要求</w:t>
      </w:r>
    </w:p>
    <w:p w14:paraId="7CD23F94">
      <w:pPr>
        <w:spacing w:line="560" w:lineRule="exact"/>
        <w:ind w:right="-141" w:rightChars="-73"/>
        <w:rPr>
          <w:b/>
          <w:sz w:val="24"/>
          <w:highlight w:val="none"/>
        </w:rPr>
      </w:pPr>
    </w:p>
    <w:p w14:paraId="28DE06EE">
      <w:pPr>
        <w:spacing w:line="560" w:lineRule="exact"/>
        <w:ind w:right="-141" w:rightChars="-73"/>
        <w:rPr>
          <w:b/>
          <w:sz w:val="24"/>
          <w:highlight w:val="none"/>
        </w:rPr>
      </w:pPr>
      <w:r>
        <w:rPr>
          <w:rFonts w:hAnsiTheme="minorEastAsia"/>
          <w:b/>
          <w:sz w:val="24"/>
          <w:highlight w:val="none"/>
        </w:rPr>
        <w:t>第三部分投标须知</w:t>
      </w:r>
    </w:p>
    <w:p w14:paraId="68BC9D2B">
      <w:pPr>
        <w:spacing w:line="560" w:lineRule="exact"/>
        <w:ind w:right="-141" w:rightChars="-73"/>
        <w:rPr>
          <w:sz w:val="24"/>
          <w:highlight w:val="none"/>
        </w:rPr>
      </w:pPr>
    </w:p>
    <w:p w14:paraId="26E66A1E">
      <w:pPr>
        <w:spacing w:line="560" w:lineRule="exact"/>
        <w:rPr>
          <w:b/>
          <w:sz w:val="24"/>
          <w:highlight w:val="none"/>
        </w:rPr>
      </w:pPr>
      <w:r>
        <w:rPr>
          <w:rFonts w:hAnsiTheme="minorEastAsia"/>
          <w:b/>
          <w:sz w:val="24"/>
          <w:highlight w:val="none"/>
        </w:rPr>
        <w:t>第四部分合同条款</w:t>
      </w:r>
    </w:p>
    <w:p w14:paraId="7081BF29">
      <w:pPr>
        <w:spacing w:line="560" w:lineRule="exact"/>
        <w:rPr>
          <w:sz w:val="24"/>
          <w:highlight w:val="none"/>
        </w:rPr>
      </w:pPr>
    </w:p>
    <w:p w14:paraId="3C8F85ED">
      <w:pPr>
        <w:spacing w:line="560" w:lineRule="exact"/>
        <w:rPr>
          <w:sz w:val="24"/>
          <w:highlight w:val="none"/>
        </w:rPr>
      </w:pPr>
      <w:r>
        <w:rPr>
          <w:rFonts w:hAnsiTheme="minorEastAsia"/>
          <w:b/>
          <w:sz w:val="24"/>
          <w:highlight w:val="none"/>
        </w:rPr>
        <w:t>第五部分投标文件格式</w:t>
      </w:r>
    </w:p>
    <w:p w14:paraId="69119CA7">
      <w:pPr>
        <w:rPr>
          <w:sz w:val="24"/>
          <w:highlight w:val="none"/>
        </w:rPr>
      </w:pPr>
    </w:p>
    <w:p w14:paraId="63B39E6A">
      <w:pPr>
        <w:rPr>
          <w:sz w:val="24"/>
          <w:highlight w:val="none"/>
        </w:rPr>
      </w:pPr>
    </w:p>
    <w:p w14:paraId="7CD129FC">
      <w:pPr>
        <w:rPr>
          <w:sz w:val="24"/>
          <w:highlight w:val="none"/>
        </w:rPr>
      </w:pPr>
    </w:p>
    <w:p w14:paraId="7F44B4CF">
      <w:pPr>
        <w:rPr>
          <w:sz w:val="24"/>
          <w:highlight w:val="none"/>
        </w:rPr>
      </w:pPr>
    </w:p>
    <w:p w14:paraId="09D96A9B">
      <w:pPr>
        <w:rPr>
          <w:sz w:val="24"/>
          <w:highlight w:val="none"/>
        </w:rPr>
      </w:pPr>
    </w:p>
    <w:p w14:paraId="74DB6418">
      <w:pPr>
        <w:rPr>
          <w:sz w:val="24"/>
          <w:highlight w:val="none"/>
        </w:rPr>
      </w:pPr>
    </w:p>
    <w:p w14:paraId="1F9BD7DE">
      <w:pPr>
        <w:rPr>
          <w:b/>
          <w:highlight w:val="none"/>
        </w:rPr>
      </w:pPr>
    </w:p>
    <w:p w14:paraId="03209D6A">
      <w:pPr>
        <w:pStyle w:val="15"/>
        <w:rPr>
          <w:rFonts w:ascii="Times New Roman" w:hAnsi="Times New Roman"/>
          <w:highlight w:val="none"/>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19FB52A3">
      <w:pPr>
        <w:pStyle w:val="15"/>
        <w:rPr>
          <w:rFonts w:ascii="Times New Roman" w:hAnsi="Times New Roman"/>
          <w:highlight w:val="none"/>
        </w:rPr>
      </w:pPr>
      <w:r>
        <w:rPr>
          <w:rFonts w:ascii="Times New Roman" w:hAnsiTheme="minorEastAsia"/>
          <w:highlight w:val="none"/>
        </w:rPr>
        <w:t>第一部分投标邀请函</w:t>
      </w:r>
      <w:bookmarkEnd w:id="0"/>
    </w:p>
    <w:p w14:paraId="599E0703">
      <w:pPr>
        <w:pStyle w:val="25"/>
        <w:spacing w:line="360" w:lineRule="auto"/>
        <w:ind w:firstLine="448" w:firstLineChars="200"/>
        <w:jc w:val="both"/>
        <w:rPr>
          <w:rFonts w:ascii="Times New Roman" w:hAnsi="Times New Roman" w:eastAsia="宋体" w:cs="Times New Roman"/>
          <w:color w:val="auto"/>
          <w:szCs w:val="32"/>
          <w:highlight w:val="none"/>
        </w:rPr>
      </w:pPr>
      <w:r>
        <w:rPr>
          <w:rFonts w:ascii="Times New Roman" w:eastAsia="宋体" w:cs="Times New Roman" w:hAnsiTheme="minorEastAsia"/>
          <w:color w:val="auto"/>
          <w:szCs w:val="32"/>
          <w:highlight w:val="none"/>
        </w:rPr>
        <w:t>受</w:t>
      </w:r>
      <w:r>
        <w:rPr>
          <w:rFonts w:hint="eastAsia" w:ascii="Times New Roman" w:eastAsia="宋体" w:cs="Times New Roman" w:hAnsiTheme="minorEastAsia"/>
          <w:color w:val="auto"/>
          <w:szCs w:val="32"/>
          <w:highlight w:val="none"/>
        </w:rPr>
        <w:t>天津市公安局滨海分局机关</w:t>
      </w:r>
      <w:r>
        <w:rPr>
          <w:rFonts w:ascii="Times New Roman" w:eastAsia="宋体" w:cs="Times New Roman" w:hAnsiTheme="minorEastAsia"/>
          <w:color w:val="auto"/>
          <w:szCs w:val="32"/>
          <w:highlight w:val="none"/>
        </w:rPr>
        <w:t>委托，天津市滨海新区政府采购中心将以公开招标方式，对</w:t>
      </w:r>
      <w:r>
        <w:rPr>
          <w:rFonts w:hint="eastAsia" w:ascii="Times New Roman" w:eastAsia="宋体" w:cs="Times New Roman" w:hAnsiTheme="minorEastAsia"/>
          <w:color w:val="auto"/>
          <w:szCs w:val="32"/>
          <w:highlight w:val="none"/>
        </w:rPr>
        <w:t>天津市公安局滨海分局采购视频监控网前端第6、7、8包2026至2027年运维服务项目</w:t>
      </w:r>
      <w:r>
        <w:rPr>
          <w:rFonts w:ascii="Times New Roman" w:eastAsia="宋体" w:cs="Times New Roman" w:hAnsiTheme="minorEastAsia"/>
          <w:color w:val="auto"/>
          <w:szCs w:val="32"/>
          <w:highlight w:val="none"/>
        </w:rPr>
        <w:t>实施政府采购。现欢迎合格的供应商参加投标。</w:t>
      </w:r>
    </w:p>
    <w:p w14:paraId="1E7FE917">
      <w:pPr>
        <w:pStyle w:val="25"/>
        <w:spacing w:line="360" w:lineRule="auto"/>
        <w:ind w:firstLine="448" w:firstLineChars="200"/>
        <w:jc w:val="both"/>
        <w:rPr>
          <w:rFonts w:ascii="Times New Roman" w:hAnsi="Times New Roman" w:eastAsia="宋体" w:cs="Times New Roman"/>
          <w:color w:val="auto"/>
          <w:szCs w:val="32"/>
          <w:highlight w:val="none"/>
        </w:rPr>
      </w:pPr>
      <w:r>
        <w:rPr>
          <w:rFonts w:hint="eastAsia" w:ascii="Times New Roman" w:eastAsia="宋体" w:cs="Times New Roman" w:hAnsiTheme="minorEastAsia"/>
          <w:color w:val="auto"/>
          <w:szCs w:val="32"/>
          <w:highlight w:val="none"/>
        </w:rPr>
        <w:t>本项目为远程招投标，一律不接受纸质投标文件，只接受加盖投标人电子签章的电子投标文件（以通过天津公共资源电子签章客户端正确读取签章信息为准）。供应商参加投标前须办理</w:t>
      </w:r>
      <w:r>
        <w:rPr>
          <w:rFonts w:hint="eastAsia" w:ascii="Times New Roman" w:hAnsi="Times New Roman" w:eastAsia="宋体" w:cs="Times New Roman"/>
          <w:color w:val="auto"/>
          <w:szCs w:val="32"/>
          <w:highlight w:val="none"/>
        </w:rPr>
        <w:t>CA</w:t>
      </w:r>
      <w:r>
        <w:rPr>
          <w:rFonts w:hint="eastAsia" w:ascii="Times New Roman" w:eastAsia="宋体" w:cs="Times New Roman" w:hAnsiTheme="minorEastAsia"/>
          <w:color w:val="auto"/>
          <w:szCs w:val="32"/>
          <w:highlight w:val="none"/>
        </w:rPr>
        <w:t>数字证书（</w:t>
      </w:r>
      <w:r>
        <w:rPr>
          <w:rFonts w:hint="eastAsia" w:ascii="Times New Roman" w:hAnsi="Times New Roman" w:eastAsia="宋体" w:cs="Times New Roman"/>
          <w:color w:val="auto"/>
          <w:szCs w:val="32"/>
          <w:highlight w:val="none"/>
        </w:rPr>
        <w:t>USBKey</w:t>
      </w:r>
      <w:r>
        <w:rPr>
          <w:rFonts w:hint="eastAsia" w:ascii="Times New Roman" w:eastAsia="宋体" w:cs="Times New Roman" w:hAnsiTheme="minorEastAsia"/>
          <w:color w:val="auto"/>
          <w:szCs w:val="32"/>
          <w:highlight w:val="none"/>
        </w:rPr>
        <w:t>）和电子签章。投标人须按招标文件的规</w:t>
      </w:r>
      <w:r>
        <w:rPr>
          <w:rFonts w:hint="eastAsia" w:ascii="Times New Roman" w:hAnsi="Times New Roman" w:eastAsia="宋体" w:cs="Times New Roman"/>
          <w:color w:val="auto"/>
          <w:szCs w:val="32"/>
          <w:highlight w:val="none"/>
        </w:rPr>
        <w:t>定在天津市政府采购中心招投标系统中提交网上应答并上传加盖投标人电子签章的电子投标文件（以通过天津公共资源电子签章客户端正确读取签章信息为准）。投标文件加盖</w:t>
      </w:r>
      <w:r>
        <w:rPr>
          <w:rFonts w:ascii="Times New Roman" w:hAnsi="Times New Roman" w:eastAsia="宋体" w:cs="Times New Roman"/>
          <w:color w:val="auto"/>
          <w:szCs w:val="32"/>
          <w:highlight w:val="none"/>
        </w:rPr>
        <w:t>1</w:t>
      </w:r>
      <w:r>
        <w:rPr>
          <w:rFonts w:hint="eastAsia" w:ascii="Times New Roman" w:hAnsi="Times New Roman" w:eastAsia="宋体" w:cs="Times New Roman"/>
          <w:color w:val="auto"/>
          <w:szCs w:val="32"/>
          <w:highlight w:val="none"/>
        </w:rPr>
        <w:t>个有效电子签章即视同所有页均已盖章。</w:t>
      </w:r>
    </w:p>
    <w:p w14:paraId="2C1DD985">
      <w:pPr>
        <w:pStyle w:val="25"/>
        <w:spacing w:line="360" w:lineRule="auto"/>
        <w:ind w:firstLine="448" w:firstLineChars="200"/>
        <w:jc w:val="both"/>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一、项目名称和编号</w:t>
      </w:r>
    </w:p>
    <w:p w14:paraId="102E85B5">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（一）项目名称：</w:t>
      </w:r>
      <w:r>
        <w:rPr>
          <w:rFonts w:hint="eastAsia" w:ascii="Times New Roman" w:hAnsi="Times New Roman" w:eastAsia="宋体" w:cs="Times New Roman"/>
          <w:color w:val="auto"/>
          <w:highlight w:val="none"/>
        </w:rPr>
        <w:t>天津市公安局滨海分局采购视频监控网前端第6、7、8包2026至2027年运维服务项目</w:t>
      </w:r>
    </w:p>
    <w:p w14:paraId="63CC21A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（二）项目编号：</w:t>
      </w:r>
      <w:r>
        <w:rPr>
          <w:rFonts w:hint="eastAsia" w:ascii="Times New Roman" w:eastAsia="宋体" w:cs="Times New Roman" w:hAnsiTheme="minorEastAsia"/>
          <w:color w:val="auto"/>
          <w:highlight w:val="none"/>
        </w:rPr>
        <w:t>TJBH-2026-D-0165</w:t>
      </w:r>
    </w:p>
    <w:p w14:paraId="29350181">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二、项目内容</w:t>
      </w:r>
    </w:p>
    <w:p w14:paraId="71877DEA">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第一包：视频监控系统（第6、7包）运维服务，合同履行期限：签订合同之日起一年；</w:t>
      </w:r>
    </w:p>
    <w:p w14:paraId="75F661DB">
      <w:pPr>
        <w:pStyle w:val="25"/>
        <w:spacing w:line="360" w:lineRule="auto"/>
        <w:ind w:left="442" w:leftChars="228"/>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第二包：视频监控系统（第8包）运维服务，合同履行期限：签订合同之日起一年。</w:t>
      </w:r>
      <w:r>
        <w:rPr>
          <w:rFonts w:ascii="Times New Roman" w:eastAsia="宋体" w:cs="Times New Roman" w:hAnsiTheme="minorEastAsia"/>
          <w:color w:val="auto"/>
          <w:highlight w:val="none"/>
        </w:rPr>
        <w:t>三、项目预算</w:t>
      </w:r>
    </w:p>
    <w:p w14:paraId="08150579">
      <w:pPr>
        <w:pStyle w:val="25"/>
        <w:spacing w:line="360" w:lineRule="auto"/>
        <w:ind w:firstLine="448" w:firstLineChars="200"/>
        <w:jc w:val="both"/>
        <w:rPr>
          <w:rFonts w:ascii="Times New Roman" w:hAnsi="Times New Roman" w:eastAsia="宋体" w:cs="Times New Roman"/>
          <w:color w:val="auto"/>
          <w:szCs w:val="32"/>
          <w:highlight w:val="none"/>
        </w:rPr>
      </w:pPr>
      <w:r>
        <w:rPr>
          <w:rFonts w:hint="eastAsia" w:ascii="Times New Roman" w:hAnsi="Times New Roman" w:eastAsia="宋体" w:cs="Times New Roman"/>
          <w:color w:val="auto"/>
          <w:szCs w:val="32"/>
          <w:highlight w:val="none"/>
        </w:rPr>
        <w:t>第一包：43006</w:t>
      </w:r>
      <w:r>
        <w:rPr>
          <w:rFonts w:hint="eastAsia" w:ascii="Times New Roman" w:hAnsi="Times New Roman" w:eastAsia="宋体" w:cs="Times New Roman"/>
          <w:color w:val="auto"/>
          <w:szCs w:val="32"/>
          <w:highlight w:val="none"/>
          <w:lang w:val="en-US" w:eastAsia="zh-CN"/>
        </w:rPr>
        <w:t>00</w:t>
      </w:r>
      <w:r>
        <w:rPr>
          <w:rFonts w:hint="eastAsia" w:ascii="Times New Roman" w:hAnsi="Times New Roman" w:eastAsia="宋体" w:cs="Times New Roman"/>
          <w:color w:val="auto"/>
          <w:szCs w:val="32"/>
          <w:highlight w:val="none"/>
        </w:rPr>
        <w:t>元；</w:t>
      </w:r>
    </w:p>
    <w:p w14:paraId="297FB0A0">
      <w:pPr>
        <w:pStyle w:val="25"/>
        <w:spacing w:line="360" w:lineRule="auto"/>
        <w:ind w:firstLine="448" w:firstLineChars="200"/>
        <w:jc w:val="both"/>
        <w:rPr>
          <w:rFonts w:ascii="Times New Roman" w:hAnsi="Times New Roman" w:eastAsia="宋体" w:cs="Times New Roman"/>
          <w:color w:val="auto"/>
          <w:szCs w:val="32"/>
          <w:highlight w:val="none"/>
        </w:rPr>
      </w:pPr>
      <w:r>
        <w:rPr>
          <w:rFonts w:hint="eastAsia" w:ascii="Times New Roman" w:hAnsi="Times New Roman" w:eastAsia="宋体" w:cs="Times New Roman"/>
          <w:color w:val="auto"/>
          <w:szCs w:val="32"/>
          <w:highlight w:val="none"/>
        </w:rPr>
        <w:t>第二包：11066</w:t>
      </w:r>
      <w:r>
        <w:rPr>
          <w:rFonts w:hint="eastAsia" w:ascii="Times New Roman" w:hAnsi="Times New Roman" w:eastAsia="宋体" w:cs="Times New Roman"/>
          <w:color w:val="auto"/>
          <w:szCs w:val="32"/>
          <w:highlight w:val="none"/>
          <w:lang w:val="en-US" w:eastAsia="zh-CN"/>
        </w:rPr>
        <w:t>00</w:t>
      </w:r>
      <w:r>
        <w:rPr>
          <w:rFonts w:hint="eastAsia" w:ascii="Times New Roman" w:hAnsi="Times New Roman" w:eastAsia="宋体" w:cs="Times New Roman"/>
          <w:color w:val="auto"/>
          <w:szCs w:val="32"/>
          <w:highlight w:val="none"/>
        </w:rPr>
        <w:t>元。</w:t>
      </w:r>
    </w:p>
    <w:p w14:paraId="22A7B069">
      <w:pPr>
        <w:pStyle w:val="25"/>
        <w:spacing w:line="360" w:lineRule="auto"/>
        <w:ind w:firstLine="448" w:firstLineChars="200"/>
        <w:jc w:val="both"/>
        <w:rPr>
          <w:rFonts w:ascii="Times New Roman" w:hAnsi="Times New Roman" w:eastAsia="宋体" w:cs="Times New Roman"/>
          <w:color w:val="auto"/>
          <w:szCs w:val="32"/>
          <w:highlight w:val="none"/>
        </w:rPr>
      </w:pPr>
      <w:r>
        <w:rPr>
          <w:rFonts w:hint="eastAsia" w:ascii="Times New Roman" w:hAnsi="Times New Roman" w:eastAsia="宋体" w:cs="Times New Roman"/>
          <w:color w:val="auto"/>
          <w:szCs w:val="32"/>
          <w:highlight w:val="none"/>
        </w:rPr>
        <w:t>四</w:t>
      </w:r>
      <w:r>
        <w:rPr>
          <w:rFonts w:ascii="Times New Roman" w:hAnsi="Times New Roman" w:eastAsia="宋体" w:cs="Times New Roman"/>
          <w:color w:val="auto"/>
          <w:szCs w:val="32"/>
          <w:highlight w:val="none"/>
        </w:rPr>
        <w:t>、供应商资格要求（实质性要求）</w:t>
      </w:r>
    </w:p>
    <w:p w14:paraId="16276E29">
      <w:pPr>
        <w:pStyle w:val="25"/>
        <w:spacing w:line="360" w:lineRule="auto"/>
        <w:ind w:firstLine="448" w:firstLineChars="200"/>
        <w:jc w:val="both"/>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（一）</w:t>
      </w:r>
      <w:bookmarkStart w:id="1" w:name="OLE_LINK27"/>
      <w:bookmarkStart w:id="2" w:name="OLE_LINK32"/>
      <w:bookmarkStart w:id="3" w:name="OLE_LINK26"/>
      <w:bookmarkStart w:id="4" w:name="OLE_LINK24"/>
      <w:bookmarkStart w:id="5" w:name="OLE_LINK28"/>
      <w:bookmarkStart w:id="6" w:name="OLE_LINK23"/>
      <w:r>
        <w:rPr>
          <w:rFonts w:hint="eastAsia" w:ascii="Times New Roman" w:hAnsi="Times New Roman" w:eastAsia="宋体" w:cs="Times New Roman"/>
          <w:color w:val="auto"/>
          <w:szCs w:val="32"/>
          <w:highlight w:val="none"/>
        </w:rPr>
        <w:t>供应商应具备《中华人民共和国政府采购法》第二十二条第一款和《政府采购法实施条例》第十八条规定的条件，提供以下材料：</w:t>
      </w:r>
    </w:p>
    <w:p w14:paraId="01B9CF59">
      <w:pPr>
        <w:autoSpaceDE w:val="0"/>
        <w:autoSpaceDN w:val="0"/>
        <w:adjustRightInd w:val="0"/>
        <w:spacing w:line="360" w:lineRule="auto"/>
        <w:ind w:firstLine="448" w:firstLineChars="200"/>
        <w:jc w:val="left"/>
        <w:rPr>
          <w:kern w:val="0"/>
          <w:sz w:val="24"/>
          <w:szCs w:val="24"/>
          <w:highlight w:val="none"/>
        </w:rPr>
      </w:pPr>
      <w:r>
        <w:rPr>
          <w:kern w:val="0"/>
          <w:sz w:val="24"/>
          <w:szCs w:val="24"/>
          <w:highlight w:val="none"/>
        </w:rPr>
        <w:t xml:space="preserve">1. </w:t>
      </w:r>
      <w:r>
        <w:rPr>
          <w:rFonts w:hint="eastAsia"/>
          <w:kern w:val="0"/>
          <w:sz w:val="24"/>
          <w:szCs w:val="24"/>
          <w:highlight w:val="none"/>
        </w:rPr>
        <w:t>营业执照副本或事业单位法人证书或民办非企业单位登记证书或社会团体法人登记证书或基金会法人登记证书电子件或自然人的身份证明电子件。</w:t>
      </w:r>
    </w:p>
    <w:p w14:paraId="50544280">
      <w:pPr>
        <w:autoSpaceDE w:val="0"/>
        <w:autoSpaceDN w:val="0"/>
        <w:adjustRightInd w:val="0"/>
        <w:spacing w:line="360" w:lineRule="auto"/>
        <w:ind w:firstLine="448" w:firstLineChars="200"/>
        <w:jc w:val="left"/>
        <w:rPr>
          <w:kern w:val="0"/>
          <w:sz w:val="24"/>
          <w:szCs w:val="24"/>
          <w:highlight w:val="none"/>
        </w:rPr>
      </w:pPr>
      <w:r>
        <w:rPr>
          <w:kern w:val="0"/>
          <w:sz w:val="24"/>
          <w:szCs w:val="24"/>
          <w:highlight w:val="none"/>
        </w:rPr>
        <w:t xml:space="preserve">2. </w:t>
      </w:r>
      <w:r>
        <w:rPr>
          <w:rFonts w:hint="eastAsia"/>
          <w:kern w:val="0"/>
          <w:sz w:val="24"/>
          <w:szCs w:val="24"/>
          <w:highlight w:val="none"/>
        </w:rPr>
        <w:t>提供《供应商资格声明函》（格式见附件</w:t>
      </w:r>
      <w:r>
        <w:rPr>
          <w:kern w:val="0"/>
          <w:sz w:val="24"/>
          <w:szCs w:val="24"/>
          <w:highlight w:val="none"/>
        </w:rPr>
        <w:t>2</w:t>
      </w:r>
      <w:r>
        <w:rPr>
          <w:rFonts w:hint="eastAsia"/>
          <w:kern w:val="0"/>
          <w:sz w:val="24"/>
          <w:szCs w:val="24"/>
          <w:highlight w:val="none"/>
        </w:rPr>
        <w:t>）。</w:t>
      </w:r>
    </w:p>
    <w:bookmarkEnd w:id="1"/>
    <w:bookmarkEnd w:id="2"/>
    <w:bookmarkEnd w:id="3"/>
    <w:bookmarkEnd w:id="4"/>
    <w:bookmarkEnd w:id="5"/>
    <w:bookmarkEnd w:id="6"/>
    <w:p w14:paraId="4B88190B">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（二）本项目不接受联合体投标。</w:t>
      </w:r>
    </w:p>
    <w:p w14:paraId="3F35A518">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五</w:t>
      </w:r>
      <w:r>
        <w:rPr>
          <w:rFonts w:ascii="Times New Roman" w:eastAsia="宋体" w:cs="Times New Roman" w:hAnsiTheme="minorEastAsia"/>
          <w:color w:val="auto"/>
          <w:highlight w:val="none"/>
        </w:rPr>
        <w:t>、项目需要落实的政府采购政策</w:t>
      </w:r>
    </w:p>
    <w:p w14:paraId="080B6B5B">
      <w:pPr>
        <w:pStyle w:val="25"/>
        <w:spacing w:line="360" w:lineRule="auto"/>
        <w:ind w:firstLine="448" w:firstLineChars="200"/>
        <w:rPr>
          <w:rFonts w:ascii="Times New Roman" w:hAnsi="Times New Roman" w:eastAsia="宋体" w:cs="Times New Roman"/>
          <w:color w:val="auto"/>
          <w:highlight w:val="none"/>
        </w:rPr>
      </w:pPr>
      <w:bookmarkStart w:id="7" w:name="OLE_LINK4"/>
      <w:bookmarkStart w:id="8" w:name="OLE_LINK3"/>
      <w:r>
        <w:rPr>
          <w:rFonts w:ascii="Times New Roman" w:eastAsia="宋体" w:cs="Times New Roman" w:hAnsiTheme="minorEastAsia"/>
          <w:color w:val="auto"/>
          <w:highlight w:val="none"/>
        </w:rPr>
        <w:t>（一）本项目对</w:t>
      </w:r>
      <w:r>
        <w:rPr>
          <w:rFonts w:hint="eastAsia" w:ascii="Times New Roman" w:eastAsia="宋体" w:cs="Times New Roman" w:hAnsiTheme="minorEastAsia"/>
          <w:color w:val="auto"/>
          <w:highlight w:val="none"/>
        </w:rPr>
        <w:t>小微企业报价</w:t>
      </w:r>
      <w:r>
        <w:rPr>
          <w:rFonts w:ascii="Times New Roman" w:eastAsia="宋体" w:cs="Times New Roman" w:hAnsiTheme="minorEastAsia"/>
          <w:color w:val="auto"/>
          <w:highlight w:val="none"/>
        </w:rPr>
        <w:t>给予20%的扣除。</w:t>
      </w:r>
    </w:p>
    <w:p w14:paraId="3922292C">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（二）根据财政部发布的《关于政府采购支持监狱企业发展有关问题的通知》规定，监狱企业视同小微企业。</w:t>
      </w:r>
    </w:p>
    <w:bookmarkEnd w:id="7"/>
    <w:bookmarkEnd w:id="8"/>
    <w:p w14:paraId="6E924FC7">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（三）</w:t>
      </w:r>
      <w:r>
        <w:rPr>
          <w:rFonts w:ascii="Times New Roman" w:eastAsia="宋体" w:cs="Times New Roman" w:hAnsiTheme="minorEastAsia"/>
          <w:color w:val="auto"/>
          <w:highlight w:val="none"/>
        </w:rPr>
        <w:t>根据财政部、民政部、中国残疾人联合会发布的《关于促进残疾人就业政府采购政策的通知》规定，残疾人福利性单位视同小微企业。</w:t>
      </w:r>
    </w:p>
    <w:p w14:paraId="7E0B7A7A">
      <w:pPr>
        <w:pStyle w:val="25"/>
        <w:spacing w:line="360" w:lineRule="auto"/>
        <w:ind w:firstLine="448" w:firstLineChars="200"/>
        <w:jc w:val="both"/>
        <w:rPr>
          <w:rFonts w:ascii="Times New Roman" w:hAnsi="Times New Roman" w:eastAsia="宋体"/>
          <w:color w:val="auto"/>
          <w:highlight w:val="none"/>
        </w:rPr>
      </w:pPr>
      <w:r>
        <w:rPr>
          <w:rFonts w:hint="eastAsia" w:ascii="Times New Roman" w:eastAsia="宋体" w:hAnsiTheme="minorEastAsia"/>
          <w:color w:val="auto"/>
          <w:highlight w:val="none"/>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19669DD2">
      <w:pPr>
        <w:pStyle w:val="25"/>
        <w:spacing w:line="360" w:lineRule="auto"/>
        <w:ind w:firstLine="448" w:firstLineChars="200"/>
        <w:jc w:val="both"/>
        <w:rPr>
          <w:rFonts w:ascii="Times New Roman" w:hAnsi="Times New Roman" w:eastAsia="宋体"/>
          <w:color w:val="auto"/>
          <w:highlight w:val="none"/>
        </w:rPr>
      </w:pPr>
      <w:r>
        <w:rPr>
          <w:rFonts w:hint="eastAsia" w:ascii="Times New Roman" w:eastAsia="宋体" w:hAnsiTheme="minorEastAsia"/>
          <w:color w:val="auto"/>
          <w:highlight w:val="none"/>
        </w:rPr>
        <w:t>（四）涉及商品包装或快递包装的，按照《财政部办公厅、生态环境部办公厅、国家邮政局办公室关于印发</w:t>
      </w:r>
      <w:r>
        <w:rPr>
          <w:rFonts w:hint="eastAsia" w:ascii="Times New Roman" w:hAnsi="Times New Roman" w:eastAsia="宋体"/>
          <w:color w:val="auto"/>
          <w:highlight w:val="none"/>
        </w:rPr>
        <w:t>&lt;</w:t>
      </w:r>
      <w:r>
        <w:rPr>
          <w:rFonts w:hint="eastAsia" w:ascii="Times New Roman" w:eastAsia="宋体" w:hAnsiTheme="minorEastAsia"/>
          <w:color w:val="auto"/>
          <w:highlight w:val="none"/>
        </w:rPr>
        <w:t>商品包装政府采购需求标准（试行）</w:t>
      </w:r>
      <w:r>
        <w:rPr>
          <w:rFonts w:hint="eastAsia" w:ascii="Times New Roman" w:hAnsi="Times New Roman" w:eastAsia="宋体"/>
          <w:color w:val="auto"/>
          <w:highlight w:val="none"/>
        </w:rPr>
        <w:t>&gt;</w:t>
      </w:r>
      <w:r>
        <w:rPr>
          <w:rFonts w:hint="eastAsia" w:ascii="Times New Roman" w:eastAsia="宋体" w:hAnsiTheme="minorEastAsia"/>
          <w:color w:val="auto"/>
          <w:highlight w:val="none"/>
        </w:rPr>
        <w:t>、</w:t>
      </w:r>
      <w:r>
        <w:rPr>
          <w:rFonts w:hint="eastAsia" w:ascii="Times New Roman" w:hAnsi="Times New Roman" w:eastAsia="宋体"/>
          <w:color w:val="auto"/>
          <w:highlight w:val="none"/>
        </w:rPr>
        <w:t>&lt;</w:t>
      </w:r>
      <w:r>
        <w:rPr>
          <w:rFonts w:hint="eastAsia" w:ascii="Times New Roman" w:eastAsia="宋体" w:hAnsiTheme="minorEastAsia"/>
          <w:color w:val="auto"/>
          <w:highlight w:val="none"/>
        </w:rPr>
        <w:t>快递包装政府采购需求标准（试行）</w:t>
      </w:r>
      <w:r>
        <w:rPr>
          <w:rFonts w:hint="eastAsia" w:ascii="Times New Roman" w:hAnsi="Times New Roman" w:eastAsia="宋体"/>
          <w:color w:val="auto"/>
          <w:highlight w:val="none"/>
        </w:rPr>
        <w:t>&gt;</w:t>
      </w:r>
      <w:r>
        <w:rPr>
          <w:rFonts w:hint="eastAsia" w:ascii="Times New Roman" w:eastAsia="宋体" w:hAnsiTheme="minorEastAsia"/>
          <w:color w:val="auto"/>
          <w:highlight w:val="none"/>
        </w:rPr>
        <w:t>的通知》（财办库〔</w:t>
      </w:r>
      <w:r>
        <w:rPr>
          <w:rFonts w:hint="eastAsia" w:ascii="Times New Roman" w:hAnsi="Times New Roman" w:eastAsia="宋体"/>
          <w:color w:val="auto"/>
          <w:highlight w:val="none"/>
        </w:rPr>
        <w:t>2020</w:t>
      </w:r>
      <w:r>
        <w:rPr>
          <w:rFonts w:hint="eastAsia" w:ascii="Times New Roman" w:eastAsia="宋体" w:hAnsiTheme="minorEastAsia"/>
          <w:color w:val="auto"/>
          <w:highlight w:val="none"/>
        </w:rPr>
        <w:t>〕</w:t>
      </w:r>
      <w:r>
        <w:rPr>
          <w:rFonts w:hint="eastAsia" w:ascii="Times New Roman" w:hAnsi="Times New Roman" w:eastAsia="宋体"/>
          <w:color w:val="auto"/>
          <w:highlight w:val="none"/>
        </w:rPr>
        <w:t>123</w:t>
      </w:r>
      <w:r>
        <w:rPr>
          <w:rFonts w:hint="eastAsia" w:ascii="Times New Roman" w:eastAsia="宋体" w:hAnsiTheme="minorEastAsia"/>
          <w:color w:val="auto"/>
          <w:highlight w:val="none"/>
        </w:rPr>
        <w:t>号）要求执行。</w:t>
      </w:r>
    </w:p>
    <w:p w14:paraId="10C152BD">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（五）按照《财政部关于在政府采购活动中查询及使用信用记录有关问题的通知》（财库〔</w:t>
      </w:r>
      <w:r>
        <w:rPr>
          <w:rFonts w:hint="eastAsia" w:ascii="Times New Roman" w:hAnsi="Times New Roman" w:eastAsia="宋体" w:cs="Times New Roman"/>
          <w:color w:val="auto"/>
          <w:highlight w:val="none"/>
        </w:rPr>
        <w:t>2016</w:t>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125</w:t>
      </w:r>
      <w:r>
        <w:rPr>
          <w:rFonts w:hint="eastAsia" w:ascii="Times New Roman" w:eastAsia="宋体" w:cs="Times New Roman" w:hAnsiTheme="minorEastAsia"/>
          <w:color w:val="auto"/>
          <w:highlight w:val="none"/>
        </w:rPr>
        <w:t>号）的要求，根据开标当日截止评审结束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信用中国</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网站（</w:t>
      </w:r>
      <w:r>
        <w:rPr>
          <w:highlight w:val="none"/>
        </w:rPr>
        <w:fldChar w:fldCharType="begin"/>
      </w:r>
      <w:r>
        <w:rPr>
          <w:highlight w:val="none"/>
        </w:rPr>
        <w:instrText xml:space="preserve"> HYPERLINK "http://www.creditchina.gov.cn" </w:instrText>
      </w:r>
      <w:r>
        <w:rPr>
          <w:highlight w:val="none"/>
        </w:rPr>
        <w:fldChar w:fldCharType="separate"/>
      </w:r>
      <w:r>
        <w:rPr>
          <w:rStyle w:val="23"/>
          <w:rFonts w:hint="eastAsia" w:ascii="Times New Roman" w:hAnsi="Times New Roman" w:eastAsia="宋体"/>
          <w:highlight w:val="none"/>
        </w:rPr>
        <w:t>http://www.creditchina.gov.cn</w:t>
      </w:r>
      <w:r>
        <w:rPr>
          <w:rStyle w:val="23"/>
          <w:rFonts w:hint="eastAsia" w:ascii="Times New Roman" w:hAnsi="Times New Roman" w:eastAsia="宋体"/>
          <w:highlight w:val="none"/>
        </w:rPr>
        <w:fldChar w:fldCharType="end"/>
      </w:r>
      <w:r>
        <w:rPr>
          <w:rFonts w:hint="eastAsia" w:ascii="Times New Roman" w:eastAsia="宋体" w:cs="Times New Roman" w:hAnsiTheme="minorEastAsia"/>
          <w:color w:val="auto"/>
          <w:highlight w:val="none"/>
        </w:rPr>
        <w:t>）、中国政府采购网（</w:t>
      </w:r>
      <w:r>
        <w:rPr>
          <w:highlight w:val="none"/>
        </w:rPr>
        <w:fldChar w:fldCharType="begin"/>
      </w:r>
      <w:r>
        <w:rPr>
          <w:highlight w:val="none"/>
        </w:rPr>
        <w:instrText xml:space="preserve"> HYPERLINK "http://www.ccgp.gov.cn/" </w:instrText>
      </w:r>
      <w:r>
        <w:rPr>
          <w:highlight w:val="none"/>
        </w:rPr>
        <w:fldChar w:fldCharType="separate"/>
      </w:r>
      <w:r>
        <w:rPr>
          <w:rStyle w:val="23"/>
          <w:rFonts w:ascii="Times New Roman" w:hAnsi="Times New Roman" w:eastAsia="宋体" w:cs="Times New Roman"/>
          <w:highlight w:val="none"/>
        </w:rPr>
        <w:t>http://www.ccgp.gov.cn/</w:t>
      </w:r>
      <w:r>
        <w:rPr>
          <w:rStyle w:val="23"/>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638FE125">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参与政府采购活动的中小微企业，在获取政府采购中标（成交）通知书后，可向本市相关金融机构申请“政采贷”融资支持。有融资需求的企业，请于正式签订政府采购合同之前，向相关金融机构联系咨询。</w:t>
      </w:r>
    </w:p>
    <w:p w14:paraId="21BD2308">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注：金融机构相关信息请登录天津市政府采购网政采贷板块（网址：http://tjgp.cz.tj.gov.cn/zcd/zcdList.jsp）了解。</w:t>
      </w:r>
    </w:p>
    <w:p w14:paraId="6FF5B488">
      <w:pPr>
        <w:pStyle w:val="25"/>
        <w:spacing w:line="360" w:lineRule="auto"/>
        <w:ind w:firstLine="448" w:firstLineChars="200"/>
        <w:rPr>
          <w:rFonts w:ascii="Times New Roman" w:hAnsi="Times New Roman" w:eastAsia="宋体" w:cs="Times New Roman"/>
          <w:color w:val="auto"/>
          <w:highlight w:val="none"/>
        </w:rPr>
      </w:pPr>
      <w:bookmarkStart w:id="9" w:name="_Toc412903615"/>
      <w:r>
        <w:rPr>
          <w:rFonts w:hint="eastAsia" w:ascii="Times New Roman" w:hAnsi="Times New Roman" w:eastAsia="宋体" w:cs="Times New Roman"/>
          <w:color w:val="auto"/>
          <w:highlight w:val="none"/>
        </w:rPr>
        <w:t>（七）本项目付款事项如属于机关、事业单位采购货物、工程、服务支付中小企业款项，则应按照《保障中小企业款项支付条例》的相关规定执行：</w:t>
      </w:r>
    </w:p>
    <w:p w14:paraId="401BC250">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 机关、事业单位从中小企业采购货物、工程、服务，应当自货物、工程、服务交付之日起30日内支付款项；合同另有约定的，从其约定，但付款期限最长不得超过60日。法律、行政法规或者国家有关规定对上述条款付款期限另有规定的，从其规定。合同约定采取履行进度结算、定期结算等结算方式的，付款期限应当自双方确认结算金额之日起算。</w:t>
      </w:r>
    </w:p>
    <w:p w14:paraId="03FA491D">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14:paraId="33D38D0A">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（八）根据《关于推动解决政府采购异常低价问题的通知》（财库〔2026〕2号）的要求，当投标人报价出现以下情形之一时，评标委员会应当启动对该投标人的异常低价审查程序：</w:t>
      </w:r>
    </w:p>
    <w:p w14:paraId="55D6989D">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投标人报价&lt;全部通过符合性审查投标人报价平均值×50%；</w:t>
      </w:r>
    </w:p>
    <w:p w14:paraId="24A9B307">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投标人报价&lt;通过符合性审查的次低投标人报价×50%；</w:t>
      </w:r>
    </w:p>
    <w:p w14:paraId="1D45CDEA">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投标人报价&lt;最高限价×45%；</w:t>
      </w:r>
    </w:p>
    <w:p w14:paraId="19F95098">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评标委员会基于专业判断，认为投标人报价过低，有可能影响产品质量或者不能诚信履约的其他情形。</w:t>
      </w:r>
    </w:p>
    <w:p w14:paraId="6091D95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六、获取招标文件时间、方式</w:t>
      </w:r>
    </w:p>
    <w:p w14:paraId="564C32B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（一）获取招标文件时间：2026</w:t>
      </w:r>
      <w:r>
        <w:rPr>
          <w:rFonts w:hint="eastAsia"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10</w:t>
      </w:r>
      <w:r>
        <w:rPr>
          <w:rFonts w:hint="eastAsia"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14</w:t>
      </w:r>
      <w:r>
        <w:rPr>
          <w:rFonts w:hint="eastAsia" w:ascii="Times New Roman" w:hAnsi="Times New Roman" w:eastAsia="宋体" w:cs="Times New Roman"/>
          <w:color w:val="auto"/>
          <w:highlight w:val="none"/>
        </w:rPr>
        <w:t>日至</w:t>
      </w:r>
      <w:r>
        <w:rPr>
          <w:rFonts w:ascii="Times New Roman" w:hAnsi="Times New Roman" w:eastAsia="宋体" w:cs="Times New Roman"/>
          <w:color w:val="auto"/>
          <w:highlight w:val="none"/>
        </w:rPr>
        <w:t>2026</w:t>
      </w:r>
      <w:r>
        <w:rPr>
          <w:rFonts w:hint="eastAsia"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10</w:t>
      </w:r>
      <w:r>
        <w:rPr>
          <w:rFonts w:hint="eastAsia"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21</w:t>
      </w:r>
      <w:r>
        <w:rPr>
          <w:rFonts w:hint="eastAsia" w:ascii="Times New Roman" w:hAnsi="Times New Roman" w:eastAsia="宋体" w:cs="Times New Roman"/>
          <w:color w:val="auto"/>
          <w:highlight w:val="none"/>
        </w:rPr>
        <w:t>日，每天上午09:00至12:00，下午13:00至17:00（北京时间，法定节假日除外）。</w:t>
      </w:r>
    </w:p>
    <w:p w14:paraId="4442EC0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（二）获取招标文件的方式：</w:t>
      </w:r>
    </w:p>
    <w:p w14:paraId="566595F1">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1.获取招标文件网址：使用天津数字认证有限公司发出的CA数字证书（原天津市电子认证中心发出尚在有效期内的CA数字证书仍可使用）登录天津市政府采购中心网（网址：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w:t>
      </w:r>
      <w:r>
        <w:rPr>
          <w:rFonts w:ascii="Times New Roman" w:hAnsi="Times New Roman" w:eastAsia="宋体" w:cs="Times New Roman"/>
          <w:color w:val="auto"/>
          <w:highlight w:val="none"/>
        </w:rPr>
        <w:t>下载招标文件。</w:t>
      </w:r>
    </w:p>
    <w:p w14:paraId="123630BF">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供应商注册、CA数字证书（USBKey）领取、电子签章办理办法：</w:t>
      </w:r>
    </w:p>
    <w:p w14:paraId="43F8BBF8">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（1）天津市政府采购中心网注册：登录天津市政府采购中心网（</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）首页点击“供应商注册”，填写相关内容。</w:t>
      </w:r>
    </w:p>
    <w:p w14:paraId="384FF5DB">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（2）CA数字证书（USBKey）领取及电子签章办理：参见天津市政府采购中心网（</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）--服务指南--供应商注册、领取CA数字证书（USBKey）及电子签章制章的流程。</w:t>
      </w:r>
    </w:p>
    <w:p w14:paraId="6E97A77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七、网上应答时间</w:t>
      </w:r>
    </w:p>
    <w:p w14:paraId="4AFFDF4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2026年</w:t>
      </w:r>
      <w:r>
        <w:rPr>
          <w:rFonts w:hint="eastAsia" w:ascii="Times New Roman" w:hAnsi="Times New Roman" w:eastAsia="宋体" w:cs="Times New Roman"/>
          <w:color w:val="auto"/>
          <w:highlight w:val="none"/>
          <w:lang w:val="en-US" w:eastAsia="zh-CN"/>
        </w:rPr>
        <w:t>10</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14</w:t>
      </w:r>
      <w:r>
        <w:rPr>
          <w:rFonts w:ascii="Times New Roman" w:hAnsi="Times New Roman" w:eastAsia="宋体" w:cs="Times New Roman"/>
          <w:color w:val="auto"/>
          <w:highlight w:val="none"/>
        </w:rPr>
        <w:t>日9:00至2026年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19</w:t>
      </w:r>
      <w:r>
        <w:rPr>
          <w:rFonts w:ascii="Times New Roman" w:hAnsi="Times New Roman" w:eastAsia="宋体" w:cs="Times New Roman"/>
          <w:color w:val="auto"/>
          <w:highlight w:val="none"/>
        </w:rPr>
        <w:t>日8:30，使用天津数字认证有限公司发出的CA数字证书（原天津市电子认证中心发出尚在有效期内的CA数字证书仍可使用）</w:t>
      </w:r>
      <w:r>
        <w:rPr>
          <w:rFonts w:hint="eastAsia" w:ascii="Times New Roman" w:hAnsi="Times New Roman" w:eastAsia="宋体" w:cs="Times New Roman"/>
          <w:color w:val="auto"/>
          <w:highlight w:val="none"/>
        </w:rPr>
        <w:t>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w:t>
      </w:r>
      <w:r>
        <w:rPr>
          <w:rFonts w:ascii="Times New Roman" w:hAnsi="Times New Roman" w:eastAsia="宋体" w:cs="Times New Roman"/>
          <w:color w:val="auto"/>
          <w:highlight w:val="none"/>
        </w:rPr>
        <w:t>进行应答</w:t>
      </w:r>
      <w:r>
        <w:rPr>
          <w:rFonts w:hint="eastAsia" w:ascii="Times New Roman" w:hAnsi="Times New Roman" w:eastAsia="宋体" w:cs="Times New Roman"/>
          <w:color w:val="auto"/>
          <w:highlight w:val="none"/>
        </w:rPr>
        <w:t>并提交</w:t>
      </w:r>
      <w:r>
        <w:rPr>
          <w:rFonts w:ascii="Times New Roman" w:hAnsi="Times New Roman" w:eastAsia="宋体" w:cs="Times New Roman"/>
          <w:color w:val="auto"/>
          <w:highlight w:val="none"/>
        </w:rPr>
        <w:t>。</w:t>
      </w:r>
    </w:p>
    <w:p w14:paraId="5524EA2D">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网上应答帮助链接：http://tjgpc.zwfwb.tj.gov.cn/webInfo/getWebInfoListForwebInfoClass.do?fkWebInfoclassId=W008</w:t>
      </w:r>
    </w:p>
    <w:p w14:paraId="04389C3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八、投标</w:t>
      </w:r>
      <w:r>
        <w:rPr>
          <w:rFonts w:hint="eastAsia" w:ascii="Times New Roman" w:hAnsi="Times New Roman" w:eastAsia="宋体" w:cs="Times New Roman"/>
          <w:color w:val="auto"/>
          <w:highlight w:val="none"/>
        </w:rPr>
        <w:t>截止</w:t>
      </w:r>
      <w:r>
        <w:rPr>
          <w:rFonts w:ascii="Times New Roman" w:hAnsi="Times New Roman" w:eastAsia="宋体" w:cs="Times New Roman"/>
          <w:color w:val="auto"/>
          <w:highlight w:val="none"/>
        </w:rPr>
        <w:t>时间</w:t>
      </w:r>
      <w:r>
        <w:rPr>
          <w:rFonts w:hint="eastAsia" w:ascii="Times New Roman" w:hAnsi="Times New Roman" w:eastAsia="宋体" w:cs="Times New Roman"/>
          <w:color w:val="auto"/>
          <w:highlight w:val="none"/>
        </w:rPr>
        <w:t>及方式</w:t>
      </w:r>
    </w:p>
    <w:p w14:paraId="0ACD919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（一）投标</w:t>
      </w:r>
      <w:r>
        <w:rPr>
          <w:rFonts w:hint="eastAsia" w:ascii="Times New Roman" w:hAnsi="Times New Roman" w:eastAsia="宋体" w:cs="Times New Roman"/>
          <w:color w:val="auto"/>
          <w:highlight w:val="none"/>
        </w:rPr>
        <w:t>截止</w:t>
      </w:r>
      <w:r>
        <w:rPr>
          <w:rFonts w:ascii="Times New Roman" w:hAnsi="Times New Roman" w:eastAsia="宋体" w:cs="Times New Roman"/>
          <w:color w:val="auto"/>
          <w:highlight w:val="none"/>
        </w:rPr>
        <w:t>时间：2026年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19</w:t>
      </w:r>
      <w:r>
        <w:rPr>
          <w:rFonts w:ascii="Times New Roman" w:hAnsi="Times New Roman" w:eastAsia="宋体" w:cs="Times New Roman"/>
          <w:color w:val="auto"/>
          <w:highlight w:val="none"/>
        </w:rPr>
        <w:t>日8:30</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highlight w:val="none"/>
        </w:rPr>
        <w:t>投标截止时间前</w:t>
      </w:r>
      <w:r>
        <w:rPr>
          <w:rFonts w:hint="eastAsia" w:ascii="Times New Roman" w:hAnsi="Times New Roman" w:eastAsia="宋体" w:cs="Times New Roman"/>
          <w:color w:val="auto"/>
          <w:highlight w:val="none"/>
        </w:rPr>
        <w:t>提交网上应答并上传加盖投标人电子签章的电子投标文件（以通过天津公共资源电子签章客户端正确读取签章信息为准）</w:t>
      </w:r>
      <w:r>
        <w:rPr>
          <w:rFonts w:ascii="Times New Roman" w:hAnsi="Times New Roman" w:eastAsia="宋体" w:cs="Times New Roman"/>
          <w:color w:val="auto"/>
          <w:highlight w:val="none"/>
        </w:rPr>
        <w:t>方为有效投标。</w:t>
      </w:r>
    </w:p>
    <w:p w14:paraId="0B58379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（二）投标</w:t>
      </w:r>
      <w:r>
        <w:rPr>
          <w:rFonts w:hint="eastAsia" w:ascii="Times New Roman" w:hAnsi="Times New Roman" w:eastAsia="宋体" w:cs="Times New Roman"/>
          <w:color w:val="auto"/>
          <w:highlight w:val="none"/>
        </w:rPr>
        <w:t>方式</w:t>
      </w:r>
      <w:r>
        <w:rPr>
          <w:rFonts w:ascii="Times New Roman" w:hAnsi="Times New Roman" w:eastAsia="宋体" w:cs="Times New Roman"/>
          <w:color w:val="auto"/>
          <w:highlight w:val="none"/>
        </w:rPr>
        <w:t>：本项目投标采用网上电子投标方式，投标人须于投标截止时间前使用天津数字认证有限公司发出的CA数字证书（原天津市电子认证中心发出尚在有效期内的CA数字证书仍可使用）登录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highlight w:val="none"/>
        </w:rPr>
        <w:t>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n）-“网上招投标”-“供应商登录”-“区级集采机构入口”提交网上应答并上传加盖投标人电子签章的电子投标文件（以通过天津公共资源电子签章客户端正确读取签章信息为准）。</w:t>
      </w:r>
    </w:p>
    <w:p w14:paraId="525A3403">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九</w:t>
      </w:r>
      <w:r>
        <w:rPr>
          <w:rFonts w:ascii="Times New Roman" w:hAnsi="Times New Roman" w:eastAsia="宋体" w:cs="Times New Roman"/>
          <w:color w:val="auto"/>
          <w:highlight w:val="none"/>
        </w:rPr>
        <w:t>、开标时间及方式</w:t>
      </w:r>
    </w:p>
    <w:p w14:paraId="698A36D9">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（一）开标解密时间：2026年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19</w:t>
      </w:r>
      <w:r>
        <w:rPr>
          <w:rFonts w:ascii="Times New Roman" w:hAnsi="Times New Roman" w:eastAsia="宋体" w:cs="Times New Roman"/>
          <w:color w:val="auto"/>
          <w:highlight w:val="none"/>
        </w:rPr>
        <w:t>日8:30至9:</w:t>
      </w:r>
      <w:r>
        <w:rPr>
          <w:rFonts w:hint="eastAsia" w:ascii="Times New Roman" w:hAnsi="Times New Roman" w:eastAsia="宋体" w:cs="Times New Roman"/>
          <w:color w:val="auto"/>
          <w:highlight w:val="none"/>
        </w:rPr>
        <w:t>30</w:t>
      </w:r>
      <w:r>
        <w:rPr>
          <w:rFonts w:ascii="Times New Roman" w:hAnsi="Times New Roman" w:eastAsia="宋体" w:cs="Times New Roman"/>
          <w:color w:val="auto"/>
          <w:highlight w:val="none"/>
        </w:rPr>
        <w:t>完成开标解密的投标为有效投标。</w:t>
      </w:r>
    </w:p>
    <w:p w14:paraId="766701E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（二）开标</w:t>
      </w:r>
      <w:r>
        <w:rPr>
          <w:rFonts w:hint="eastAsia" w:ascii="Times New Roman" w:hAnsi="Times New Roman" w:eastAsia="宋体" w:cs="Times New Roman"/>
          <w:color w:val="auto"/>
          <w:highlight w:val="none"/>
        </w:rPr>
        <w:t>解密方式</w:t>
      </w:r>
      <w:r>
        <w:rPr>
          <w:rFonts w:ascii="Times New Roman" w:hAnsi="Times New Roman" w:eastAsia="宋体" w:cs="Times New Roman"/>
          <w:color w:val="auto"/>
          <w:highlight w:val="none"/>
        </w:rPr>
        <w:t>：本项目采用网上开标方式，投标人须于</w:t>
      </w:r>
      <w:r>
        <w:rPr>
          <w:rFonts w:hint="eastAsia" w:ascii="Times New Roman" w:hAnsi="Times New Roman" w:eastAsia="宋体" w:cs="Times New Roman"/>
          <w:color w:val="auto"/>
          <w:highlight w:val="none"/>
        </w:rPr>
        <w:t>规定时间</w:t>
      </w:r>
      <w:r>
        <w:rPr>
          <w:rFonts w:ascii="Times New Roman" w:hAnsi="Times New Roman" w:eastAsia="宋体" w:cs="Times New Roman"/>
          <w:color w:val="auto"/>
          <w:highlight w:val="none"/>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highlight w:val="none"/>
        </w:rPr>
        <w:t>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w:t>
      </w:r>
      <w:r>
        <w:rPr>
          <w:rFonts w:ascii="Times New Roman" w:hAnsi="Times New Roman" w:eastAsia="宋体" w:cs="Times New Roman"/>
          <w:color w:val="auto"/>
          <w:highlight w:val="none"/>
        </w:rPr>
        <w:t>完成开标解密。</w:t>
      </w:r>
    </w:p>
    <w:p w14:paraId="68C15B1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（三）网上开标公示时间：2026年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19</w:t>
      </w:r>
      <w:r>
        <w:rPr>
          <w:rFonts w:ascii="Times New Roman" w:hAnsi="Times New Roman" w:eastAsia="宋体" w:cs="Times New Roman"/>
          <w:color w:val="auto"/>
          <w:highlight w:val="none"/>
        </w:rPr>
        <w:t>日9:</w:t>
      </w:r>
      <w:r>
        <w:rPr>
          <w:rFonts w:hint="eastAsia" w:ascii="Times New Roman" w:hAnsi="Times New Roman" w:eastAsia="宋体" w:cs="Times New Roman"/>
          <w:color w:val="auto"/>
          <w:highlight w:val="none"/>
        </w:rPr>
        <w:t>30</w:t>
      </w:r>
      <w:r>
        <w:rPr>
          <w:rFonts w:ascii="Times New Roman" w:hAnsi="Times New Roman" w:eastAsia="宋体" w:cs="Times New Roman"/>
          <w:color w:val="auto"/>
          <w:highlight w:val="none"/>
        </w:rPr>
        <w:t>至12:00。</w:t>
      </w:r>
      <w:r>
        <w:rPr>
          <w:rFonts w:hint="eastAsia" w:ascii="Times New Roman" w:hAnsi="Times New Roman" w:eastAsia="宋体" w:cs="Times New Roman"/>
          <w:color w:val="auto"/>
          <w:highlight w:val="none"/>
        </w:rPr>
        <w:t>投标人可在规定时间内使用天津数字认证有限公司发出的CA数字证书（原天津市电子认证中心发出尚在有效期内的CA数字证书仍可使用）登录天津市政府采购中心网（网址：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）-“网上招投标”-“供应商登录”-“区级集采机构入口”自行查看开标信息。</w:t>
      </w:r>
    </w:p>
    <w:p w14:paraId="5CD0E044">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十</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采购代理机构名称、地址、联系人及联系方式</w:t>
      </w:r>
    </w:p>
    <w:p w14:paraId="54387927">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（一）采购代理机构名称：天津市滨海新区政府采购中心</w:t>
      </w:r>
    </w:p>
    <w:p w14:paraId="158CAEF4">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（二）采购代理机构地址：天津市滨海新区塘沽营口道468号</w:t>
      </w:r>
    </w:p>
    <w:p w14:paraId="51207BB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）联系人：</w:t>
      </w:r>
      <w:r>
        <w:rPr>
          <w:rFonts w:hint="eastAsia" w:ascii="Times New Roman" w:hAnsi="Times New Roman" w:eastAsia="宋体" w:cs="Times New Roman"/>
          <w:color w:val="auto"/>
          <w:highlight w:val="none"/>
        </w:rPr>
        <w:t>夏冰</w:t>
      </w:r>
    </w:p>
    <w:p w14:paraId="6635FFDA">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p>
    <w:p w14:paraId="40A54422">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w:t>
      </w:r>
      <w:r>
        <w:rPr>
          <w:rFonts w:ascii="Times New Roman" w:hAnsi="Times New Roman" w:eastAsia="宋体" w:cs="Times New Roman"/>
          <w:color w:val="auto"/>
          <w:highlight w:val="none"/>
        </w:rPr>
        <w:t>对外办公时间：</w:t>
      </w:r>
      <w:r>
        <w:rPr>
          <w:rFonts w:hint="eastAsia" w:ascii="Times New Roman" w:hAnsi="Times New Roman" w:eastAsia="宋体" w:cs="Times New Roman"/>
          <w:color w:val="auto"/>
          <w:highlight w:val="none"/>
        </w:rPr>
        <w:t>法定</w:t>
      </w:r>
      <w:r>
        <w:rPr>
          <w:rFonts w:ascii="Times New Roman" w:hAnsi="Times New Roman" w:eastAsia="宋体" w:cs="Times New Roman"/>
          <w:color w:val="auto"/>
          <w:highlight w:val="none"/>
        </w:rPr>
        <w:t>工作日9:00～12:00，14:00～1</w:t>
      </w:r>
      <w:r>
        <w:rPr>
          <w:rFonts w:hint="eastAsia" w:ascii="Times New Roman" w:hAnsi="Times New Roman" w:eastAsia="宋体" w:cs="Times New Roman"/>
          <w:color w:val="auto"/>
          <w:highlight w:val="none"/>
        </w:rPr>
        <w:t>7</w:t>
      </w:r>
      <w:r>
        <w:rPr>
          <w:rFonts w:ascii="Times New Roman" w:hAnsi="Times New Roman" w:eastAsia="宋体" w:cs="Times New Roman"/>
          <w:color w:val="auto"/>
          <w:highlight w:val="none"/>
        </w:rPr>
        <w:t>:00</w:t>
      </w:r>
    </w:p>
    <w:p w14:paraId="1F33A272">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（六）咨询服务电话</w:t>
      </w:r>
      <w:r>
        <w:rPr>
          <w:rFonts w:ascii="Times New Roman" w:hAnsi="Times New Roman" w:eastAsia="宋体" w:cs="Times New Roman"/>
          <w:color w:val="auto"/>
          <w:highlight w:val="none"/>
        </w:rPr>
        <w:t>：</w:t>
      </w:r>
    </w:p>
    <w:p w14:paraId="1AEBBDF1">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供应商注册咨询：022-24538167</w:t>
      </w:r>
    </w:p>
    <w:p w14:paraId="60E287D0">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CA数字证书及电子签章办理咨询：022-24538059、400-0566-110</w:t>
      </w:r>
    </w:p>
    <w:p w14:paraId="6D81186B">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采购文件咨询：022-25866107</w:t>
      </w:r>
    </w:p>
    <w:p w14:paraId="0C92A341">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网上应答及解密操作咨询：022-24538309</w:t>
      </w:r>
    </w:p>
    <w:p w14:paraId="708DBB1E">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（七）邮箱：bhzfzcb@tj.gov.cn</w:t>
      </w:r>
    </w:p>
    <w:p w14:paraId="08506B2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一</w:t>
      </w:r>
      <w:r>
        <w:rPr>
          <w:rFonts w:ascii="Times New Roman" w:hAnsi="Times New Roman" w:eastAsia="宋体" w:cs="Times New Roman"/>
          <w:color w:val="auto"/>
          <w:highlight w:val="none"/>
        </w:rPr>
        <w:t>、采购人的名称、地址和联系方式</w:t>
      </w:r>
    </w:p>
    <w:p w14:paraId="102C922A">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（一）采购人名称：</w:t>
      </w:r>
      <w:r>
        <w:rPr>
          <w:rFonts w:hint="eastAsia" w:ascii="Times New Roman" w:hAnsi="Times New Roman" w:eastAsia="宋体" w:cs="Times New Roman"/>
          <w:color w:val="auto"/>
          <w:highlight w:val="none"/>
        </w:rPr>
        <w:t>天津市公安局滨海分局</w:t>
      </w:r>
    </w:p>
    <w:p w14:paraId="18F00F8E">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（二）采购人地址：</w:t>
      </w:r>
      <w:r>
        <w:rPr>
          <w:rFonts w:hint="eastAsia" w:ascii="Times New Roman" w:hAnsi="Times New Roman" w:eastAsia="宋体" w:cs="Times New Roman"/>
          <w:color w:val="auto"/>
          <w:highlight w:val="none"/>
        </w:rPr>
        <w:t>天津市滨海新区营口道734号</w:t>
      </w:r>
    </w:p>
    <w:p w14:paraId="4C917A33">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（三）采购人联系人：</w:t>
      </w:r>
      <w:r>
        <w:rPr>
          <w:rFonts w:hint="eastAsia" w:ascii="Times New Roman" w:hAnsi="Times New Roman" w:eastAsia="宋体" w:cs="Times New Roman"/>
          <w:color w:val="auto"/>
          <w:highlight w:val="none"/>
        </w:rPr>
        <w:t>高用明</w:t>
      </w:r>
    </w:p>
    <w:p w14:paraId="0409D88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（四）采购人联系电话：</w:t>
      </w:r>
      <w:r>
        <w:rPr>
          <w:rFonts w:hint="eastAsia" w:ascii="Times New Roman" w:hAnsi="Times New Roman" w:eastAsia="宋体" w:cs="Times New Roman"/>
          <w:color w:val="auto"/>
          <w:highlight w:val="none"/>
        </w:rPr>
        <w:t xml:space="preserve">022-66977165 </w:t>
      </w:r>
    </w:p>
    <w:p w14:paraId="08C4C9B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二</w:t>
      </w:r>
      <w:r>
        <w:rPr>
          <w:rFonts w:ascii="Times New Roman" w:hAnsi="Times New Roman" w:eastAsia="宋体" w:cs="Times New Roman"/>
          <w:color w:val="auto"/>
          <w:highlight w:val="none"/>
        </w:rPr>
        <w:t>、质疑方式</w:t>
      </w:r>
    </w:p>
    <w:p w14:paraId="007BA2C4">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221FE38A">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采购人针对采购文件质疑受理：</w:t>
      </w:r>
    </w:p>
    <w:p w14:paraId="3C68F0AA">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1.联系部门：天津市公安局滨海分局警务保障室</w:t>
      </w:r>
    </w:p>
    <w:p w14:paraId="20E56C55">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2.联系人：高用明</w:t>
      </w:r>
    </w:p>
    <w:p w14:paraId="1C79CE73">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3.联系方式：022-66977165 </w:t>
      </w:r>
    </w:p>
    <w:p w14:paraId="07F1D5E4">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4.联系地址：天津市滨海新区营口道734号</w:t>
      </w:r>
    </w:p>
    <w:p w14:paraId="63A74393">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（二）供应商对质疑答复不满意的，或者采购人、天津市滨海新区政府采购中心未在规定期限内作出答复的，供应商可以在质疑答复期满后15个工作日内，向</w:t>
      </w:r>
      <w:r>
        <w:rPr>
          <w:rFonts w:ascii="Times New Roman" w:hAnsi="Times New Roman" w:eastAsia="宋体" w:cs="Times New Roman"/>
          <w:color w:val="auto"/>
          <w:highlight w:val="none"/>
        </w:rPr>
        <w:t>天津市</w:t>
      </w:r>
      <w:r>
        <w:rPr>
          <w:rFonts w:hint="eastAsia" w:ascii="Times New Roman" w:hAnsi="Times New Roman" w:eastAsia="宋体" w:cs="Times New Roman"/>
          <w:color w:val="auto"/>
          <w:highlight w:val="none"/>
        </w:rPr>
        <w:t>滨海新区</w:t>
      </w:r>
      <w:r>
        <w:rPr>
          <w:rFonts w:ascii="Times New Roman" w:hAnsi="Times New Roman" w:eastAsia="宋体" w:cs="Times New Roman"/>
          <w:color w:val="auto"/>
          <w:highlight w:val="none"/>
        </w:rPr>
        <w:t>财政局</w:t>
      </w:r>
      <w:r>
        <w:rPr>
          <w:rFonts w:hint="eastAsia" w:ascii="Times New Roman" w:hAnsi="Times New Roman" w:eastAsia="宋体" w:cs="Times New Roman"/>
          <w:color w:val="auto"/>
          <w:highlight w:val="none"/>
        </w:rPr>
        <w:t>政府采购办公室提出投诉，逾期不予受理。</w:t>
      </w:r>
    </w:p>
    <w:p w14:paraId="22D83DA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、公告期限</w:t>
      </w:r>
    </w:p>
    <w:p w14:paraId="5CC16AE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招标公告的公告期限为5个工作日。</w:t>
      </w:r>
    </w:p>
    <w:p w14:paraId="032E43AF">
      <w:pPr>
        <w:pStyle w:val="25"/>
        <w:spacing w:line="360" w:lineRule="auto"/>
        <w:ind w:firstLine="6720" w:firstLineChars="3000"/>
        <w:jc w:val="both"/>
        <w:rPr>
          <w:rFonts w:ascii="Times New Roman" w:hAnsi="Times New Roman" w:eastAsia="宋体"/>
          <w:b/>
          <w:bCs/>
          <w:color w:val="FF0000"/>
          <w:kern w:val="28"/>
          <w:sz w:val="32"/>
          <w:szCs w:val="32"/>
          <w:highlight w:val="none"/>
        </w:rPr>
      </w:pPr>
      <w:r>
        <w:rPr>
          <w:rFonts w:ascii="Times New Roman" w:hAnsi="Times New Roman" w:eastAsia="宋体" w:cs="Times New Roman"/>
          <w:color w:val="auto"/>
          <w:highlight w:val="none"/>
        </w:rPr>
        <w:t>2026年</w:t>
      </w:r>
      <w:r>
        <w:rPr>
          <w:rFonts w:hint="eastAsia" w:ascii="Times New Roman" w:hAnsi="Times New Roman" w:eastAsia="宋体" w:cs="Times New Roman"/>
          <w:color w:val="auto"/>
          <w:highlight w:val="none"/>
          <w:lang w:val="en-US" w:eastAsia="zh-CN"/>
        </w:rPr>
        <w:t>10</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14</w:t>
      </w:r>
      <w:r>
        <w:rPr>
          <w:rFonts w:ascii="Times New Roman" w:hAnsi="Times New Roman" w:eastAsia="宋体" w:cs="Times New Roman"/>
          <w:color w:val="auto"/>
          <w:highlight w:val="none"/>
        </w:rPr>
        <w:t>日</w:t>
      </w:r>
      <w:r>
        <w:rPr>
          <w:rFonts w:ascii="Times New Roman" w:hAnsi="Times New Roman" w:eastAsia="宋体"/>
          <w:color w:val="FF0000"/>
          <w:highlight w:val="none"/>
        </w:rPr>
        <w:br w:type="page"/>
      </w:r>
    </w:p>
    <w:p w14:paraId="20E7536A">
      <w:pPr>
        <w:pStyle w:val="15"/>
        <w:rPr>
          <w:rFonts w:ascii="Times New Roman" w:hAnsi="Times New Roman"/>
          <w:highlight w:val="none"/>
        </w:rPr>
      </w:pPr>
      <w:r>
        <w:rPr>
          <w:rFonts w:ascii="Times New Roman" w:hAnsiTheme="minorEastAsia"/>
          <w:highlight w:val="none"/>
        </w:rPr>
        <w:t>第二部分招标项目要求</w:t>
      </w:r>
      <w:bookmarkEnd w:id="9"/>
    </w:p>
    <w:p w14:paraId="6577BDE2">
      <w:pPr>
        <w:tabs>
          <w:tab w:val="left" w:pos="210"/>
        </w:tabs>
        <w:autoSpaceDE w:val="0"/>
        <w:autoSpaceDN w:val="0"/>
        <w:adjustRightInd w:val="0"/>
        <w:spacing w:line="360" w:lineRule="auto"/>
        <w:ind w:firstLine="448" w:firstLineChars="200"/>
        <w:outlineLvl w:val="0"/>
        <w:rPr>
          <w:rFonts w:hAnsiTheme="minorEastAsia"/>
          <w:b/>
          <w:sz w:val="24"/>
          <w:szCs w:val="24"/>
          <w:highlight w:val="none"/>
        </w:rPr>
      </w:pPr>
      <w:r>
        <w:rPr>
          <w:rFonts w:hint="eastAsia" w:hAnsiTheme="minorEastAsia"/>
          <w:b/>
          <w:sz w:val="24"/>
          <w:szCs w:val="24"/>
          <w:highlight w:val="none"/>
        </w:rPr>
        <w:t>第一</w:t>
      </w:r>
      <w:r>
        <w:rPr>
          <w:rFonts w:hint="eastAsia" w:hAnsiTheme="minorEastAsia"/>
          <w:b/>
          <w:sz w:val="24"/>
          <w:szCs w:val="24"/>
          <w:highlight w:val="none"/>
          <w:lang w:eastAsia="zh-CN"/>
        </w:rPr>
        <w:t>、二</w:t>
      </w:r>
      <w:r>
        <w:rPr>
          <w:rFonts w:hint="eastAsia" w:hAnsiTheme="minorEastAsia"/>
          <w:b/>
          <w:sz w:val="24"/>
          <w:szCs w:val="24"/>
          <w:highlight w:val="none"/>
        </w:rPr>
        <w:t>包：</w:t>
      </w:r>
    </w:p>
    <w:p w14:paraId="3DBC76AC">
      <w:pPr>
        <w:tabs>
          <w:tab w:val="left" w:pos="210"/>
        </w:tabs>
        <w:autoSpaceDE w:val="0"/>
        <w:autoSpaceDN w:val="0"/>
        <w:adjustRightInd w:val="0"/>
        <w:spacing w:line="360" w:lineRule="auto"/>
        <w:ind w:firstLine="448" w:firstLineChars="200"/>
        <w:outlineLvl w:val="0"/>
        <w:rPr>
          <w:sz w:val="24"/>
          <w:szCs w:val="24"/>
          <w:highlight w:val="none"/>
        </w:rPr>
      </w:pPr>
      <w:r>
        <w:rPr>
          <w:rFonts w:hAnsiTheme="minorEastAsia"/>
          <w:sz w:val="24"/>
          <w:szCs w:val="24"/>
          <w:highlight w:val="none"/>
        </w:rPr>
        <w:t>一、商务要求</w:t>
      </w:r>
    </w:p>
    <w:p w14:paraId="022169B9">
      <w:pPr>
        <w:autoSpaceDE w:val="0"/>
        <w:autoSpaceDN w:val="0"/>
        <w:adjustRightInd w:val="0"/>
        <w:spacing w:line="360" w:lineRule="auto"/>
        <w:ind w:firstLine="448" w:firstLineChars="200"/>
        <w:rPr>
          <w:sz w:val="24"/>
          <w:highlight w:val="none"/>
        </w:rPr>
      </w:pPr>
      <w:r>
        <w:rPr>
          <w:rFonts w:hAnsiTheme="minorEastAsia"/>
          <w:kern w:val="0"/>
          <w:sz w:val="24"/>
          <w:szCs w:val="24"/>
          <w:highlight w:val="none"/>
        </w:rPr>
        <w:t>（一）</w:t>
      </w:r>
      <w:r>
        <w:rPr>
          <w:rFonts w:hAnsiTheme="minorEastAsia"/>
          <w:sz w:val="24"/>
          <w:highlight w:val="none"/>
        </w:rPr>
        <w:t>报价要求</w:t>
      </w:r>
    </w:p>
    <w:p w14:paraId="56E18B63">
      <w:pPr>
        <w:autoSpaceDE w:val="0"/>
        <w:autoSpaceDN w:val="0"/>
        <w:adjustRightInd w:val="0"/>
        <w:spacing w:line="360" w:lineRule="auto"/>
        <w:ind w:firstLine="448" w:firstLineChars="200"/>
        <w:rPr>
          <w:sz w:val="24"/>
          <w:highlight w:val="none"/>
        </w:rPr>
      </w:pPr>
      <w:r>
        <w:rPr>
          <w:sz w:val="24"/>
          <w:highlight w:val="none"/>
        </w:rPr>
        <w:t xml:space="preserve">1. </w:t>
      </w:r>
      <w:r>
        <w:rPr>
          <w:rFonts w:hAnsiTheme="minorEastAsia"/>
          <w:sz w:val="24"/>
          <w:highlight w:val="none"/>
        </w:rPr>
        <w:t>投标报价以人民币填列。</w:t>
      </w:r>
    </w:p>
    <w:p w14:paraId="25AD431D">
      <w:pPr>
        <w:autoSpaceDE w:val="0"/>
        <w:autoSpaceDN w:val="0"/>
        <w:adjustRightInd w:val="0"/>
        <w:spacing w:line="360" w:lineRule="auto"/>
        <w:ind w:firstLine="448" w:firstLineChars="200"/>
        <w:rPr>
          <w:sz w:val="24"/>
          <w:highlight w:val="none"/>
        </w:rPr>
      </w:pPr>
      <w:r>
        <w:rPr>
          <w:sz w:val="24"/>
          <w:highlight w:val="none"/>
        </w:rPr>
        <w:t xml:space="preserve">2. </w:t>
      </w:r>
      <w:r>
        <w:rPr>
          <w:rFonts w:hAnsiTheme="minorEastAsia"/>
          <w:sz w:val="24"/>
          <w:highlight w:val="none"/>
        </w:rPr>
        <w:t>投标人的报价应包括：</w:t>
      </w:r>
      <w:r>
        <w:rPr>
          <w:rFonts w:hint="eastAsia"/>
          <w:sz w:val="24"/>
          <w:highlight w:val="none"/>
        </w:rPr>
        <w:t>调试费、线路连接费、维护维修费、保修费、测试费、人员费用、服务费用、材料费用、管理费及税金</w:t>
      </w:r>
      <w:r>
        <w:rPr>
          <w:sz w:val="24"/>
          <w:highlight w:val="none"/>
        </w:rPr>
        <w:t>等为完成</w:t>
      </w:r>
      <w:r>
        <w:rPr>
          <w:rFonts w:hint="eastAsia"/>
          <w:sz w:val="24"/>
          <w:highlight w:val="none"/>
        </w:rPr>
        <w:t>招标</w:t>
      </w:r>
      <w:r>
        <w:rPr>
          <w:sz w:val="24"/>
          <w:highlight w:val="none"/>
        </w:rPr>
        <w:t>文件规定全部任务所需的一切应有费用。</w:t>
      </w:r>
    </w:p>
    <w:p w14:paraId="02F47A78">
      <w:pPr>
        <w:autoSpaceDE w:val="0"/>
        <w:autoSpaceDN w:val="0"/>
        <w:adjustRightInd w:val="0"/>
        <w:spacing w:line="360" w:lineRule="auto"/>
        <w:ind w:firstLine="448" w:firstLineChars="200"/>
        <w:rPr>
          <w:kern w:val="0"/>
          <w:sz w:val="24"/>
          <w:szCs w:val="24"/>
          <w:highlight w:val="none"/>
        </w:rPr>
      </w:pPr>
      <w:r>
        <w:rPr>
          <w:rFonts w:hint="eastAsia"/>
          <w:kern w:val="0"/>
          <w:sz w:val="24"/>
          <w:szCs w:val="24"/>
          <w:highlight w:val="none"/>
        </w:rPr>
        <w:t>3. 投标报价在不超采购预算的前提下，其合理性由评审委员会在评分中予以考虑。若出现异常低价投标情况，评审委员会启动异常低价投标审查程序（详见本文件第三部分31.1）。</w:t>
      </w:r>
    </w:p>
    <w:p w14:paraId="780AF348">
      <w:pPr>
        <w:autoSpaceDE w:val="0"/>
        <w:autoSpaceDN w:val="0"/>
        <w:adjustRightInd w:val="0"/>
        <w:spacing w:line="360" w:lineRule="auto"/>
        <w:ind w:firstLine="448" w:firstLineChars="200"/>
        <w:rPr>
          <w:kern w:val="0"/>
          <w:sz w:val="24"/>
          <w:szCs w:val="24"/>
          <w:highlight w:val="none"/>
        </w:rPr>
      </w:pPr>
      <w:r>
        <w:rPr>
          <w:rFonts w:hint="eastAsia"/>
          <w:kern w:val="0"/>
          <w:sz w:val="24"/>
          <w:szCs w:val="24"/>
          <w:highlight w:val="none"/>
        </w:rPr>
        <w:t>4. 验收相关费用由投标人负责。</w:t>
      </w:r>
    </w:p>
    <w:p w14:paraId="5723F902">
      <w:pPr>
        <w:autoSpaceDE w:val="0"/>
        <w:autoSpaceDN w:val="0"/>
        <w:adjustRightInd w:val="0"/>
        <w:spacing w:line="360" w:lineRule="auto"/>
        <w:ind w:firstLine="448" w:firstLineChars="200"/>
        <w:rPr>
          <w:sz w:val="24"/>
          <w:highlight w:val="none"/>
        </w:rPr>
      </w:pPr>
      <w:r>
        <w:rPr>
          <w:sz w:val="24"/>
          <w:highlight w:val="none"/>
        </w:rPr>
        <w:t>（二）服务要求</w:t>
      </w:r>
    </w:p>
    <w:p w14:paraId="1A14A935">
      <w:pPr>
        <w:autoSpaceDE w:val="0"/>
        <w:autoSpaceDN w:val="0"/>
        <w:adjustRightInd w:val="0"/>
        <w:spacing w:line="360" w:lineRule="auto"/>
        <w:ind w:firstLine="448" w:firstLineChars="200"/>
        <w:rPr>
          <w:sz w:val="24"/>
          <w:highlight w:val="none"/>
        </w:rPr>
      </w:pPr>
      <w:r>
        <w:rPr>
          <w:rFonts w:hint="eastAsia"/>
          <w:sz w:val="24"/>
          <w:highlight w:val="none"/>
        </w:rPr>
        <w:t>1. 投标人提供详细的服务方案。</w:t>
      </w:r>
    </w:p>
    <w:p w14:paraId="25AC03D0">
      <w:pPr>
        <w:autoSpaceDE w:val="0"/>
        <w:autoSpaceDN w:val="0"/>
        <w:adjustRightInd w:val="0"/>
        <w:spacing w:line="360" w:lineRule="auto"/>
        <w:ind w:firstLine="448" w:firstLineChars="200"/>
        <w:rPr>
          <w:sz w:val="24"/>
          <w:highlight w:val="none"/>
        </w:rPr>
      </w:pPr>
      <w:r>
        <w:rPr>
          <w:sz w:val="24"/>
          <w:highlight w:val="none"/>
        </w:rPr>
        <w:t>2.</w:t>
      </w:r>
      <w:r>
        <w:rPr>
          <w:rFonts w:hint="eastAsia"/>
          <w:sz w:val="24"/>
          <w:highlight w:val="none"/>
        </w:rPr>
        <w:t xml:space="preserve"> 满足项目需求书要求。</w:t>
      </w:r>
    </w:p>
    <w:p w14:paraId="531B06D2">
      <w:pPr>
        <w:autoSpaceDE w:val="0"/>
        <w:autoSpaceDN w:val="0"/>
        <w:adjustRightInd w:val="0"/>
        <w:spacing w:line="360" w:lineRule="auto"/>
        <w:ind w:firstLine="448" w:firstLineChars="200"/>
        <w:rPr>
          <w:sz w:val="24"/>
          <w:highlight w:val="none"/>
        </w:rPr>
      </w:pPr>
      <w:r>
        <w:rPr>
          <w:rFonts w:hAnsiTheme="minorEastAsia"/>
          <w:sz w:val="24"/>
          <w:highlight w:val="none"/>
        </w:rPr>
        <w:t>（</w:t>
      </w:r>
      <w:r>
        <w:rPr>
          <w:rFonts w:hint="eastAsia" w:hAnsiTheme="minorEastAsia"/>
          <w:sz w:val="24"/>
          <w:highlight w:val="none"/>
        </w:rPr>
        <w:t>三</w:t>
      </w:r>
      <w:r>
        <w:rPr>
          <w:rFonts w:hAnsiTheme="minorEastAsia"/>
          <w:sz w:val="24"/>
          <w:highlight w:val="none"/>
        </w:rPr>
        <w:t>）时间、地点要求</w:t>
      </w:r>
    </w:p>
    <w:p w14:paraId="4EE19256">
      <w:pPr>
        <w:autoSpaceDE w:val="0"/>
        <w:autoSpaceDN w:val="0"/>
        <w:adjustRightInd w:val="0"/>
        <w:spacing w:line="360" w:lineRule="auto"/>
        <w:ind w:firstLine="448" w:firstLineChars="200"/>
        <w:rPr>
          <w:sz w:val="24"/>
          <w:highlight w:val="none"/>
        </w:rPr>
      </w:pPr>
      <w:r>
        <w:rPr>
          <w:sz w:val="24"/>
          <w:highlight w:val="none"/>
        </w:rPr>
        <w:t xml:space="preserve">1. </w:t>
      </w:r>
      <w:r>
        <w:rPr>
          <w:rFonts w:hAnsiTheme="minorEastAsia"/>
          <w:sz w:val="24"/>
          <w:highlight w:val="none"/>
        </w:rPr>
        <w:t>时间要求：</w:t>
      </w:r>
      <w:r>
        <w:rPr>
          <w:rFonts w:hint="eastAsia" w:hAnsiTheme="minorEastAsia"/>
          <w:sz w:val="24"/>
          <w:highlight w:val="none"/>
        </w:rPr>
        <w:t>服务期限自签订合同之日起一年</w:t>
      </w:r>
      <w:r>
        <w:rPr>
          <w:rFonts w:hAnsiTheme="minorEastAsia"/>
          <w:sz w:val="24"/>
          <w:highlight w:val="none"/>
        </w:rPr>
        <w:t>（特殊情况以合同为准）</w:t>
      </w:r>
      <w:r>
        <w:rPr>
          <w:rFonts w:hint="eastAsia" w:hAnsiTheme="minorEastAsia"/>
          <w:sz w:val="24"/>
          <w:highlight w:val="none"/>
        </w:rPr>
        <w:t>。</w:t>
      </w:r>
    </w:p>
    <w:p w14:paraId="3EB7C43C">
      <w:pPr>
        <w:autoSpaceDE w:val="0"/>
        <w:autoSpaceDN w:val="0"/>
        <w:adjustRightInd w:val="0"/>
        <w:spacing w:line="360" w:lineRule="auto"/>
        <w:ind w:firstLine="448" w:firstLineChars="200"/>
        <w:rPr>
          <w:sz w:val="24"/>
          <w:highlight w:val="none"/>
        </w:rPr>
      </w:pPr>
      <w:r>
        <w:rPr>
          <w:sz w:val="24"/>
          <w:highlight w:val="none"/>
        </w:rPr>
        <w:t xml:space="preserve">2. </w:t>
      </w:r>
      <w:r>
        <w:rPr>
          <w:rFonts w:hAnsiTheme="minorEastAsia"/>
          <w:sz w:val="24"/>
          <w:highlight w:val="none"/>
        </w:rPr>
        <w:t>服务地点：</w:t>
      </w:r>
      <w:r>
        <w:rPr>
          <w:rFonts w:hint="eastAsia" w:hAnsiTheme="minorEastAsia"/>
          <w:sz w:val="24"/>
          <w:highlight w:val="none"/>
        </w:rPr>
        <w:t>采购人指定地点</w:t>
      </w:r>
      <w:r>
        <w:rPr>
          <w:rFonts w:hAnsiTheme="minorEastAsia"/>
          <w:sz w:val="24"/>
          <w:highlight w:val="none"/>
        </w:rPr>
        <w:t>（特殊情况以合同为准）。</w:t>
      </w:r>
    </w:p>
    <w:p w14:paraId="2AF00737">
      <w:pPr>
        <w:autoSpaceDE w:val="0"/>
        <w:autoSpaceDN w:val="0"/>
        <w:adjustRightInd w:val="0"/>
        <w:spacing w:line="360" w:lineRule="auto"/>
        <w:ind w:firstLine="448" w:firstLineChars="200"/>
        <w:rPr>
          <w:sz w:val="24"/>
          <w:highlight w:val="none"/>
        </w:rPr>
      </w:pPr>
      <w:r>
        <w:rPr>
          <w:rFonts w:hAnsiTheme="minorEastAsia"/>
          <w:sz w:val="24"/>
          <w:highlight w:val="none"/>
        </w:rPr>
        <w:t>（</w:t>
      </w:r>
      <w:r>
        <w:rPr>
          <w:rFonts w:hint="eastAsia" w:hAnsiTheme="minorEastAsia"/>
          <w:sz w:val="24"/>
          <w:highlight w:val="none"/>
        </w:rPr>
        <w:t>三</w:t>
      </w:r>
      <w:r>
        <w:rPr>
          <w:rFonts w:hAnsiTheme="minorEastAsia"/>
          <w:sz w:val="24"/>
          <w:highlight w:val="none"/>
        </w:rPr>
        <w:t>）付款方式</w:t>
      </w:r>
    </w:p>
    <w:p w14:paraId="5551A584">
      <w:pPr>
        <w:autoSpaceDE w:val="0"/>
        <w:autoSpaceDN w:val="0"/>
        <w:adjustRightInd w:val="0"/>
        <w:spacing w:line="360" w:lineRule="auto"/>
        <w:ind w:firstLine="448" w:firstLineChars="200"/>
        <w:rPr>
          <w:sz w:val="24"/>
          <w:highlight w:val="none"/>
        </w:rPr>
      </w:pPr>
      <w:r>
        <w:rPr>
          <w:rFonts w:hint="eastAsia"/>
          <w:sz w:val="24"/>
          <w:highlight w:val="none"/>
        </w:rPr>
        <w:t>合同分三个周期进行支付：</w:t>
      </w:r>
    </w:p>
    <w:p w14:paraId="38479F4E">
      <w:pPr>
        <w:autoSpaceDE w:val="0"/>
        <w:autoSpaceDN w:val="0"/>
        <w:adjustRightInd w:val="0"/>
        <w:spacing w:line="360" w:lineRule="auto"/>
        <w:ind w:firstLine="448" w:firstLineChars="200"/>
        <w:rPr>
          <w:sz w:val="24"/>
          <w:highlight w:val="none"/>
        </w:rPr>
      </w:pPr>
      <w:r>
        <w:rPr>
          <w:rFonts w:hint="eastAsia"/>
          <w:sz w:val="24"/>
          <w:highlight w:val="none"/>
        </w:rPr>
        <w:t>中标供应商签订运维合同后，进入运维服务交接期，暂定时间为1个月，进行运维服务交接工作，不对月均完好率进行考核。</w:t>
      </w:r>
    </w:p>
    <w:p w14:paraId="2EB751D2">
      <w:pPr>
        <w:autoSpaceDE w:val="0"/>
        <w:autoSpaceDN w:val="0"/>
        <w:adjustRightInd w:val="0"/>
        <w:spacing w:line="360" w:lineRule="auto"/>
        <w:ind w:firstLine="448" w:firstLineChars="200"/>
        <w:rPr>
          <w:sz w:val="24"/>
          <w:highlight w:val="none"/>
        </w:rPr>
      </w:pPr>
      <w:r>
        <w:rPr>
          <w:rFonts w:hint="eastAsia"/>
          <w:sz w:val="24"/>
          <w:highlight w:val="none"/>
        </w:rPr>
        <w:t>（1）中标供应商签订运维合同后30天内，支付合同金额的25%作为第一阶段应付金额进行支付。</w:t>
      </w:r>
    </w:p>
    <w:p w14:paraId="49CAC100">
      <w:pPr>
        <w:autoSpaceDE w:val="0"/>
        <w:autoSpaceDN w:val="0"/>
        <w:adjustRightInd w:val="0"/>
        <w:spacing w:line="360" w:lineRule="auto"/>
        <w:ind w:firstLine="448" w:firstLineChars="200"/>
        <w:rPr>
          <w:sz w:val="24"/>
          <w:highlight w:val="none"/>
        </w:rPr>
      </w:pPr>
      <w:r>
        <w:rPr>
          <w:rFonts w:hint="eastAsia"/>
          <w:sz w:val="24"/>
          <w:highlight w:val="none"/>
        </w:rPr>
        <w:t>（2）服务第6个月结束后30天内，在合同总价款25%的基础上扣除运维服务期第1至6月期间运维考核扣罚金额,作为第二阶段应付金额进行支付。</w:t>
      </w:r>
    </w:p>
    <w:p w14:paraId="025B036E">
      <w:pPr>
        <w:autoSpaceDE w:val="0"/>
        <w:autoSpaceDN w:val="0"/>
        <w:adjustRightInd w:val="0"/>
        <w:spacing w:line="360" w:lineRule="auto"/>
        <w:ind w:firstLine="448" w:firstLineChars="200"/>
        <w:rPr>
          <w:sz w:val="24"/>
          <w:highlight w:val="none"/>
        </w:rPr>
      </w:pPr>
      <w:r>
        <w:rPr>
          <w:rFonts w:hint="eastAsia"/>
          <w:sz w:val="24"/>
          <w:highlight w:val="none"/>
        </w:rPr>
        <w:t>（3）服务期结束后，在合同剩余应付款的基础上扣除第7至12个月考核扣罚金额后，作为第三阶段应付金额进行支付（特殊情况以合同为准）。</w:t>
      </w:r>
    </w:p>
    <w:p w14:paraId="789F520C">
      <w:pPr>
        <w:autoSpaceDE w:val="0"/>
        <w:autoSpaceDN w:val="0"/>
        <w:adjustRightInd w:val="0"/>
        <w:spacing w:line="360" w:lineRule="auto"/>
        <w:ind w:firstLine="448" w:firstLineChars="200"/>
        <w:rPr>
          <w:sz w:val="24"/>
          <w:highlight w:val="none"/>
        </w:rPr>
      </w:pPr>
      <w:r>
        <w:rPr>
          <w:rFonts w:hAnsiTheme="minorEastAsia"/>
          <w:sz w:val="24"/>
          <w:highlight w:val="none"/>
        </w:rPr>
        <w:t>（</w:t>
      </w:r>
      <w:r>
        <w:rPr>
          <w:rFonts w:hint="eastAsia" w:hAnsiTheme="minorEastAsia"/>
          <w:sz w:val="24"/>
          <w:highlight w:val="none"/>
        </w:rPr>
        <w:t>四</w:t>
      </w:r>
      <w:r>
        <w:rPr>
          <w:rFonts w:hAnsiTheme="minorEastAsia"/>
          <w:sz w:val="24"/>
          <w:highlight w:val="none"/>
        </w:rPr>
        <w:t>）投标保证金和履约保证金</w:t>
      </w:r>
    </w:p>
    <w:p w14:paraId="131B9452">
      <w:pPr>
        <w:autoSpaceDE w:val="0"/>
        <w:autoSpaceDN w:val="0"/>
        <w:adjustRightInd w:val="0"/>
        <w:spacing w:line="360" w:lineRule="auto"/>
        <w:ind w:firstLine="448" w:firstLineChars="200"/>
        <w:rPr>
          <w:sz w:val="24"/>
          <w:highlight w:val="none"/>
        </w:rPr>
      </w:pPr>
      <w:r>
        <w:rPr>
          <w:rFonts w:hAnsiTheme="minorEastAsia"/>
          <w:sz w:val="24"/>
          <w:highlight w:val="none"/>
        </w:rPr>
        <w:t>本项目不收取投标保证金和履约保证金。</w:t>
      </w:r>
    </w:p>
    <w:p w14:paraId="2415BEDE">
      <w:pPr>
        <w:autoSpaceDE w:val="0"/>
        <w:autoSpaceDN w:val="0"/>
        <w:adjustRightInd w:val="0"/>
        <w:spacing w:line="360" w:lineRule="auto"/>
        <w:ind w:firstLine="448" w:firstLineChars="200"/>
        <w:rPr>
          <w:color w:val="000000"/>
          <w:sz w:val="24"/>
          <w:highlight w:val="none"/>
        </w:rPr>
      </w:pPr>
      <w:r>
        <w:rPr>
          <w:rFonts w:hint="eastAsia" w:hAnsiTheme="minorEastAsia"/>
          <w:color w:val="000000"/>
          <w:sz w:val="24"/>
          <w:highlight w:val="none"/>
        </w:rPr>
        <w:t>（五）验收方法及标准</w:t>
      </w:r>
    </w:p>
    <w:p w14:paraId="71482383">
      <w:pPr>
        <w:autoSpaceDE w:val="0"/>
        <w:autoSpaceDN w:val="0"/>
        <w:adjustRightInd w:val="0"/>
        <w:spacing w:line="360" w:lineRule="auto"/>
        <w:ind w:firstLine="448" w:firstLineChars="200"/>
        <w:rPr>
          <w:color w:val="000000"/>
          <w:sz w:val="24"/>
          <w:highlight w:val="none"/>
        </w:rPr>
      </w:pPr>
      <w:r>
        <w:rPr>
          <w:rFonts w:hint="eastAsia" w:hAnsiTheme="minorEastAsia"/>
          <w:color w:val="000000"/>
          <w:sz w:val="24"/>
          <w:highlight w:val="none"/>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778742C3">
      <w:pPr>
        <w:autoSpaceDE w:val="0"/>
        <w:autoSpaceDN w:val="0"/>
        <w:adjustRightInd w:val="0"/>
        <w:spacing w:line="360" w:lineRule="auto"/>
        <w:ind w:firstLine="448" w:firstLineChars="200"/>
        <w:rPr>
          <w:bCs/>
          <w:sz w:val="24"/>
          <w:highlight w:val="none"/>
        </w:rPr>
      </w:pPr>
      <w:r>
        <w:rPr>
          <w:rFonts w:hAnsiTheme="minorEastAsia"/>
          <w:sz w:val="24"/>
          <w:highlight w:val="none"/>
        </w:rPr>
        <w:t>二</w:t>
      </w:r>
      <w:r>
        <w:rPr>
          <w:rFonts w:hAnsiTheme="minorEastAsia"/>
          <w:bCs/>
          <w:sz w:val="24"/>
          <w:highlight w:val="none"/>
        </w:rPr>
        <w:t>、技术要求</w:t>
      </w:r>
    </w:p>
    <w:p w14:paraId="1B191B84">
      <w:pPr>
        <w:spacing w:line="360" w:lineRule="auto"/>
        <w:ind w:firstLine="448" w:firstLineChars="200"/>
        <w:outlineLvl w:val="0"/>
        <w:rPr>
          <w:sz w:val="24"/>
          <w:highlight w:val="none"/>
        </w:rPr>
      </w:pPr>
      <w:r>
        <w:rPr>
          <w:sz w:val="24"/>
          <w:highlight w:val="none"/>
        </w:rPr>
        <w:t>（一）投标人须承诺所提供的服务、人员及设备符合相关国家强制性规定。</w:t>
      </w:r>
    </w:p>
    <w:p w14:paraId="2D41675A">
      <w:pPr>
        <w:spacing w:line="360" w:lineRule="auto"/>
        <w:ind w:firstLine="448" w:firstLineChars="200"/>
        <w:outlineLvl w:val="0"/>
        <w:rPr>
          <w:sz w:val="24"/>
          <w:highlight w:val="none"/>
        </w:rPr>
      </w:pPr>
      <w:r>
        <w:rPr>
          <w:sz w:val="24"/>
          <w:highlight w:val="none"/>
        </w:rPr>
        <w:t>（二）具体需求详见本部分项目需求书。</w:t>
      </w:r>
    </w:p>
    <w:p w14:paraId="4126BDB7">
      <w:pPr>
        <w:spacing w:line="360" w:lineRule="auto"/>
        <w:ind w:firstLine="448" w:firstLineChars="200"/>
        <w:outlineLvl w:val="0"/>
        <w:rPr>
          <w:rFonts w:hAnsiTheme="minorEastAsia"/>
          <w:sz w:val="24"/>
          <w:highlight w:val="none"/>
        </w:rPr>
      </w:pPr>
      <w:r>
        <w:rPr>
          <w:rFonts w:hAnsiTheme="minorEastAsia"/>
          <w:sz w:val="24"/>
          <w:highlight w:val="none"/>
        </w:rPr>
        <w:t>三、评分因素及评标标准</w:t>
      </w:r>
    </w:p>
    <w:p w14:paraId="0648DD0A">
      <w:pPr>
        <w:spacing w:line="360" w:lineRule="auto"/>
        <w:ind w:firstLine="448" w:firstLineChars="200"/>
        <w:rPr>
          <w:rFonts w:hint="eastAsia"/>
          <w:b/>
          <w:sz w:val="24"/>
          <w:highlight w:val="none"/>
        </w:rPr>
      </w:pPr>
      <w:r>
        <w:rPr>
          <w:rFonts w:hint="eastAsia"/>
          <w:b/>
          <w:sz w:val="24"/>
          <w:highlight w:val="none"/>
        </w:rPr>
        <w:t>本项目兼投不兼中，评标委员会按包的顺序进行评审。若某投标人获得某包中标候选供应商第一名资格，则该投标人不入围其他包的评标阶段。</w:t>
      </w:r>
    </w:p>
    <w:p w14:paraId="023A6E6F">
      <w:pPr>
        <w:spacing w:line="360" w:lineRule="auto"/>
        <w:ind w:firstLine="448" w:firstLineChars="200"/>
        <w:outlineLvl w:val="0"/>
        <w:rPr>
          <w:rFonts w:hint="eastAsia"/>
          <w:b/>
          <w:sz w:val="24"/>
          <w:highlight w:val="none"/>
        </w:rPr>
      </w:pPr>
      <w:r>
        <w:rPr>
          <w:rFonts w:hint="eastAsia" w:hAnsiTheme="minorEastAsia"/>
          <w:b/>
          <w:bCs/>
          <w:sz w:val="24"/>
          <w:highlight w:val="none"/>
          <w:lang w:eastAsia="zh-CN"/>
        </w:rPr>
        <w:t>第一包：</w:t>
      </w:r>
    </w:p>
    <w:tbl>
      <w:tblPr>
        <w:tblStyle w:val="19"/>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42"/>
        <w:gridCol w:w="7291"/>
        <w:gridCol w:w="1140"/>
      </w:tblGrid>
      <w:tr w14:paraId="646B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9396" w:type="dxa"/>
            <w:gridSpan w:val="3"/>
            <w:vAlign w:val="center"/>
          </w:tcPr>
          <w:p w14:paraId="34548E04">
            <w:pPr>
              <w:widowControl/>
              <w:adjustRightInd w:val="0"/>
              <w:snapToGrid w:val="0"/>
              <w:jc w:val="center"/>
              <w:rPr>
                <w:kern w:val="0"/>
                <w:sz w:val="24"/>
                <w:szCs w:val="24"/>
                <w:highlight w:val="none"/>
              </w:rPr>
            </w:pPr>
            <w:bookmarkStart w:id="10" w:name="OLE_LINK250"/>
            <w:r>
              <w:rPr>
                <w:kern w:val="0"/>
                <w:sz w:val="24"/>
                <w:szCs w:val="24"/>
                <w:highlight w:val="none"/>
              </w:rPr>
              <w:t>第一部分价格（</w:t>
            </w:r>
            <w:r>
              <w:rPr>
                <w:rFonts w:hint="eastAsia"/>
                <w:kern w:val="0"/>
                <w:sz w:val="24"/>
                <w:szCs w:val="24"/>
                <w:highlight w:val="none"/>
              </w:rPr>
              <w:t>10</w:t>
            </w:r>
            <w:r>
              <w:rPr>
                <w:kern w:val="0"/>
                <w:sz w:val="24"/>
                <w:szCs w:val="24"/>
                <w:highlight w:val="none"/>
              </w:rPr>
              <w:t>分）</w:t>
            </w:r>
          </w:p>
        </w:tc>
        <w:tc>
          <w:tcPr>
            <w:tcW w:w="1140" w:type="dxa"/>
            <w:vAlign w:val="center"/>
          </w:tcPr>
          <w:p w14:paraId="2AD910F0">
            <w:pPr>
              <w:widowControl/>
              <w:adjustRightInd w:val="0"/>
              <w:snapToGrid w:val="0"/>
              <w:jc w:val="center"/>
              <w:rPr>
                <w:kern w:val="0"/>
                <w:sz w:val="24"/>
                <w:szCs w:val="24"/>
                <w:highlight w:val="none"/>
              </w:rPr>
            </w:pPr>
            <w:r>
              <w:rPr>
                <w:kern w:val="0"/>
                <w:sz w:val="24"/>
                <w:szCs w:val="24"/>
                <w:highlight w:val="none"/>
              </w:rPr>
              <w:t>分值</w:t>
            </w:r>
          </w:p>
        </w:tc>
      </w:tr>
      <w:tr w14:paraId="05777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noWrap/>
            <w:vAlign w:val="center"/>
          </w:tcPr>
          <w:p w14:paraId="0C1C689D">
            <w:pPr>
              <w:widowControl/>
              <w:adjustRightInd w:val="0"/>
              <w:snapToGrid w:val="0"/>
              <w:jc w:val="center"/>
              <w:rPr>
                <w:kern w:val="0"/>
                <w:sz w:val="24"/>
                <w:szCs w:val="24"/>
                <w:highlight w:val="none"/>
              </w:rPr>
            </w:pPr>
            <w:r>
              <w:rPr>
                <w:kern w:val="0"/>
                <w:sz w:val="24"/>
                <w:szCs w:val="24"/>
                <w:highlight w:val="none"/>
              </w:rPr>
              <w:t>1</w:t>
            </w:r>
          </w:p>
        </w:tc>
        <w:tc>
          <w:tcPr>
            <w:tcW w:w="1442" w:type="dxa"/>
            <w:vAlign w:val="center"/>
          </w:tcPr>
          <w:p w14:paraId="38E5F6BF">
            <w:pPr>
              <w:widowControl/>
              <w:adjustRightInd w:val="0"/>
              <w:snapToGrid w:val="0"/>
              <w:jc w:val="center"/>
              <w:rPr>
                <w:kern w:val="0"/>
                <w:sz w:val="24"/>
                <w:szCs w:val="24"/>
                <w:highlight w:val="none"/>
              </w:rPr>
            </w:pPr>
            <w:r>
              <w:rPr>
                <w:kern w:val="0"/>
                <w:sz w:val="24"/>
                <w:szCs w:val="24"/>
                <w:highlight w:val="none"/>
              </w:rPr>
              <w:t>价格</w:t>
            </w:r>
          </w:p>
        </w:tc>
        <w:tc>
          <w:tcPr>
            <w:tcW w:w="7291" w:type="dxa"/>
            <w:vAlign w:val="center"/>
          </w:tcPr>
          <w:p w14:paraId="6937E190">
            <w:pPr>
              <w:widowControl/>
              <w:adjustRightInd w:val="0"/>
              <w:snapToGrid w:val="0"/>
              <w:rPr>
                <w:kern w:val="0"/>
                <w:sz w:val="24"/>
                <w:szCs w:val="24"/>
                <w:highlight w:val="none"/>
              </w:rPr>
            </w:pPr>
            <w:r>
              <w:rPr>
                <w:kern w:val="0"/>
                <w:sz w:val="24"/>
                <w:szCs w:val="24"/>
                <w:highlight w:val="none"/>
              </w:rPr>
              <w:t>（1）投标报价超过采购预算的，投标无效，未超过采购预算的投标报价按以下公式进行计算。</w:t>
            </w:r>
          </w:p>
          <w:p w14:paraId="1FD54BE6">
            <w:pPr>
              <w:widowControl/>
              <w:adjustRightInd w:val="0"/>
              <w:snapToGrid w:val="0"/>
              <w:rPr>
                <w:kern w:val="0"/>
                <w:sz w:val="24"/>
                <w:szCs w:val="24"/>
                <w:highlight w:val="none"/>
              </w:rPr>
            </w:pPr>
            <w:r>
              <w:rPr>
                <w:kern w:val="0"/>
                <w:sz w:val="24"/>
                <w:szCs w:val="24"/>
                <w:highlight w:val="none"/>
              </w:rPr>
              <w:t>（2）投标报价得分=（评标基准价/投标报价）×</w:t>
            </w:r>
            <w:r>
              <w:rPr>
                <w:rFonts w:hint="eastAsia"/>
                <w:kern w:val="0"/>
                <w:sz w:val="24"/>
                <w:szCs w:val="24"/>
                <w:highlight w:val="none"/>
              </w:rPr>
              <w:t>10</w:t>
            </w:r>
          </w:p>
          <w:p w14:paraId="54CD7053">
            <w:pPr>
              <w:widowControl/>
              <w:adjustRightInd w:val="0"/>
              <w:snapToGrid w:val="0"/>
              <w:rPr>
                <w:kern w:val="0"/>
                <w:sz w:val="24"/>
                <w:szCs w:val="24"/>
                <w:highlight w:val="none"/>
              </w:rPr>
            </w:pPr>
            <w:r>
              <w:rPr>
                <w:kern w:val="0"/>
                <w:sz w:val="24"/>
                <w:szCs w:val="24"/>
                <w:highlight w:val="none"/>
              </w:rPr>
              <w:t>注：满足</w:t>
            </w:r>
            <w:r>
              <w:rPr>
                <w:rFonts w:hint="eastAsia"/>
                <w:kern w:val="0"/>
                <w:sz w:val="24"/>
                <w:szCs w:val="24"/>
                <w:highlight w:val="none"/>
              </w:rPr>
              <w:t>招标文件</w:t>
            </w:r>
            <w:r>
              <w:rPr>
                <w:kern w:val="0"/>
                <w:sz w:val="24"/>
                <w:szCs w:val="24"/>
                <w:highlight w:val="none"/>
              </w:rPr>
              <w:t>要求且投标报价最低的投标报价为评标基准价。</w:t>
            </w:r>
          </w:p>
        </w:tc>
        <w:tc>
          <w:tcPr>
            <w:tcW w:w="1140" w:type="dxa"/>
            <w:vAlign w:val="center"/>
          </w:tcPr>
          <w:p w14:paraId="685AFBB6">
            <w:pPr>
              <w:widowControl/>
              <w:adjustRightInd w:val="0"/>
              <w:snapToGrid w:val="0"/>
              <w:jc w:val="center"/>
              <w:rPr>
                <w:kern w:val="0"/>
                <w:sz w:val="24"/>
                <w:szCs w:val="24"/>
                <w:highlight w:val="none"/>
              </w:rPr>
            </w:pPr>
            <w:r>
              <w:rPr>
                <w:rFonts w:hint="eastAsia"/>
                <w:kern w:val="0"/>
                <w:sz w:val="24"/>
                <w:szCs w:val="24"/>
                <w:highlight w:val="none"/>
              </w:rPr>
              <w:t>10</w:t>
            </w:r>
          </w:p>
        </w:tc>
      </w:tr>
      <w:tr w14:paraId="1462F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9396" w:type="dxa"/>
            <w:gridSpan w:val="3"/>
            <w:noWrap/>
            <w:vAlign w:val="center"/>
          </w:tcPr>
          <w:p w14:paraId="52A8DECA">
            <w:pPr>
              <w:widowControl/>
              <w:adjustRightInd w:val="0"/>
              <w:snapToGrid w:val="0"/>
              <w:jc w:val="center"/>
              <w:rPr>
                <w:kern w:val="0"/>
                <w:sz w:val="24"/>
                <w:szCs w:val="24"/>
                <w:highlight w:val="none"/>
              </w:rPr>
            </w:pPr>
            <w:r>
              <w:rPr>
                <w:kern w:val="0"/>
                <w:sz w:val="24"/>
                <w:szCs w:val="24"/>
                <w:highlight w:val="none"/>
              </w:rPr>
              <w:t>第二部分客观分（</w:t>
            </w:r>
            <w:r>
              <w:rPr>
                <w:rFonts w:hint="eastAsia"/>
                <w:kern w:val="0"/>
                <w:sz w:val="24"/>
                <w:szCs w:val="24"/>
                <w:highlight w:val="none"/>
              </w:rPr>
              <w:t>42</w:t>
            </w:r>
            <w:r>
              <w:rPr>
                <w:kern w:val="0"/>
                <w:sz w:val="24"/>
                <w:szCs w:val="24"/>
                <w:highlight w:val="none"/>
              </w:rPr>
              <w:t>分）</w:t>
            </w:r>
          </w:p>
        </w:tc>
        <w:tc>
          <w:tcPr>
            <w:tcW w:w="1140" w:type="dxa"/>
            <w:vAlign w:val="center"/>
          </w:tcPr>
          <w:p w14:paraId="3377C23A">
            <w:pPr>
              <w:widowControl/>
              <w:adjustRightInd w:val="0"/>
              <w:snapToGrid w:val="0"/>
              <w:jc w:val="center"/>
              <w:rPr>
                <w:kern w:val="0"/>
                <w:sz w:val="24"/>
                <w:szCs w:val="24"/>
                <w:highlight w:val="none"/>
              </w:rPr>
            </w:pPr>
            <w:r>
              <w:rPr>
                <w:kern w:val="0"/>
                <w:sz w:val="24"/>
                <w:szCs w:val="24"/>
                <w:highlight w:val="none"/>
              </w:rPr>
              <w:t>分值</w:t>
            </w:r>
          </w:p>
        </w:tc>
      </w:tr>
      <w:tr w14:paraId="678E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63" w:type="dxa"/>
            <w:noWrap/>
            <w:vAlign w:val="center"/>
          </w:tcPr>
          <w:p w14:paraId="32FFF001">
            <w:pPr>
              <w:widowControl/>
              <w:adjustRightInd w:val="0"/>
              <w:snapToGrid w:val="0"/>
              <w:jc w:val="center"/>
              <w:rPr>
                <w:kern w:val="0"/>
                <w:sz w:val="24"/>
                <w:szCs w:val="24"/>
                <w:highlight w:val="none"/>
              </w:rPr>
            </w:pPr>
            <w:bookmarkStart w:id="11" w:name="_Hlk197604785"/>
            <w:r>
              <w:rPr>
                <w:kern w:val="0"/>
                <w:sz w:val="24"/>
                <w:szCs w:val="24"/>
                <w:highlight w:val="none"/>
              </w:rPr>
              <w:t>1</w:t>
            </w:r>
          </w:p>
        </w:tc>
        <w:tc>
          <w:tcPr>
            <w:tcW w:w="1442" w:type="dxa"/>
            <w:vAlign w:val="center"/>
          </w:tcPr>
          <w:p w14:paraId="1FA7159B">
            <w:pPr>
              <w:widowControl/>
              <w:adjustRightInd w:val="0"/>
              <w:snapToGrid w:val="0"/>
              <w:jc w:val="center"/>
              <w:rPr>
                <w:kern w:val="0"/>
                <w:sz w:val="24"/>
                <w:szCs w:val="24"/>
                <w:highlight w:val="none"/>
              </w:rPr>
            </w:pPr>
            <w:r>
              <w:rPr>
                <w:kern w:val="0"/>
                <w:sz w:val="24"/>
                <w:szCs w:val="24"/>
                <w:highlight w:val="none"/>
              </w:rPr>
              <w:t>投标人业绩</w:t>
            </w:r>
          </w:p>
        </w:tc>
        <w:tc>
          <w:tcPr>
            <w:tcW w:w="7291" w:type="dxa"/>
            <w:vAlign w:val="center"/>
          </w:tcPr>
          <w:p w14:paraId="67F49A79">
            <w:pPr>
              <w:widowControl/>
              <w:spacing w:line="360" w:lineRule="exact"/>
              <w:rPr>
                <w:kern w:val="0"/>
                <w:sz w:val="24"/>
                <w:szCs w:val="24"/>
                <w:highlight w:val="none"/>
              </w:rPr>
            </w:pPr>
            <w:r>
              <w:rPr>
                <w:kern w:val="0"/>
                <w:sz w:val="24"/>
                <w:szCs w:val="24"/>
                <w:highlight w:val="none"/>
              </w:rPr>
              <w:t>完全按照以下要求提供</w:t>
            </w:r>
            <w:r>
              <w:rPr>
                <w:rFonts w:hint="eastAsia"/>
                <w:kern w:val="0"/>
                <w:sz w:val="24"/>
                <w:szCs w:val="24"/>
                <w:highlight w:val="none"/>
              </w:rPr>
              <w:t>投标人</w:t>
            </w:r>
            <w:r>
              <w:rPr>
                <w:kern w:val="0"/>
                <w:sz w:val="24"/>
                <w:szCs w:val="24"/>
                <w:highlight w:val="none"/>
              </w:rPr>
              <w:t>曾实施的本项目内容相</w:t>
            </w:r>
            <w:r>
              <w:rPr>
                <w:rFonts w:hint="eastAsia"/>
                <w:kern w:val="0"/>
                <w:sz w:val="24"/>
                <w:szCs w:val="24"/>
                <w:highlight w:val="none"/>
              </w:rPr>
              <w:t>关的</w:t>
            </w:r>
            <w:r>
              <w:rPr>
                <w:kern w:val="0"/>
                <w:sz w:val="24"/>
                <w:szCs w:val="24"/>
                <w:highlight w:val="none"/>
              </w:rPr>
              <w:t>业绩，提供的证明材料均不得遮挡涂黑，否则不予认定加分。</w:t>
            </w:r>
          </w:p>
          <w:p w14:paraId="2DD6F285">
            <w:pPr>
              <w:widowControl/>
              <w:spacing w:line="360" w:lineRule="exact"/>
              <w:rPr>
                <w:kern w:val="0"/>
                <w:sz w:val="24"/>
                <w:szCs w:val="24"/>
                <w:highlight w:val="none"/>
              </w:rPr>
            </w:pPr>
            <w:r>
              <w:rPr>
                <w:rFonts w:hint="eastAsia"/>
                <w:kern w:val="0"/>
                <w:sz w:val="24"/>
                <w:szCs w:val="24"/>
                <w:highlight w:val="none"/>
              </w:rPr>
              <w:t>A</w:t>
            </w:r>
            <w:r>
              <w:rPr>
                <w:kern w:val="0"/>
                <w:sz w:val="24"/>
                <w:szCs w:val="24"/>
                <w:highlight w:val="none"/>
              </w:rPr>
              <w:t>. 合同</w:t>
            </w:r>
            <w:r>
              <w:rPr>
                <w:rFonts w:hint="eastAsia"/>
                <w:kern w:val="0"/>
                <w:sz w:val="24"/>
                <w:szCs w:val="24"/>
                <w:highlight w:val="none"/>
              </w:rPr>
              <w:t>原件</w:t>
            </w:r>
            <w:r>
              <w:rPr>
                <w:kern w:val="0"/>
                <w:sz w:val="24"/>
                <w:szCs w:val="24"/>
                <w:highlight w:val="none"/>
              </w:rPr>
              <w:t>电子件</w:t>
            </w:r>
            <w:r>
              <w:rPr>
                <w:rFonts w:hint="eastAsia"/>
                <w:kern w:val="0"/>
                <w:sz w:val="24"/>
                <w:szCs w:val="24"/>
                <w:highlight w:val="none"/>
              </w:rPr>
              <w:t>。包括合同金额、服务双方名称及盖章、服务期限（合同服务起始日期为2023年1月1日或以后，且已经履行至少6个月的时间）、服务内容。</w:t>
            </w:r>
          </w:p>
          <w:p w14:paraId="2A2294A3">
            <w:pPr>
              <w:widowControl/>
              <w:spacing w:line="360" w:lineRule="exact"/>
              <w:rPr>
                <w:kern w:val="0"/>
                <w:sz w:val="24"/>
                <w:szCs w:val="24"/>
                <w:highlight w:val="none"/>
              </w:rPr>
            </w:pPr>
            <w:r>
              <w:rPr>
                <w:kern w:val="0"/>
                <w:sz w:val="24"/>
                <w:szCs w:val="24"/>
                <w:highlight w:val="none"/>
              </w:rPr>
              <w:t>B.</w:t>
            </w:r>
            <w:r>
              <w:rPr>
                <w:rFonts w:hint="eastAsia"/>
                <w:kern w:val="0"/>
                <w:sz w:val="24"/>
                <w:szCs w:val="24"/>
                <w:highlight w:val="none"/>
              </w:rPr>
              <w:t>上述</w:t>
            </w:r>
            <w:r>
              <w:rPr>
                <w:kern w:val="0"/>
                <w:sz w:val="24"/>
                <w:szCs w:val="24"/>
                <w:highlight w:val="none"/>
              </w:rPr>
              <w:t>合同履行</w:t>
            </w:r>
            <w:r>
              <w:rPr>
                <w:rFonts w:hint="eastAsia"/>
                <w:kern w:val="0"/>
                <w:sz w:val="24"/>
                <w:szCs w:val="24"/>
                <w:highlight w:val="none"/>
              </w:rPr>
              <w:t>良好</w:t>
            </w:r>
            <w:r>
              <w:rPr>
                <w:kern w:val="0"/>
                <w:sz w:val="24"/>
                <w:szCs w:val="24"/>
                <w:highlight w:val="none"/>
              </w:rPr>
              <w:t>的相关证明材料</w:t>
            </w:r>
            <w:r>
              <w:rPr>
                <w:rFonts w:hint="eastAsia"/>
                <w:kern w:val="0"/>
                <w:sz w:val="24"/>
                <w:szCs w:val="24"/>
                <w:highlight w:val="none"/>
              </w:rPr>
              <w:t>原件</w:t>
            </w:r>
            <w:r>
              <w:rPr>
                <w:kern w:val="0"/>
                <w:sz w:val="24"/>
                <w:szCs w:val="24"/>
                <w:highlight w:val="none"/>
              </w:rPr>
              <w:t>电子件</w:t>
            </w:r>
            <w:r>
              <w:rPr>
                <w:rFonts w:hint="eastAsia"/>
                <w:kern w:val="0"/>
                <w:sz w:val="24"/>
                <w:szCs w:val="24"/>
                <w:highlight w:val="none"/>
              </w:rPr>
              <w:t>（加盖上述合同甲方单位公章或上述合同甲方印章）</w:t>
            </w:r>
            <w:r>
              <w:rPr>
                <w:kern w:val="0"/>
                <w:sz w:val="24"/>
                <w:szCs w:val="24"/>
                <w:highlight w:val="none"/>
              </w:rPr>
              <w:t>。</w:t>
            </w:r>
          </w:p>
          <w:p w14:paraId="0BACED29">
            <w:pPr>
              <w:widowControl/>
              <w:spacing w:line="360" w:lineRule="exact"/>
              <w:rPr>
                <w:color w:val="FF0000"/>
                <w:kern w:val="0"/>
                <w:sz w:val="24"/>
                <w:szCs w:val="24"/>
                <w:highlight w:val="none"/>
              </w:rPr>
            </w:pPr>
            <w:r>
              <w:rPr>
                <w:kern w:val="0"/>
                <w:sz w:val="24"/>
                <w:szCs w:val="24"/>
                <w:highlight w:val="none"/>
              </w:rPr>
              <w:t>每个案例</w:t>
            </w:r>
            <w:r>
              <w:rPr>
                <w:rFonts w:hint="eastAsia"/>
                <w:kern w:val="0"/>
                <w:sz w:val="24"/>
                <w:szCs w:val="24"/>
                <w:highlight w:val="none"/>
              </w:rPr>
              <w:t>2</w:t>
            </w:r>
            <w:r>
              <w:rPr>
                <w:kern w:val="0"/>
                <w:sz w:val="24"/>
                <w:szCs w:val="24"/>
                <w:highlight w:val="none"/>
              </w:rPr>
              <w:t>分，最多</w:t>
            </w:r>
            <w:r>
              <w:rPr>
                <w:rFonts w:hint="eastAsia"/>
                <w:kern w:val="0"/>
                <w:sz w:val="24"/>
                <w:szCs w:val="24"/>
                <w:highlight w:val="none"/>
              </w:rPr>
              <w:t>10</w:t>
            </w:r>
            <w:r>
              <w:rPr>
                <w:kern w:val="0"/>
                <w:sz w:val="24"/>
                <w:szCs w:val="24"/>
                <w:highlight w:val="none"/>
              </w:rPr>
              <w:t>分</w:t>
            </w:r>
          </w:p>
        </w:tc>
        <w:tc>
          <w:tcPr>
            <w:tcW w:w="1140" w:type="dxa"/>
            <w:vAlign w:val="center"/>
          </w:tcPr>
          <w:p w14:paraId="0412FD5D">
            <w:pPr>
              <w:widowControl/>
              <w:adjustRightInd w:val="0"/>
              <w:snapToGrid w:val="0"/>
              <w:jc w:val="center"/>
              <w:rPr>
                <w:kern w:val="0"/>
                <w:sz w:val="24"/>
                <w:szCs w:val="24"/>
                <w:highlight w:val="none"/>
              </w:rPr>
            </w:pPr>
            <w:r>
              <w:rPr>
                <w:rFonts w:hint="eastAsia"/>
                <w:kern w:val="0"/>
                <w:sz w:val="24"/>
                <w:szCs w:val="24"/>
                <w:highlight w:val="none"/>
              </w:rPr>
              <w:t>10</w:t>
            </w:r>
          </w:p>
        </w:tc>
      </w:tr>
      <w:bookmarkEnd w:id="11"/>
      <w:tr w14:paraId="584C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663" w:type="dxa"/>
            <w:noWrap/>
            <w:vAlign w:val="center"/>
          </w:tcPr>
          <w:p w14:paraId="61CA61F8">
            <w:pPr>
              <w:widowControl/>
              <w:jc w:val="center"/>
              <w:rPr>
                <w:color w:val="000000"/>
                <w:kern w:val="0"/>
                <w:sz w:val="24"/>
                <w:szCs w:val="24"/>
                <w:highlight w:val="none"/>
              </w:rPr>
            </w:pPr>
            <w:bookmarkStart w:id="12" w:name="_Hlk213854764"/>
            <w:r>
              <w:rPr>
                <w:rFonts w:hint="eastAsia"/>
                <w:color w:val="000000"/>
                <w:kern w:val="0"/>
                <w:sz w:val="24"/>
                <w:szCs w:val="24"/>
                <w:highlight w:val="none"/>
              </w:rPr>
              <w:t>2</w:t>
            </w:r>
          </w:p>
        </w:tc>
        <w:tc>
          <w:tcPr>
            <w:tcW w:w="1442" w:type="dxa"/>
            <w:vAlign w:val="center"/>
          </w:tcPr>
          <w:p w14:paraId="2C1D4AE6">
            <w:pPr>
              <w:widowControl/>
              <w:adjustRightInd w:val="0"/>
              <w:snapToGrid w:val="0"/>
              <w:jc w:val="center"/>
              <w:rPr>
                <w:color w:val="FF0000"/>
                <w:kern w:val="0"/>
                <w:sz w:val="24"/>
                <w:szCs w:val="24"/>
                <w:highlight w:val="none"/>
              </w:rPr>
            </w:pPr>
            <w:bookmarkStart w:id="13" w:name="OLE_LINK49"/>
            <w:bookmarkStart w:id="14" w:name="OLE_LINK45"/>
            <w:r>
              <w:rPr>
                <w:rFonts w:hint="eastAsia"/>
                <w:kern w:val="0"/>
                <w:sz w:val="24"/>
                <w:szCs w:val="24"/>
                <w:highlight w:val="none"/>
              </w:rPr>
              <w:t>投标人相关证书评价</w:t>
            </w:r>
            <w:bookmarkEnd w:id="13"/>
            <w:bookmarkEnd w:id="14"/>
          </w:p>
        </w:tc>
        <w:tc>
          <w:tcPr>
            <w:tcW w:w="7291" w:type="dxa"/>
            <w:vAlign w:val="center"/>
          </w:tcPr>
          <w:p w14:paraId="7ACF314B">
            <w:pPr>
              <w:adjustRightInd w:val="0"/>
              <w:snapToGrid w:val="0"/>
              <w:outlineLvl w:val="0"/>
              <w:rPr>
                <w:kern w:val="0"/>
                <w:sz w:val="24"/>
                <w:szCs w:val="24"/>
                <w:highlight w:val="none"/>
              </w:rPr>
            </w:pPr>
            <w:bookmarkStart w:id="15" w:name="OLE_LINK50"/>
            <w:bookmarkStart w:id="16" w:name="OLE_LINK85"/>
            <w:bookmarkStart w:id="17" w:name="OLE_LINK70"/>
            <w:bookmarkStart w:id="18" w:name="OLE_LINK84"/>
            <w:bookmarkStart w:id="19" w:name="OLE_LINK51"/>
            <w:r>
              <w:rPr>
                <w:rFonts w:hint="eastAsia"/>
                <w:kern w:val="0"/>
                <w:sz w:val="24"/>
                <w:szCs w:val="24"/>
                <w:highlight w:val="none"/>
              </w:rPr>
              <w:t>投标人具备</w:t>
            </w:r>
            <w:r>
              <w:rPr>
                <w:rFonts w:hint="eastAsia" w:hAnsi="宋体"/>
                <w:b/>
                <w:bCs/>
                <w:sz w:val="24"/>
                <w:highlight w:val="none"/>
              </w:rPr>
              <w:t>质量管理体系认证、环境管理体系认证、职业健康管理体系认证、</w:t>
            </w:r>
            <w:r>
              <w:rPr>
                <w:rFonts w:hint="eastAsia"/>
                <w:b/>
                <w:bCs/>
                <w:kern w:val="0"/>
                <w:sz w:val="24"/>
                <w:szCs w:val="24"/>
                <w:highlight w:val="none"/>
              </w:rPr>
              <w:t>信息安全管理体系认证证书、信息技术服务管理体系认证证书</w:t>
            </w:r>
            <w:r>
              <w:rPr>
                <w:rFonts w:hint="eastAsia"/>
                <w:kern w:val="0"/>
                <w:sz w:val="24"/>
                <w:szCs w:val="24"/>
                <w:highlight w:val="none"/>
              </w:rPr>
              <w:t>，</w:t>
            </w:r>
            <w:bookmarkStart w:id="20" w:name="OLE_LINK63"/>
            <w:bookmarkStart w:id="21" w:name="OLE_LINK62"/>
          </w:p>
          <w:p w14:paraId="79A2FEFB">
            <w:pPr>
              <w:adjustRightInd w:val="0"/>
              <w:snapToGrid w:val="0"/>
              <w:outlineLvl w:val="0"/>
              <w:rPr>
                <w:kern w:val="0"/>
                <w:sz w:val="24"/>
                <w:szCs w:val="24"/>
                <w:highlight w:val="none"/>
              </w:rPr>
            </w:pPr>
            <w:r>
              <w:rPr>
                <w:rFonts w:hint="eastAsia"/>
                <w:kern w:val="0"/>
                <w:sz w:val="24"/>
                <w:szCs w:val="24"/>
                <w:highlight w:val="none"/>
              </w:rPr>
              <w:t>每个合格的证书电子件得2分，最多10分</w:t>
            </w:r>
            <w:bookmarkEnd w:id="15"/>
            <w:bookmarkEnd w:id="16"/>
            <w:bookmarkEnd w:id="17"/>
            <w:bookmarkEnd w:id="18"/>
            <w:bookmarkEnd w:id="19"/>
            <w:bookmarkEnd w:id="20"/>
            <w:bookmarkEnd w:id="21"/>
            <w:r>
              <w:rPr>
                <w:rFonts w:hint="eastAsia"/>
                <w:kern w:val="0"/>
                <w:sz w:val="24"/>
                <w:szCs w:val="24"/>
                <w:highlight w:val="none"/>
              </w:rPr>
              <w:t>。</w:t>
            </w:r>
          </w:p>
        </w:tc>
        <w:tc>
          <w:tcPr>
            <w:tcW w:w="1140" w:type="dxa"/>
            <w:vAlign w:val="center"/>
          </w:tcPr>
          <w:p w14:paraId="7D1CE362">
            <w:pPr>
              <w:widowControl/>
              <w:adjustRightInd w:val="0"/>
              <w:snapToGrid w:val="0"/>
              <w:jc w:val="center"/>
              <w:rPr>
                <w:color w:val="FF0000"/>
                <w:kern w:val="0"/>
                <w:sz w:val="24"/>
                <w:szCs w:val="24"/>
                <w:highlight w:val="none"/>
              </w:rPr>
            </w:pPr>
            <w:r>
              <w:rPr>
                <w:rFonts w:hint="eastAsia"/>
                <w:kern w:val="0"/>
                <w:sz w:val="24"/>
                <w:szCs w:val="24"/>
                <w:highlight w:val="none"/>
              </w:rPr>
              <w:t>10</w:t>
            </w:r>
          </w:p>
        </w:tc>
      </w:tr>
      <w:bookmarkEnd w:id="12"/>
      <w:tr w14:paraId="5956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0" w:hRule="atLeast"/>
          <w:jc w:val="center"/>
        </w:trPr>
        <w:tc>
          <w:tcPr>
            <w:tcW w:w="663" w:type="dxa"/>
            <w:noWrap/>
            <w:vAlign w:val="center"/>
          </w:tcPr>
          <w:p w14:paraId="7B430C8C">
            <w:pPr>
              <w:widowControl/>
              <w:adjustRightInd w:val="0"/>
              <w:snapToGrid w:val="0"/>
              <w:jc w:val="center"/>
              <w:rPr>
                <w:kern w:val="0"/>
                <w:sz w:val="24"/>
                <w:szCs w:val="24"/>
                <w:highlight w:val="none"/>
              </w:rPr>
            </w:pPr>
            <w:bookmarkStart w:id="22" w:name="_Hlk213854775"/>
            <w:r>
              <w:rPr>
                <w:kern w:val="0"/>
                <w:sz w:val="24"/>
                <w:szCs w:val="24"/>
                <w:highlight w:val="none"/>
              </w:rPr>
              <w:t>3</w:t>
            </w:r>
          </w:p>
        </w:tc>
        <w:tc>
          <w:tcPr>
            <w:tcW w:w="1442" w:type="dxa"/>
            <w:vAlign w:val="center"/>
          </w:tcPr>
          <w:p w14:paraId="56454E4B">
            <w:pPr>
              <w:widowControl/>
              <w:adjustRightInd w:val="0"/>
              <w:snapToGrid w:val="0"/>
              <w:jc w:val="center"/>
              <w:rPr>
                <w:kern w:val="0"/>
                <w:sz w:val="24"/>
                <w:szCs w:val="24"/>
                <w:highlight w:val="none"/>
              </w:rPr>
            </w:pPr>
            <w:bookmarkStart w:id="23" w:name="OLE_LINK52"/>
            <w:bookmarkStart w:id="24" w:name="OLE_LINK71"/>
            <w:bookmarkStart w:id="25" w:name="OLE_LINK72"/>
            <w:r>
              <w:rPr>
                <w:rFonts w:hint="eastAsia"/>
                <w:sz w:val="24"/>
                <w:highlight w:val="none"/>
              </w:rPr>
              <w:t>投入人员评价</w:t>
            </w:r>
            <w:bookmarkEnd w:id="23"/>
            <w:bookmarkEnd w:id="24"/>
            <w:bookmarkEnd w:id="25"/>
          </w:p>
        </w:tc>
        <w:tc>
          <w:tcPr>
            <w:tcW w:w="7291" w:type="dxa"/>
            <w:vAlign w:val="center"/>
          </w:tcPr>
          <w:p w14:paraId="3BD981C4">
            <w:pPr>
              <w:widowControl/>
              <w:adjustRightInd w:val="0"/>
              <w:snapToGrid w:val="0"/>
              <w:rPr>
                <w:kern w:val="0"/>
                <w:sz w:val="24"/>
                <w:szCs w:val="24"/>
                <w:highlight w:val="none"/>
              </w:rPr>
            </w:pPr>
            <w:bookmarkStart w:id="26" w:name="OLE_LINK283"/>
            <w:bookmarkStart w:id="27" w:name="OLE_LINK53"/>
            <w:bookmarkStart w:id="28" w:name="OLE_LINK54"/>
            <w:r>
              <w:rPr>
                <w:rFonts w:hint="eastAsia"/>
                <w:kern w:val="0"/>
                <w:sz w:val="24"/>
                <w:szCs w:val="24"/>
                <w:highlight w:val="none"/>
              </w:rPr>
              <w:t>投入的人员为投标单位正式员工，提供</w:t>
            </w:r>
            <w:r>
              <w:rPr>
                <w:rFonts w:hint="eastAsia" w:hAnsi="宋体"/>
                <w:sz w:val="24"/>
                <w:highlight w:val="none"/>
              </w:rPr>
              <w:t>项目经理、服务团队（含现场和外场团队）、应急抢修人员的姓名、</w:t>
            </w:r>
            <w:bookmarkStart w:id="29" w:name="OLE_LINK88"/>
            <w:r>
              <w:rPr>
                <w:rFonts w:hint="eastAsia"/>
                <w:kern w:val="0"/>
                <w:sz w:val="24"/>
                <w:szCs w:val="24"/>
                <w:highlight w:val="none"/>
              </w:rPr>
              <w:t>开标日当月或上一月的由投标单位为投入人员缴纳社会保险证明</w:t>
            </w:r>
            <w:bookmarkEnd w:id="29"/>
            <w:r>
              <w:rPr>
                <w:rFonts w:hint="eastAsia"/>
                <w:kern w:val="0"/>
                <w:sz w:val="24"/>
                <w:szCs w:val="24"/>
                <w:highlight w:val="none"/>
              </w:rPr>
              <w:t>电子件，否则不予认定加分。</w:t>
            </w:r>
          </w:p>
          <w:bookmarkEnd w:id="26"/>
          <w:bookmarkEnd w:id="27"/>
          <w:bookmarkEnd w:id="28"/>
          <w:p w14:paraId="225412F9">
            <w:pPr>
              <w:adjustRightInd w:val="0"/>
              <w:snapToGrid w:val="0"/>
              <w:rPr>
                <w:kern w:val="0"/>
                <w:sz w:val="24"/>
                <w:szCs w:val="24"/>
                <w:highlight w:val="none"/>
              </w:rPr>
            </w:pPr>
            <w:bookmarkStart w:id="30" w:name="OLE_LINK56"/>
            <w:bookmarkStart w:id="31" w:name="OLE_LINK284"/>
            <w:bookmarkStart w:id="32" w:name="OLE_LINK55"/>
            <w:r>
              <w:rPr>
                <w:rFonts w:hint="eastAsia"/>
                <w:kern w:val="0"/>
                <w:sz w:val="24"/>
                <w:szCs w:val="24"/>
                <w:highlight w:val="none"/>
              </w:rPr>
              <w:t>（</w:t>
            </w:r>
            <w:r>
              <w:rPr>
                <w:kern w:val="0"/>
                <w:sz w:val="24"/>
                <w:szCs w:val="24"/>
                <w:highlight w:val="none"/>
              </w:rPr>
              <w:t>1</w:t>
            </w:r>
            <w:r>
              <w:rPr>
                <w:rFonts w:hint="eastAsia"/>
                <w:kern w:val="0"/>
                <w:sz w:val="24"/>
                <w:szCs w:val="24"/>
                <w:highlight w:val="none"/>
              </w:rPr>
              <w:t>）提供</w:t>
            </w:r>
            <w:r>
              <w:rPr>
                <w:rFonts w:hint="eastAsia"/>
                <w:b/>
                <w:kern w:val="0"/>
                <w:sz w:val="24"/>
                <w:szCs w:val="24"/>
                <w:highlight w:val="none"/>
              </w:rPr>
              <w:t>项目经理</w:t>
            </w:r>
            <w:r>
              <w:rPr>
                <w:rFonts w:hint="eastAsia" w:ascii="宋体" w:hAnsi="宋体" w:cs="宋体"/>
                <w:kern w:val="0"/>
                <w:sz w:val="24"/>
                <w:szCs w:val="24"/>
                <w:highlight w:val="none"/>
              </w:rPr>
              <w:t>本科（或以上）学历毕业证书、计算机或通信相关专业高级工程师（或以上）职称证书、人力资源部门或工业信息化部门颁发的信息系统项目管理师证书，每个</w:t>
            </w:r>
            <w:r>
              <w:rPr>
                <w:rFonts w:hint="eastAsia"/>
                <w:kern w:val="0"/>
                <w:sz w:val="24"/>
                <w:szCs w:val="24"/>
                <w:highlight w:val="none"/>
              </w:rPr>
              <w:t>合格的证书电子件得2分，最多6分；</w:t>
            </w:r>
          </w:p>
          <w:bookmarkEnd w:id="30"/>
          <w:bookmarkEnd w:id="31"/>
          <w:bookmarkEnd w:id="32"/>
          <w:p w14:paraId="0E689AF9">
            <w:pPr>
              <w:adjustRightInd w:val="0"/>
              <w:snapToGrid w:val="0"/>
              <w:rPr>
                <w:kern w:val="0"/>
                <w:sz w:val="24"/>
                <w:szCs w:val="24"/>
                <w:highlight w:val="none"/>
              </w:rPr>
            </w:pPr>
            <w:bookmarkStart w:id="33" w:name="OLE_LINK151"/>
            <w:bookmarkStart w:id="34" w:name="OLE_LINK150"/>
            <w:bookmarkStart w:id="35" w:name="OLE_LINK285"/>
            <w:bookmarkStart w:id="36" w:name="OLE_LINK58"/>
            <w:bookmarkStart w:id="37" w:name="OLE_LINK57"/>
            <w:r>
              <w:rPr>
                <w:rFonts w:hint="eastAsia"/>
                <w:kern w:val="0"/>
                <w:sz w:val="24"/>
                <w:szCs w:val="24"/>
                <w:highlight w:val="none"/>
              </w:rPr>
              <w:t>（</w:t>
            </w:r>
            <w:r>
              <w:rPr>
                <w:kern w:val="0"/>
                <w:sz w:val="24"/>
                <w:szCs w:val="24"/>
                <w:highlight w:val="none"/>
              </w:rPr>
              <w:t>2</w:t>
            </w:r>
            <w:r>
              <w:rPr>
                <w:rFonts w:hint="eastAsia"/>
                <w:kern w:val="0"/>
                <w:sz w:val="24"/>
                <w:szCs w:val="24"/>
                <w:highlight w:val="none"/>
              </w:rPr>
              <w:t>）</w:t>
            </w:r>
            <w:bookmarkEnd w:id="33"/>
            <w:bookmarkEnd w:id="34"/>
            <w:bookmarkStart w:id="38" w:name="OLE_LINK89"/>
            <w:r>
              <w:rPr>
                <w:rFonts w:hint="eastAsia"/>
                <w:kern w:val="0"/>
                <w:sz w:val="24"/>
                <w:szCs w:val="24"/>
                <w:highlight w:val="none"/>
              </w:rPr>
              <w:t>提供</w:t>
            </w:r>
            <w:r>
              <w:rPr>
                <w:rFonts w:hint="eastAsia"/>
                <w:b/>
                <w:kern w:val="0"/>
                <w:sz w:val="24"/>
                <w:szCs w:val="24"/>
                <w:highlight w:val="none"/>
              </w:rPr>
              <w:t>专职</w:t>
            </w:r>
            <w:r>
              <w:rPr>
                <w:rFonts w:hint="eastAsia" w:ascii="宋体" w:hAnsi="宋体" w:cs="宋体"/>
                <w:b/>
                <w:sz w:val="24"/>
                <w:highlight w:val="none"/>
              </w:rPr>
              <w:t>平台巡检人员</w:t>
            </w:r>
            <w:bookmarkStart w:id="39" w:name="OLE_LINK83"/>
            <w:r>
              <w:rPr>
                <w:rFonts w:hint="eastAsia" w:ascii="宋体" w:hAnsi="宋体" w:cs="宋体"/>
                <w:kern w:val="0"/>
                <w:sz w:val="24"/>
                <w:szCs w:val="24"/>
                <w:highlight w:val="none"/>
              </w:rPr>
              <w:t>专科（或以上）学历毕业证书；相关</w:t>
            </w:r>
            <w:r>
              <w:rPr>
                <w:rFonts w:hint="eastAsia"/>
                <w:kern w:val="0"/>
                <w:sz w:val="24"/>
                <w:szCs w:val="24"/>
                <w:highlight w:val="none"/>
              </w:rPr>
              <w:t>维保工作经验，提供用户服务证明电子件（加盖用户单位公章），用户服务证明能表明该人员</w:t>
            </w:r>
            <w:r>
              <w:rPr>
                <w:rFonts w:hint="eastAsia" w:hAnsi="宋体"/>
                <w:sz w:val="24"/>
                <w:highlight w:val="none"/>
              </w:rPr>
              <w:t>具备两年及以上运维项目经验</w:t>
            </w:r>
            <w:r>
              <w:rPr>
                <w:rFonts w:hint="eastAsia"/>
                <w:kern w:val="0"/>
                <w:sz w:val="24"/>
                <w:szCs w:val="24"/>
                <w:highlight w:val="none"/>
              </w:rPr>
              <w:t>，每个同时满足以上要求的人员得2分，最多4分</w:t>
            </w:r>
            <w:bookmarkEnd w:id="38"/>
            <w:r>
              <w:rPr>
                <w:rFonts w:hint="eastAsia"/>
                <w:kern w:val="0"/>
                <w:sz w:val="24"/>
                <w:szCs w:val="24"/>
                <w:highlight w:val="none"/>
              </w:rPr>
              <w:t>；</w:t>
            </w:r>
            <w:bookmarkEnd w:id="39"/>
          </w:p>
          <w:bookmarkEnd w:id="35"/>
          <w:bookmarkEnd w:id="36"/>
          <w:bookmarkEnd w:id="37"/>
          <w:p w14:paraId="5E0E04FE">
            <w:pPr>
              <w:adjustRightInd w:val="0"/>
              <w:snapToGrid w:val="0"/>
              <w:rPr>
                <w:kern w:val="0"/>
                <w:sz w:val="24"/>
                <w:szCs w:val="24"/>
                <w:highlight w:val="none"/>
              </w:rPr>
            </w:pPr>
            <w:bookmarkStart w:id="40" w:name="OLE_LINK74"/>
            <w:bookmarkStart w:id="41" w:name="OLE_LINK73"/>
            <w:bookmarkStart w:id="42" w:name="OLE_LINK75"/>
            <w:bookmarkStart w:id="43" w:name="OLE_LINK60"/>
            <w:bookmarkStart w:id="44" w:name="OLE_LINK286"/>
            <w:bookmarkStart w:id="45" w:name="OLE_LINK59"/>
            <w:r>
              <w:rPr>
                <w:rFonts w:hint="eastAsia"/>
                <w:kern w:val="0"/>
                <w:sz w:val="24"/>
                <w:szCs w:val="24"/>
                <w:highlight w:val="none"/>
              </w:rPr>
              <w:t>（3）</w:t>
            </w:r>
            <w:bookmarkEnd w:id="40"/>
            <w:bookmarkEnd w:id="41"/>
            <w:bookmarkEnd w:id="42"/>
            <w:r>
              <w:rPr>
                <w:rFonts w:hint="eastAsia" w:hAnsi="宋体"/>
                <w:b/>
                <w:sz w:val="24"/>
                <w:highlight w:val="none"/>
              </w:rPr>
              <w:t>应急抢修人员A</w:t>
            </w:r>
            <w:r>
              <w:rPr>
                <w:rFonts w:hint="eastAsia" w:hAnsi="宋体"/>
                <w:sz w:val="24"/>
                <w:highlight w:val="none"/>
              </w:rPr>
              <w:t>具有</w:t>
            </w:r>
            <w:r>
              <w:rPr>
                <w:rFonts w:hint="eastAsia"/>
                <w:kern w:val="0"/>
                <w:sz w:val="24"/>
                <w:szCs w:val="24"/>
                <w:highlight w:val="none"/>
              </w:rPr>
              <w:t>《特种作业操作证（电工作业）》证书电子件且满足招标文件要求</w:t>
            </w:r>
            <w:r>
              <w:rPr>
                <w:rFonts w:hint="eastAsia" w:hAnsi="宋体"/>
                <w:sz w:val="24"/>
                <w:highlight w:val="none"/>
              </w:rPr>
              <w:t>，</w:t>
            </w:r>
            <w:r>
              <w:rPr>
                <w:rFonts w:hint="eastAsia"/>
                <w:kern w:val="0"/>
                <w:sz w:val="24"/>
                <w:szCs w:val="24"/>
                <w:highlight w:val="none"/>
              </w:rPr>
              <w:t>每个满足以上要求的人员得2分，最多4分；</w:t>
            </w:r>
          </w:p>
          <w:bookmarkEnd w:id="43"/>
          <w:bookmarkEnd w:id="44"/>
          <w:bookmarkEnd w:id="45"/>
          <w:p w14:paraId="5AE26980">
            <w:pPr>
              <w:adjustRightInd w:val="0"/>
              <w:snapToGrid w:val="0"/>
              <w:rPr>
                <w:kern w:val="0"/>
                <w:sz w:val="24"/>
                <w:szCs w:val="24"/>
                <w:highlight w:val="none"/>
              </w:rPr>
            </w:pPr>
            <w:bookmarkStart w:id="46" w:name="_Hlk202967135"/>
            <w:r>
              <w:rPr>
                <w:rFonts w:hint="eastAsia"/>
                <w:kern w:val="0"/>
                <w:sz w:val="24"/>
                <w:szCs w:val="24"/>
                <w:highlight w:val="none"/>
              </w:rPr>
              <w:t>（4）</w:t>
            </w:r>
            <w:r>
              <w:rPr>
                <w:rFonts w:hint="eastAsia" w:hAnsi="宋体"/>
                <w:b/>
                <w:sz w:val="24"/>
                <w:highlight w:val="none"/>
              </w:rPr>
              <w:t>应急抢修人员B</w:t>
            </w:r>
            <w:r>
              <w:rPr>
                <w:rFonts w:hint="eastAsia" w:hAnsi="宋体"/>
                <w:sz w:val="24"/>
                <w:highlight w:val="none"/>
              </w:rPr>
              <w:t>具有</w:t>
            </w:r>
            <w:r>
              <w:rPr>
                <w:rFonts w:hint="eastAsia"/>
                <w:kern w:val="0"/>
                <w:sz w:val="24"/>
                <w:szCs w:val="24"/>
                <w:highlight w:val="none"/>
              </w:rPr>
              <w:t>《特种作业操作证（</w:t>
            </w:r>
            <w:r>
              <w:rPr>
                <w:rFonts w:hint="eastAsia" w:hAnsi="宋体"/>
                <w:sz w:val="24"/>
                <w:highlight w:val="none"/>
              </w:rPr>
              <w:t>高处作业</w:t>
            </w:r>
            <w:r>
              <w:rPr>
                <w:rFonts w:hint="eastAsia"/>
                <w:kern w:val="0"/>
                <w:sz w:val="24"/>
                <w:szCs w:val="24"/>
                <w:highlight w:val="none"/>
              </w:rPr>
              <w:t>）》证书电子件且满足招标文件要求</w:t>
            </w:r>
            <w:r>
              <w:rPr>
                <w:rFonts w:hint="eastAsia" w:hAnsi="宋体"/>
                <w:sz w:val="24"/>
                <w:highlight w:val="none"/>
              </w:rPr>
              <w:t>，</w:t>
            </w:r>
            <w:r>
              <w:rPr>
                <w:rFonts w:hint="eastAsia"/>
                <w:kern w:val="0"/>
                <w:sz w:val="24"/>
                <w:szCs w:val="24"/>
                <w:highlight w:val="none"/>
              </w:rPr>
              <w:t>每个满足以上要求的人员得2分，最多4分。</w:t>
            </w:r>
          </w:p>
          <w:p w14:paraId="3AF63C8D">
            <w:pPr>
              <w:adjustRightInd w:val="0"/>
              <w:snapToGrid w:val="0"/>
              <w:rPr>
                <w:kern w:val="0"/>
                <w:sz w:val="24"/>
                <w:szCs w:val="24"/>
                <w:highlight w:val="none"/>
              </w:rPr>
            </w:pPr>
            <w:r>
              <w:rPr>
                <w:rFonts w:hint="eastAsia"/>
                <w:kern w:val="0"/>
                <w:sz w:val="24"/>
                <w:szCs w:val="24"/>
                <w:highlight w:val="none"/>
              </w:rPr>
              <w:t>注：上述（3）和（4）人员不得重复。</w:t>
            </w:r>
            <w:bookmarkEnd w:id="46"/>
          </w:p>
        </w:tc>
        <w:tc>
          <w:tcPr>
            <w:tcW w:w="1140" w:type="dxa"/>
            <w:vAlign w:val="center"/>
          </w:tcPr>
          <w:p w14:paraId="137DBA07">
            <w:pPr>
              <w:widowControl/>
              <w:adjustRightInd w:val="0"/>
              <w:snapToGrid w:val="0"/>
              <w:jc w:val="center"/>
              <w:rPr>
                <w:kern w:val="0"/>
                <w:sz w:val="24"/>
                <w:szCs w:val="24"/>
                <w:highlight w:val="none"/>
              </w:rPr>
            </w:pPr>
            <w:r>
              <w:rPr>
                <w:rFonts w:hint="eastAsia"/>
                <w:kern w:val="0"/>
                <w:sz w:val="24"/>
                <w:szCs w:val="24"/>
                <w:highlight w:val="none"/>
              </w:rPr>
              <w:t>18</w:t>
            </w:r>
          </w:p>
        </w:tc>
      </w:tr>
      <w:bookmarkEnd w:id="22"/>
      <w:tr w14:paraId="480D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663" w:type="dxa"/>
            <w:noWrap/>
            <w:vAlign w:val="center"/>
          </w:tcPr>
          <w:p w14:paraId="60A0AF76">
            <w:pPr>
              <w:widowControl/>
              <w:adjustRightInd w:val="0"/>
              <w:snapToGrid w:val="0"/>
              <w:jc w:val="center"/>
              <w:rPr>
                <w:kern w:val="0"/>
                <w:sz w:val="24"/>
                <w:szCs w:val="24"/>
                <w:highlight w:val="none"/>
              </w:rPr>
            </w:pPr>
            <w:bookmarkStart w:id="47" w:name="_Hlk213855087"/>
            <w:r>
              <w:rPr>
                <w:kern w:val="0"/>
                <w:sz w:val="24"/>
                <w:szCs w:val="24"/>
                <w:highlight w:val="none"/>
              </w:rPr>
              <w:t>4</w:t>
            </w:r>
          </w:p>
        </w:tc>
        <w:tc>
          <w:tcPr>
            <w:tcW w:w="1442" w:type="dxa"/>
            <w:vAlign w:val="center"/>
          </w:tcPr>
          <w:p w14:paraId="0F781BA2">
            <w:pPr>
              <w:widowControl/>
              <w:adjustRightInd w:val="0"/>
              <w:snapToGrid w:val="0"/>
              <w:jc w:val="center"/>
              <w:rPr>
                <w:sz w:val="24"/>
                <w:highlight w:val="none"/>
              </w:rPr>
            </w:pPr>
            <w:bookmarkStart w:id="48" w:name="OLE_LINK86"/>
            <w:bookmarkStart w:id="49" w:name="OLE_LINK79"/>
            <w:bookmarkStart w:id="50" w:name="OLE_LINK80"/>
            <w:r>
              <w:rPr>
                <w:rFonts w:hint="eastAsia"/>
                <w:sz w:val="24"/>
                <w:highlight w:val="none"/>
              </w:rPr>
              <w:t>投标人承诺评价</w:t>
            </w:r>
            <w:bookmarkEnd w:id="48"/>
            <w:bookmarkEnd w:id="49"/>
            <w:bookmarkEnd w:id="50"/>
          </w:p>
        </w:tc>
        <w:tc>
          <w:tcPr>
            <w:tcW w:w="7291" w:type="dxa"/>
            <w:vAlign w:val="center"/>
          </w:tcPr>
          <w:p w14:paraId="0DC8E08F">
            <w:pPr>
              <w:widowControl/>
              <w:adjustRightInd w:val="0"/>
              <w:snapToGrid w:val="0"/>
              <w:rPr>
                <w:kern w:val="0"/>
                <w:sz w:val="24"/>
                <w:szCs w:val="24"/>
                <w:highlight w:val="none"/>
              </w:rPr>
            </w:pPr>
            <w:bookmarkStart w:id="51" w:name="OLE_LINK81"/>
            <w:bookmarkStart w:id="52" w:name="OLE_LINK82"/>
            <w:r>
              <w:rPr>
                <w:rFonts w:hint="eastAsia"/>
                <w:kern w:val="0"/>
                <w:sz w:val="24"/>
                <w:szCs w:val="24"/>
                <w:highlight w:val="none"/>
              </w:rPr>
              <w:t>承诺完全满足招标文件“报价要求”、“时间地点要求”、“付款方式要求”和技术要求中非“★”号要求的：4分，其他</w:t>
            </w:r>
            <w:r>
              <w:rPr>
                <w:kern w:val="0"/>
                <w:sz w:val="24"/>
                <w:szCs w:val="24"/>
                <w:highlight w:val="none"/>
              </w:rPr>
              <w:t>0</w:t>
            </w:r>
            <w:r>
              <w:rPr>
                <w:rFonts w:hint="eastAsia"/>
                <w:kern w:val="0"/>
                <w:sz w:val="24"/>
                <w:szCs w:val="24"/>
                <w:highlight w:val="none"/>
              </w:rPr>
              <w:t>分。</w:t>
            </w:r>
            <w:bookmarkEnd w:id="51"/>
            <w:bookmarkEnd w:id="52"/>
          </w:p>
        </w:tc>
        <w:tc>
          <w:tcPr>
            <w:tcW w:w="1140" w:type="dxa"/>
            <w:vAlign w:val="center"/>
          </w:tcPr>
          <w:p w14:paraId="6E5B8518">
            <w:pPr>
              <w:widowControl/>
              <w:adjustRightInd w:val="0"/>
              <w:snapToGrid w:val="0"/>
              <w:jc w:val="center"/>
              <w:rPr>
                <w:kern w:val="0"/>
                <w:sz w:val="24"/>
                <w:szCs w:val="24"/>
                <w:highlight w:val="none"/>
              </w:rPr>
            </w:pPr>
            <w:r>
              <w:rPr>
                <w:rFonts w:hint="eastAsia"/>
                <w:kern w:val="0"/>
                <w:sz w:val="24"/>
                <w:szCs w:val="24"/>
                <w:highlight w:val="none"/>
              </w:rPr>
              <w:t>4</w:t>
            </w:r>
          </w:p>
        </w:tc>
      </w:tr>
      <w:bookmarkEnd w:id="47"/>
      <w:tr w14:paraId="594B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396" w:type="dxa"/>
            <w:gridSpan w:val="3"/>
            <w:noWrap/>
            <w:vAlign w:val="center"/>
          </w:tcPr>
          <w:p w14:paraId="5707E92C">
            <w:pPr>
              <w:widowControl/>
              <w:adjustRightInd w:val="0"/>
              <w:snapToGrid w:val="0"/>
              <w:jc w:val="center"/>
              <w:rPr>
                <w:kern w:val="0"/>
                <w:sz w:val="24"/>
                <w:szCs w:val="24"/>
                <w:highlight w:val="none"/>
              </w:rPr>
            </w:pPr>
            <w:r>
              <w:rPr>
                <w:kern w:val="0"/>
                <w:sz w:val="24"/>
                <w:szCs w:val="24"/>
                <w:highlight w:val="none"/>
              </w:rPr>
              <w:t>第三部分主观分（</w:t>
            </w:r>
            <w:r>
              <w:rPr>
                <w:rFonts w:hint="eastAsia"/>
                <w:kern w:val="0"/>
                <w:sz w:val="24"/>
                <w:szCs w:val="24"/>
                <w:highlight w:val="none"/>
              </w:rPr>
              <w:t>48</w:t>
            </w:r>
            <w:r>
              <w:rPr>
                <w:kern w:val="0"/>
                <w:sz w:val="24"/>
                <w:szCs w:val="24"/>
                <w:highlight w:val="none"/>
              </w:rPr>
              <w:t>分）</w:t>
            </w:r>
          </w:p>
        </w:tc>
        <w:tc>
          <w:tcPr>
            <w:tcW w:w="1140" w:type="dxa"/>
            <w:vAlign w:val="center"/>
          </w:tcPr>
          <w:p w14:paraId="65892489">
            <w:pPr>
              <w:widowControl/>
              <w:adjustRightInd w:val="0"/>
              <w:snapToGrid w:val="0"/>
              <w:jc w:val="center"/>
              <w:rPr>
                <w:kern w:val="0"/>
                <w:sz w:val="24"/>
                <w:szCs w:val="24"/>
                <w:highlight w:val="none"/>
              </w:rPr>
            </w:pPr>
            <w:r>
              <w:rPr>
                <w:kern w:val="0"/>
                <w:sz w:val="24"/>
                <w:szCs w:val="24"/>
                <w:highlight w:val="none"/>
              </w:rPr>
              <w:t>分值</w:t>
            </w:r>
          </w:p>
        </w:tc>
      </w:tr>
      <w:tr w14:paraId="7E7E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8" w:hRule="atLeast"/>
          <w:jc w:val="center"/>
        </w:trPr>
        <w:tc>
          <w:tcPr>
            <w:tcW w:w="663" w:type="dxa"/>
            <w:noWrap/>
            <w:vAlign w:val="center"/>
          </w:tcPr>
          <w:p w14:paraId="3F13F189">
            <w:pPr>
              <w:widowControl/>
              <w:adjustRightInd w:val="0"/>
              <w:snapToGrid w:val="0"/>
              <w:jc w:val="center"/>
              <w:rPr>
                <w:kern w:val="0"/>
                <w:sz w:val="24"/>
                <w:szCs w:val="24"/>
                <w:highlight w:val="none"/>
              </w:rPr>
            </w:pPr>
            <w:bookmarkStart w:id="53" w:name="_Hlk213854647"/>
            <w:r>
              <w:rPr>
                <w:kern w:val="0"/>
                <w:sz w:val="24"/>
                <w:szCs w:val="24"/>
                <w:highlight w:val="none"/>
              </w:rPr>
              <w:t>1</w:t>
            </w:r>
          </w:p>
        </w:tc>
        <w:tc>
          <w:tcPr>
            <w:tcW w:w="1442" w:type="dxa"/>
            <w:vAlign w:val="center"/>
          </w:tcPr>
          <w:p w14:paraId="7B25DAD3">
            <w:pPr>
              <w:widowControl/>
              <w:adjustRightInd w:val="0"/>
              <w:snapToGrid w:val="0"/>
              <w:jc w:val="center"/>
              <w:rPr>
                <w:kern w:val="0"/>
                <w:sz w:val="24"/>
                <w:szCs w:val="24"/>
                <w:highlight w:val="none"/>
              </w:rPr>
            </w:pPr>
            <w:bookmarkStart w:id="54" w:name="OLE_LINK90"/>
            <w:bookmarkStart w:id="55" w:name="OLE_LINK87"/>
            <w:r>
              <w:rPr>
                <w:rFonts w:hint="eastAsia"/>
                <w:kern w:val="0"/>
                <w:sz w:val="24"/>
                <w:szCs w:val="24"/>
                <w:highlight w:val="none"/>
              </w:rPr>
              <w:t>投标人整体运维方案评价</w:t>
            </w:r>
            <w:bookmarkEnd w:id="54"/>
            <w:bookmarkEnd w:id="55"/>
          </w:p>
        </w:tc>
        <w:tc>
          <w:tcPr>
            <w:tcW w:w="7291" w:type="dxa"/>
            <w:vAlign w:val="center"/>
          </w:tcPr>
          <w:p w14:paraId="7648CA7C">
            <w:pPr>
              <w:widowControl/>
              <w:adjustRightInd w:val="0"/>
              <w:snapToGrid w:val="0"/>
              <w:rPr>
                <w:kern w:val="0"/>
                <w:sz w:val="24"/>
                <w:szCs w:val="24"/>
                <w:highlight w:val="none"/>
              </w:rPr>
            </w:pPr>
            <w:bookmarkStart w:id="56" w:name="OLE_LINK91"/>
            <w:r>
              <w:rPr>
                <w:rFonts w:hint="eastAsia"/>
                <w:kern w:val="0"/>
                <w:sz w:val="24"/>
                <w:szCs w:val="24"/>
                <w:highlight w:val="none"/>
              </w:rPr>
              <w:t>投标人提供项目整体运维方案，内容包括但不限于视频监控设备运维、远程技术服务、现场服务、日常维护、定期巡检。</w:t>
            </w:r>
          </w:p>
          <w:p w14:paraId="618CDE5F">
            <w:pPr>
              <w:widowControl/>
              <w:adjustRightInd w:val="0"/>
              <w:snapToGrid w:val="0"/>
              <w:rPr>
                <w:kern w:val="0"/>
                <w:sz w:val="24"/>
                <w:szCs w:val="24"/>
                <w:highlight w:val="none"/>
              </w:rPr>
            </w:pPr>
            <w:r>
              <w:rPr>
                <w:rFonts w:hint="eastAsia"/>
                <w:kern w:val="0"/>
                <w:sz w:val="24"/>
                <w:szCs w:val="24"/>
                <w:highlight w:val="none"/>
              </w:rPr>
              <w:t>投标人理解深刻、准确，整体运维方案内容完善、架构清晰，逻辑严谨、层次分明、合理、有针对性：6分；</w:t>
            </w:r>
          </w:p>
          <w:p w14:paraId="743BCEEE">
            <w:pPr>
              <w:widowControl/>
              <w:adjustRightInd w:val="0"/>
              <w:snapToGrid w:val="0"/>
              <w:rPr>
                <w:kern w:val="0"/>
                <w:sz w:val="24"/>
                <w:szCs w:val="24"/>
                <w:highlight w:val="none"/>
              </w:rPr>
            </w:pPr>
            <w:r>
              <w:rPr>
                <w:rFonts w:hint="eastAsia"/>
                <w:kern w:val="0"/>
                <w:sz w:val="24"/>
                <w:szCs w:val="24"/>
                <w:highlight w:val="none"/>
              </w:rPr>
              <w:t>满足招标文件要求，但内容存在</w:t>
            </w:r>
            <w:r>
              <w:rPr>
                <w:kern w:val="0"/>
                <w:sz w:val="24"/>
                <w:szCs w:val="24"/>
                <w:highlight w:val="none"/>
              </w:rPr>
              <w:t>1</w:t>
            </w:r>
            <w:r>
              <w:rPr>
                <w:rFonts w:hint="eastAsia"/>
                <w:kern w:val="0"/>
                <w:sz w:val="24"/>
                <w:szCs w:val="24"/>
                <w:highlight w:val="none"/>
              </w:rPr>
              <w:t>处瑕疵：</w:t>
            </w:r>
            <w:r>
              <w:rPr>
                <w:kern w:val="0"/>
                <w:sz w:val="24"/>
                <w:szCs w:val="24"/>
                <w:highlight w:val="none"/>
              </w:rPr>
              <w:t>5</w:t>
            </w:r>
            <w:r>
              <w:rPr>
                <w:rFonts w:hint="eastAsia"/>
                <w:kern w:val="0"/>
                <w:sz w:val="24"/>
                <w:szCs w:val="24"/>
                <w:highlight w:val="none"/>
              </w:rPr>
              <w:t>分；</w:t>
            </w:r>
          </w:p>
          <w:p w14:paraId="357E7A4C">
            <w:pPr>
              <w:widowControl/>
              <w:adjustRightInd w:val="0"/>
              <w:snapToGrid w:val="0"/>
              <w:rPr>
                <w:kern w:val="0"/>
                <w:sz w:val="24"/>
                <w:szCs w:val="24"/>
                <w:highlight w:val="none"/>
              </w:rPr>
            </w:pPr>
            <w:r>
              <w:rPr>
                <w:rFonts w:hint="eastAsia"/>
                <w:kern w:val="0"/>
                <w:sz w:val="24"/>
                <w:szCs w:val="24"/>
                <w:highlight w:val="none"/>
              </w:rPr>
              <w:t>满足招标文件要求，但内容存在</w:t>
            </w:r>
            <w:r>
              <w:rPr>
                <w:kern w:val="0"/>
                <w:sz w:val="24"/>
                <w:szCs w:val="24"/>
                <w:highlight w:val="none"/>
              </w:rPr>
              <w:t>2</w:t>
            </w:r>
            <w:r>
              <w:rPr>
                <w:rFonts w:hint="eastAsia"/>
                <w:kern w:val="0"/>
                <w:sz w:val="24"/>
                <w:szCs w:val="24"/>
                <w:highlight w:val="none"/>
              </w:rPr>
              <w:t>处瑕疵：4分；</w:t>
            </w:r>
          </w:p>
          <w:p w14:paraId="50267692">
            <w:pPr>
              <w:widowControl/>
              <w:adjustRightInd w:val="0"/>
              <w:snapToGrid w:val="0"/>
              <w:rPr>
                <w:color w:val="FF0000"/>
                <w:kern w:val="0"/>
                <w:sz w:val="24"/>
                <w:szCs w:val="24"/>
                <w:highlight w:val="none"/>
              </w:rPr>
            </w:pPr>
            <w:r>
              <w:rPr>
                <w:rFonts w:hint="eastAsia"/>
                <w:kern w:val="0"/>
                <w:sz w:val="24"/>
                <w:szCs w:val="24"/>
                <w:highlight w:val="none"/>
              </w:rPr>
              <w:t>其他：</w:t>
            </w:r>
            <w:r>
              <w:rPr>
                <w:kern w:val="0"/>
                <w:sz w:val="24"/>
                <w:szCs w:val="24"/>
                <w:highlight w:val="none"/>
              </w:rPr>
              <w:t>0</w:t>
            </w:r>
            <w:r>
              <w:rPr>
                <w:rFonts w:hint="eastAsia"/>
                <w:kern w:val="0"/>
                <w:sz w:val="24"/>
                <w:szCs w:val="24"/>
                <w:highlight w:val="none"/>
              </w:rPr>
              <w:t>分；</w:t>
            </w:r>
            <w:bookmarkEnd w:id="56"/>
          </w:p>
        </w:tc>
        <w:tc>
          <w:tcPr>
            <w:tcW w:w="1140" w:type="dxa"/>
            <w:vAlign w:val="center"/>
          </w:tcPr>
          <w:p w14:paraId="6E9FAB62">
            <w:pPr>
              <w:widowControl/>
              <w:adjustRightInd w:val="0"/>
              <w:snapToGrid w:val="0"/>
              <w:jc w:val="center"/>
              <w:rPr>
                <w:kern w:val="0"/>
                <w:sz w:val="24"/>
                <w:szCs w:val="24"/>
                <w:highlight w:val="none"/>
              </w:rPr>
            </w:pPr>
            <w:r>
              <w:rPr>
                <w:rFonts w:hint="eastAsia"/>
                <w:kern w:val="0"/>
                <w:sz w:val="24"/>
                <w:szCs w:val="24"/>
                <w:highlight w:val="none"/>
              </w:rPr>
              <w:t>6</w:t>
            </w:r>
          </w:p>
        </w:tc>
      </w:tr>
      <w:bookmarkEnd w:id="53"/>
      <w:tr w14:paraId="0CC6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63" w:type="dxa"/>
            <w:noWrap/>
            <w:vAlign w:val="center"/>
          </w:tcPr>
          <w:p w14:paraId="5FD0DD9A">
            <w:pPr>
              <w:widowControl/>
              <w:adjustRightInd w:val="0"/>
              <w:snapToGrid w:val="0"/>
              <w:jc w:val="center"/>
              <w:rPr>
                <w:kern w:val="0"/>
                <w:sz w:val="24"/>
                <w:szCs w:val="24"/>
                <w:highlight w:val="none"/>
              </w:rPr>
            </w:pPr>
            <w:bookmarkStart w:id="57" w:name="_Hlk213854658"/>
            <w:r>
              <w:rPr>
                <w:rFonts w:hint="eastAsia"/>
                <w:kern w:val="0"/>
                <w:sz w:val="24"/>
                <w:szCs w:val="24"/>
                <w:highlight w:val="none"/>
              </w:rPr>
              <w:t>2</w:t>
            </w:r>
          </w:p>
        </w:tc>
        <w:tc>
          <w:tcPr>
            <w:tcW w:w="1442" w:type="dxa"/>
            <w:vAlign w:val="center"/>
          </w:tcPr>
          <w:p w14:paraId="6AD24205">
            <w:pPr>
              <w:widowControl/>
              <w:adjustRightInd w:val="0"/>
              <w:snapToGrid w:val="0"/>
              <w:jc w:val="center"/>
              <w:rPr>
                <w:kern w:val="0"/>
                <w:sz w:val="24"/>
                <w:szCs w:val="24"/>
                <w:highlight w:val="none"/>
              </w:rPr>
            </w:pPr>
            <w:bookmarkStart w:id="58" w:name="OLE_LINK92"/>
            <w:bookmarkStart w:id="59" w:name="OLE_LINK93"/>
            <w:r>
              <w:rPr>
                <w:rFonts w:hint="eastAsia"/>
                <w:kern w:val="0"/>
                <w:sz w:val="24"/>
                <w:szCs w:val="24"/>
                <w:highlight w:val="none"/>
              </w:rPr>
              <w:t>项目需求理解分析评价</w:t>
            </w:r>
            <w:bookmarkEnd w:id="58"/>
            <w:bookmarkEnd w:id="59"/>
          </w:p>
        </w:tc>
        <w:tc>
          <w:tcPr>
            <w:tcW w:w="7291" w:type="dxa"/>
            <w:vAlign w:val="center"/>
          </w:tcPr>
          <w:p w14:paraId="1F3BBB4B">
            <w:pPr>
              <w:widowControl/>
              <w:adjustRightInd w:val="0"/>
              <w:snapToGrid w:val="0"/>
              <w:jc w:val="left"/>
              <w:rPr>
                <w:rFonts w:ascii="宋体" w:hAnsi="宋体" w:cs="宋体"/>
                <w:kern w:val="0"/>
                <w:sz w:val="24"/>
                <w:highlight w:val="none"/>
              </w:rPr>
            </w:pPr>
            <w:bookmarkStart w:id="60" w:name="OLE_LINK94"/>
            <w:bookmarkStart w:id="61" w:name="OLE_LINK97"/>
            <w:r>
              <w:rPr>
                <w:rFonts w:hint="eastAsia" w:ascii="宋体" w:hAnsi="宋体" w:cs="宋体"/>
                <w:sz w:val="24"/>
                <w:highlight w:val="none"/>
              </w:rPr>
              <w:t>投标人对项目的认识和理解阐述</w:t>
            </w:r>
            <w:r>
              <w:rPr>
                <w:rFonts w:hint="eastAsia" w:ascii="宋体" w:hAnsi="宋体" w:cs="宋体"/>
                <w:kern w:val="0"/>
                <w:sz w:val="24"/>
                <w:highlight w:val="none"/>
              </w:rPr>
              <w:t>方面，包含任务目标、实施要求等方面内容。</w:t>
            </w:r>
          </w:p>
          <w:p w14:paraId="518D014A">
            <w:pPr>
              <w:widowControl/>
              <w:adjustRightInd w:val="0"/>
              <w:snapToGrid w:val="0"/>
              <w:jc w:val="left"/>
              <w:rPr>
                <w:kern w:val="0"/>
                <w:sz w:val="24"/>
                <w:szCs w:val="24"/>
                <w:highlight w:val="none"/>
              </w:rPr>
            </w:pPr>
            <w:r>
              <w:rPr>
                <w:rFonts w:hint="eastAsia" w:ascii="宋体" w:hAnsi="宋体" w:cs="宋体"/>
                <w:sz w:val="24"/>
                <w:highlight w:val="none"/>
              </w:rPr>
              <w:t>方案完整，逻辑严谨、层次分明、表达准确、</w:t>
            </w:r>
            <w:r>
              <w:rPr>
                <w:rFonts w:hint="eastAsia" w:ascii="宋体" w:hAnsi="宋体" w:cs="宋体"/>
                <w:kern w:val="0"/>
                <w:sz w:val="24"/>
                <w:highlight w:val="none"/>
              </w:rPr>
              <w:t>各项检查表格设计</w:t>
            </w:r>
            <w:r>
              <w:rPr>
                <w:rFonts w:hint="eastAsia" w:ascii="宋体" w:hAnsi="宋体" w:cs="宋体"/>
                <w:sz w:val="24"/>
                <w:highlight w:val="none"/>
              </w:rPr>
              <w:t>合理、有针对性</w:t>
            </w:r>
            <w:r>
              <w:rPr>
                <w:rFonts w:hint="eastAsia"/>
                <w:kern w:val="0"/>
                <w:sz w:val="24"/>
                <w:szCs w:val="24"/>
                <w:highlight w:val="none"/>
              </w:rPr>
              <w:t>：6分；</w:t>
            </w:r>
          </w:p>
          <w:p w14:paraId="297753F1">
            <w:pPr>
              <w:widowControl/>
              <w:adjustRightInd w:val="0"/>
              <w:snapToGrid w:val="0"/>
              <w:rPr>
                <w:kern w:val="0"/>
                <w:sz w:val="24"/>
                <w:szCs w:val="24"/>
                <w:highlight w:val="none"/>
              </w:rPr>
            </w:pPr>
            <w:r>
              <w:rPr>
                <w:rFonts w:hint="eastAsia"/>
                <w:kern w:val="0"/>
                <w:sz w:val="24"/>
                <w:szCs w:val="24"/>
                <w:highlight w:val="none"/>
              </w:rPr>
              <w:t>满足招标文件要求，但内容存在</w:t>
            </w:r>
            <w:r>
              <w:rPr>
                <w:kern w:val="0"/>
                <w:sz w:val="24"/>
                <w:szCs w:val="24"/>
                <w:highlight w:val="none"/>
              </w:rPr>
              <w:t>1</w:t>
            </w:r>
            <w:r>
              <w:rPr>
                <w:rFonts w:hint="eastAsia"/>
                <w:kern w:val="0"/>
                <w:sz w:val="24"/>
                <w:szCs w:val="24"/>
                <w:highlight w:val="none"/>
              </w:rPr>
              <w:t>处瑕疵：5分；</w:t>
            </w:r>
          </w:p>
          <w:p w14:paraId="61DC1925">
            <w:pPr>
              <w:widowControl/>
              <w:adjustRightInd w:val="0"/>
              <w:snapToGrid w:val="0"/>
              <w:rPr>
                <w:kern w:val="0"/>
                <w:sz w:val="24"/>
                <w:szCs w:val="24"/>
                <w:highlight w:val="none"/>
              </w:rPr>
            </w:pPr>
            <w:r>
              <w:rPr>
                <w:rFonts w:hint="eastAsia"/>
                <w:kern w:val="0"/>
                <w:sz w:val="24"/>
                <w:szCs w:val="24"/>
                <w:highlight w:val="none"/>
              </w:rPr>
              <w:t>满足招标文件要求，但内容存在</w:t>
            </w:r>
            <w:r>
              <w:rPr>
                <w:kern w:val="0"/>
                <w:sz w:val="24"/>
                <w:szCs w:val="24"/>
                <w:highlight w:val="none"/>
              </w:rPr>
              <w:t>2</w:t>
            </w:r>
            <w:r>
              <w:rPr>
                <w:rFonts w:hint="eastAsia"/>
                <w:kern w:val="0"/>
                <w:sz w:val="24"/>
                <w:szCs w:val="24"/>
                <w:highlight w:val="none"/>
              </w:rPr>
              <w:t>处瑕疵：4分；</w:t>
            </w:r>
          </w:p>
          <w:p w14:paraId="53BD7D0D">
            <w:pPr>
              <w:widowControl/>
              <w:adjustRightInd w:val="0"/>
              <w:snapToGrid w:val="0"/>
              <w:rPr>
                <w:sz w:val="24"/>
                <w:highlight w:val="none"/>
              </w:rPr>
            </w:pPr>
            <w:r>
              <w:rPr>
                <w:rFonts w:hint="eastAsia"/>
                <w:kern w:val="0"/>
                <w:sz w:val="24"/>
                <w:szCs w:val="24"/>
                <w:highlight w:val="none"/>
              </w:rPr>
              <w:t>其他：</w:t>
            </w:r>
            <w:r>
              <w:rPr>
                <w:kern w:val="0"/>
                <w:sz w:val="24"/>
                <w:szCs w:val="24"/>
                <w:highlight w:val="none"/>
              </w:rPr>
              <w:t>0</w:t>
            </w:r>
            <w:r>
              <w:rPr>
                <w:rFonts w:hint="eastAsia"/>
                <w:kern w:val="0"/>
                <w:sz w:val="24"/>
                <w:szCs w:val="24"/>
                <w:highlight w:val="none"/>
              </w:rPr>
              <w:t>分。</w:t>
            </w:r>
            <w:bookmarkEnd w:id="60"/>
            <w:bookmarkEnd w:id="61"/>
          </w:p>
        </w:tc>
        <w:tc>
          <w:tcPr>
            <w:tcW w:w="1140" w:type="dxa"/>
            <w:vAlign w:val="center"/>
          </w:tcPr>
          <w:p w14:paraId="2773490B">
            <w:pPr>
              <w:widowControl/>
              <w:adjustRightInd w:val="0"/>
              <w:snapToGrid w:val="0"/>
              <w:jc w:val="center"/>
              <w:rPr>
                <w:kern w:val="0"/>
                <w:sz w:val="24"/>
                <w:szCs w:val="24"/>
                <w:highlight w:val="none"/>
              </w:rPr>
            </w:pPr>
            <w:r>
              <w:rPr>
                <w:rFonts w:hint="eastAsia"/>
                <w:kern w:val="0"/>
                <w:sz w:val="24"/>
                <w:szCs w:val="24"/>
                <w:highlight w:val="none"/>
              </w:rPr>
              <w:t>6</w:t>
            </w:r>
          </w:p>
        </w:tc>
      </w:tr>
      <w:bookmarkEnd w:id="57"/>
      <w:tr w14:paraId="77AEA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3" w:hRule="atLeast"/>
          <w:jc w:val="center"/>
        </w:trPr>
        <w:tc>
          <w:tcPr>
            <w:tcW w:w="663" w:type="dxa"/>
            <w:noWrap/>
            <w:vAlign w:val="center"/>
          </w:tcPr>
          <w:p w14:paraId="23C87683">
            <w:pPr>
              <w:widowControl/>
              <w:adjustRightInd w:val="0"/>
              <w:snapToGrid w:val="0"/>
              <w:jc w:val="center"/>
              <w:rPr>
                <w:kern w:val="0"/>
                <w:sz w:val="24"/>
                <w:szCs w:val="24"/>
                <w:highlight w:val="none"/>
              </w:rPr>
            </w:pPr>
            <w:bookmarkStart w:id="62" w:name="_Hlk213854664"/>
            <w:r>
              <w:rPr>
                <w:rFonts w:hint="eastAsia"/>
                <w:kern w:val="0"/>
                <w:sz w:val="24"/>
                <w:szCs w:val="24"/>
                <w:highlight w:val="none"/>
              </w:rPr>
              <w:t>3</w:t>
            </w:r>
          </w:p>
        </w:tc>
        <w:tc>
          <w:tcPr>
            <w:tcW w:w="1442" w:type="dxa"/>
            <w:vAlign w:val="center"/>
          </w:tcPr>
          <w:p w14:paraId="5C773C21">
            <w:pPr>
              <w:widowControl/>
              <w:adjustRightInd w:val="0"/>
              <w:snapToGrid w:val="0"/>
              <w:jc w:val="center"/>
              <w:rPr>
                <w:kern w:val="0"/>
                <w:sz w:val="24"/>
                <w:szCs w:val="24"/>
                <w:highlight w:val="none"/>
              </w:rPr>
            </w:pPr>
            <w:bookmarkStart w:id="63" w:name="OLE_LINK102"/>
            <w:bookmarkStart w:id="64" w:name="OLE_LINK98"/>
            <w:r>
              <w:rPr>
                <w:rFonts w:hint="eastAsia"/>
                <w:kern w:val="0"/>
                <w:sz w:val="24"/>
                <w:szCs w:val="24"/>
                <w:highlight w:val="none"/>
              </w:rPr>
              <w:t>运维团队人员评价</w:t>
            </w:r>
            <w:bookmarkEnd w:id="63"/>
            <w:bookmarkEnd w:id="64"/>
          </w:p>
        </w:tc>
        <w:tc>
          <w:tcPr>
            <w:tcW w:w="7291" w:type="dxa"/>
            <w:vAlign w:val="center"/>
          </w:tcPr>
          <w:p w14:paraId="654AB532">
            <w:pPr>
              <w:widowControl/>
              <w:adjustRightInd w:val="0"/>
              <w:snapToGrid w:val="0"/>
              <w:jc w:val="left"/>
              <w:rPr>
                <w:rFonts w:ascii="宋体" w:hAnsi="宋体" w:cs="宋体"/>
                <w:kern w:val="0"/>
                <w:sz w:val="24"/>
                <w:highlight w:val="none"/>
              </w:rPr>
            </w:pPr>
            <w:bookmarkStart w:id="65" w:name="OLE_LINK108"/>
            <w:bookmarkStart w:id="66" w:name="OLE_LINK103"/>
            <w:r>
              <w:rPr>
                <w:rFonts w:hint="eastAsia" w:ascii="宋体" w:hAnsi="宋体" w:cs="宋体"/>
                <w:kern w:val="0"/>
                <w:sz w:val="24"/>
                <w:highlight w:val="none"/>
              </w:rPr>
              <w:t>投标人根据项目需求提供运维团队人员配置及组织架构的表述，内容包括对组织架构、人员配置、员工劳动保障、管理制度等方面.</w:t>
            </w:r>
          </w:p>
          <w:p w14:paraId="7E163EFD">
            <w:pPr>
              <w:widowControl/>
              <w:adjustRightInd w:val="0"/>
              <w:snapToGrid w:val="0"/>
              <w:jc w:val="left"/>
              <w:rPr>
                <w:kern w:val="0"/>
                <w:sz w:val="24"/>
                <w:szCs w:val="24"/>
                <w:highlight w:val="none"/>
              </w:rPr>
            </w:pPr>
            <w:r>
              <w:rPr>
                <w:rFonts w:hint="eastAsia" w:ascii="宋体" w:hAnsi="宋体" w:cs="宋体"/>
                <w:sz w:val="24"/>
                <w:highlight w:val="none"/>
              </w:rPr>
              <w:t>内容完整，逻辑严谨、层次分明、表达准确、</w:t>
            </w:r>
            <w:r>
              <w:rPr>
                <w:rFonts w:hint="eastAsia" w:ascii="宋体" w:hAnsi="宋体" w:cs="宋体"/>
                <w:kern w:val="0"/>
                <w:sz w:val="24"/>
                <w:highlight w:val="none"/>
              </w:rPr>
              <w:t>管理理念先进、</w:t>
            </w:r>
            <w:r>
              <w:rPr>
                <w:rFonts w:hint="eastAsia" w:ascii="宋体" w:hAnsi="宋体" w:cs="宋体"/>
                <w:sz w:val="24"/>
                <w:highlight w:val="none"/>
              </w:rPr>
              <w:t>合理、有针对性：</w:t>
            </w:r>
            <w:r>
              <w:rPr>
                <w:rFonts w:hint="eastAsia"/>
                <w:kern w:val="0"/>
                <w:sz w:val="24"/>
                <w:szCs w:val="24"/>
                <w:highlight w:val="none"/>
              </w:rPr>
              <w:t>6分；</w:t>
            </w:r>
          </w:p>
          <w:p w14:paraId="367B6B78">
            <w:pPr>
              <w:widowControl/>
              <w:adjustRightInd w:val="0"/>
              <w:snapToGrid w:val="0"/>
              <w:rPr>
                <w:kern w:val="0"/>
                <w:sz w:val="24"/>
                <w:szCs w:val="24"/>
                <w:highlight w:val="none"/>
              </w:rPr>
            </w:pPr>
            <w:r>
              <w:rPr>
                <w:rFonts w:hint="eastAsia"/>
                <w:kern w:val="0"/>
                <w:sz w:val="24"/>
                <w:szCs w:val="24"/>
                <w:highlight w:val="none"/>
              </w:rPr>
              <w:t>满足竞争性招标文件要求，但内容存在1处瑕疵：5分；</w:t>
            </w:r>
          </w:p>
          <w:p w14:paraId="37D6A24D">
            <w:pPr>
              <w:widowControl/>
              <w:adjustRightInd w:val="0"/>
              <w:snapToGrid w:val="0"/>
              <w:rPr>
                <w:kern w:val="0"/>
                <w:sz w:val="24"/>
                <w:szCs w:val="24"/>
                <w:highlight w:val="none"/>
              </w:rPr>
            </w:pPr>
            <w:r>
              <w:rPr>
                <w:rFonts w:hint="eastAsia"/>
                <w:kern w:val="0"/>
                <w:sz w:val="24"/>
                <w:szCs w:val="24"/>
                <w:highlight w:val="none"/>
              </w:rPr>
              <w:t>满足竞争性招标文件要求，但内容存在2处瑕疵：4分；</w:t>
            </w:r>
          </w:p>
          <w:p w14:paraId="401D374B">
            <w:pPr>
              <w:widowControl/>
              <w:adjustRightInd w:val="0"/>
              <w:snapToGrid w:val="0"/>
              <w:rPr>
                <w:kern w:val="0"/>
                <w:sz w:val="24"/>
                <w:szCs w:val="24"/>
                <w:highlight w:val="none"/>
              </w:rPr>
            </w:pPr>
            <w:r>
              <w:rPr>
                <w:rFonts w:hint="eastAsia"/>
                <w:kern w:val="0"/>
                <w:sz w:val="24"/>
                <w:szCs w:val="24"/>
                <w:highlight w:val="none"/>
              </w:rPr>
              <w:t>其他：0分。</w:t>
            </w:r>
            <w:bookmarkEnd w:id="65"/>
            <w:bookmarkEnd w:id="66"/>
          </w:p>
        </w:tc>
        <w:tc>
          <w:tcPr>
            <w:tcW w:w="1140" w:type="dxa"/>
            <w:vAlign w:val="center"/>
          </w:tcPr>
          <w:p w14:paraId="3BDF117C">
            <w:pPr>
              <w:widowControl/>
              <w:adjustRightInd w:val="0"/>
              <w:snapToGrid w:val="0"/>
              <w:jc w:val="center"/>
              <w:rPr>
                <w:kern w:val="0"/>
                <w:sz w:val="24"/>
                <w:szCs w:val="24"/>
                <w:highlight w:val="none"/>
              </w:rPr>
            </w:pPr>
            <w:r>
              <w:rPr>
                <w:rFonts w:hint="eastAsia"/>
                <w:kern w:val="0"/>
                <w:sz w:val="24"/>
                <w:szCs w:val="24"/>
                <w:highlight w:val="none"/>
              </w:rPr>
              <w:t>6</w:t>
            </w:r>
          </w:p>
        </w:tc>
      </w:tr>
      <w:bookmarkEnd w:id="62"/>
      <w:tr w14:paraId="0473B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7" w:hRule="atLeast"/>
          <w:jc w:val="center"/>
        </w:trPr>
        <w:tc>
          <w:tcPr>
            <w:tcW w:w="663" w:type="dxa"/>
            <w:noWrap/>
            <w:vAlign w:val="center"/>
          </w:tcPr>
          <w:p w14:paraId="028AAF07">
            <w:pPr>
              <w:widowControl/>
              <w:adjustRightInd w:val="0"/>
              <w:snapToGrid w:val="0"/>
              <w:jc w:val="center"/>
              <w:rPr>
                <w:kern w:val="0"/>
                <w:sz w:val="24"/>
                <w:szCs w:val="24"/>
                <w:highlight w:val="none"/>
              </w:rPr>
            </w:pPr>
            <w:bookmarkStart w:id="67" w:name="_Hlk213854681"/>
            <w:r>
              <w:rPr>
                <w:rFonts w:hint="eastAsia"/>
                <w:kern w:val="0"/>
                <w:sz w:val="24"/>
                <w:szCs w:val="24"/>
                <w:highlight w:val="none"/>
              </w:rPr>
              <w:t>4</w:t>
            </w:r>
          </w:p>
        </w:tc>
        <w:tc>
          <w:tcPr>
            <w:tcW w:w="1442" w:type="dxa"/>
            <w:vAlign w:val="center"/>
          </w:tcPr>
          <w:p w14:paraId="1D69447C">
            <w:pPr>
              <w:widowControl/>
              <w:adjustRightInd w:val="0"/>
              <w:snapToGrid w:val="0"/>
              <w:jc w:val="center"/>
              <w:rPr>
                <w:kern w:val="0"/>
                <w:sz w:val="24"/>
                <w:szCs w:val="24"/>
                <w:highlight w:val="none"/>
              </w:rPr>
            </w:pPr>
            <w:bookmarkStart w:id="68" w:name="OLE_LINK134"/>
            <w:bookmarkStart w:id="69" w:name="OLE_LINK113"/>
            <w:bookmarkStart w:id="70" w:name="OLE_LINK118"/>
            <w:r>
              <w:rPr>
                <w:rFonts w:hint="eastAsia" w:ascii="宋体" w:hAnsi="宋体" w:cs="Arial"/>
                <w:sz w:val="24"/>
                <w:highlight w:val="none"/>
              </w:rPr>
              <w:t>运维服务保障措施方案评价</w:t>
            </w:r>
            <w:bookmarkEnd w:id="68"/>
            <w:bookmarkEnd w:id="69"/>
            <w:bookmarkEnd w:id="70"/>
          </w:p>
        </w:tc>
        <w:tc>
          <w:tcPr>
            <w:tcW w:w="7291" w:type="dxa"/>
            <w:vAlign w:val="center"/>
          </w:tcPr>
          <w:p w14:paraId="6A751194">
            <w:pPr>
              <w:widowControl/>
              <w:adjustRightInd w:val="0"/>
              <w:snapToGrid w:val="0"/>
              <w:rPr>
                <w:kern w:val="0"/>
                <w:sz w:val="24"/>
                <w:szCs w:val="24"/>
                <w:highlight w:val="none"/>
              </w:rPr>
            </w:pPr>
            <w:bookmarkStart w:id="71" w:name="OLE_LINK119"/>
            <w:bookmarkStart w:id="72" w:name="OLE_LINK135"/>
            <w:r>
              <w:rPr>
                <w:rFonts w:hint="eastAsia"/>
                <w:kern w:val="0"/>
                <w:sz w:val="24"/>
                <w:szCs w:val="24"/>
                <w:highlight w:val="none"/>
              </w:rPr>
              <w:t>投标人针对本项目制定运维服务保障措施方案，包含但不限于质量管理计划、定期预防及检查保证措施、质量保证措施等内容。</w:t>
            </w:r>
          </w:p>
          <w:p w14:paraId="28304504">
            <w:pPr>
              <w:widowControl/>
              <w:adjustRightInd w:val="0"/>
              <w:snapToGrid w:val="0"/>
              <w:rPr>
                <w:kern w:val="0"/>
                <w:sz w:val="24"/>
                <w:szCs w:val="24"/>
                <w:highlight w:val="none"/>
              </w:rPr>
            </w:pPr>
            <w:r>
              <w:rPr>
                <w:rFonts w:hint="eastAsia"/>
                <w:kern w:val="0"/>
                <w:sz w:val="24"/>
                <w:szCs w:val="24"/>
                <w:highlight w:val="none"/>
              </w:rPr>
              <w:t>方案完整、描述清晰、合理、有针对性、可行性强：6分；</w:t>
            </w:r>
          </w:p>
          <w:p w14:paraId="5ED473A8">
            <w:pPr>
              <w:widowControl/>
              <w:adjustRightInd w:val="0"/>
              <w:snapToGrid w:val="0"/>
              <w:rPr>
                <w:kern w:val="0"/>
                <w:sz w:val="24"/>
                <w:szCs w:val="24"/>
                <w:highlight w:val="none"/>
              </w:rPr>
            </w:pPr>
            <w:r>
              <w:rPr>
                <w:rFonts w:hint="eastAsia"/>
                <w:kern w:val="0"/>
                <w:sz w:val="24"/>
                <w:szCs w:val="24"/>
                <w:highlight w:val="none"/>
              </w:rPr>
              <w:t>满足招标文件要求，但内容存在1处瑕疵：5分；</w:t>
            </w:r>
          </w:p>
          <w:p w14:paraId="1765DFA2">
            <w:pPr>
              <w:widowControl/>
              <w:adjustRightInd w:val="0"/>
              <w:snapToGrid w:val="0"/>
              <w:rPr>
                <w:kern w:val="0"/>
                <w:sz w:val="24"/>
                <w:szCs w:val="24"/>
                <w:highlight w:val="none"/>
              </w:rPr>
            </w:pPr>
            <w:r>
              <w:rPr>
                <w:rFonts w:hint="eastAsia"/>
                <w:kern w:val="0"/>
                <w:sz w:val="24"/>
                <w:szCs w:val="24"/>
                <w:highlight w:val="none"/>
              </w:rPr>
              <w:t>满足招标文件要求，但内容存在2处瑕疵：4分；</w:t>
            </w:r>
          </w:p>
          <w:p w14:paraId="3A40F709">
            <w:pPr>
              <w:widowControl/>
              <w:adjustRightInd w:val="0"/>
              <w:snapToGrid w:val="0"/>
              <w:rPr>
                <w:kern w:val="0"/>
                <w:sz w:val="24"/>
                <w:szCs w:val="24"/>
                <w:highlight w:val="none"/>
              </w:rPr>
            </w:pPr>
            <w:r>
              <w:rPr>
                <w:rFonts w:hint="eastAsia"/>
                <w:kern w:val="0"/>
                <w:sz w:val="24"/>
                <w:szCs w:val="24"/>
                <w:highlight w:val="none"/>
              </w:rPr>
              <w:t>其他：0分。</w:t>
            </w:r>
            <w:bookmarkEnd w:id="71"/>
            <w:bookmarkEnd w:id="72"/>
          </w:p>
        </w:tc>
        <w:tc>
          <w:tcPr>
            <w:tcW w:w="1140" w:type="dxa"/>
            <w:vAlign w:val="center"/>
          </w:tcPr>
          <w:p w14:paraId="6951DC0C">
            <w:pPr>
              <w:widowControl/>
              <w:adjustRightInd w:val="0"/>
              <w:snapToGrid w:val="0"/>
              <w:jc w:val="center"/>
              <w:rPr>
                <w:kern w:val="0"/>
                <w:sz w:val="24"/>
                <w:szCs w:val="24"/>
                <w:highlight w:val="none"/>
              </w:rPr>
            </w:pPr>
            <w:r>
              <w:rPr>
                <w:rFonts w:hint="eastAsia"/>
                <w:kern w:val="0"/>
                <w:sz w:val="24"/>
                <w:szCs w:val="24"/>
                <w:highlight w:val="none"/>
              </w:rPr>
              <w:t>6</w:t>
            </w:r>
          </w:p>
        </w:tc>
      </w:tr>
      <w:bookmarkEnd w:id="67"/>
      <w:tr w14:paraId="518B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noWrap/>
            <w:vAlign w:val="center"/>
          </w:tcPr>
          <w:p w14:paraId="668D7D35">
            <w:pPr>
              <w:widowControl/>
              <w:adjustRightInd w:val="0"/>
              <w:snapToGrid w:val="0"/>
              <w:jc w:val="center"/>
              <w:rPr>
                <w:kern w:val="0"/>
                <w:sz w:val="24"/>
                <w:szCs w:val="24"/>
                <w:highlight w:val="none"/>
              </w:rPr>
            </w:pPr>
            <w:bookmarkStart w:id="73" w:name="_Hlk213854688"/>
            <w:r>
              <w:rPr>
                <w:rFonts w:hint="eastAsia"/>
                <w:kern w:val="0"/>
                <w:sz w:val="24"/>
                <w:szCs w:val="24"/>
                <w:highlight w:val="none"/>
              </w:rPr>
              <w:t>5</w:t>
            </w:r>
          </w:p>
        </w:tc>
        <w:tc>
          <w:tcPr>
            <w:tcW w:w="1442" w:type="dxa"/>
            <w:vAlign w:val="center"/>
          </w:tcPr>
          <w:p w14:paraId="5D094147">
            <w:pPr>
              <w:widowControl/>
              <w:adjustRightInd w:val="0"/>
              <w:snapToGrid w:val="0"/>
              <w:jc w:val="center"/>
              <w:rPr>
                <w:rFonts w:ascii="宋体" w:hAnsi="宋体" w:cs="宋体"/>
                <w:kern w:val="0"/>
                <w:sz w:val="24"/>
                <w:highlight w:val="none"/>
              </w:rPr>
            </w:pPr>
            <w:bookmarkStart w:id="74" w:name="OLE_LINK120"/>
            <w:bookmarkStart w:id="75" w:name="OLE_LINK121"/>
            <w:r>
              <w:rPr>
                <w:rFonts w:hint="eastAsia" w:ascii="宋体" w:hAnsi="宋体" w:cs="宋体"/>
                <w:kern w:val="0"/>
                <w:sz w:val="24"/>
                <w:highlight w:val="none"/>
              </w:rPr>
              <w:t>应急保障方案评价</w:t>
            </w:r>
            <w:bookmarkEnd w:id="74"/>
            <w:bookmarkEnd w:id="75"/>
          </w:p>
        </w:tc>
        <w:tc>
          <w:tcPr>
            <w:tcW w:w="7291" w:type="dxa"/>
            <w:vAlign w:val="center"/>
          </w:tcPr>
          <w:p w14:paraId="471A37A1">
            <w:pPr>
              <w:adjustRightInd w:val="0"/>
              <w:snapToGrid w:val="0"/>
              <w:jc w:val="left"/>
              <w:rPr>
                <w:rFonts w:ascii="宋体" w:hAnsi="宋体" w:cs="宋体"/>
                <w:kern w:val="0"/>
                <w:sz w:val="24"/>
                <w:highlight w:val="none"/>
              </w:rPr>
            </w:pPr>
            <w:bookmarkStart w:id="76" w:name="OLE_LINK136"/>
            <w:bookmarkStart w:id="77" w:name="OLE_LINK122"/>
            <w:r>
              <w:rPr>
                <w:rFonts w:hint="eastAsia" w:ascii="宋体" w:hAnsi="宋体" w:cs="宋体"/>
                <w:kern w:val="0"/>
                <w:sz w:val="24"/>
                <w:highlight w:val="none"/>
              </w:rPr>
              <w:t>投标人针对本项目制定应急响应服务方案，内容包括但不限于服务内容、范围、解决措施等。</w:t>
            </w:r>
          </w:p>
          <w:p w14:paraId="53D4F879">
            <w:pPr>
              <w:adjustRightInd w:val="0"/>
              <w:snapToGrid w:val="0"/>
              <w:jc w:val="left"/>
              <w:rPr>
                <w:rFonts w:ascii="宋体" w:hAnsi="宋体" w:cs="宋体"/>
                <w:kern w:val="0"/>
                <w:sz w:val="24"/>
                <w:highlight w:val="none"/>
              </w:rPr>
            </w:pPr>
            <w:r>
              <w:rPr>
                <w:rFonts w:hint="eastAsia" w:ascii="宋体" w:hAnsi="宋体" w:cs="宋体"/>
                <w:kern w:val="0"/>
                <w:sz w:val="24"/>
                <w:highlight w:val="none"/>
              </w:rPr>
              <w:t>服务方案细致、全面，内容涵盖运维范围内各功能平台，且能够针对各种情况提出针对性措施，合理、可行性强：</w:t>
            </w:r>
            <w:r>
              <w:rPr>
                <w:rFonts w:hint="eastAsia"/>
                <w:sz w:val="24"/>
                <w:highlight w:val="none"/>
              </w:rPr>
              <w:t>6</w:t>
            </w:r>
            <w:r>
              <w:rPr>
                <w:rFonts w:hint="eastAsia" w:ascii="宋体" w:hAnsi="宋体" w:cs="宋体"/>
                <w:kern w:val="0"/>
                <w:sz w:val="24"/>
                <w:highlight w:val="none"/>
              </w:rPr>
              <w:t>分；</w:t>
            </w:r>
          </w:p>
          <w:p w14:paraId="2C4D23C2">
            <w:pPr>
              <w:widowControl/>
              <w:adjustRightInd w:val="0"/>
              <w:snapToGrid w:val="0"/>
              <w:rPr>
                <w:sz w:val="24"/>
                <w:highlight w:val="none"/>
              </w:rPr>
            </w:pPr>
            <w:r>
              <w:rPr>
                <w:rFonts w:hint="eastAsia"/>
                <w:sz w:val="24"/>
                <w:highlight w:val="none"/>
              </w:rPr>
              <w:t>满足招标文件要求，但内容存在</w:t>
            </w:r>
            <w:r>
              <w:rPr>
                <w:sz w:val="24"/>
                <w:highlight w:val="none"/>
              </w:rPr>
              <w:t>1</w:t>
            </w:r>
            <w:r>
              <w:rPr>
                <w:rFonts w:hint="eastAsia"/>
                <w:sz w:val="24"/>
                <w:highlight w:val="none"/>
              </w:rPr>
              <w:t>处瑕疵：5分；</w:t>
            </w:r>
          </w:p>
          <w:p w14:paraId="26618F3D">
            <w:pPr>
              <w:widowControl/>
              <w:adjustRightInd w:val="0"/>
              <w:snapToGrid w:val="0"/>
              <w:rPr>
                <w:sz w:val="24"/>
                <w:highlight w:val="none"/>
              </w:rPr>
            </w:pPr>
            <w:r>
              <w:rPr>
                <w:rFonts w:hint="eastAsia"/>
                <w:sz w:val="24"/>
                <w:highlight w:val="none"/>
              </w:rPr>
              <w:t>满足招标文件要求，但内容存在</w:t>
            </w:r>
            <w:r>
              <w:rPr>
                <w:sz w:val="24"/>
                <w:highlight w:val="none"/>
              </w:rPr>
              <w:t>2</w:t>
            </w:r>
            <w:r>
              <w:rPr>
                <w:rFonts w:hint="eastAsia"/>
                <w:sz w:val="24"/>
                <w:highlight w:val="none"/>
              </w:rPr>
              <w:t>处瑕疵：4分；</w:t>
            </w:r>
          </w:p>
          <w:p w14:paraId="07C0CEC3">
            <w:pPr>
              <w:adjustRightInd w:val="0"/>
              <w:snapToGrid w:val="0"/>
              <w:jc w:val="left"/>
              <w:rPr>
                <w:rFonts w:ascii="宋体" w:hAnsi="宋体" w:cs="宋体"/>
                <w:kern w:val="0"/>
                <w:sz w:val="24"/>
                <w:highlight w:val="none"/>
              </w:rPr>
            </w:pPr>
            <w:r>
              <w:rPr>
                <w:rFonts w:hint="eastAsia"/>
                <w:sz w:val="24"/>
                <w:highlight w:val="none"/>
              </w:rPr>
              <w:t>其他：</w:t>
            </w:r>
            <w:r>
              <w:rPr>
                <w:sz w:val="24"/>
                <w:highlight w:val="none"/>
              </w:rPr>
              <w:t>0</w:t>
            </w:r>
            <w:r>
              <w:rPr>
                <w:rFonts w:hint="eastAsia"/>
                <w:sz w:val="24"/>
                <w:highlight w:val="none"/>
              </w:rPr>
              <w:t>分。</w:t>
            </w:r>
            <w:bookmarkEnd w:id="76"/>
            <w:bookmarkEnd w:id="77"/>
          </w:p>
        </w:tc>
        <w:tc>
          <w:tcPr>
            <w:tcW w:w="1140" w:type="dxa"/>
            <w:vAlign w:val="center"/>
          </w:tcPr>
          <w:p w14:paraId="0AC8B9C7">
            <w:pPr>
              <w:widowControl/>
              <w:adjustRightInd w:val="0"/>
              <w:snapToGrid w:val="0"/>
              <w:jc w:val="center"/>
              <w:rPr>
                <w:kern w:val="0"/>
                <w:sz w:val="24"/>
                <w:szCs w:val="24"/>
                <w:highlight w:val="none"/>
              </w:rPr>
            </w:pPr>
            <w:r>
              <w:rPr>
                <w:rFonts w:hint="eastAsia"/>
                <w:kern w:val="0"/>
                <w:sz w:val="24"/>
                <w:szCs w:val="24"/>
                <w:highlight w:val="none"/>
              </w:rPr>
              <w:t>6</w:t>
            </w:r>
          </w:p>
        </w:tc>
      </w:tr>
      <w:bookmarkEnd w:id="73"/>
      <w:tr w14:paraId="21D49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663" w:type="dxa"/>
            <w:noWrap/>
            <w:vAlign w:val="center"/>
          </w:tcPr>
          <w:p w14:paraId="78FEC3EF">
            <w:pPr>
              <w:widowControl/>
              <w:adjustRightInd w:val="0"/>
              <w:snapToGrid w:val="0"/>
              <w:jc w:val="center"/>
              <w:rPr>
                <w:kern w:val="0"/>
                <w:sz w:val="24"/>
                <w:szCs w:val="24"/>
                <w:highlight w:val="none"/>
              </w:rPr>
            </w:pPr>
            <w:bookmarkStart w:id="78" w:name="_Hlk213854697"/>
            <w:r>
              <w:rPr>
                <w:rFonts w:hint="eastAsia"/>
                <w:kern w:val="0"/>
                <w:sz w:val="24"/>
                <w:szCs w:val="24"/>
                <w:highlight w:val="none"/>
              </w:rPr>
              <w:t>6</w:t>
            </w:r>
          </w:p>
        </w:tc>
        <w:tc>
          <w:tcPr>
            <w:tcW w:w="1442" w:type="dxa"/>
            <w:vAlign w:val="center"/>
          </w:tcPr>
          <w:p w14:paraId="60AF9811">
            <w:pPr>
              <w:widowControl/>
              <w:adjustRightInd w:val="0"/>
              <w:snapToGrid w:val="0"/>
              <w:jc w:val="center"/>
              <w:rPr>
                <w:rFonts w:ascii="宋体" w:hAnsi="宋体" w:cs="宋体"/>
                <w:kern w:val="0"/>
                <w:sz w:val="24"/>
                <w:highlight w:val="none"/>
              </w:rPr>
            </w:pPr>
            <w:bookmarkStart w:id="79" w:name="OLE_LINK137"/>
            <w:bookmarkStart w:id="80" w:name="OLE_LINK145"/>
            <w:bookmarkStart w:id="81" w:name="OLE_LINK123"/>
            <w:r>
              <w:rPr>
                <w:rFonts w:hint="eastAsia" w:ascii="宋体" w:hAnsi="宋体" w:cs="宋体"/>
                <w:kern w:val="0"/>
                <w:sz w:val="24"/>
                <w:highlight w:val="none"/>
              </w:rPr>
              <w:t>保密方案评价</w:t>
            </w:r>
            <w:bookmarkEnd w:id="79"/>
            <w:bookmarkEnd w:id="80"/>
            <w:bookmarkEnd w:id="81"/>
          </w:p>
        </w:tc>
        <w:tc>
          <w:tcPr>
            <w:tcW w:w="7291" w:type="dxa"/>
            <w:vAlign w:val="center"/>
          </w:tcPr>
          <w:p w14:paraId="4B69A1E9">
            <w:pPr>
              <w:widowControl/>
              <w:adjustRightInd w:val="0"/>
              <w:snapToGrid w:val="0"/>
              <w:rPr>
                <w:kern w:val="0"/>
                <w:sz w:val="24"/>
                <w:szCs w:val="24"/>
                <w:highlight w:val="none"/>
              </w:rPr>
            </w:pPr>
            <w:bookmarkStart w:id="82" w:name="OLE_LINK125"/>
            <w:bookmarkStart w:id="83" w:name="OLE_LINK138"/>
            <w:bookmarkStart w:id="84" w:name="OLE_LINK126"/>
            <w:r>
              <w:rPr>
                <w:rFonts w:hint="eastAsia"/>
                <w:kern w:val="0"/>
                <w:sz w:val="24"/>
                <w:szCs w:val="24"/>
                <w:highlight w:val="none"/>
              </w:rPr>
              <w:t>投标人针对本项目服务范围内的设备和信息技术等内容制定保密方案。</w:t>
            </w:r>
          </w:p>
          <w:p w14:paraId="2E754A67">
            <w:pPr>
              <w:widowControl/>
              <w:adjustRightInd w:val="0"/>
              <w:snapToGrid w:val="0"/>
              <w:rPr>
                <w:kern w:val="0"/>
                <w:sz w:val="24"/>
                <w:szCs w:val="24"/>
                <w:highlight w:val="none"/>
              </w:rPr>
            </w:pPr>
            <w:bookmarkStart w:id="85" w:name="OLE_LINK168"/>
            <w:bookmarkStart w:id="86" w:name="OLE_LINK169"/>
            <w:r>
              <w:rPr>
                <w:rFonts w:hint="eastAsia"/>
                <w:kern w:val="0"/>
                <w:sz w:val="24"/>
                <w:szCs w:val="24"/>
                <w:highlight w:val="none"/>
              </w:rPr>
              <w:t>方案</w:t>
            </w:r>
            <w:bookmarkEnd w:id="85"/>
            <w:bookmarkEnd w:id="86"/>
            <w:r>
              <w:rPr>
                <w:rFonts w:hint="eastAsia"/>
                <w:kern w:val="0"/>
                <w:sz w:val="24"/>
                <w:szCs w:val="24"/>
                <w:highlight w:val="none"/>
              </w:rPr>
              <w:t>完整、描述清晰、合理、有针对性、可行性强：6分；</w:t>
            </w:r>
          </w:p>
          <w:p w14:paraId="64B41454">
            <w:pPr>
              <w:widowControl/>
              <w:adjustRightInd w:val="0"/>
              <w:snapToGrid w:val="0"/>
              <w:rPr>
                <w:kern w:val="0"/>
                <w:sz w:val="24"/>
                <w:szCs w:val="24"/>
                <w:highlight w:val="none"/>
              </w:rPr>
            </w:pPr>
            <w:r>
              <w:rPr>
                <w:rFonts w:hint="eastAsia"/>
                <w:kern w:val="0"/>
                <w:sz w:val="24"/>
                <w:szCs w:val="24"/>
                <w:highlight w:val="none"/>
              </w:rPr>
              <w:t>方案满足招标文件要求，但内容存在</w:t>
            </w:r>
            <w:r>
              <w:rPr>
                <w:kern w:val="0"/>
                <w:sz w:val="24"/>
                <w:szCs w:val="24"/>
                <w:highlight w:val="none"/>
              </w:rPr>
              <w:t>1</w:t>
            </w:r>
            <w:r>
              <w:rPr>
                <w:rFonts w:hint="eastAsia"/>
                <w:kern w:val="0"/>
                <w:sz w:val="24"/>
                <w:szCs w:val="24"/>
                <w:highlight w:val="none"/>
              </w:rPr>
              <w:t>处瑕疵：5分；</w:t>
            </w:r>
          </w:p>
          <w:p w14:paraId="6B7CBC38">
            <w:pPr>
              <w:widowControl/>
              <w:adjustRightInd w:val="0"/>
              <w:snapToGrid w:val="0"/>
              <w:rPr>
                <w:kern w:val="0"/>
                <w:sz w:val="24"/>
                <w:szCs w:val="24"/>
                <w:highlight w:val="none"/>
              </w:rPr>
            </w:pPr>
            <w:r>
              <w:rPr>
                <w:rFonts w:hint="eastAsia"/>
                <w:kern w:val="0"/>
                <w:sz w:val="24"/>
                <w:szCs w:val="24"/>
                <w:highlight w:val="none"/>
              </w:rPr>
              <w:t>方案满足招标文件要求，但内容存在</w:t>
            </w:r>
            <w:r>
              <w:rPr>
                <w:kern w:val="0"/>
                <w:sz w:val="24"/>
                <w:szCs w:val="24"/>
                <w:highlight w:val="none"/>
              </w:rPr>
              <w:t>2</w:t>
            </w:r>
            <w:r>
              <w:rPr>
                <w:rFonts w:hint="eastAsia"/>
                <w:kern w:val="0"/>
                <w:sz w:val="24"/>
                <w:szCs w:val="24"/>
                <w:highlight w:val="none"/>
              </w:rPr>
              <w:t>处瑕疵：4</w:t>
            </w:r>
            <w:r>
              <w:rPr>
                <w:rFonts w:hint="eastAsia"/>
                <w:sz w:val="24"/>
                <w:highlight w:val="none"/>
              </w:rPr>
              <w:t>分</w:t>
            </w:r>
            <w:r>
              <w:rPr>
                <w:rFonts w:hint="eastAsia"/>
                <w:kern w:val="0"/>
                <w:sz w:val="24"/>
                <w:szCs w:val="24"/>
                <w:highlight w:val="none"/>
              </w:rPr>
              <w:t>；</w:t>
            </w:r>
          </w:p>
          <w:p w14:paraId="2B4DAB27">
            <w:pPr>
              <w:widowControl/>
              <w:adjustRightInd w:val="0"/>
              <w:snapToGrid w:val="0"/>
              <w:rPr>
                <w:rFonts w:ascii="宋体" w:hAnsi="宋体" w:cs="宋体"/>
                <w:kern w:val="0"/>
                <w:sz w:val="24"/>
                <w:highlight w:val="none"/>
              </w:rPr>
            </w:pPr>
            <w:r>
              <w:rPr>
                <w:rFonts w:hint="eastAsia"/>
                <w:kern w:val="0"/>
                <w:sz w:val="24"/>
                <w:szCs w:val="24"/>
                <w:highlight w:val="none"/>
              </w:rPr>
              <w:t>未提供该项内容或其他情况：0分。</w:t>
            </w:r>
            <w:bookmarkEnd w:id="82"/>
            <w:bookmarkEnd w:id="83"/>
            <w:bookmarkEnd w:id="84"/>
          </w:p>
        </w:tc>
        <w:tc>
          <w:tcPr>
            <w:tcW w:w="1140" w:type="dxa"/>
            <w:vAlign w:val="center"/>
          </w:tcPr>
          <w:p w14:paraId="5DABC5EB">
            <w:pPr>
              <w:widowControl/>
              <w:adjustRightInd w:val="0"/>
              <w:snapToGrid w:val="0"/>
              <w:jc w:val="center"/>
              <w:rPr>
                <w:kern w:val="0"/>
                <w:sz w:val="24"/>
                <w:szCs w:val="24"/>
                <w:highlight w:val="none"/>
              </w:rPr>
            </w:pPr>
            <w:r>
              <w:rPr>
                <w:rFonts w:hint="eastAsia"/>
                <w:kern w:val="0"/>
                <w:sz w:val="24"/>
                <w:szCs w:val="24"/>
                <w:highlight w:val="none"/>
              </w:rPr>
              <w:t>6</w:t>
            </w:r>
          </w:p>
        </w:tc>
      </w:tr>
      <w:bookmarkEnd w:id="78"/>
      <w:tr w14:paraId="50E9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2" w:hRule="atLeast"/>
          <w:jc w:val="center"/>
        </w:trPr>
        <w:tc>
          <w:tcPr>
            <w:tcW w:w="663" w:type="dxa"/>
            <w:noWrap/>
            <w:vAlign w:val="center"/>
          </w:tcPr>
          <w:p w14:paraId="74D2E9A0">
            <w:pPr>
              <w:widowControl/>
              <w:adjustRightInd w:val="0"/>
              <w:snapToGrid w:val="0"/>
              <w:jc w:val="center"/>
              <w:rPr>
                <w:kern w:val="0"/>
                <w:sz w:val="24"/>
                <w:szCs w:val="24"/>
                <w:highlight w:val="none"/>
              </w:rPr>
            </w:pPr>
            <w:bookmarkStart w:id="87" w:name="_Hlk213854712"/>
            <w:r>
              <w:rPr>
                <w:rFonts w:hint="eastAsia"/>
                <w:kern w:val="0"/>
                <w:sz w:val="24"/>
                <w:szCs w:val="24"/>
                <w:highlight w:val="none"/>
              </w:rPr>
              <w:t>7</w:t>
            </w:r>
          </w:p>
        </w:tc>
        <w:tc>
          <w:tcPr>
            <w:tcW w:w="1442" w:type="dxa"/>
            <w:vAlign w:val="center"/>
          </w:tcPr>
          <w:p w14:paraId="5A5982A1">
            <w:pPr>
              <w:widowControl/>
              <w:spacing w:line="400" w:lineRule="exact"/>
              <w:jc w:val="left"/>
              <w:rPr>
                <w:sz w:val="24"/>
                <w:highlight w:val="none"/>
              </w:rPr>
            </w:pPr>
            <w:bookmarkStart w:id="88" w:name="OLE_LINK116"/>
            <w:bookmarkStart w:id="89" w:name="OLE_LINK117"/>
            <w:bookmarkStart w:id="90" w:name="OLE_LINK115"/>
            <w:bookmarkStart w:id="91" w:name="OLE_LINK139"/>
            <w:bookmarkStart w:id="92" w:name="OLE_LINK105"/>
            <w:bookmarkStart w:id="93" w:name="OLE_LINK106"/>
            <w:bookmarkStart w:id="94" w:name="OLE_LINK127"/>
            <w:r>
              <w:rPr>
                <w:rFonts w:hint="eastAsia" w:ascii="宋体" w:hAnsi="宋体" w:cs="宋体"/>
                <w:sz w:val="24"/>
                <w:szCs w:val="24"/>
                <w:highlight w:val="none"/>
              </w:rPr>
              <w:t>故障管理处理方案</w:t>
            </w:r>
            <w:bookmarkEnd w:id="88"/>
            <w:bookmarkEnd w:id="89"/>
            <w:bookmarkEnd w:id="90"/>
            <w:r>
              <w:rPr>
                <w:rFonts w:hint="eastAsia" w:ascii="宋体" w:hAnsi="宋体" w:cs="宋体"/>
                <w:sz w:val="24"/>
                <w:szCs w:val="24"/>
                <w:highlight w:val="none"/>
              </w:rPr>
              <w:t>评价</w:t>
            </w:r>
            <w:bookmarkEnd w:id="91"/>
            <w:bookmarkEnd w:id="92"/>
            <w:bookmarkEnd w:id="93"/>
            <w:bookmarkEnd w:id="94"/>
          </w:p>
        </w:tc>
        <w:tc>
          <w:tcPr>
            <w:tcW w:w="7291" w:type="dxa"/>
            <w:vAlign w:val="center"/>
          </w:tcPr>
          <w:p w14:paraId="36F53CB8">
            <w:pPr>
              <w:widowControl/>
              <w:adjustRightInd w:val="0"/>
              <w:snapToGrid w:val="0"/>
              <w:rPr>
                <w:kern w:val="0"/>
                <w:sz w:val="24"/>
                <w:szCs w:val="24"/>
                <w:highlight w:val="none"/>
              </w:rPr>
            </w:pPr>
            <w:bookmarkStart w:id="95" w:name="OLE_LINK110"/>
            <w:bookmarkStart w:id="96" w:name="OLE_LINK109"/>
            <w:bookmarkStart w:id="97" w:name="OLE_LINK128"/>
            <w:bookmarkStart w:id="98" w:name="OLE_LINK140"/>
            <w:r>
              <w:rPr>
                <w:rFonts w:hint="eastAsia" w:hAnsi="宋体"/>
                <w:sz w:val="24"/>
                <w:highlight w:val="none"/>
              </w:rPr>
              <w:t>针对本项目提供故障管理处理方案，包含但不限于响应时间</w:t>
            </w:r>
            <w:bookmarkStart w:id="99" w:name="OLE_LINK39"/>
            <w:r>
              <w:rPr>
                <w:rFonts w:hint="eastAsia" w:hAnsi="宋体"/>
                <w:sz w:val="24"/>
                <w:highlight w:val="none"/>
              </w:rPr>
              <w:t>、</w:t>
            </w:r>
            <w:bookmarkEnd w:id="99"/>
            <w:r>
              <w:rPr>
                <w:rFonts w:hint="eastAsia" w:hAnsi="宋体"/>
                <w:sz w:val="24"/>
                <w:highlight w:val="none"/>
              </w:rPr>
              <w:t>故障处理方案、防止再发方案、涉及路口的电力服务解决方案等方面内容。要求方案描述清晰、完整、合理、可操作性强，</w:t>
            </w:r>
            <w:r>
              <w:rPr>
                <w:rFonts w:hint="eastAsia"/>
                <w:kern w:val="0"/>
                <w:sz w:val="24"/>
                <w:szCs w:val="24"/>
                <w:highlight w:val="none"/>
              </w:rPr>
              <w:t>内容满足上述要求不存在瑕疵：得6分；</w:t>
            </w:r>
          </w:p>
          <w:p w14:paraId="79273DB3">
            <w:pPr>
              <w:widowControl/>
              <w:adjustRightInd w:val="0"/>
              <w:snapToGrid w:val="0"/>
              <w:rPr>
                <w:kern w:val="0"/>
                <w:sz w:val="24"/>
                <w:szCs w:val="24"/>
                <w:highlight w:val="none"/>
              </w:rPr>
            </w:pPr>
            <w:bookmarkStart w:id="100" w:name="OLE_LINK174"/>
            <w:bookmarkStart w:id="101" w:name="OLE_LINK175"/>
            <w:r>
              <w:rPr>
                <w:rFonts w:hint="eastAsia"/>
                <w:kern w:val="0"/>
                <w:sz w:val="24"/>
                <w:szCs w:val="24"/>
                <w:highlight w:val="none"/>
              </w:rPr>
              <w:t>方案满足招标文件要求，但内容存在1处瑕疵：5分；</w:t>
            </w:r>
          </w:p>
          <w:bookmarkEnd w:id="100"/>
          <w:bookmarkEnd w:id="101"/>
          <w:p w14:paraId="7176FA94">
            <w:pPr>
              <w:widowControl/>
              <w:adjustRightInd w:val="0"/>
              <w:snapToGrid w:val="0"/>
              <w:rPr>
                <w:kern w:val="0"/>
                <w:sz w:val="24"/>
                <w:szCs w:val="24"/>
                <w:highlight w:val="none"/>
              </w:rPr>
            </w:pPr>
            <w:r>
              <w:rPr>
                <w:rFonts w:hint="eastAsia"/>
                <w:kern w:val="0"/>
                <w:sz w:val="24"/>
                <w:szCs w:val="24"/>
                <w:highlight w:val="none"/>
              </w:rPr>
              <w:t>方案满足招标文件要求，但内容存在2处瑕疵：4分；</w:t>
            </w:r>
          </w:p>
          <w:p w14:paraId="7C77F806">
            <w:pPr>
              <w:widowControl/>
              <w:spacing w:line="400" w:lineRule="exact"/>
              <w:jc w:val="left"/>
              <w:rPr>
                <w:b/>
                <w:sz w:val="24"/>
                <w:highlight w:val="none"/>
              </w:rPr>
            </w:pPr>
            <w:bookmarkStart w:id="102" w:name="OLE_LINK171"/>
            <w:bookmarkStart w:id="103" w:name="OLE_LINK170"/>
            <w:r>
              <w:rPr>
                <w:rFonts w:hint="eastAsia"/>
                <w:kern w:val="0"/>
                <w:sz w:val="24"/>
                <w:szCs w:val="24"/>
                <w:highlight w:val="none"/>
              </w:rPr>
              <w:t>未提供该项内容或其他情况：0分。</w:t>
            </w:r>
            <w:bookmarkEnd w:id="95"/>
            <w:bookmarkEnd w:id="96"/>
            <w:bookmarkEnd w:id="97"/>
            <w:bookmarkEnd w:id="98"/>
            <w:bookmarkEnd w:id="102"/>
            <w:bookmarkEnd w:id="103"/>
          </w:p>
        </w:tc>
        <w:tc>
          <w:tcPr>
            <w:tcW w:w="1140" w:type="dxa"/>
            <w:vAlign w:val="center"/>
          </w:tcPr>
          <w:p w14:paraId="2172EC8D">
            <w:pPr>
              <w:widowControl/>
              <w:adjustRightInd w:val="0"/>
              <w:snapToGrid w:val="0"/>
              <w:jc w:val="center"/>
              <w:rPr>
                <w:kern w:val="0"/>
                <w:sz w:val="24"/>
                <w:szCs w:val="24"/>
                <w:highlight w:val="none"/>
              </w:rPr>
            </w:pPr>
            <w:r>
              <w:rPr>
                <w:rFonts w:hint="eastAsia"/>
                <w:kern w:val="0"/>
                <w:sz w:val="24"/>
                <w:szCs w:val="24"/>
                <w:highlight w:val="none"/>
              </w:rPr>
              <w:t>6</w:t>
            </w:r>
          </w:p>
        </w:tc>
      </w:tr>
      <w:bookmarkEnd w:id="87"/>
      <w:tr w14:paraId="05A6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3" w:hRule="atLeast"/>
          <w:jc w:val="center"/>
        </w:trPr>
        <w:tc>
          <w:tcPr>
            <w:tcW w:w="663" w:type="dxa"/>
            <w:noWrap/>
            <w:vAlign w:val="center"/>
          </w:tcPr>
          <w:p w14:paraId="2E970FB7">
            <w:pPr>
              <w:widowControl/>
              <w:adjustRightInd w:val="0"/>
              <w:snapToGrid w:val="0"/>
              <w:jc w:val="center"/>
              <w:rPr>
                <w:kern w:val="0"/>
                <w:sz w:val="24"/>
                <w:szCs w:val="24"/>
                <w:highlight w:val="none"/>
              </w:rPr>
            </w:pPr>
            <w:bookmarkStart w:id="104" w:name="_Hlk213854733"/>
            <w:r>
              <w:rPr>
                <w:rFonts w:hint="eastAsia"/>
                <w:kern w:val="0"/>
                <w:sz w:val="24"/>
                <w:szCs w:val="24"/>
                <w:highlight w:val="none"/>
              </w:rPr>
              <w:t>8</w:t>
            </w:r>
          </w:p>
        </w:tc>
        <w:tc>
          <w:tcPr>
            <w:tcW w:w="1442" w:type="dxa"/>
            <w:vAlign w:val="center"/>
          </w:tcPr>
          <w:p w14:paraId="74429D25">
            <w:pPr>
              <w:widowControl/>
              <w:adjustRightInd w:val="0"/>
              <w:snapToGrid w:val="0"/>
              <w:jc w:val="left"/>
              <w:rPr>
                <w:kern w:val="0"/>
                <w:sz w:val="24"/>
                <w:szCs w:val="24"/>
                <w:highlight w:val="none"/>
              </w:rPr>
            </w:pPr>
            <w:bookmarkStart w:id="105" w:name="OLE_LINK143"/>
            <w:bookmarkStart w:id="106" w:name="OLE_LINK129"/>
            <w:bookmarkStart w:id="107" w:name="OLE_LINK146"/>
            <w:r>
              <w:rPr>
                <w:rFonts w:hint="eastAsia"/>
                <w:kern w:val="0"/>
                <w:sz w:val="24"/>
                <w:szCs w:val="24"/>
                <w:highlight w:val="none"/>
              </w:rPr>
              <w:t>项目安全保障方案评价</w:t>
            </w:r>
            <w:bookmarkEnd w:id="105"/>
            <w:bookmarkEnd w:id="106"/>
            <w:bookmarkEnd w:id="107"/>
          </w:p>
        </w:tc>
        <w:tc>
          <w:tcPr>
            <w:tcW w:w="7291" w:type="dxa"/>
            <w:vAlign w:val="center"/>
          </w:tcPr>
          <w:p w14:paraId="3A938117">
            <w:pPr>
              <w:widowControl/>
              <w:adjustRightInd w:val="0"/>
              <w:snapToGrid w:val="0"/>
              <w:rPr>
                <w:kern w:val="0"/>
                <w:sz w:val="24"/>
                <w:szCs w:val="24"/>
                <w:highlight w:val="none"/>
              </w:rPr>
            </w:pPr>
            <w:bookmarkStart w:id="108" w:name="OLE_LINK144"/>
            <w:bookmarkStart w:id="109" w:name="OLE_LINK133"/>
            <w:bookmarkStart w:id="110" w:name="OLE_LINK147"/>
            <w:bookmarkStart w:id="111" w:name="OLE_LINK132"/>
            <w:r>
              <w:rPr>
                <w:rFonts w:hint="eastAsia"/>
                <w:kern w:val="0"/>
                <w:sz w:val="24"/>
                <w:szCs w:val="24"/>
                <w:highlight w:val="none"/>
              </w:rPr>
              <w:t>提供项目安全保障方案（包含但不限于运维保险与事故处理措施），至少包含安全保障目标（包括但不限于运维人员、运维对象及其周边的车辆和人员）、安全保障计划、安全保障措施等。</w:t>
            </w:r>
          </w:p>
          <w:p w14:paraId="47CC1184">
            <w:pPr>
              <w:widowControl/>
              <w:adjustRightInd w:val="0"/>
              <w:snapToGrid w:val="0"/>
              <w:rPr>
                <w:kern w:val="0"/>
                <w:sz w:val="24"/>
                <w:szCs w:val="24"/>
                <w:highlight w:val="none"/>
              </w:rPr>
            </w:pPr>
            <w:bookmarkStart w:id="112" w:name="OLE_LINK46"/>
            <w:bookmarkStart w:id="113" w:name="OLE_LINK47"/>
            <w:r>
              <w:rPr>
                <w:rFonts w:hint="eastAsia"/>
                <w:kern w:val="0"/>
                <w:sz w:val="24"/>
                <w:szCs w:val="24"/>
                <w:highlight w:val="none"/>
              </w:rPr>
              <w:t>方案</w:t>
            </w:r>
            <w:bookmarkEnd w:id="112"/>
            <w:bookmarkEnd w:id="113"/>
            <w:r>
              <w:rPr>
                <w:rFonts w:hint="eastAsia"/>
                <w:kern w:val="0"/>
                <w:sz w:val="24"/>
                <w:szCs w:val="24"/>
                <w:highlight w:val="none"/>
              </w:rPr>
              <w:t>详实完整，针对性、可操作性强，完全满足项目需求：6分；</w:t>
            </w:r>
          </w:p>
          <w:p w14:paraId="7AC8DDB3">
            <w:pPr>
              <w:widowControl/>
              <w:adjustRightInd w:val="0"/>
              <w:snapToGrid w:val="0"/>
              <w:rPr>
                <w:kern w:val="0"/>
                <w:sz w:val="24"/>
                <w:szCs w:val="24"/>
                <w:highlight w:val="none"/>
              </w:rPr>
            </w:pPr>
            <w:r>
              <w:rPr>
                <w:rFonts w:hint="eastAsia"/>
                <w:kern w:val="0"/>
                <w:sz w:val="24"/>
                <w:szCs w:val="24"/>
                <w:highlight w:val="none"/>
              </w:rPr>
              <w:t>方案满足招标文件要求，但内容存在1处瑕疵：5分；</w:t>
            </w:r>
          </w:p>
          <w:p w14:paraId="06EE19B0">
            <w:pPr>
              <w:widowControl/>
              <w:adjustRightInd w:val="0"/>
              <w:snapToGrid w:val="0"/>
              <w:rPr>
                <w:kern w:val="0"/>
                <w:sz w:val="24"/>
                <w:szCs w:val="24"/>
                <w:highlight w:val="none"/>
              </w:rPr>
            </w:pPr>
            <w:r>
              <w:rPr>
                <w:rFonts w:hint="eastAsia"/>
                <w:kern w:val="0"/>
                <w:sz w:val="24"/>
                <w:szCs w:val="24"/>
                <w:highlight w:val="none"/>
              </w:rPr>
              <w:t>方案满足招标文件要求，但内容存在2处瑕疵：4分；</w:t>
            </w:r>
          </w:p>
          <w:p w14:paraId="775C1993">
            <w:pPr>
              <w:widowControl/>
              <w:adjustRightInd w:val="0"/>
              <w:snapToGrid w:val="0"/>
              <w:rPr>
                <w:kern w:val="0"/>
                <w:sz w:val="24"/>
                <w:szCs w:val="24"/>
                <w:highlight w:val="none"/>
              </w:rPr>
            </w:pPr>
            <w:r>
              <w:rPr>
                <w:rFonts w:hint="eastAsia"/>
                <w:kern w:val="0"/>
                <w:sz w:val="24"/>
                <w:szCs w:val="24"/>
                <w:highlight w:val="none"/>
              </w:rPr>
              <w:t>未提供该项内容或其他情况：0分。</w:t>
            </w:r>
            <w:bookmarkEnd w:id="108"/>
            <w:bookmarkEnd w:id="109"/>
            <w:bookmarkEnd w:id="110"/>
            <w:bookmarkEnd w:id="111"/>
          </w:p>
        </w:tc>
        <w:tc>
          <w:tcPr>
            <w:tcW w:w="1140" w:type="dxa"/>
            <w:vAlign w:val="center"/>
          </w:tcPr>
          <w:p w14:paraId="234E15CA">
            <w:pPr>
              <w:widowControl/>
              <w:adjustRightInd w:val="0"/>
              <w:snapToGrid w:val="0"/>
              <w:jc w:val="center"/>
              <w:rPr>
                <w:kern w:val="0"/>
                <w:sz w:val="24"/>
                <w:szCs w:val="24"/>
                <w:highlight w:val="none"/>
              </w:rPr>
            </w:pPr>
            <w:r>
              <w:rPr>
                <w:rFonts w:hint="eastAsia"/>
                <w:kern w:val="0"/>
                <w:sz w:val="24"/>
                <w:szCs w:val="24"/>
                <w:highlight w:val="none"/>
              </w:rPr>
              <w:t>6</w:t>
            </w:r>
          </w:p>
        </w:tc>
      </w:tr>
      <w:bookmarkEnd w:id="104"/>
      <w:tr w14:paraId="6E4F7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6" w:type="dxa"/>
            <w:gridSpan w:val="3"/>
            <w:noWrap/>
            <w:vAlign w:val="center"/>
          </w:tcPr>
          <w:p w14:paraId="64E4CD85">
            <w:pPr>
              <w:widowControl/>
              <w:adjustRightInd w:val="0"/>
              <w:snapToGrid w:val="0"/>
              <w:jc w:val="center"/>
              <w:rPr>
                <w:sz w:val="24"/>
                <w:highlight w:val="none"/>
              </w:rPr>
            </w:pPr>
            <w:r>
              <w:rPr>
                <w:sz w:val="24"/>
                <w:highlight w:val="none"/>
              </w:rPr>
              <w:t>合计</w:t>
            </w:r>
          </w:p>
        </w:tc>
        <w:tc>
          <w:tcPr>
            <w:tcW w:w="1140" w:type="dxa"/>
            <w:vAlign w:val="center"/>
          </w:tcPr>
          <w:p w14:paraId="38AD602D">
            <w:pPr>
              <w:widowControl/>
              <w:adjustRightInd w:val="0"/>
              <w:snapToGrid w:val="0"/>
              <w:jc w:val="center"/>
              <w:rPr>
                <w:kern w:val="0"/>
                <w:sz w:val="24"/>
                <w:szCs w:val="24"/>
                <w:highlight w:val="none"/>
              </w:rPr>
            </w:pPr>
            <w:r>
              <w:rPr>
                <w:kern w:val="0"/>
                <w:sz w:val="24"/>
                <w:szCs w:val="24"/>
                <w:highlight w:val="none"/>
              </w:rPr>
              <w:t>100</w:t>
            </w:r>
          </w:p>
        </w:tc>
      </w:tr>
      <w:tr w14:paraId="35D8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0536" w:type="dxa"/>
            <w:gridSpan w:val="4"/>
            <w:noWrap/>
            <w:vAlign w:val="center"/>
          </w:tcPr>
          <w:p w14:paraId="79AE7C03">
            <w:pPr>
              <w:widowControl/>
              <w:adjustRightInd w:val="0"/>
              <w:snapToGrid w:val="0"/>
              <w:jc w:val="left"/>
              <w:rPr>
                <w:b/>
                <w:kern w:val="0"/>
                <w:sz w:val="24"/>
                <w:szCs w:val="24"/>
                <w:highlight w:val="none"/>
              </w:rPr>
            </w:pPr>
            <w:bookmarkStart w:id="114" w:name="OLE_LINK173"/>
            <w:bookmarkStart w:id="115" w:name="OLE_LINK172"/>
            <w:r>
              <w:rPr>
                <w:rFonts w:hint="eastAsia"/>
                <w:b/>
                <w:kern w:val="0"/>
                <w:sz w:val="24"/>
                <w:szCs w:val="24"/>
                <w:highlight w:val="none"/>
              </w:rPr>
              <w:t>注：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bookmarkEnd w:id="114"/>
            <w:bookmarkEnd w:id="115"/>
          </w:p>
        </w:tc>
      </w:tr>
      <w:bookmarkEnd w:id="10"/>
    </w:tbl>
    <w:p w14:paraId="4C1CC310">
      <w:pPr>
        <w:spacing w:line="360" w:lineRule="auto"/>
        <w:ind w:firstLine="448" w:firstLineChars="200"/>
        <w:outlineLvl w:val="0"/>
        <w:rPr>
          <w:rFonts w:hAnsiTheme="minorEastAsia"/>
          <w:sz w:val="24"/>
          <w:highlight w:val="none"/>
        </w:rPr>
      </w:pPr>
    </w:p>
    <w:p w14:paraId="48E3731A">
      <w:pPr>
        <w:spacing w:line="360" w:lineRule="auto"/>
        <w:ind w:firstLine="448" w:firstLineChars="200"/>
        <w:outlineLvl w:val="0"/>
        <w:rPr>
          <w:rFonts w:hint="eastAsia" w:eastAsia="宋体" w:hAnsiTheme="minorEastAsia"/>
          <w:b/>
          <w:bCs/>
          <w:sz w:val="24"/>
          <w:highlight w:val="none"/>
          <w:lang w:eastAsia="zh-CN"/>
        </w:rPr>
      </w:pPr>
      <w:r>
        <w:rPr>
          <w:rFonts w:hint="eastAsia" w:hAnsiTheme="minorEastAsia"/>
          <w:b/>
          <w:bCs/>
          <w:sz w:val="24"/>
          <w:highlight w:val="none"/>
          <w:lang w:eastAsia="zh-CN"/>
        </w:rPr>
        <w:t>第二包：</w:t>
      </w:r>
    </w:p>
    <w:tbl>
      <w:tblPr>
        <w:tblStyle w:val="19"/>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42"/>
        <w:gridCol w:w="7291"/>
        <w:gridCol w:w="1140"/>
      </w:tblGrid>
      <w:tr w14:paraId="7223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9396" w:type="dxa"/>
            <w:gridSpan w:val="3"/>
            <w:vAlign w:val="center"/>
          </w:tcPr>
          <w:p w14:paraId="6A1208B3">
            <w:pPr>
              <w:widowControl/>
              <w:adjustRightInd w:val="0"/>
              <w:snapToGrid w:val="0"/>
              <w:jc w:val="center"/>
              <w:rPr>
                <w:kern w:val="0"/>
                <w:sz w:val="24"/>
                <w:szCs w:val="24"/>
                <w:highlight w:val="none"/>
              </w:rPr>
            </w:pPr>
            <w:r>
              <w:rPr>
                <w:kern w:val="0"/>
                <w:sz w:val="24"/>
                <w:szCs w:val="24"/>
                <w:highlight w:val="none"/>
              </w:rPr>
              <w:t>第一部分价格（</w:t>
            </w:r>
            <w:r>
              <w:rPr>
                <w:rFonts w:hint="eastAsia"/>
                <w:kern w:val="0"/>
                <w:sz w:val="24"/>
                <w:szCs w:val="24"/>
                <w:highlight w:val="none"/>
              </w:rPr>
              <w:t>10</w:t>
            </w:r>
            <w:r>
              <w:rPr>
                <w:kern w:val="0"/>
                <w:sz w:val="24"/>
                <w:szCs w:val="24"/>
                <w:highlight w:val="none"/>
              </w:rPr>
              <w:t>分）</w:t>
            </w:r>
          </w:p>
        </w:tc>
        <w:tc>
          <w:tcPr>
            <w:tcW w:w="1140" w:type="dxa"/>
            <w:vAlign w:val="center"/>
          </w:tcPr>
          <w:p w14:paraId="50E4BC94">
            <w:pPr>
              <w:widowControl/>
              <w:adjustRightInd w:val="0"/>
              <w:snapToGrid w:val="0"/>
              <w:jc w:val="center"/>
              <w:rPr>
                <w:kern w:val="0"/>
                <w:sz w:val="24"/>
                <w:szCs w:val="24"/>
                <w:highlight w:val="none"/>
              </w:rPr>
            </w:pPr>
            <w:r>
              <w:rPr>
                <w:kern w:val="0"/>
                <w:sz w:val="24"/>
                <w:szCs w:val="24"/>
                <w:highlight w:val="none"/>
              </w:rPr>
              <w:t>分值</w:t>
            </w:r>
          </w:p>
        </w:tc>
      </w:tr>
      <w:tr w14:paraId="0DEE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noWrap/>
            <w:vAlign w:val="center"/>
          </w:tcPr>
          <w:p w14:paraId="509E8F3B">
            <w:pPr>
              <w:widowControl/>
              <w:adjustRightInd w:val="0"/>
              <w:snapToGrid w:val="0"/>
              <w:jc w:val="center"/>
              <w:rPr>
                <w:kern w:val="0"/>
                <w:sz w:val="24"/>
                <w:szCs w:val="24"/>
                <w:highlight w:val="none"/>
              </w:rPr>
            </w:pPr>
            <w:r>
              <w:rPr>
                <w:kern w:val="0"/>
                <w:sz w:val="24"/>
                <w:szCs w:val="24"/>
                <w:highlight w:val="none"/>
              </w:rPr>
              <w:t>1</w:t>
            </w:r>
          </w:p>
        </w:tc>
        <w:tc>
          <w:tcPr>
            <w:tcW w:w="1442" w:type="dxa"/>
            <w:vAlign w:val="center"/>
          </w:tcPr>
          <w:p w14:paraId="6DE99F7A">
            <w:pPr>
              <w:widowControl/>
              <w:adjustRightInd w:val="0"/>
              <w:snapToGrid w:val="0"/>
              <w:jc w:val="center"/>
              <w:rPr>
                <w:kern w:val="0"/>
                <w:sz w:val="24"/>
                <w:szCs w:val="24"/>
                <w:highlight w:val="none"/>
              </w:rPr>
            </w:pPr>
            <w:r>
              <w:rPr>
                <w:kern w:val="0"/>
                <w:sz w:val="24"/>
                <w:szCs w:val="24"/>
                <w:highlight w:val="none"/>
              </w:rPr>
              <w:t>价格</w:t>
            </w:r>
          </w:p>
        </w:tc>
        <w:tc>
          <w:tcPr>
            <w:tcW w:w="7291" w:type="dxa"/>
            <w:vAlign w:val="center"/>
          </w:tcPr>
          <w:p w14:paraId="3697EB61">
            <w:pPr>
              <w:widowControl/>
              <w:adjustRightInd w:val="0"/>
              <w:snapToGrid w:val="0"/>
              <w:rPr>
                <w:kern w:val="0"/>
                <w:sz w:val="24"/>
                <w:szCs w:val="24"/>
                <w:highlight w:val="none"/>
              </w:rPr>
            </w:pPr>
            <w:r>
              <w:rPr>
                <w:kern w:val="0"/>
                <w:sz w:val="24"/>
                <w:szCs w:val="24"/>
                <w:highlight w:val="none"/>
              </w:rPr>
              <w:t>（1）投标报价超过采购预算的，投标无效，未超过采购预算的投标报价按以下公式进行计算。</w:t>
            </w:r>
          </w:p>
          <w:p w14:paraId="7D2DBCFB">
            <w:pPr>
              <w:widowControl/>
              <w:adjustRightInd w:val="0"/>
              <w:snapToGrid w:val="0"/>
              <w:rPr>
                <w:kern w:val="0"/>
                <w:sz w:val="24"/>
                <w:szCs w:val="24"/>
                <w:highlight w:val="none"/>
              </w:rPr>
            </w:pPr>
            <w:r>
              <w:rPr>
                <w:kern w:val="0"/>
                <w:sz w:val="24"/>
                <w:szCs w:val="24"/>
                <w:highlight w:val="none"/>
              </w:rPr>
              <w:t>（2）投标报价得分=（评标基准价/投标报价）×</w:t>
            </w:r>
            <w:r>
              <w:rPr>
                <w:rFonts w:hint="eastAsia"/>
                <w:kern w:val="0"/>
                <w:sz w:val="24"/>
                <w:szCs w:val="24"/>
                <w:highlight w:val="none"/>
              </w:rPr>
              <w:t>10</w:t>
            </w:r>
          </w:p>
          <w:p w14:paraId="5EB7D3BB">
            <w:pPr>
              <w:widowControl/>
              <w:adjustRightInd w:val="0"/>
              <w:snapToGrid w:val="0"/>
              <w:rPr>
                <w:kern w:val="0"/>
                <w:sz w:val="24"/>
                <w:szCs w:val="24"/>
                <w:highlight w:val="none"/>
              </w:rPr>
            </w:pPr>
            <w:r>
              <w:rPr>
                <w:kern w:val="0"/>
                <w:sz w:val="24"/>
                <w:szCs w:val="24"/>
                <w:highlight w:val="none"/>
              </w:rPr>
              <w:t>注：满足</w:t>
            </w:r>
            <w:r>
              <w:rPr>
                <w:rFonts w:hint="eastAsia"/>
                <w:kern w:val="0"/>
                <w:sz w:val="24"/>
                <w:szCs w:val="24"/>
                <w:highlight w:val="none"/>
              </w:rPr>
              <w:t>招标文件</w:t>
            </w:r>
            <w:r>
              <w:rPr>
                <w:kern w:val="0"/>
                <w:sz w:val="24"/>
                <w:szCs w:val="24"/>
                <w:highlight w:val="none"/>
              </w:rPr>
              <w:t>要求且投标报价最低的投标报价为评标基准价。</w:t>
            </w:r>
          </w:p>
        </w:tc>
        <w:tc>
          <w:tcPr>
            <w:tcW w:w="1140" w:type="dxa"/>
            <w:vAlign w:val="center"/>
          </w:tcPr>
          <w:p w14:paraId="4D429229">
            <w:pPr>
              <w:widowControl/>
              <w:adjustRightInd w:val="0"/>
              <w:snapToGrid w:val="0"/>
              <w:jc w:val="center"/>
              <w:rPr>
                <w:kern w:val="0"/>
                <w:sz w:val="24"/>
                <w:szCs w:val="24"/>
                <w:highlight w:val="none"/>
              </w:rPr>
            </w:pPr>
            <w:r>
              <w:rPr>
                <w:rFonts w:hint="eastAsia"/>
                <w:kern w:val="0"/>
                <w:sz w:val="24"/>
                <w:szCs w:val="24"/>
                <w:highlight w:val="none"/>
              </w:rPr>
              <w:t>10</w:t>
            </w:r>
          </w:p>
        </w:tc>
      </w:tr>
      <w:tr w14:paraId="331DE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9396" w:type="dxa"/>
            <w:gridSpan w:val="3"/>
            <w:noWrap/>
            <w:vAlign w:val="center"/>
          </w:tcPr>
          <w:p w14:paraId="02196BB8">
            <w:pPr>
              <w:widowControl/>
              <w:adjustRightInd w:val="0"/>
              <w:snapToGrid w:val="0"/>
              <w:jc w:val="center"/>
              <w:rPr>
                <w:kern w:val="0"/>
                <w:sz w:val="24"/>
                <w:szCs w:val="24"/>
                <w:highlight w:val="none"/>
              </w:rPr>
            </w:pPr>
            <w:r>
              <w:rPr>
                <w:kern w:val="0"/>
                <w:sz w:val="24"/>
                <w:szCs w:val="24"/>
                <w:highlight w:val="none"/>
              </w:rPr>
              <w:t>第二部分客观分（</w:t>
            </w:r>
            <w:r>
              <w:rPr>
                <w:rFonts w:hint="eastAsia"/>
                <w:kern w:val="0"/>
                <w:sz w:val="24"/>
                <w:szCs w:val="24"/>
                <w:highlight w:val="none"/>
              </w:rPr>
              <w:t>42</w:t>
            </w:r>
            <w:r>
              <w:rPr>
                <w:kern w:val="0"/>
                <w:sz w:val="24"/>
                <w:szCs w:val="24"/>
                <w:highlight w:val="none"/>
              </w:rPr>
              <w:t>分）</w:t>
            </w:r>
          </w:p>
        </w:tc>
        <w:tc>
          <w:tcPr>
            <w:tcW w:w="1140" w:type="dxa"/>
            <w:vAlign w:val="center"/>
          </w:tcPr>
          <w:p w14:paraId="24462C4A">
            <w:pPr>
              <w:widowControl/>
              <w:adjustRightInd w:val="0"/>
              <w:snapToGrid w:val="0"/>
              <w:jc w:val="center"/>
              <w:rPr>
                <w:kern w:val="0"/>
                <w:sz w:val="24"/>
                <w:szCs w:val="24"/>
                <w:highlight w:val="none"/>
              </w:rPr>
            </w:pPr>
            <w:r>
              <w:rPr>
                <w:kern w:val="0"/>
                <w:sz w:val="24"/>
                <w:szCs w:val="24"/>
                <w:highlight w:val="none"/>
              </w:rPr>
              <w:t>分值</w:t>
            </w:r>
          </w:p>
        </w:tc>
      </w:tr>
      <w:tr w14:paraId="6F32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63" w:type="dxa"/>
            <w:noWrap/>
            <w:vAlign w:val="center"/>
          </w:tcPr>
          <w:p w14:paraId="1C37F318">
            <w:pPr>
              <w:widowControl/>
              <w:adjustRightInd w:val="0"/>
              <w:snapToGrid w:val="0"/>
              <w:jc w:val="center"/>
              <w:rPr>
                <w:kern w:val="0"/>
                <w:sz w:val="24"/>
                <w:szCs w:val="24"/>
                <w:highlight w:val="none"/>
              </w:rPr>
            </w:pPr>
            <w:r>
              <w:rPr>
                <w:kern w:val="0"/>
                <w:sz w:val="24"/>
                <w:szCs w:val="24"/>
                <w:highlight w:val="none"/>
              </w:rPr>
              <w:t>1</w:t>
            </w:r>
          </w:p>
        </w:tc>
        <w:tc>
          <w:tcPr>
            <w:tcW w:w="1442" w:type="dxa"/>
            <w:vAlign w:val="center"/>
          </w:tcPr>
          <w:p w14:paraId="2975A15C">
            <w:pPr>
              <w:widowControl/>
              <w:adjustRightInd w:val="0"/>
              <w:snapToGrid w:val="0"/>
              <w:jc w:val="center"/>
              <w:rPr>
                <w:kern w:val="0"/>
                <w:sz w:val="24"/>
                <w:szCs w:val="24"/>
                <w:highlight w:val="none"/>
              </w:rPr>
            </w:pPr>
            <w:r>
              <w:rPr>
                <w:kern w:val="0"/>
                <w:sz w:val="24"/>
                <w:szCs w:val="24"/>
                <w:highlight w:val="none"/>
              </w:rPr>
              <w:t>投标人业绩</w:t>
            </w:r>
          </w:p>
        </w:tc>
        <w:tc>
          <w:tcPr>
            <w:tcW w:w="7291" w:type="dxa"/>
            <w:vAlign w:val="center"/>
          </w:tcPr>
          <w:p w14:paraId="20BBFE65">
            <w:pPr>
              <w:widowControl/>
              <w:spacing w:line="360" w:lineRule="exact"/>
              <w:rPr>
                <w:kern w:val="0"/>
                <w:sz w:val="24"/>
                <w:szCs w:val="24"/>
                <w:highlight w:val="none"/>
              </w:rPr>
            </w:pPr>
            <w:r>
              <w:rPr>
                <w:kern w:val="0"/>
                <w:sz w:val="24"/>
                <w:szCs w:val="24"/>
                <w:highlight w:val="none"/>
              </w:rPr>
              <w:t>完全按照以下要求提供</w:t>
            </w:r>
            <w:r>
              <w:rPr>
                <w:rFonts w:hint="eastAsia"/>
                <w:kern w:val="0"/>
                <w:sz w:val="24"/>
                <w:szCs w:val="24"/>
                <w:highlight w:val="none"/>
              </w:rPr>
              <w:t>投标人</w:t>
            </w:r>
            <w:r>
              <w:rPr>
                <w:kern w:val="0"/>
                <w:sz w:val="24"/>
                <w:szCs w:val="24"/>
                <w:highlight w:val="none"/>
              </w:rPr>
              <w:t>曾实施的本项目内容相</w:t>
            </w:r>
            <w:r>
              <w:rPr>
                <w:rFonts w:hint="eastAsia"/>
                <w:kern w:val="0"/>
                <w:sz w:val="24"/>
                <w:szCs w:val="24"/>
                <w:highlight w:val="none"/>
              </w:rPr>
              <w:t>关的</w:t>
            </w:r>
            <w:r>
              <w:rPr>
                <w:kern w:val="0"/>
                <w:sz w:val="24"/>
                <w:szCs w:val="24"/>
                <w:highlight w:val="none"/>
              </w:rPr>
              <w:t>业绩，提供的证明材料均不得遮挡涂黑，否则不予认定加分。</w:t>
            </w:r>
          </w:p>
          <w:p w14:paraId="671B3677">
            <w:pPr>
              <w:widowControl/>
              <w:spacing w:line="360" w:lineRule="exact"/>
              <w:rPr>
                <w:kern w:val="0"/>
                <w:sz w:val="24"/>
                <w:szCs w:val="24"/>
                <w:highlight w:val="none"/>
              </w:rPr>
            </w:pPr>
            <w:r>
              <w:rPr>
                <w:rFonts w:hint="eastAsia"/>
                <w:kern w:val="0"/>
                <w:sz w:val="24"/>
                <w:szCs w:val="24"/>
                <w:highlight w:val="none"/>
              </w:rPr>
              <w:t>A</w:t>
            </w:r>
            <w:r>
              <w:rPr>
                <w:kern w:val="0"/>
                <w:sz w:val="24"/>
                <w:szCs w:val="24"/>
                <w:highlight w:val="none"/>
              </w:rPr>
              <w:t>. 合同</w:t>
            </w:r>
            <w:r>
              <w:rPr>
                <w:rFonts w:hint="eastAsia"/>
                <w:kern w:val="0"/>
                <w:sz w:val="24"/>
                <w:szCs w:val="24"/>
                <w:highlight w:val="none"/>
              </w:rPr>
              <w:t>原件</w:t>
            </w:r>
            <w:r>
              <w:rPr>
                <w:kern w:val="0"/>
                <w:sz w:val="24"/>
                <w:szCs w:val="24"/>
                <w:highlight w:val="none"/>
              </w:rPr>
              <w:t>电子件</w:t>
            </w:r>
            <w:r>
              <w:rPr>
                <w:rFonts w:hint="eastAsia"/>
                <w:kern w:val="0"/>
                <w:sz w:val="24"/>
                <w:szCs w:val="24"/>
                <w:highlight w:val="none"/>
              </w:rPr>
              <w:t>。包括合同金额、服务双方名称及盖章、服务期限（合同服务起始日期为2023年1月1日或以后，且已经履行至少6个月的时间）、服务内容。</w:t>
            </w:r>
          </w:p>
          <w:p w14:paraId="1A0561E7">
            <w:pPr>
              <w:widowControl/>
              <w:spacing w:line="360" w:lineRule="exact"/>
              <w:rPr>
                <w:kern w:val="0"/>
                <w:sz w:val="24"/>
                <w:szCs w:val="24"/>
                <w:highlight w:val="none"/>
              </w:rPr>
            </w:pPr>
            <w:r>
              <w:rPr>
                <w:kern w:val="0"/>
                <w:sz w:val="24"/>
                <w:szCs w:val="24"/>
                <w:highlight w:val="none"/>
              </w:rPr>
              <w:t>B.</w:t>
            </w:r>
            <w:r>
              <w:rPr>
                <w:rFonts w:hint="eastAsia"/>
                <w:kern w:val="0"/>
                <w:sz w:val="24"/>
                <w:szCs w:val="24"/>
                <w:highlight w:val="none"/>
              </w:rPr>
              <w:t>上述</w:t>
            </w:r>
            <w:r>
              <w:rPr>
                <w:kern w:val="0"/>
                <w:sz w:val="24"/>
                <w:szCs w:val="24"/>
                <w:highlight w:val="none"/>
              </w:rPr>
              <w:t>合同履行</w:t>
            </w:r>
            <w:r>
              <w:rPr>
                <w:rFonts w:hint="eastAsia"/>
                <w:kern w:val="0"/>
                <w:sz w:val="24"/>
                <w:szCs w:val="24"/>
                <w:highlight w:val="none"/>
              </w:rPr>
              <w:t>良好</w:t>
            </w:r>
            <w:r>
              <w:rPr>
                <w:kern w:val="0"/>
                <w:sz w:val="24"/>
                <w:szCs w:val="24"/>
                <w:highlight w:val="none"/>
              </w:rPr>
              <w:t>的相关证明材料</w:t>
            </w:r>
            <w:r>
              <w:rPr>
                <w:rFonts w:hint="eastAsia"/>
                <w:kern w:val="0"/>
                <w:sz w:val="24"/>
                <w:szCs w:val="24"/>
                <w:highlight w:val="none"/>
              </w:rPr>
              <w:t>原件</w:t>
            </w:r>
            <w:r>
              <w:rPr>
                <w:kern w:val="0"/>
                <w:sz w:val="24"/>
                <w:szCs w:val="24"/>
                <w:highlight w:val="none"/>
              </w:rPr>
              <w:t>电子件</w:t>
            </w:r>
            <w:r>
              <w:rPr>
                <w:rFonts w:hint="eastAsia"/>
                <w:kern w:val="0"/>
                <w:sz w:val="24"/>
                <w:szCs w:val="24"/>
                <w:highlight w:val="none"/>
              </w:rPr>
              <w:t>（加盖上述合同甲方单位公章或上述合同甲方印章）</w:t>
            </w:r>
            <w:r>
              <w:rPr>
                <w:kern w:val="0"/>
                <w:sz w:val="24"/>
                <w:szCs w:val="24"/>
                <w:highlight w:val="none"/>
              </w:rPr>
              <w:t>。</w:t>
            </w:r>
          </w:p>
          <w:p w14:paraId="5B899942">
            <w:pPr>
              <w:widowControl/>
              <w:spacing w:line="360" w:lineRule="exact"/>
              <w:rPr>
                <w:color w:val="FF0000"/>
                <w:kern w:val="0"/>
                <w:sz w:val="24"/>
                <w:szCs w:val="24"/>
                <w:highlight w:val="none"/>
              </w:rPr>
            </w:pPr>
            <w:r>
              <w:rPr>
                <w:kern w:val="0"/>
                <w:sz w:val="24"/>
                <w:szCs w:val="24"/>
                <w:highlight w:val="none"/>
              </w:rPr>
              <w:t>每个案例</w:t>
            </w:r>
            <w:r>
              <w:rPr>
                <w:rFonts w:hint="eastAsia"/>
                <w:kern w:val="0"/>
                <w:sz w:val="24"/>
                <w:szCs w:val="24"/>
                <w:highlight w:val="none"/>
              </w:rPr>
              <w:t>2</w:t>
            </w:r>
            <w:r>
              <w:rPr>
                <w:kern w:val="0"/>
                <w:sz w:val="24"/>
                <w:szCs w:val="24"/>
                <w:highlight w:val="none"/>
              </w:rPr>
              <w:t>分，最多</w:t>
            </w:r>
            <w:r>
              <w:rPr>
                <w:rFonts w:hint="eastAsia"/>
                <w:kern w:val="0"/>
                <w:sz w:val="24"/>
                <w:szCs w:val="24"/>
                <w:highlight w:val="none"/>
              </w:rPr>
              <w:t>10</w:t>
            </w:r>
            <w:r>
              <w:rPr>
                <w:kern w:val="0"/>
                <w:sz w:val="24"/>
                <w:szCs w:val="24"/>
                <w:highlight w:val="none"/>
              </w:rPr>
              <w:t>分</w:t>
            </w:r>
          </w:p>
        </w:tc>
        <w:tc>
          <w:tcPr>
            <w:tcW w:w="1140" w:type="dxa"/>
            <w:vAlign w:val="center"/>
          </w:tcPr>
          <w:p w14:paraId="48C9579C">
            <w:pPr>
              <w:widowControl/>
              <w:adjustRightInd w:val="0"/>
              <w:snapToGrid w:val="0"/>
              <w:jc w:val="center"/>
              <w:rPr>
                <w:kern w:val="0"/>
                <w:sz w:val="24"/>
                <w:szCs w:val="24"/>
                <w:highlight w:val="none"/>
              </w:rPr>
            </w:pPr>
            <w:r>
              <w:rPr>
                <w:rFonts w:hint="eastAsia"/>
                <w:kern w:val="0"/>
                <w:sz w:val="24"/>
                <w:szCs w:val="24"/>
                <w:highlight w:val="none"/>
              </w:rPr>
              <w:t>10</w:t>
            </w:r>
          </w:p>
        </w:tc>
      </w:tr>
      <w:tr w14:paraId="1F0E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663" w:type="dxa"/>
            <w:noWrap/>
            <w:vAlign w:val="center"/>
          </w:tcPr>
          <w:p w14:paraId="0E9458FA">
            <w:pPr>
              <w:widowControl/>
              <w:jc w:val="center"/>
              <w:rPr>
                <w:color w:val="000000"/>
                <w:kern w:val="0"/>
                <w:sz w:val="24"/>
                <w:szCs w:val="24"/>
                <w:highlight w:val="none"/>
              </w:rPr>
            </w:pPr>
            <w:r>
              <w:rPr>
                <w:rFonts w:hint="eastAsia"/>
                <w:color w:val="000000"/>
                <w:kern w:val="0"/>
                <w:sz w:val="24"/>
                <w:szCs w:val="24"/>
                <w:highlight w:val="none"/>
              </w:rPr>
              <w:t>2</w:t>
            </w:r>
          </w:p>
        </w:tc>
        <w:tc>
          <w:tcPr>
            <w:tcW w:w="1442" w:type="dxa"/>
            <w:vAlign w:val="center"/>
          </w:tcPr>
          <w:p w14:paraId="6C262EBB">
            <w:pPr>
              <w:widowControl/>
              <w:adjustRightInd w:val="0"/>
              <w:snapToGrid w:val="0"/>
              <w:jc w:val="center"/>
              <w:rPr>
                <w:color w:val="FF0000"/>
                <w:kern w:val="0"/>
                <w:sz w:val="24"/>
                <w:szCs w:val="24"/>
                <w:highlight w:val="none"/>
              </w:rPr>
            </w:pPr>
            <w:r>
              <w:rPr>
                <w:rFonts w:hint="eastAsia"/>
                <w:kern w:val="0"/>
                <w:sz w:val="24"/>
                <w:szCs w:val="24"/>
                <w:highlight w:val="none"/>
              </w:rPr>
              <w:t>投标人相关证书评价</w:t>
            </w:r>
          </w:p>
        </w:tc>
        <w:tc>
          <w:tcPr>
            <w:tcW w:w="7291" w:type="dxa"/>
            <w:vAlign w:val="center"/>
          </w:tcPr>
          <w:p w14:paraId="0FDBB9D1">
            <w:pPr>
              <w:adjustRightInd w:val="0"/>
              <w:snapToGrid w:val="0"/>
              <w:outlineLvl w:val="0"/>
              <w:rPr>
                <w:kern w:val="0"/>
                <w:sz w:val="24"/>
                <w:szCs w:val="24"/>
                <w:highlight w:val="none"/>
              </w:rPr>
            </w:pPr>
            <w:r>
              <w:rPr>
                <w:rFonts w:hint="eastAsia"/>
                <w:kern w:val="0"/>
                <w:sz w:val="24"/>
                <w:szCs w:val="24"/>
                <w:highlight w:val="none"/>
              </w:rPr>
              <w:t>投标人具备</w:t>
            </w:r>
            <w:r>
              <w:rPr>
                <w:rFonts w:hint="eastAsia" w:hAnsi="宋体"/>
                <w:b/>
                <w:bCs/>
                <w:sz w:val="24"/>
                <w:highlight w:val="none"/>
              </w:rPr>
              <w:t>质量管理体系认证、环境管理体系认证、职业健康管理体系认证、</w:t>
            </w:r>
            <w:r>
              <w:rPr>
                <w:rFonts w:hint="eastAsia"/>
                <w:b/>
                <w:bCs/>
                <w:kern w:val="0"/>
                <w:sz w:val="24"/>
                <w:szCs w:val="24"/>
                <w:highlight w:val="none"/>
              </w:rPr>
              <w:t>信息安全管理体系认证证书、信息技术服务管理体系认证证书</w:t>
            </w:r>
            <w:r>
              <w:rPr>
                <w:rFonts w:hint="eastAsia"/>
                <w:kern w:val="0"/>
                <w:sz w:val="24"/>
                <w:szCs w:val="24"/>
                <w:highlight w:val="none"/>
              </w:rPr>
              <w:t>，</w:t>
            </w:r>
          </w:p>
          <w:p w14:paraId="7B744064">
            <w:pPr>
              <w:adjustRightInd w:val="0"/>
              <w:snapToGrid w:val="0"/>
              <w:outlineLvl w:val="0"/>
              <w:rPr>
                <w:kern w:val="0"/>
                <w:sz w:val="24"/>
                <w:szCs w:val="24"/>
                <w:highlight w:val="none"/>
              </w:rPr>
            </w:pPr>
            <w:r>
              <w:rPr>
                <w:rFonts w:hint="eastAsia"/>
                <w:kern w:val="0"/>
                <w:sz w:val="24"/>
                <w:szCs w:val="24"/>
                <w:highlight w:val="none"/>
              </w:rPr>
              <w:t>每个合格的证书电子件得</w:t>
            </w:r>
            <w:r>
              <w:rPr>
                <w:rFonts w:hint="eastAsia"/>
                <w:kern w:val="0"/>
                <w:sz w:val="24"/>
                <w:szCs w:val="24"/>
                <w:highlight w:val="none"/>
                <w:lang w:val="en-US" w:eastAsia="zh-CN"/>
              </w:rPr>
              <w:t>3</w:t>
            </w:r>
            <w:r>
              <w:rPr>
                <w:rFonts w:hint="eastAsia"/>
                <w:kern w:val="0"/>
                <w:sz w:val="24"/>
                <w:szCs w:val="24"/>
                <w:highlight w:val="none"/>
              </w:rPr>
              <w:t>分，最多</w:t>
            </w:r>
            <w:r>
              <w:rPr>
                <w:rFonts w:hint="eastAsia"/>
                <w:kern w:val="0"/>
                <w:sz w:val="24"/>
                <w:szCs w:val="24"/>
                <w:highlight w:val="none"/>
                <w:lang w:val="en-US" w:eastAsia="zh-CN"/>
              </w:rPr>
              <w:t>15</w:t>
            </w:r>
            <w:r>
              <w:rPr>
                <w:rFonts w:hint="eastAsia"/>
                <w:kern w:val="0"/>
                <w:sz w:val="24"/>
                <w:szCs w:val="24"/>
                <w:highlight w:val="none"/>
              </w:rPr>
              <w:t>分</w:t>
            </w:r>
            <w:r>
              <w:rPr>
                <w:rFonts w:hint="eastAsia"/>
                <w:kern w:val="0"/>
                <w:sz w:val="24"/>
                <w:szCs w:val="24"/>
                <w:highlight w:val="none"/>
              </w:rPr>
              <w:t>。</w:t>
            </w:r>
          </w:p>
        </w:tc>
        <w:tc>
          <w:tcPr>
            <w:tcW w:w="1140" w:type="dxa"/>
            <w:vAlign w:val="center"/>
          </w:tcPr>
          <w:p w14:paraId="35D748BF">
            <w:pPr>
              <w:widowControl/>
              <w:adjustRightInd w:val="0"/>
              <w:snapToGrid w:val="0"/>
              <w:jc w:val="center"/>
              <w:rPr>
                <w:rFonts w:hint="default" w:eastAsia="宋体"/>
                <w:color w:val="FF0000"/>
                <w:kern w:val="0"/>
                <w:sz w:val="24"/>
                <w:szCs w:val="24"/>
                <w:highlight w:val="none"/>
                <w:lang w:val="en-US" w:eastAsia="zh-CN"/>
              </w:rPr>
            </w:pPr>
            <w:r>
              <w:rPr>
                <w:rFonts w:hint="eastAsia"/>
                <w:kern w:val="0"/>
                <w:sz w:val="24"/>
                <w:szCs w:val="24"/>
                <w:highlight w:val="none"/>
                <w:lang w:val="en-US" w:eastAsia="zh-CN"/>
              </w:rPr>
              <w:t>15</w:t>
            </w:r>
          </w:p>
        </w:tc>
      </w:tr>
      <w:tr w14:paraId="647F1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0" w:hRule="atLeast"/>
          <w:jc w:val="center"/>
        </w:trPr>
        <w:tc>
          <w:tcPr>
            <w:tcW w:w="663" w:type="dxa"/>
            <w:noWrap/>
            <w:vAlign w:val="center"/>
          </w:tcPr>
          <w:p w14:paraId="0BD6A794">
            <w:pPr>
              <w:widowControl/>
              <w:adjustRightInd w:val="0"/>
              <w:snapToGrid w:val="0"/>
              <w:jc w:val="center"/>
              <w:rPr>
                <w:kern w:val="0"/>
                <w:sz w:val="24"/>
                <w:szCs w:val="24"/>
                <w:highlight w:val="none"/>
              </w:rPr>
            </w:pPr>
            <w:r>
              <w:rPr>
                <w:kern w:val="0"/>
                <w:sz w:val="24"/>
                <w:szCs w:val="24"/>
                <w:highlight w:val="none"/>
              </w:rPr>
              <w:t>3</w:t>
            </w:r>
          </w:p>
        </w:tc>
        <w:tc>
          <w:tcPr>
            <w:tcW w:w="1442" w:type="dxa"/>
            <w:vAlign w:val="center"/>
          </w:tcPr>
          <w:p w14:paraId="44E78F17">
            <w:pPr>
              <w:widowControl/>
              <w:adjustRightInd w:val="0"/>
              <w:snapToGrid w:val="0"/>
              <w:jc w:val="center"/>
              <w:rPr>
                <w:kern w:val="0"/>
                <w:sz w:val="24"/>
                <w:szCs w:val="24"/>
                <w:highlight w:val="none"/>
              </w:rPr>
            </w:pPr>
            <w:r>
              <w:rPr>
                <w:rFonts w:hint="eastAsia"/>
                <w:sz w:val="24"/>
                <w:highlight w:val="none"/>
              </w:rPr>
              <w:t>投入人员评价</w:t>
            </w:r>
          </w:p>
        </w:tc>
        <w:tc>
          <w:tcPr>
            <w:tcW w:w="7291" w:type="dxa"/>
            <w:vAlign w:val="center"/>
          </w:tcPr>
          <w:p w14:paraId="02693349">
            <w:pPr>
              <w:widowControl/>
              <w:adjustRightInd w:val="0"/>
              <w:snapToGrid w:val="0"/>
              <w:rPr>
                <w:kern w:val="0"/>
                <w:sz w:val="24"/>
                <w:szCs w:val="24"/>
                <w:highlight w:val="none"/>
              </w:rPr>
            </w:pPr>
            <w:r>
              <w:rPr>
                <w:rFonts w:hint="eastAsia"/>
                <w:kern w:val="0"/>
                <w:sz w:val="24"/>
                <w:szCs w:val="24"/>
                <w:highlight w:val="none"/>
              </w:rPr>
              <w:t>投入的人员为投标单位正式员工，提供</w:t>
            </w:r>
            <w:r>
              <w:rPr>
                <w:rFonts w:hint="eastAsia" w:hAnsi="宋体"/>
                <w:sz w:val="24"/>
                <w:highlight w:val="none"/>
              </w:rPr>
              <w:t>项目经理、服务团队（含现场和外场团队）、应急抢修人员的姓名、</w:t>
            </w:r>
            <w:r>
              <w:rPr>
                <w:rFonts w:hint="eastAsia"/>
                <w:kern w:val="0"/>
                <w:sz w:val="24"/>
                <w:szCs w:val="24"/>
                <w:highlight w:val="none"/>
              </w:rPr>
              <w:t>开标日当月或上一月的由投标单位为投入人员缴纳社会保险证明电子件，否则不予认定加分。</w:t>
            </w:r>
          </w:p>
          <w:p w14:paraId="18E12767">
            <w:pPr>
              <w:adjustRightInd w:val="0"/>
              <w:snapToGrid w:val="0"/>
              <w:rPr>
                <w:kern w:val="0"/>
                <w:sz w:val="24"/>
                <w:szCs w:val="24"/>
                <w:highlight w:val="none"/>
              </w:rPr>
            </w:pPr>
            <w:r>
              <w:rPr>
                <w:rFonts w:hint="eastAsia"/>
                <w:kern w:val="0"/>
                <w:sz w:val="24"/>
                <w:szCs w:val="24"/>
                <w:highlight w:val="none"/>
              </w:rPr>
              <w:t>（</w:t>
            </w:r>
            <w:r>
              <w:rPr>
                <w:kern w:val="0"/>
                <w:sz w:val="24"/>
                <w:szCs w:val="24"/>
                <w:highlight w:val="none"/>
              </w:rPr>
              <w:t>1</w:t>
            </w:r>
            <w:r>
              <w:rPr>
                <w:rFonts w:hint="eastAsia"/>
                <w:kern w:val="0"/>
                <w:sz w:val="24"/>
                <w:szCs w:val="24"/>
                <w:highlight w:val="none"/>
              </w:rPr>
              <w:t>）提供</w:t>
            </w:r>
            <w:r>
              <w:rPr>
                <w:rFonts w:hint="eastAsia"/>
                <w:b/>
                <w:kern w:val="0"/>
                <w:sz w:val="24"/>
                <w:szCs w:val="24"/>
                <w:highlight w:val="none"/>
              </w:rPr>
              <w:t>项目经理</w:t>
            </w:r>
            <w:r>
              <w:rPr>
                <w:rFonts w:hint="eastAsia" w:ascii="宋体" w:hAnsi="宋体" w:cs="宋体"/>
                <w:kern w:val="0"/>
                <w:sz w:val="24"/>
                <w:szCs w:val="24"/>
                <w:highlight w:val="none"/>
              </w:rPr>
              <w:t>本科（或以上）学历毕业证书、计算机或通信相关专业高级工程师（或以上）职称证书、人力资源部门或工业信息化部门颁发的信息系统项目管理师证书，每个</w:t>
            </w:r>
            <w:r>
              <w:rPr>
                <w:rFonts w:hint="eastAsia"/>
                <w:kern w:val="0"/>
                <w:sz w:val="24"/>
                <w:szCs w:val="24"/>
                <w:highlight w:val="none"/>
              </w:rPr>
              <w:t>合格的证书电子件得2分，最多6分；</w:t>
            </w:r>
          </w:p>
          <w:p w14:paraId="10B15086">
            <w:pPr>
              <w:adjustRightInd w:val="0"/>
              <w:snapToGrid w:val="0"/>
              <w:rPr>
                <w:kern w:val="0"/>
                <w:sz w:val="24"/>
                <w:szCs w:val="24"/>
                <w:highlight w:val="none"/>
              </w:rPr>
            </w:pPr>
            <w:r>
              <w:rPr>
                <w:rFonts w:hint="eastAsia"/>
                <w:kern w:val="0"/>
                <w:sz w:val="24"/>
                <w:szCs w:val="24"/>
                <w:highlight w:val="none"/>
              </w:rPr>
              <w:t>（</w:t>
            </w:r>
            <w:r>
              <w:rPr>
                <w:kern w:val="0"/>
                <w:sz w:val="24"/>
                <w:szCs w:val="24"/>
                <w:highlight w:val="none"/>
              </w:rPr>
              <w:t>2</w:t>
            </w:r>
            <w:r>
              <w:rPr>
                <w:rFonts w:hint="eastAsia"/>
                <w:kern w:val="0"/>
                <w:sz w:val="24"/>
                <w:szCs w:val="24"/>
                <w:highlight w:val="none"/>
              </w:rPr>
              <w:t>）提供</w:t>
            </w:r>
            <w:r>
              <w:rPr>
                <w:rFonts w:hint="eastAsia"/>
                <w:b/>
                <w:kern w:val="0"/>
                <w:sz w:val="24"/>
                <w:szCs w:val="24"/>
                <w:highlight w:val="none"/>
              </w:rPr>
              <w:t>专职</w:t>
            </w:r>
            <w:r>
              <w:rPr>
                <w:rFonts w:hint="eastAsia" w:ascii="宋体" w:hAnsi="宋体" w:cs="宋体"/>
                <w:b/>
                <w:sz w:val="24"/>
                <w:highlight w:val="none"/>
              </w:rPr>
              <w:t>平台巡检人员</w:t>
            </w:r>
            <w:r>
              <w:rPr>
                <w:rFonts w:hint="eastAsia" w:ascii="宋体" w:hAnsi="宋体" w:cs="宋体"/>
                <w:kern w:val="0"/>
                <w:sz w:val="24"/>
                <w:szCs w:val="24"/>
                <w:highlight w:val="none"/>
              </w:rPr>
              <w:t>专科（或以上）学历毕业证书；相关</w:t>
            </w:r>
            <w:r>
              <w:rPr>
                <w:rFonts w:hint="eastAsia"/>
                <w:kern w:val="0"/>
                <w:sz w:val="24"/>
                <w:szCs w:val="24"/>
                <w:highlight w:val="none"/>
              </w:rPr>
              <w:t>维保工作经验，提供用户服务证明电子件（加盖用户单位公章），用户服务证明能表明该人员</w:t>
            </w:r>
            <w:r>
              <w:rPr>
                <w:rFonts w:hint="eastAsia" w:hAnsi="宋体"/>
                <w:sz w:val="24"/>
                <w:highlight w:val="none"/>
              </w:rPr>
              <w:t>具备两年及以上运维项目经验</w:t>
            </w:r>
            <w:r>
              <w:rPr>
                <w:rFonts w:hint="eastAsia"/>
                <w:kern w:val="0"/>
                <w:sz w:val="24"/>
                <w:szCs w:val="24"/>
                <w:highlight w:val="none"/>
              </w:rPr>
              <w:t>，每个同时满足以上要求的人员得</w:t>
            </w:r>
            <w:r>
              <w:rPr>
                <w:rFonts w:hint="eastAsia"/>
                <w:kern w:val="0"/>
                <w:sz w:val="24"/>
                <w:szCs w:val="24"/>
                <w:highlight w:val="none"/>
                <w:lang w:val="en-US" w:eastAsia="zh-CN"/>
              </w:rPr>
              <w:t>2</w:t>
            </w:r>
            <w:r>
              <w:rPr>
                <w:rFonts w:hint="eastAsia"/>
                <w:kern w:val="0"/>
                <w:sz w:val="24"/>
                <w:szCs w:val="24"/>
                <w:highlight w:val="none"/>
              </w:rPr>
              <w:t>分，最多</w:t>
            </w:r>
            <w:r>
              <w:rPr>
                <w:rFonts w:hint="eastAsia"/>
                <w:kern w:val="0"/>
                <w:sz w:val="24"/>
                <w:szCs w:val="24"/>
                <w:highlight w:val="none"/>
                <w:lang w:val="en-US" w:eastAsia="zh-CN"/>
              </w:rPr>
              <w:t>2</w:t>
            </w:r>
            <w:r>
              <w:rPr>
                <w:rFonts w:hint="eastAsia"/>
                <w:kern w:val="0"/>
                <w:sz w:val="24"/>
                <w:szCs w:val="24"/>
                <w:highlight w:val="none"/>
              </w:rPr>
              <w:t>分；</w:t>
            </w:r>
          </w:p>
          <w:p w14:paraId="7D6ACE56">
            <w:pPr>
              <w:adjustRightInd w:val="0"/>
              <w:snapToGrid w:val="0"/>
              <w:rPr>
                <w:kern w:val="0"/>
                <w:sz w:val="24"/>
                <w:szCs w:val="24"/>
                <w:highlight w:val="none"/>
              </w:rPr>
            </w:pPr>
            <w:r>
              <w:rPr>
                <w:rFonts w:hint="eastAsia"/>
                <w:kern w:val="0"/>
                <w:sz w:val="24"/>
                <w:szCs w:val="24"/>
                <w:highlight w:val="none"/>
              </w:rPr>
              <w:t>（3）</w:t>
            </w:r>
            <w:r>
              <w:rPr>
                <w:rFonts w:hint="eastAsia" w:hAnsi="宋体"/>
                <w:b/>
                <w:sz w:val="24"/>
                <w:highlight w:val="none"/>
              </w:rPr>
              <w:t>应急抢修人员A</w:t>
            </w:r>
            <w:r>
              <w:rPr>
                <w:rFonts w:hint="eastAsia" w:hAnsi="宋体"/>
                <w:sz w:val="24"/>
                <w:highlight w:val="none"/>
              </w:rPr>
              <w:t>具有</w:t>
            </w:r>
            <w:r>
              <w:rPr>
                <w:rFonts w:hint="eastAsia"/>
                <w:kern w:val="0"/>
                <w:sz w:val="24"/>
                <w:szCs w:val="24"/>
                <w:highlight w:val="none"/>
              </w:rPr>
              <w:t>《特种作业操作证（电工作业）》证书电子件且满足招标文件要求</w:t>
            </w:r>
            <w:r>
              <w:rPr>
                <w:rFonts w:hint="eastAsia" w:hAnsi="宋体"/>
                <w:sz w:val="24"/>
                <w:highlight w:val="none"/>
              </w:rPr>
              <w:t>，</w:t>
            </w:r>
            <w:r>
              <w:rPr>
                <w:rFonts w:hint="eastAsia"/>
                <w:kern w:val="0"/>
                <w:sz w:val="24"/>
                <w:szCs w:val="24"/>
                <w:highlight w:val="none"/>
              </w:rPr>
              <w:t>每个满足以上要求的人员得</w:t>
            </w:r>
            <w:r>
              <w:rPr>
                <w:rFonts w:hint="eastAsia"/>
                <w:kern w:val="0"/>
                <w:sz w:val="24"/>
                <w:szCs w:val="24"/>
                <w:highlight w:val="none"/>
                <w:lang w:val="en-US" w:eastAsia="zh-CN"/>
              </w:rPr>
              <w:t>2</w:t>
            </w:r>
            <w:r>
              <w:rPr>
                <w:rFonts w:hint="eastAsia"/>
                <w:kern w:val="0"/>
                <w:sz w:val="24"/>
                <w:szCs w:val="24"/>
                <w:highlight w:val="none"/>
              </w:rPr>
              <w:t>分，最多</w:t>
            </w:r>
            <w:r>
              <w:rPr>
                <w:rFonts w:hint="eastAsia"/>
                <w:kern w:val="0"/>
                <w:sz w:val="24"/>
                <w:szCs w:val="24"/>
                <w:highlight w:val="none"/>
                <w:lang w:val="en-US" w:eastAsia="zh-CN"/>
              </w:rPr>
              <w:t>2</w:t>
            </w:r>
            <w:r>
              <w:rPr>
                <w:rFonts w:hint="eastAsia"/>
                <w:kern w:val="0"/>
                <w:sz w:val="24"/>
                <w:szCs w:val="24"/>
                <w:highlight w:val="none"/>
              </w:rPr>
              <w:t>分；</w:t>
            </w:r>
          </w:p>
          <w:p w14:paraId="057AB926">
            <w:pPr>
              <w:adjustRightInd w:val="0"/>
              <w:snapToGrid w:val="0"/>
              <w:rPr>
                <w:kern w:val="0"/>
                <w:sz w:val="24"/>
                <w:szCs w:val="24"/>
                <w:highlight w:val="none"/>
              </w:rPr>
            </w:pPr>
            <w:r>
              <w:rPr>
                <w:rFonts w:hint="eastAsia"/>
                <w:kern w:val="0"/>
                <w:sz w:val="24"/>
                <w:szCs w:val="24"/>
                <w:highlight w:val="none"/>
              </w:rPr>
              <w:t>（4）</w:t>
            </w:r>
            <w:r>
              <w:rPr>
                <w:rFonts w:hint="eastAsia" w:hAnsi="宋体"/>
                <w:b/>
                <w:sz w:val="24"/>
                <w:highlight w:val="none"/>
              </w:rPr>
              <w:t>应急抢修人员B</w:t>
            </w:r>
            <w:r>
              <w:rPr>
                <w:rFonts w:hint="eastAsia" w:hAnsi="宋体"/>
                <w:sz w:val="24"/>
                <w:highlight w:val="none"/>
              </w:rPr>
              <w:t>具有</w:t>
            </w:r>
            <w:r>
              <w:rPr>
                <w:rFonts w:hint="eastAsia"/>
                <w:kern w:val="0"/>
                <w:sz w:val="24"/>
                <w:szCs w:val="24"/>
                <w:highlight w:val="none"/>
              </w:rPr>
              <w:t>《特种作业操作证（</w:t>
            </w:r>
            <w:r>
              <w:rPr>
                <w:rFonts w:hint="eastAsia" w:hAnsi="宋体"/>
                <w:sz w:val="24"/>
                <w:highlight w:val="none"/>
              </w:rPr>
              <w:t>高处作业</w:t>
            </w:r>
            <w:r>
              <w:rPr>
                <w:rFonts w:hint="eastAsia"/>
                <w:kern w:val="0"/>
                <w:sz w:val="24"/>
                <w:szCs w:val="24"/>
                <w:highlight w:val="none"/>
              </w:rPr>
              <w:t>）》证书电子件且满足招标文件要求</w:t>
            </w:r>
            <w:r>
              <w:rPr>
                <w:rFonts w:hint="eastAsia" w:hAnsi="宋体"/>
                <w:sz w:val="24"/>
                <w:highlight w:val="none"/>
              </w:rPr>
              <w:t>，</w:t>
            </w:r>
            <w:r>
              <w:rPr>
                <w:rFonts w:hint="eastAsia"/>
                <w:kern w:val="0"/>
                <w:sz w:val="24"/>
                <w:szCs w:val="24"/>
                <w:highlight w:val="none"/>
              </w:rPr>
              <w:t>每个满足以上要求的人员</w:t>
            </w:r>
            <w:r>
              <w:rPr>
                <w:rFonts w:hint="eastAsia"/>
                <w:kern w:val="0"/>
                <w:sz w:val="24"/>
                <w:szCs w:val="24"/>
                <w:highlight w:val="none"/>
              </w:rPr>
              <w:t>得</w:t>
            </w:r>
            <w:r>
              <w:rPr>
                <w:rFonts w:hint="eastAsia"/>
                <w:kern w:val="0"/>
                <w:sz w:val="24"/>
                <w:szCs w:val="24"/>
                <w:highlight w:val="none"/>
                <w:lang w:val="en-US" w:eastAsia="zh-CN"/>
              </w:rPr>
              <w:t>2</w:t>
            </w:r>
            <w:r>
              <w:rPr>
                <w:rFonts w:hint="eastAsia"/>
                <w:kern w:val="0"/>
                <w:sz w:val="24"/>
                <w:szCs w:val="24"/>
                <w:highlight w:val="none"/>
              </w:rPr>
              <w:t>分，最多</w:t>
            </w:r>
            <w:r>
              <w:rPr>
                <w:rFonts w:hint="eastAsia"/>
                <w:kern w:val="0"/>
                <w:sz w:val="24"/>
                <w:szCs w:val="24"/>
                <w:highlight w:val="none"/>
                <w:lang w:val="en-US" w:eastAsia="zh-CN"/>
              </w:rPr>
              <w:t>2</w:t>
            </w:r>
            <w:r>
              <w:rPr>
                <w:rFonts w:hint="eastAsia"/>
                <w:kern w:val="0"/>
                <w:sz w:val="24"/>
                <w:szCs w:val="24"/>
                <w:highlight w:val="none"/>
              </w:rPr>
              <w:t>分</w:t>
            </w:r>
            <w:r>
              <w:rPr>
                <w:rFonts w:hint="eastAsia"/>
                <w:kern w:val="0"/>
                <w:sz w:val="24"/>
                <w:szCs w:val="24"/>
                <w:highlight w:val="none"/>
              </w:rPr>
              <w:t>。</w:t>
            </w:r>
          </w:p>
          <w:p w14:paraId="501D9CAD">
            <w:pPr>
              <w:adjustRightInd w:val="0"/>
              <w:snapToGrid w:val="0"/>
              <w:rPr>
                <w:kern w:val="0"/>
                <w:sz w:val="24"/>
                <w:szCs w:val="24"/>
                <w:highlight w:val="none"/>
              </w:rPr>
            </w:pPr>
            <w:r>
              <w:rPr>
                <w:rFonts w:hint="eastAsia"/>
                <w:kern w:val="0"/>
                <w:sz w:val="24"/>
                <w:szCs w:val="24"/>
                <w:highlight w:val="none"/>
              </w:rPr>
              <w:t>注：上述（3）和（4）人员不得重复。</w:t>
            </w:r>
          </w:p>
        </w:tc>
        <w:tc>
          <w:tcPr>
            <w:tcW w:w="1140" w:type="dxa"/>
            <w:vAlign w:val="center"/>
          </w:tcPr>
          <w:p w14:paraId="1B1089B1">
            <w:pPr>
              <w:widowControl/>
              <w:adjustRightInd w:val="0"/>
              <w:snapToGrid w:val="0"/>
              <w:jc w:val="center"/>
              <w:rPr>
                <w:rFonts w:hint="default" w:eastAsia="宋体"/>
                <w:kern w:val="0"/>
                <w:sz w:val="24"/>
                <w:szCs w:val="24"/>
                <w:highlight w:val="none"/>
                <w:lang w:val="en-US" w:eastAsia="zh-CN"/>
              </w:rPr>
            </w:pPr>
            <w:r>
              <w:rPr>
                <w:rFonts w:hint="eastAsia"/>
                <w:kern w:val="0"/>
                <w:sz w:val="24"/>
                <w:szCs w:val="24"/>
                <w:highlight w:val="none"/>
                <w:lang w:val="en-US" w:eastAsia="zh-CN"/>
              </w:rPr>
              <w:t>12</w:t>
            </w:r>
          </w:p>
        </w:tc>
      </w:tr>
      <w:tr w14:paraId="0B38F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663" w:type="dxa"/>
            <w:noWrap/>
            <w:vAlign w:val="center"/>
          </w:tcPr>
          <w:p w14:paraId="7A2B857E">
            <w:pPr>
              <w:widowControl/>
              <w:adjustRightInd w:val="0"/>
              <w:snapToGrid w:val="0"/>
              <w:jc w:val="center"/>
              <w:rPr>
                <w:kern w:val="0"/>
                <w:sz w:val="24"/>
                <w:szCs w:val="24"/>
                <w:highlight w:val="none"/>
              </w:rPr>
            </w:pPr>
            <w:r>
              <w:rPr>
                <w:kern w:val="0"/>
                <w:sz w:val="24"/>
                <w:szCs w:val="24"/>
                <w:highlight w:val="none"/>
              </w:rPr>
              <w:t>4</w:t>
            </w:r>
          </w:p>
        </w:tc>
        <w:tc>
          <w:tcPr>
            <w:tcW w:w="1442" w:type="dxa"/>
            <w:vAlign w:val="center"/>
          </w:tcPr>
          <w:p w14:paraId="72AD2749">
            <w:pPr>
              <w:widowControl/>
              <w:adjustRightInd w:val="0"/>
              <w:snapToGrid w:val="0"/>
              <w:jc w:val="center"/>
              <w:rPr>
                <w:sz w:val="24"/>
                <w:highlight w:val="none"/>
              </w:rPr>
            </w:pPr>
            <w:r>
              <w:rPr>
                <w:rFonts w:hint="eastAsia"/>
                <w:sz w:val="24"/>
                <w:highlight w:val="none"/>
              </w:rPr>
              <w:t>投标人承诺评价</w:t>
            </w:r>
          </w:p>
        </w:tc>
        <w:tc>
          <w:tcPr>
            <w:tcW w:w="7291" w:type="dxa"/>
            <w:vAlign w:val="center"/>
          </w:tcPr>
          <w:p w14:paraId="77C906BD">
            <w:pPr>
              <w:widowControl/>
              <w:adjustRightInd w:val="0"/>
              <w:snapToGrid w:val="0"/>
              <w:rPr>
                <w:kern w:val="0"/>
                <w:sz w:val="24"/>
                <w:szCs w:val="24"/>
                <w:highlight w:val="none"/>
              </w:rPr>
            </w:pPr>
            <w:r>
              <w:rPr>
                <w:rFonts w:hint="eastAsia"/>
                <w:kern w:val="0"/>
                <w:sz w:val="24"/>
                <w:szCs w:val="24"/>
                <w:highlight w:val="none"/>
              </w:rPr>
              <w:t>承诺完全满足招标文件“报价要求”、“时间地点要求”、“付款方式要求”和技术要求中非“★”号要求的：</w:t>
            </w:r>
            <w:r>
              <w:rPr>
                <w:rFonts w:hint="eastAsia"/>
                <w:kern w:val="0"/>
                <w:sz w:val="24"/>
                <w:szCs w:val="24"/>
                <w:highlight w:val="none"/>
                <w:lang w:val="en-US" w:eastAsia="zh-CN"/>
              </w:rPr>
              <w:t>5</w:t>
            </w:r>
            <w:r>
              <w:rPr>
                <w:rFonts w:hint="eastAsia"/>
                <w:kern w:val="0"/>
                <w:sz w:val="24"/>
                <w:szCs w:val="24"/>
                <w:highlight w:val="none"/>
              </w:rPr>
              <w:t>分，其他</w:t>
            </w:r>
            <w:r>
              <w:rPr>
                <w:kern w:val="0"/>
                <w:sz w:val="24"/>
                <w:szCs w:val="24"/>
                <w:highlight w:val="none"/>
              </w:rPr>
              <w:t>0</w:t>
            </w:r>
            <w:r>
              <w:rPr>
                <w:rFonts w:hint="eastAsia"/>
                <w:kern w:val="0"/>
                <w:sz w:val="24"/>
                <w:szCs w:val="24"/>
                <w:highlight w:val="none"/>
              </w:rPr>
              <w:t>分。</w:t>
            </w:r>
          </w:p>
        </w:tc>
        <w:tc>
          <w:tcPr>
            <w:tcW w:w="1140" w:type="dxa"/>
            <w:vAlign w:val="center"/>
          </w:tcPr>
          <w:p w14:paraId="76147E29">
            <w:pPr>
              <w:widowControl/>
              <w:adjustRightInd w:val="0"/>
              <w:snapToGrid w:val="0"/>
              <w:jc w:val="center"/>
              <w:rPr>
                <w:rFonts w:hint="eastAsia" w:eastAsia="宋体"/>
                <w:kern w:val="0"/>
                <w:sz w:val="24"/>
                <w:szCs w:val="24"/>
                <w:highlight w:val="none"/>
                <w:lang w:eastAsia="zh-CN"/>
              </w:rPr>
            </w:pPr>
            <w:r>
              <w:rPr>
                <w:rFonts w:hint="eastAsia"/>
                <w:kern w:val="0"/>
                <w:sz w:val="24"/>
                <w:szCs w:val="24"/>
                <w:highlight w:val="none"/>
                <w:lang w:val="en-US" w:eastAsia="zh-CN"/>
              </w:rPr>
              <w:t>5</w:t>
            </w:r>
          </w:p>
        </w:tc>
      </w:tr>
      <w:tr w14:paraId="0BFE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396" w:type="dxa"/>
            <w:gridSpan w:val="3"/>
            <w:noWrap/>
            <w:vAlign w:val="center"/>
          </w:tcPr>
          <w:p w14:paraId="230FDF47">
            <w:pPr>
              <w:widowControl/>
              <w:adjustRightInd w:val="0"/>
              <w:snapToGrid w:val="0"/>
              <w:jc w:val="center"/>
              <w:rPr>
                <w:kern w:val="0"/>
                <w:sz w:val="24"/>
                <w:szCs w:val="24"/>
                <w:highlight w:val="none"/>
              </w:rPr>
            </w:pPr>
            <w:r>
              <w:rPr>
                <w:kern w:val="0"/>
                <w:sz w:val="24"/>
                <w:szCs w:val="24"/>
                <w:highlight w:val="none"/>
              </w:rPr>
              <w:t>第三部分主观分（</w:t>
            </w:r>
            <w:r>
              <w:rPr>
                <w:rFonts w:hint="eastAsia"/>
                <w:kern w:val="0"/>
                <w:sz w:val="24"/>
                <w:szCs w:val="24"/>
                <w:highlight w:val="none"/>
              </w:rPr>
              <w:t>48</w:t>
            </w:r>
            <w:r>
              <w:rPr>
                <w:kern w:val="0"/>
                <w:sz w:val="24"/>
                <w:szCs w:val="24"/>
                <w:highlight w:val="none"/>
              </w:rPr>
              <w:t>分）</w:t>
            </w:r>
          </w:p>
        </w:tc>
        <w:tc>
          <w:tcPr>
            <w:tcW w:w="1140" w:type="dxa"/>
            <w:vAlign w:val="center"/>
          </w:tcPr>
          <w:p w14:paraId="32F56A61">
            <w:pPr>
              <w:widowControl/>
              <w:adjustRightInd w:val="0"/>
              <w:snapToGrid w:val="0"/>
              <w:jc w:val="center"/>
              <w:rPr>
                <w:kern w:val="0"/>
                <w:sz w:val="24"/>
                <w:szCs w:val="24"/>
                <w:highlight w:val="none"/>
              </w:rPr>
            </w:pPr>
            <w:r>
              <w:rPr>
                <w:kern w:val="0"/>
                <w:sz w:val="24"/>
                <w:szCs w:val="24"/>
                <w:highlight w:val="none"/>
              </w:rPr>
              <w:t>分值</w:t>
            </w:r>
          </w:p>
        </w:tc>
      </w:tr>
      <w:tr w14:paraId="10D9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8" w:hRule="atLeast"/>
          <w:jc w:val="center"/>
        </w:trPr>
        <w:tc>
          <w:tcPr>
            <w:tcW w:w="663" w:type="dxa"/>
            <w:noWrap/>
            <w:vAlign w:val="center"/>
          </w:tcPr>
          <w:p w14:paraId="4BBB4C8B">
            <w:pPr>
              <w:widowControl/>
              <w:adjustRightInd w:val="0"/>
              <w:snapToGrid w:val="0"/>
              <w:jc w:val="center"/>
              <w:rPr>
                <w:kern w:val="0"/>
                <w:sz w:val="24"/>
                <w:szCs w:val="24"/>
                <w:highlight w:val="none"/>
              </w:rPr>
            </w:pPr>
            <w:r>
              <w:rPr>
                <w:kern w:val="0"/>
                <w:sz w:val="24"/>
                <w:szCs w:val="24"/>
                <w:highlight w:val="none"/>
              </w:rPr>
              <w:t>1</w:t>
            </w:r>
          </w:p>
        </w:tc>
        <w:tc>
          <w:tcPr>
            <w:tcW w:w="1442" w:type="dxa"/>
            <w:vAlign w:val="center"/>
          </w:tcPr>
          <w:p w14:paraId="6B74428A">
            <w:pPr>
              <w:widowControl/>
              <w:adjustRightInd w:val="0"/>
              <w:snapToGrid w:val="0"/>
              <w:jc w:val="center"/>
              <w:rPr>
                <w:kern w:val="0"/>
                <w:sz w:val="24"/>
                <w:szCs w:val="24"/>
                <w:highlight w:val="none"/>
              </w:rPr>
            </w:pPr>
            <w:r>
              <w:rPr>
                <w:rFonts w:hint="eastAsia"/>
                <w:kern w:val="0"/>
                <w:sz w:val="24"/>
                <w:szCs w:val="24"/>
                <w:highlight w:val="none"/>
              </w:rPr>
              <w:t>投标人整体运维方案评价</w:t>
            </w:r>
          </w:p>
        </w:tc>
        <w:tc>
          <w:tcPr>
            <w:tcW w:w="7291" w:type="dxa"/>
            <w:vAlign w:val="center"/>
          </w:tcPr>
          <w:p w14:paraId="6629A45D">
            <w:pPr>
              <w:widowControl/>
              <w:adjustRightInd w:val="0"/>
              <w:snapToGrid w:val="0"/>
              <w:rPr>
                <w:kern w:val="0"/>
                <w:sz w:val="24"/>
                <w:szCs w:val="24"/>
                <w:highlight w:val="none"/>
              </w:rPr>
            </w:pPr>
            <w:r>
              <w:rPr>
                <w:rFonts w:hint="eastAsia"/>
                <w:kern w:val="0"/>
                <w:sz w:val="24"/>
                <w:szCs w:val="24"/>
                <w:highlight w:val="none"/>
              </w:rPr>
              <w:t>投标人提供项目整体运维方案，内容包括但不限于视频监控设备运维、远程技术服务、现场服务、日常维护、定期巡检。</w:t>
            </w:r>
          </w:p>
          <w:p w14:paraId="669363EB">
            <w:pPr>
              <w:widowControl/>
              <w:adjustRightInd w:val="0"/>
              <w:snapToGrid w:val="0"/>
              <w:rPr>
                <w:kern w:val="0"/>
                <w:sz w:val="24"/>
                <w:szCs w:val="24"/>
                <w:highlight w:val="none"/>
              </w:rPr>
            </w:pPr>
            <w:r>
              <w:rPr>
                <w:rFonts w:hint="eastAsia"/>
                <w:kern w:val="0"/>
                <w:sz w:val="24"/>
                <w:szCs w:val="24"/>
                <w:highlight w:val="none"/>
              </w:rPr>
              <w:t>投标人理解深刻、准确，整体运维方案内容完善、架构清晰，逻辑严谨、层次分明、合理、有针对性：6分；</w:t>
            </w:r>
          </w:p>
          <w:p w14:paraId="3F6D09EF">
            <w:pPr>
              <w:widowControl/>
              <w:adjustRightInd w:val="0"/>
              <w:snapToGrid w:val="0"/>
              <w:rPr>
                <w:kern w:val="0"/>
                <w:sz w:val="24"/>
                <w:szCs w:val="24"/>
                <w:highlight w:val="none"/>
              </w:rPr>
            </w:pPr>
            <w:r>
              <w:rPr>
                <w:rFonts w:hint="eastAsia"/>
                <w:kern w:val="0"/>
                <w:sz w:val="24"/>
                <w:szCs w:val="24"/>
                <w:highlight w:val="none"/>
              </w:rPr>
              <w:t>满足招标文件要求，但内容存在</w:t>
            </w:r>
            <w:r>
              <w:rPr>
                <w:kern w:val="0"/>
                <w:sz w:val="24"/>
                <w:szCs w:val="24"/>
                <w:highlight w:val="none"/>
              </w:rPr>
              <w:t>1</w:t>
            </w:r>
            <w:r>
              <w:rPr>
                <w:rFonts w:hint="eastAsia"/>
                <w:kern w:val="0"/>
                <w:sz w:val="24"/>
                <w:szCs w:val="24"/>
                <w:highlight w:val="none"/>
              </w:rPr>
              <w:t>处瑕疵：</w:t>
            </w:r>
            <w:r>
              <w:rPr>
                <w:kern w:val="0"/>
                <w:sz w:val="24"/>
                <w:szCs w:val="24"/>
                <w:highlight w:val="none"/>
              </w:rPr>
              <w:t>5</w:t>
            </w:r>
            <w:r>
              <w:rPr>
                <w:rFonts w:hint="eastAsia"/>
                <w:kern w:val="0"/>
                <w:sz w:val="24"/>
                <w:szCs w:val="24"/>
                <w:highlight w:val="none"/>
              </w:rPr>
              <w:t>分；</w:t>
            </w:r>
          </w:p>
          <w:p w14:paraId="5522EE50">
            <w:pPr>
              <w:widowControl/>
              <w:adjustRightInd w:val="0"/>
              <w:snapToGrid w:val="0"/>
              <w:rPr>
                <w:kern w:val="0"/>
                <w:sz w:val="24"/>
                <w:szCs w:val="24"/>
                <w:highlight w:val="none"/>
              </w:rPr>
            </w:pPr>
            <w:r>
              <w:rPr>
                <w:rFonts w:hint="eastAsia"/>
                <w:kern w:val="0"/>
                <w:sz w:val="24"/>
                <w:szCs w:val="24"/>
                <w:highlight w:val="none"/>
              </w:rPr>
              <w:t>满足招标文件要求，但内容存在</w:t>
            </w:r>
            <w:r>
              <w:rPr>
                <w:kern w:val="0"/>
                <w:sz w:val="24"/>
                <w:szCs w:val="24"/>
                <w:highlight w:val="none"/>
              </w:rPr>
              <w:t>2</w:t>
            </w:r>
            <w:r>
              <w:rPr>
                <w:rFonts w:hint="eastAsia"/>
                <w:kern w:val="0"/>
                <w:sz w:val="24"/>
                <w:szCs w:val="24"/>
                <w:highlight w:val="none"/>
              </w:rPr>
              <w:t>处瑕疵：4分；</w:t>
            </w:r>
          </w:p>
          <w:p w14:paraId="381D60C2">
            <w:pPr>
              <w:widowControl/>
              <w:adjustRightInd w:val="0"/>
              <w:snapToGrid w:val="0"/>
              <w:rPr>
                <w:color w:val="FF0000"/>
                <w:kern w:val="0"/>
                <w:sz w:val="24"/>
                <w:szCs w:val="24"/>
                <w:highlight w:val="none"/>
              </w:rPr>
            </w:pPr>
            <w:r>
              <w:rPr>
                <w:rFonts w:hint="eastAsia"/>
                <w:kern w:val="0"/>
                <w:sz w:val="24"/>
                <w:szCs w:val="24"/>
                <w:highlight w:val="none"/>
              </w:rPr>
              <w:t>其他：</w:t>
            </w:r>
            <w:r>
              <w:rPr>
                <w:kern w:val="0"/>
                <w:sz w:val="24"/>
                <w:szCs w:val="24"/>
                <w:highlight w:val="none"/>
              </w:rPr>
              <w:t>0</w:t>
            </w:r>
            <w:r>
              <w:rPr>
                <w:rFonts w:hint="eastAsia"/>
                <w:kern w:val="0"/>
                <w:sz w:val="24"/>
                <w:szCs w:val="24"/>
                <w:highlight w:val="none"/>
              </w:rPr>
              <w:t>分；</w:t>
            </w:r>
          </w:p>
        </w:tc>
        <w:tc>
          <w:tcPr>
            <w:tcW w:w="1140" w:type="dxa"/>
            <w:vAlign w:val="center"/>
          </w:tcPr>
          <w:p w14:paraId="5A15C951">
            <w:pPr>
              <w:widowControl/>
              <w:adjustRightInd w:val="0"/>
              <w:snapToGrid w:val="0"/>
              <w:jc w:val="center"/>
              <w:rPr>
                <w:kern w:val="0"/>
                <w:sz w:val="24"/>
                <w:szCs w:val="24"/>
                <w:highlight w:val="none"/>
              </w:rPr>
            </w:pPr>
            <w:r>
              <w:rPr>
                <w:rFonts w:hint="eastAsia"/>
                <w:kern w:val="0"/>
                <w:sz w:val="24"/>
                <w:szCs w:val="24"/>
                <w:highlight w:val="none"/>
              </w:rPr>
              <w:t>6</w:t>
            </w:r>
          </w:p>
        </w:tc>
      </w:tr>
      <w:tr w14:paraId="1797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63" w:type="dxa"/>
            <w:noWrap/>
            <w:vAlign w:val="center"/>
          </w:tcPr>
          <w:p w14:paraId="733839D8">
            <w:pPr>
              <w:widowControl/>
              <w:adjustRightInd w:val="0"/>
              <w:snapToGrid w:val="0"/>
              <w:jc w:val="center"/>
              <w:rPr>
                <w:kern w:val="0"/>
                <w:sz w:val="24"/>
                <w:szCs w:val="24"/>
                <w:highlight w:val="none"/>
              </w:rPr>
            </w:pPr>
            <w:r>
              <w:rPr>
                <w:rFonts w:hint="eastAsia"/>
                <w:kern w:val="0"/>
                <w:sz w:val="24"/>
                <w:szCs w:val="24"/>
                <w:highlight w:val="none"/>
              </w:rPr>
              <w:t>2</w:t>
            </w:r>
          </w:p>
        </w:tc>
        <w:tc>
          <w:tcPr>
            <w:tcW w:w="1442" w:type="dxa"/>
            <w:vAlign w:val="center"/>
          </w:tcPr>
          <w:p w14:paraId="4F0FF912">
            <w:pPr>
              <w:widowControl/>
              <w:adjustRightInd w:val="0"/>
              <w:snapToGrid w:val="0"/>
              <w:jc w:val="center"/>
              <w:rPr>
                <w:kern w:val="0"/>
                <w:sz w:val="24"/>
                <w:szCs w:val="24"/>
                <w:highlight w:val="none"/>
              </w:rPr>
            </w:pPr>
            <w:r>
              <w:rPr>
                <w:rFonts w:hint="eastAsia"/>
                <w:kern w:val="0"/>
                <w:sz w:val="24"/>
                <w:szCs w:val="24"/>
                <w:highlight w:val="none"/>
              </w:rPr>
              <w:t>项目需求理解分析评价</w:t>
            </w:r>
          </w:p>
        </w:tc>
        <w:tc>
          <w:tcPr>
            <w:tcW w:w="7291" w:type="dxa"/>
            <w:vAlign w:val="center"/>
          </w:tcPr>
          <w:p w14:paraId="32D30D11">
            <w:pPr>
              <w:widowControl/>
              <w:adjustRightInd w:val="0"/>
              <w:snapToGrid w:val="0"/>
              <w:jc w:val="left"/>
              <w:rPr>
                <w:rFonts w:ascii="宋体" w:hAnsi="宋体" w:cs="宋体"/>
                <w:kern w:val="0"/>
                <w:sz w:val="24"/>
                <w:highlight w:val="none"/>
              </w:rPr>
            </w:pPr>
            <w:r>
              <w:rPr>
                <w:rFonts w:hint="eastAsia" w:ascii="宋体" w:hAnsi="宋体" w:cs="宋体"/>
                <w:sz w:val="24"/>
                <w:highlight w:val="none"/>
              </w:rPr>
              <w:t>投标人对项目的认识和理解阐述</w:t>
            </w:r>
            <w:r>
              <w:rPr>
                <w:rFonts w:hint="eastAsia" w:ascii="宋体" w:hAnsi="宋体" w:cs="宋体"/>
                <w:kern w:val="0"/>
                <w:sz w:val="24"/>
                <w:highlight w:val="none"/>
              </w:rPr>
              <w:t>方面，包含任务目标、实施要求等方面内容。</w:t>
            </w:r>
          </w:p>
          <w:p w14:paraId="65A923BC">
            <w:pPr>
              <w:widowControl/>
              <w:adjustRightInd w:val="0"/>
              <w:snapToGrid w:val="0"/>
              <w:jc w:val="left"/>
              <w:rPr>
                <w:kern w:val="0"/>
                <w:sz w:val="24"/>
                <w:szCs w:val="24"/>
                <w:highlight w:val="none"/>
              </w:rPr>
            </w:pPr>
            <w:r>
              <w:rPr>
                <w:rFonts w:hint="eastAsia" w:ascii="宋体" w:hAnsi="宋体" w:cs="宋体"/>
                <w:sz w:val="24"/>
                <w:highlight w:val="none"/>
              </w:rPr>
              <w:t>方案完整，逻辑严谨、层次分明、表达准确、</w:t>
            </w:r>
            <w:r>
              <w:rPr>
                <w:rFonts w:hint="eastAsia" w:ascii="宋体" w:hAnsi="宋体" w:cs="宋体"/>
                <w:kern w:val="0"/>
                <w:sz w:val="24"/>
                <w:highlight w:val="none"/>
              </w:rPr>
              <w:t>各项检查表格设计</w:t>
            </w:r>
            <w:r>
              <w:rPr>
                <w:rFonts w:hint="eastAsia" w:ascii="宋体" w:hAnsi="宋体" w:cs="宋体"/>
                <w:sz w:val="24"/>
                <w:highlight w:val="none"/>
              </w:rPr>
              <w:t>合理、有针对性</w:t>
            </w:r>
            <w:r>
              <w:rPr>
                <w:rFonts w:hint="eastAsia"/>
                <w:kern w:val="0"/>
                <w:sz w:val="24"/>
                <w:szCs w:val="24"/>
                <w:highlight w:val="none"/>
              </w:rPr>
              <w:t>：6分；</w:t>
            </w:r>
          </w:p>
          <w:p w14:paraId="24CCC5FB">
            <w:pPr>
              <w:widowControl/>
              <w:adjustRightInd w:val="0"/>
              <w:snapToGrid w:val="0"/>
              <w:rPr>
                <w:kern w:val="0"/>
                <w:sz w:val="24"/>
                <w:szCs w:val="24"/>
                <w:highlight w:val="none"/>
              </w:rPr>
            </w:pPr>
            <w:r>
              <w:rPr>
                <w:rFonts w:hint="eastAsia"/>
                <w:kern w:val="0"/>
                <w:sz w:val="24"/>
                <w:szCs w:val="24"/>
                <w:highlight w:val="none"/>
              </w:rPr>
              <w:t>满足招标文件要求，但内容存在</w:t>
            </w:r>
            <w:r>
              <w:rPr>
                <w:kern w:val="0"/>
                <w:sz w:val="24"/>
                <w:szCs w:val="24"/>
                <w:highlight w:val="none"/>
              </w:rPr>
              <w:t>1</w:t>
            </w:r>
            <w:r>
              <w:rPr>
                <w:rFonts w:hint="eastAsia"/>
                <w:kern w:val="0"/>
                <w:sz w:val="24"/>
                <w:szCs w:val="24"/>
                <w:highlight w:val="none"/>
              </w:rPr>
              <w:t>处瑕疵：5分；</w:t>
            </w:r>
          </w:p>
          <w:p w14:paraId="5ED3EA20">
            <w:pPr>
              <w:widowControl/>
              <w:adjustRightInd w:val="0"/>
              <w:snapToGrid w:val="0"/>
              <w:rPr>
                <w:kern w:val="0"/>
                <w:sz w:val="24"/>
                <w:szCs w:val="24"/>
                <w:highlight w:val="none"/>
              </w:rPr>
            </w:pPr>
            <w:r>
              <w:rPr>
                <w:rFonts w:hint="eastAsia"/>
                <w:kern w:val="0"/>
                <w:sz w:val="24"/>
                <w:szCs w:val="24"/>
                <w:highlight w:val="none"/>
              </w:rPr>
              <w:t>满足招标文件要求，但内容存在</w:t>
            </w:r>
            <w:r>
              <w:rPr>
                <w:kern w:val="0"/>
                <w:sz w:val="24"/>
                <w:szCs w:val="24"/>
                <w:highlight w:val="none"/>
              </w:rPr>
              <w:t>2</w:t>
            </w:r>
            <w:r>
              <w:rPr>
                <w:rFonts w:hint="eastAsia"/>
                <w:kern w:val="0"/>
                <w:sz w:val="24"/>
                <w:szCs w:val="24"/>
                <w:highlight w:val="none"/>
              </w:rPr>
              <w:t>处瑕疵：4分；</w:t>
            </w:r>
          </w:p>
          <w:p w14:paraId="02C9B375">
            <w:pPr>
              <w:widowControl/>
              <w:adjustRightInd w:val="0"/>
              <w:snapToGrid w:val="0"/>
              <w:rPr>
                <w:sz w:val="24"/>
                <w:highlight w:val="none"/>
              </w:rPr>
            </w:pPr>
            <w:r>
              <w:rPr>
                <w:rFonts w:hint="eastAsia"/>
                <w:kern w:val="0"/>
                <w:sz w:val="24"/>
                <w:szCs w:val="24"/>
                <w:highlight w:val="none"/>
              </w:rPr>
              <w:t>其他：</w:t>
            </w:r>
            <w:r>
              <w:rPr>
                <w:kern w:val="0"/>
                <w:sz w:val="24"/>
                <w:szCs w:val="24"/>
                <w:highlight w:val="none"/>
              </w:rPr>
              <w:t>0</w:t>
            </w:r>
            <w:r>
              <w:rPr>
                <w:rFonts w:hint="eastAsia"/>
                <w:kern w:val="0"/>
                <w:sz w:val="24"/>
                <w:szCs w:val="24"/>
                <w:highlight w:val="none"/>
              </w:rPr>
              <w:t>分。</w:t>
            </w:r>
          </w:p>
        </w:tc>
        <w:tc>
          <w:tcPr>
            <w:tcW w:w="1140" w:type="dxa"/>
            <w:vAlign w:val="center"/>
          </w:tcPr>
          <w:p w14:paraId="0EF63D37">
            <w:pPr>
              <w:widowControl/>
              <w:adjustRightInd w:val="0"/>
              <w:snapToGrid w:val="0"/>
              <w:jc w:val="center"/>
              <w:rPr>
                <w:kern w:val="0"/>
                <w:sz w:val="24"/>
                <w:szCs w:val="24"/>
                <w:highlight w:val="none"/>
              </w:rPr>
            </w:pPr>
            <w:r>
              <w:rPr>
                <w:rFonts w:hint="eastAsia"/>
                <w:kern w:val="0"/>
                <w:sz w:val="24"/>
                <w:szCs w:val="24"/>
                <w:highlight w:val="none"/>
              </w:rPr>
              <w:t>6</w:t>
            </w:r>
          </w:p>
        </w:tc>
      </w:tr>
      <w:tr w14:paraId="51C9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3" w:hRule="atLeast"/>
          <w:jc w:val="center"/>
        </w:trPr>
        <w:tc>
          <w:tcPr>
            <w:tcW w:w="663" w:type="dxa"/>
            <w:noWrap/>
            <w:vAlign w:val="center"/>
          </w:tcPr>
          <w:p w14:paraId="19B9B05F">
            <w:pPr>
              <w:widowControl/>
              <w:adjustRightInd w:val="0"/>
              <w:snapToGrid w:val="0"/>
              <w:jc w:val="center"/>
              <w:rPr>
                <w:kern w:val="0"/>
                <w:sz w:val="24"/>
                <w:szCs w:val="24"/>
                <w:highlight w:val="none"/>
              </w:rPr>
            </w:pPr>
            <w:r>
              <w:rPr>
                <w:rFonts w:hint="eastAsia"/>
                <w:kern w:val="0"/>
                <w:sz w:val="24"/>
                <w:szCs w:val="24"/>
                <w:highlight w:val="none"/>
              </w:rPr>
              <w:t>3</w:t>
            </w:r>
          </w:p>
        </w:tc>
        <w:tc>
          <w:tcPr>
            <w:tcW w:w="1442" w:type="dxa"/>
            <w:vAlign w:val="center"/>
          </w:tcPr>
          <w:p w14:paraId="03AFFB31">
            <w:pPr>
              <w:widowControl/>
              <w:adjustRightInd w:val="0"/>
              <w:snapToGrid w:val="0"/>
              <w:jc w:val="center"/>
              <w:rPr>
                <w:kern w:val="0"/>
                <w:sz w:val="24"/>
                <w:szCs w:val="24"/>
                <w:highlight w:val="none"/>
              </w:rPr>
            </w:pPr>
            <w:r>
              <w:rPr>
                <w:rFonts w:hint="eastAsia"/>
                <w:kern w:val="0"/>
                <w:sz w:val="24"/>
                <w:szCs w:val="24"/>
                <w:highlight w:val="none"/>
              </w:rPr>
              <w:t>运维团队人员评价</w:t>
            </w:r>
          </w:p>
        </w:tc>
        <w:tc>
          <w:tcPr>
            <w:tcW w:w="7291" w:type="dxa"/>
            <w:vAlign w:val="center"/>
          </w:tcPr>
          <w:p w14:paraId="11442FA4">
            <w:pPr>
              <w:widowControl/>
              <w:adjustRightInd w:val="0"/>
              <w:snapToGrid w:val="0"/>
              <w:jc w:val="left"/>
              <w:rPr>
                <w:rFonts w:ascii="宋体" w:hAnsi="宋体" w:cs="宋体"/>
                <w:kern w:val="0"/>
                <w:sz w:val="24"/>
                <w:highlight w:val="none"/>
              </w:rPr>
            </w:pPr>
            <w:r>
              <w:rPr>
                <w:rFonts w:hint="eastAsia" w:ascii="宋体" w:hAnsi="宋体" w:cs="宋体"/>
                <w:kern w:val="0"/>
                <w:sz w:val="24"/>
                <w:highlight w:val="none"/>
              </w:rPr>
              <w:t>投标人根据项目需求提供运维团队人员配置及组织架构的表述，内容包括对组织架构、人员配置、员工劳动保障、管理制度等方面.</w:t>
            </w:r>
          </w:p>
          <w:p w14:paraId="7FE459D3">
            <w:pPr>
              <w:widowControl/>
              <w:adjustRightInd w:val="0"/>
              <w:snapToGrid w:val="0"/>
              <w:jc w:val="left"/>
              <w:rPr>
                <w:kern w:val="0"/>
                <w:sz w:val="24"/>
                <w:szCs w:val="24"/>
                <w:highlight w:val="none"/>
              </w:rPr>
            </w:pPr>
            <w:r>
              <w:rPr>
                <w:rFonts w:hint="eastAsia" w:ascii="宋体" w:hAnsi="宋体" w:cs="宋体"/>
                <w:sz w:val="24"/>
                <w:highlight w:val="none"/>
              </w:rPr>
              <w:t>内容完整，逻辑严谨、层次分明、表达准确、</w:t>
            </w:r>
            <w:r>
              <w:rPr>
                <w:rFonts w:hint="eastAsia" w:ascii="宋体" w:hAnsi="宋体" w:cs="宋体"/>
                <w:kern w:val="0"/>
                <w:sz w:val="24"/>
                <w:highlight w:val="none"/>
              </w:rPr>
              <w:t>管理理念先进、</w:t>
            </w:r>
            <w:r>
              <w:rPr>
                <w:rFonts w:hint="eastAsia" w:ascii="宋体" w:hAnsi="宋体" w:cs="宋体"/>
                <w:sz w:val="24"/>
                <w:highlight w:val="none"/>
              </w:rPr>
              <w:t>合理、有针对性：</w:t>
            </w:r>
            <w:r>
              <w:rPr>
                <w:rFonts w:hint="eastAsia"/>
                <w:kern w:val="0"/>
                <w:sz w:val="24"/>
                <w:szCs w:val="24"/>
                <w:highlight w:val="none"/>
              </w:rPr>
              <w:t>6分；</w:t>
            </w:r>
          </w:p>
          <w:p w14:paraId="7656FD25">
            <w:pPr>
              <w:widowControl/>
              <w:adjustRightInd w:val="0"/>
              <w:snapToGrid w:val="0"/>
              <w:rPr>
                <w:kern w:val="0"/>
                <w:sz w:val="24"/>
                <w:szCs w:val="24"/>
                <w:highlight w:val="none"/>
              </w:rPr>
            </w:pPr>
            <w:r>
              <w:rPr>
                <w:rFonts w:hint="eastAsia"/>
                <w:kern w:val="0"/>
                <w:sz w:val="24"/>
                <w:szCs w:val="24"/>
                <w:highlight w:val="none"/>
              </w:rPr>
              <w:t>满足竞争性招标文件要求，但内容存在1处瑕疵：5分；</w:t>
            </w:r>
          </w:p>
          <w:p w14:paraId="023A5A46">
            <w:pPr>
              <w:widowControl/>
              <w:adjustRightInd w:val="0"/>
              <w:snapToGrid w:val="0"/>
              <w:rPr>
                <w:kern w:val="0"/>
                <w:sz w:val="24"/>
                <w:szCs w:val="24"/>
                <w:highlight w:val="none"/>
              </w:rPr>
            </w:pPr>
            <w:r>
              <w:rPr>
                <w:rFonts w:hint="eastAsia"/>
                <w:kern w:val="0"/>
                <w:sz w:val="24"/>
                <w:szCs w:val="24"/>
                <w:highlight w:val="none"/>
              </w:rPr>
              <w:t>满足竞争性招标文件要求，但内容存在2处瑕疵：4分；</w:t>
            </w:r>
          </w:p>
          <w:p w14:paraId="13A5DD37">
            <w:pPr>
              <w:widowControl/>
              <w:adjustRightInd w:val="0"/>
              <w:snapToGrid w:val="0"/>
              <w:rPr>
                <w:kern w:val="0"/>
                <w:sz w:val="24"/>
                <w:szCs w:val="24"/>
                <w:highlight w:val="none"/>
              </w:rPr>
            </w:pPr>
            <w:r>
              <w:rPr>
                <w:rFonts w:hint="eastAsia"/>
                <w:kern w:val="0"/>
                <w:sz w:val="24"/>
                <w:szCs w:val="24"/>
                <w:highlight w:val="none"/>
              </w:rPr>
              <w:t>其他：0分。</w:t>
            </w:r>
          </w:p>
        </w:tc>
        <w:tc>
          <w:tcPr>
            <w:tcW w:w="1140" w:type="dxa"/>
            <w:vAlign w:val="center"/>
          </w:tcPr>
          <w:p w14:paraId="5D2439C8">
            <w:pPr>
              <w:widowControl/>
              <w:adjustRightInd w:val="0"/>
              <w:snapToGrid w:val="0"/>
              <w:jc w:val="center"/>
              <w:rPr>
                <w:kern w:val="0"/>
                <w:sz w:val="24"/>
                <w:szCs w:val="24"/>
                <w:highlight w:val="none"/>
              </w:rPr>
            </w:pPr>
            <w:r>
              <w:rPr>
                <w:rFonts w:hint="eastAsia"/>
                <w:kern w:val="0"/>
                <w:sz w:val="24"/>
                <w:szCs w:val="24"/>
                <w:highlight w:val="none"/>
              </w:rPr>
              <w:t>6</w:t>
            </w:r>
          </w:p>
        </w:tc>
      </w:tr>
      <w:tr w14:paraId="6C3C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7" w:hRule="atLeast"/>
          <w:jc w:val="center"/>
        </w:trPr>
        <w:tc>
          <w:tcPr>
            <w:tcW w:w="663" w:type="dxa"/>
            <w:noWrap/>
            <w:vAlign w:val="center"/>
          </w:tcPr>
          <w:p w14:paraId="3FB29305">
            <w:pPr>
              <w:widowControl/>
              <w:adjustRightInd w:val="0"/>
              <w:snapToGrid w:val="0"/>
              <w:jc w:val="center"/>
              <w:rPr>
                <w:kern w:val="0"/>
                <w:sz w:val="24"/>
                <w:szCs w:val="24"/>
                <w:highlight w:val="none"/>
              </w:rPr>
            </w:pPr>
            <w:r>
              <w:rPr>
                <w:rFonts w:hint="eastAsia"/>
                <w:kern w:val="0"/>
                <w:sz w:val="24"/>
                <w:szCs w:val="24"/>
                <w:highlight w:val="none"/>
              </w:rPr>
              <w:t>4</w:t>
            </w:r>
          </w:p>
        </w:tc>
        <w:tc>
          <w:tcPr>
            <w:tcW w:w="1442" w:type="dxa"/>
            <w:vAlign w:val="center"/>
          </w:tcPr>
          <w:p w14:paraId="40BEF27F">
            <w:pPr>
              <w:widowControl/>
              <w:adjustRightInd w:val="0"/>
              <w:snapToGrid w:val="0"/>
              <w:jc w:val="center"/>
              <w:rPr>
                <w:kern w:val="0"/>
                <w:sz w:val="24"/>
                <w:szCs w:val="24"/>
                <w:highlight w:val="none"/>
              </w:rPr>
            </w:pPr>
            <w:r>
              <w:rPr>
                <w:rFonts w:hint="eastAsia" w:ascii="宋体" w:hAnsi="宋体" w:cs="Arial"/>
                <w:sz w:val="24"/>
                <w:highlight w:val="none"/>
              </w:rPr>
              <w:t>运维服务保障措施方案评价</w:t>
            </w:r>
          </w:p>
        </w:tc>
        <w:tc>
          <w:tcPr>
            <w:tcW w:w="7291" w:type="dxa"/>
            <w:vAlign w:val="center"/>
          </w:tcPr>
          <w:p w14:paraId="7869B724">
            <w:pPr>
              <w:widowControl/>
              <w:adjustRightInd w:val="0"/>
              <w:snapToGrid w:val="0"/>
              <w:rPr>
                <w:kern w:val="0"/>
                <w:sz w:val="24"/>
                <w:szCs w:val="24"/>
                <w:highlight w:val="none"/>
              </w:rPr>
            </w:pPr>
            <w:r>
              <w:rPr>
                <w:rFonts w:hint="eastAsia"/>
                <w:kern w:val="0"/>
                <w:sz w:val="24"/>
                <w:szCs w:val="24"/>
                <w:highlight w:val="none"/>
              </w:rPr>
              <w:t>投标人针对本项目制定运维服务保障措施方案，包含但不限于质量管理计划、定期预防及检查保证措施、质量保证措施等内容。</w:t>
            </w:r>
          </w:p>
          <w:p w14:paraId="0AA3EB73">
            <w:pPr>
              <w:widowControl/>
              <w:adjustRightInd w:val="0"/>
              <w:snapToGrid w:val="0"/>
              <w:rPr>
                <w:kern w:val="0"/>
                <w:sz w:val="24"/>
                <w:szCs w:val="24"/>
                <w:highlight w:val="none"/>
              </w:rPr>
            </w:pPr>
            <w:r>
              <w:rPr>
                <w:rFonts w:hint="eastAsia"/>
                <w:kern w:val="0"/>
                <w:sz w:val="24"/>
                <w:szCs w:val="24"/>
                <w:highlight w:val="none"/>
              </w:rPr>
              <w:t>方案完整、描述清晰、合理、有针对性、可行性强：6分；</w:t>
            </w:r>
          </w:p>
          <w:p w14:paraId="4D8C488F">
            <w:pPr>
              <w:widowControl/>
              <w:adjustRightInd w:val="0"/>
              <w:snapToGrid w:val="0"/>
              <w:rPr>
                <w:kern w:val="0"/>
                <w:sz w:val="24"/>
                <w:szCs w:val="24"/>
                <w:highlight w:val="none"/>
              </w:rPr>
            </w:pPr>
            <w:r>
              <w:rPr>
                <w:rFonts w:hint="eastAsia"/>
                <w:kern w:val="0"/>
                <w:sz w:val="24"/>
                <w:szCs w:val="24"/>
                <w:highlight w:val="none"/>
              </w:rPr>
              <w:t>满足招标文件要求，但内容存在1处瑕疵：5分；</w:t>
            </w:r>
          </w:p>
          <w:p w14:paraId="19C86F1E">
            <w:pPr>
              <w:widowControl/>
              <w:adjustRightInd w:val="0"/>
              <w:snapToGrid w:val="0"/>
              <w:rPr>
                <w:kern w:val="0"/>
                <w:sz w:val="24"/>
                <w:szCs w:val="24"/>
                <w:highlight w:val="none"/>
              </w:rPr>
            </w:pPr>
            <w:r>
              <w:rPr>
                <w:rFonts w:hint="eastAsia"/>
                <w:kern w:val="0"/>
                <w:sz w:val="24"/>
                <w:szCs w:val="24"/>
                <w:highlight w:val="none"/>
              </w:rPr>
              <w:t>满足招标文件要求，但内容存在2处瑕疵：4分；</w:t>
            </w:r>
          </w:p>
          <w:p w14:paraId="395B8B38">
            <w:pPr>
              <w:widowControl/>
              <w:adjustRightInd w:val="0"/>
              <w:snapToGrid w:val="0"/>
              <w:rPr>
                <w:kern w:val="0"/>
                <w:sz w:val="24"/>
                <w:szCs w:val="24"/>
                <w:highlight w:val="none"/>
              </w:rPr>
            </w:pPr>
            <w:r>
              <w:rPr>
                <w:rFonts w:hint="eastAsia"/>
                <w:kern w:val="0"/>
                <w:sz w:val="24"/>
                <w:szCs w:val="24"/>
                <w:highlight w:val="none"/>
              </w:rPr>
              <w:t>其他：0分。</w:t>
            </w:r>
          </w:p>
        </w:tc>
        <w:tc>
          <w:tcPr>
            <w:tcW w:w="1140" w:type="dxa"/>
            <w:vAlign w:val="center"/>
          </w:tcPr>
          <w:p w14:paraId="07F8BB77">
            <w:pPr>
              <w:widowControl/>
              <w:adjustRightInd w:val="0"/>
              <w:snapToGrid w:val="0"/>
              <w:jc w:val="center"/>
              <w:rPr>
                <w:kern w:val="0"/>
                <w:sz w:val="24"/>
                <w:szCs w:val="24"/>
                <w:highlight w:val="none"/>
              </w:rPr>
            </w:pPr>
            <w:r>
              <w:rPr>
                <w:rFonts w:hint="eastAsia"/>
                <w:kern w:val="0"/>
                <w:sz w:val="24"/>
                <w:szCs w:val="24"/>
                <w:highlight w:val="none"/>
              </w:rPr>
              <w:t>6</w:t>
            </w:r>
          </w:p>
        </w:tc>
      </w:tr>
      <w:tr w14:paraId="3AA6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noWrap/>
            <w:vAlign w:val="center"/>
          </w:tcPr>
          <w:p w14:paraId="648A464A">
            <w:pPr>
              <w:widowControl/>
              <w:adjustRightInd w:val="0"/>
              <w:snapToGrid w:val="0"/>
              <w:jc w:val="center"/>
              <w:rPr>
                <w:kern w:val="0"/>
                <w:sz w:val="24"/>
                <w:szCs w:val="24"/>
                <w:highlight w:val="none"/>
              </w:rPr>
            </w:pPr>
            <w:r>
              <w:rPr>
                <w:rFonts w:hint="eastAsia"/>
                <w:kern w:val="0"/>
                <w:sz w:val="24"/>
                <w:szCs w:val="24"/>
                <w:highlight w:val="none"/>
              </w:rPr>
              <w:t>5</w:t>
            </w:r>
          </w:p>
        </w:tc>
        <w:tc>
          <w:tcPr>
            <w:tcW w:w="1442" w:type="dxa"/>
            <w:vAlign w:val="center"/>
          </w:tcPr>
          <w:p w14:paraId="27B77102">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应急保障方案评价</w:t>
            </w:r>
          </w:p>
        </w:tc>
        <w:tc>
          <w:tcPr>
            <w:tcW w:w="7291" w:type="dxa"/>
            <w:vAlign w:val="center"/>
          </w:tcPr>
          <w:p w14:paraId="43771153">
            <w:pPr>
              <w:adjustRightInd w:val="0"/>
              <w:snapToGrid w:val="0"/>
              <w:jc w:val="left"/>
              <w:rPr>
                <w:rFonts w:ascii="宋体" w:hAnsi="宋体" w:cs="宋体"/>
                <w:kern w:val="0"/>
                <w:sz w:val="24"/>
                <w:highlight w:val="none"/>
              </w:rPr>
            </w:pPr>
            <w:r>
              <w:rPr>
                <w:rFonts w:hint="eastAsia" w:ascii="宋体" w:hAnsi="宋体" w:cs="宋体"/>
                <w:kern w:val="0"/>
                <w:sz w:val="24"/>
                <w:highlight w:val="none"/>
              </w:rPr>
              <w:t>投标人针对本项目制定应急响应服务方案，内容包括但不限于服务内容、范围、解决措施等。</w:t>
            </w:r>
          </w:p>
          <w:p w14:paraId="49E06E73">
            <w:pPr>
              <w:adjustRightInd w:val="0"/>
              <w:snapToGrid w:val="0"/>
              <w:jc w:val="left"/>
              <w:rPr>
                <w:rFonts w:ascii="宋体" w:hAnsi="宋体" w:cs="宋体"/>
                <w:kern w:val="0"/>
                <w:sz w:val="24"/>
                <w:highlight w:val="none"/>
              </w:rPr>
            </w:pPr>
            <w:r>
              <w:rPr>
                <w:rFonts w:hint="eastAsia" w:ascii="宋体" w:hAnsi="宋体" w:cs="宋体"/>
                <w:kern w:val="0"/>
                <w:sz w:val="24"/>
                <w:highlight w:val="none"/>
              </w:rPr>
              <w:t>服务方案细致、全面，内容涵盖运维范围内各功能平台，且能够针对各种情况提出针对性措施，合理、可行性强：</w:t>
            </w:r>
            <w:r>
              <w:rPr>
                <w:rFonts w:hint="eastAsia"/>
                <w:sz w:val="24"/>
                <w:highlight w:val="none"/>
              </w:rPr>
              <w:t>6</w:t>
            </w:r>
            <w:r>
              <w:rPr>
                <w:rFonts w:hint="eastAsia" w:ascii="宋体" w:hAnsi="宋体" w:cs="宋体"/>
                <w:kern w:val="0"/>
                <w:sz w:val="24"/>
                <w:highlight w:val="none"/>
              </w:rPr>
              <w:t>分；</w:t>
            </w:r>
          </w:p>
          <w:p w14:paraId="41FA0EB0">
            <w:pPr>
              <w:widowControl/>
              <w:adjustRightInd w:val="0"/>
              <w:snapToGrid w:val="0"/>
              <w:rPr>
                <w:sz w:val="24"/>
                <w:highlight w:val="none"/>
              </w:rPr>
            </w:pPr>
            <w:r>
              <w:rPr>
                <w:rFonts w:hint="eastAsia"/>
                <w:sz w:val="24"/>
                <w:highlight w:val="none"/>
              </w:rPr>
              <w:t>满足招标文件要求，但内容存在</w:t>
            </w:r>
            <w:r>
              <w:rPr>
                <w:sz w:val="24"/>
                <w:highlight w:val="none"/>
              </w:rPr>
              <w:t>1</w:t>
            </w:r>
            <w:r>
              <w:rPr>
                <w:rFonts w:hint="eastAsia"/>
                <w:sz w:val="24"/>
                <w:highlight w:val="none"/>
              </w:rPr>
              <w:t>处瑕疵：5分；</w:t>
            </w:r>
          </w:p>
          <w:p w14:paraId="311258C5">
            <w:pPr>
              <w:widowControl/>
              <w:adjustRightInd w:val="0"/>
              <w:snapToGrid w:val="0"/>
              <w:rPr>
                <w:sz w:val="24"/>
                <w:highlight w:val="none"/>
              </w:rPr>
            </w:pPr>
            <w:r>
              <w:rPr>
                <w:rFonts w:hint="eastAsia"/>
                <w:sz w:val="24"/>
                <w:highlight w:val="none"/>
              </w:rPr>
              <w:t>满足招标文件要求，但内容存在</w:t>
            </w:r>
            <w:r>
              <w:rPr>
                <w:sz w:val="24"/>
                <w:highlight w:val="none"/>
              </w:rPr>
              <w:t>2</w:t>
            </w:r>
            <w:r>
              <w:rPr>
                <w:rFonts w:hint="eastAsia"/>
                <w:sz w:val="24"/>
                <w:highlight w:val="none"/>
              </w:rPr>
              <w:t>处瑕疵：4分；</w:t>
            </w:r>
          </w:p>
          <w:p w14:paraId="27E44773">
            <w:pPr>
              <w:adjustRightInd w:val="0"/>
              <w:snapToGrid w:val="0"/>
              <w:jc w:val="left"/>
              <w:rPr>
                <w:rFonts w:ascii="宋体" w:hAnsi="宋体" w:cs="宋体"/>
                <w:kern w:val="0"/>
                <w:sz w:val="24"/>
                <w:highlight w:val="none"/>
              </w:rPr>
            </w:pPr>
            <w:r>
              <w:rPr>
                <w:rFonts w:hint="eastAsia"/>
                <w:sz w:val="24"/>
                <w:highlight w:val="none"/>
              </w:rPr>
              <w:t>其他：</w:t>
            </w:r>
            <w:r>
              <w:rPr>
                <w:sz w:val="24"/>
                <w:highlight w:val="none"/>
              </w:rPr>
              <w:t>0</w:t>
            </w:r>
            <w:r>
              <w:rPr>
                <w:rFonts w:hint="eastAsia"/>
                <w:sz w:val="24"/>
                <w:highlight w:val="none"/>
              </w:rPr>
              <w:t>分。</w:t>
            </w:r>
          </w:p>
        </w:tc>
        <w:tc>
          <w:tcPr>
            <w:tcW w:w="1140" w:type="dxa"/>
            <w:vAlign w:val="center"/>
          </w:tcPr>
          <w:p w14:paraId="7B95BDFF">
            <w:pPr>
              <w:widowControl/>
              <w:adjustRightInd w:val="0"/>
              <w:snapToGrid w:val="0"/>
              <w:jc w:val="center"/>
              <w:rPr>
                <w:kern w:val="0"/>
                <w:sz w:val="24"/>
                <w:szCs w:val="24"/>
                <w:highlight w:val="none"/>
              </w:rPr>
            </w:pPr>
            <w:r>
              <w:rPr>
                <w:rFonts w:hint="eastAsia"/>
                <w:kern w:val="0"/>
                <w:sz w:val="24"/>
                <w:szCs w:val="24"/>
                <w:highlight w:val="none"/>
              </w:rPr>
              <w:t>6</w:t>
            </w:r>
          </w:p>
        </w:tc>
      </w:tr>
      <w:tr w14:paraId="19247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663" w:type="dxa"/>
            <w:noWrap/>
            <w:vAlign w:val="center"/>
          </w:tcPr>
          <w:p w14:paraId="2E257572">
            <w:pPr>
              <w:widowControl/>
              <w:adjustRightInd w:val="0"/>
              <w:snapToGrid w:val="0"/>
              <w:jc w:val="center"/>
              <w:rPr>
                <w:kern w:val="0"/>
                <w:sz w:val="24"/>
                <w:szCs w:val="24"/>
                <w:highlight w:val="none"/>
              </w:rPr>
            </w:pPr>
            <w:r>
              <w:rPr>
                <w:rFonts w:hint="eastAsia"/>
                <w:kern w:val="0"/>
                <w:sz w:val="24"/>
                <w:szCs w:val="24"/>
                <w:highlight w:val="none"/>
              </w:rPr>
              <w:t>6</w:t>
            </w:r>
          </w:p>
        </w:tc>
        <w:tc>
          <w:tcPr>
            <w:tcW w:w="1442" w:type="dxa"/>
            <w:vAlign w:val="center"/>
          </w:tcPr>
          <w:p w14:paraId="6E175101">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保密方案评价</w:t>
            </w:r>
          </w:p>
        </w:tc>
        <w:tc>
          <w:tcPr>
            <w:tcW w:w="7291" w:type="dxa"/>
            <w:vAlign w:val="center"/>
          </w:tcPr>
          <w:p w14:paraId="0F8B9538">
            <w:pPr>
              <w:widowControl/>
              <w:adjustRightInd w:val="0"/>
              <w:snapToGrid w:val="0"/>
              <w:rPr>
                <w:kern w:val="0"/>
                <w:sz w:val="24"/>
                <w:szCs w:val="24"/>
                <w:highlight w:val="none"/>
              </w:rPr>
            </w:pPr>
            <w:r>
              <w:rPr>
                <w:rFonts w:hint="eastAsia"/>
                <w:kern w:val="0"/>
                <w:sz w:val="24"/>
                <w:szCs w:val="24"/>
                <w:highlight w:val="none"/>
              </w:rPr>
              <w:t>投标人针对本项目服务范围内的设备和信息技术等内容制定保密方案。</w:t>
            </w:r>
          </w:p>
          <w:p w14:paraId="78E83093">
            <w:pPr>
              <w:widowControl/>
              <w:adjustRightInd w:val="0"/>
              <w:snapToGrid w:val="0"/>
              <w:rPr>
                <w:kern w:val="0"/>
                <w:sz w:val="24"/>
                <w:szCs w:val="24"/>
                <w:highlight w:val="none"/>
              </w:rPr>
            </w:pPr>
            <w:r>
              <w:rPr>
                <w:rFonts w:hint="eastAsia"/>
                <w:kern w:val="0"/>
                <w:sz w:val="24"/>
                <w:szCs w:val="24"/>
                <w:highlight w:val="none"/>
              </w:rPr>
              <w:t>方案完整、描述清晰、合理、有针对性、可行性强：6分；</w:t>
            </w:r>
          </w:p>
          <w:p w14:paraId="7E9C702F">
            <w:pPr>
              <w:widowControl/>
              <w:adjustRightInd w:val="0"/>
              <w:snapToGrid w:val="0"/>
              <w:rPr>
                <w:kern w:val="0"/>
                <w:sz w:val="24"/>
                <w:szCs w:val="24"/>
                <w:highlight w:val="none"/>
              </w:rPr>
            </w:pPr>
            <w:r>
              <w:rPr>
                <w:rFonts w:hint="eastAsia"/>
                <w:kern w:val="0"/>
                <w:sz w:val="24"/>
                <w:szCs w:val="24"/>
                <w:highlight w:val="none"/>
              </w:rPr>
              <w:t>方案满足招标文件要求，但内容存在</w:t>
            </w:r>
            <w:r>
              <w:rPr>
                <w:kern w:val="0"/>
                <w:sz w:val="24"/>
                <w:szCs w:val="24"/>
                <w:highlight w:val="none"/>
              </w:rPr>
              <w:t>1</w:t>
            </w:r>
            <w:r>
              <w:rPr>
                <w:rFonts w:hint="eastAsia"/>
                <w:kern w:val="0"/>
                <w:sz w:val="24"/>
                <w:szCs w:val="24"/>
                <w:highlight w:val="none"/>
              </w:rPr>
              <w:t>处瑕疵：5分；</w:t>
            </w:r>
          </w:p>
          <w:p w14:paraId="5288B3C8">
            <w:pPr>
              <w:widowControl/>
              <w:adjustRightInd w:val="0"/>
              <w:snapToGrid w:val="0"/>
              <w:rPr>
                <w:kern w:val="0"/>
                <w:sz w:val="24"/>
                <w:szCs w:val="24"/>
                <w:highlight w:val="none"/>
              </w:rPr>
            </w:pPr>
            <w:r>
              <w:rPr>
                <w:rFonts w:hint="eastAsia"/>
                <w:kern w:val="0"/>
                <w:sz w:val="24"/>
                <w:szCs w:val="24"/>
                <w:highlight w:val="none"/>
              </w:rPr>
              <w:t>方案满足招标文件要求，但内容存在</w:t>
            </w:r>
            <w:r>
              <w:rPr>
                <w:kern w:val="0"/>
                <w:sz w:val="24"/>
                <w:szCs w:val="24"/>
                <w:highlight w:val="none"/>
              </w:rPr>
              <w:t>2</w:t>
            </w:r>
            <w:r>
              <w:rPr>
                <w:rFonts w:hint="eastAsia"/>
                <w:kern w:val="0"/>
                <w:sz w:val="24"/>
                <w:szCs w:val="24"/>
                <w:highlight w:val="none"/>
              </w:rPr>
              <w:t>处瑕疵：4</w:t>
            </w:r>
            <w:r>
              <w:rPr>
                <w:rFonts w:hint="eastAsia"/>
                <w:sz w:val="24"/>
                <w:highlight w:val="none"/>
              </w:rPr>
              <w:t>分</w:t>
            </w:r>
            <w:r>
              <w:rPr>
                <w:rFonts w:hint="eastAsia"/>
                <w:kern w:val="0"/>
                <w:sz w:val="24"/>
                <w:szCs w:val="24"/>
                <w:highlight w:val="none"/>
              </w:rPr>
              <w:t>；</w:t>
            </w:r>
          </w:p>
          <w:p w14:paraId="6165F178">
            <w:pPr>
              <w:widowControl/>
              <w:adjustRightInd w:val="0"/>
              <w:snapToGrid w:val="0"/>
              <w:rPr>
                <w:rFonts w:ascii="宋体" w:hAnsi="宋体" w:cs="宋体"/>
                <w:kern w:val="0"/>
                <w:sz w:val="24"/>
                <w:highlight w:val="none"/>
              </w:rPr>
            </w:pPr>
            <w:r>
              <w:rPr>
                <w:rFonts w:hint="eastAsia"/>
                <w:kern w:val="0"/>
                <w:sz w:val="24"/>
                <w:szCs w:val="24"/>
                <w:highlight w:val="none"/>
              </w:rPr>
              <w:t>未提供该项内容或其他情况：0分。</w:t>
            </w:r>
          </w:p>
        </w:tc>
        <w:tc>
          <w:tcPr>
            <w:tcW w:w="1140" w:type="dxa"/>
            <w:vAlign w:val="center"/>
          </w:tcPr>
          <w:p w14:paraId="1EED856D">
            <w:pPr>
              <w:widowControl/>
              <w:adjustRightInd w:val="0"/>
              <w:snapToGrid w:val="0"/>
              <w:jc w:val="center"/>
              <w:rPr>
                <w:kern w:val="0"/>
                <w:sz w:val="24"/>
                <w:szCs w:val="24"/>
                <w:highlight w:val="none"/>
              </w:rPr>
            </w:pPr>
            <w:r>
              <w:rPr>
                <w:rFonts w:hint="eastAsia"/>
                <w:kern w:val="0"/>
                <w:sz w:val="24"/>
                <w:szCs w:val="24"/>
                <w:highlight w:val="none"/>
              </w:rPr>
              <w:t>6</w:t>
            </w:r>
          </w:p>
        </w:tc>
      </w:tr>
      <w:tr w14:paraId="69744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2" w:hRule="atLeast"/>
          <w:jc w:val="center"/>
        </w:trPr>
        <w:tc>
          <w:tcPr>
            <w:tcW w:w="663" w:type="dxa"/>
            <w:noWrap/>
            <w:vAlign w:val="center"/>
          </w:tcPr>
          <w:p w14:paraId="2626F3F8">
            <w:pPr>
              <w:widowControl/>
              <w:adjustRightInd w:val="0"/>
              <w:snapToGrid w:val="0"/>
              <w:jc w:val="center"/>
              <w:rPr>
                <w:kern w:val="0"/>
                <w:sz w:val="24"/>
                <w:szCs w:val="24"/>
                <w:highlight w:val="none"/>
              </w:rPr>
            </w:pPr>
            <w:r>
              <w:rPr>
                <w:rFonts w:hint="eastAsia"/>
                <w:kern w:val="0"/>
                <w:sz w:val="24"/>
                <w:szCs w:val="24"/>
                <w:highlight w:val="none"/>
              </w:rPr>
              <w:t>7</w:t>
            </w:r>
          </w:p>
        </w:tc>
        <w:tc>
          <w:tcPr>
            <w:tcW w:w="1442" w:type="dxa"/>
            <w:vAlign w:val="center"/>
          </w:tcPr>
          <w:p w14:paraId="3F6A2E76">
            <w:pPr>
              <w:widowControl/>
              <w:spacing w:line="400" w:lineRule="exact"/>
              <w:jc w:val="left"/>
              <w:rPr>
                <w:sz w:val="24"/>
                <w:highlight w:val="none"/>
              </w:rPr>
            </w:pPr>
            <w:r>
              <w:rPr>
                <w:rFonts w:hint="eastAsia" w:ascii="宋体" w:hAnsi="宋体" w:cs="宋体"/>
                <w:sz w:val="24"/>
                <w:szCs w:val="24"/>
                <w:highlight w:val="none"/>
              </w:rPr>
              <w:t>故障管理处理方案评价</w:t>
            </w:r>
          </w:p>
        </w:tc>
        <w:tc>
          <w:tcPr>
            <w:tcW w:w="7291" w:type="dxa"/>
            <w:vAlign w:val="center"/>
          </w:tcPr>
          <w:p w14:paraId="678535A3">
            <w:pPr>
              <w:widowControl/>
              <w:adjustRightInd w:val="0"/>
              <w:snapToGrid w:val="0"/>
              <w:rPr>
                <w:kern w:val="0"/>
                <w:sz w:val="24"/>
                <w:szCs w:val="24"/>
                <w:highlight w:val="none"/>
              </w:rPr>
            </w:pPr>
            <w:r>
              <w:rPr>
                <w:rFonts w:hint="eastAsia" w:hAnsi="宋体"/>
                <w:sz w:val="24"/>
                <w:highlight w:val="none"/>
              </w:rPr>
              <w:t>针对本项目提供故障管理处理方案，包含但不限于响应时间、故障处理方案、防止再发方案、涉及路口的电力服务解决方案等方面内容。要求方案描述清晰、完整、合理、可操作性强，</w:t>
            </w:r>
            <w:r>
              <w:rPr>
                <w:rFonts w:hint="eastAsia"/>
                <w:kern w:val="0"/>
                <w:sz w:val="24"/>
                <w:szCs w:val="24"/>
                <w:highlight w:val="none"/>
              </w:rPr>
              <w:t>内容满足上述要求不存在瑕疵：得6分；</w:t>
            </w:r>
          </w:p>
          <w:p w14:paraId="7C67A712">
            <w:pPr>
              <w:widowControl/>
              <w:adjustRightInd w:val="0"/>
              <w:snapToGrid w:val="0"/>
              <w:rPr>
                <w:kern w:val="0"/>
                <w:sz w:val="24"/>
                <w:szCs w:val="24"/>
                <w:highlight w:val="none"/>
              </w:rPr>
            </w:pPr>
            <w:r>
              <w:rPr>
                <w:rFonts w:hint="eastAsia"/>
                <w:kern w:val="0"/>
                <w:sz w:val="24"/>
                <w:szCs w:val="24"/>
                <w:highlight w:val="none"/>
              </w:rPr>
              <w:t>方案满足招标文件要求，但内容存在1处瑕疵：5分；</w:t>
            </w:r>
          </w:p>
          <w:p w14:paraId="2F815D38">
            <w:pPr>
              <w:widowControl/>
              <w:adjustRightInd w:val="0"/>
              <w:snapToGrid w:val="0"/>
              <w:rPr>
                <w:kern w:val="0"/>
                <w:sz w:val="24"/>
                <w:szCs w:val="24"/>
                <w:highlight w:val="none"/>
              </w:rPr>
            </w:pPr>
            <w:r>
              <w:rPr>
                <w:rFonts w:hint="eastAsia"/>
                <w:kern w:val="0"/>
                <w:sz w:val="24"/>
                <w:szCs w:val="24"/>
                <w:highlight w:val="none"/>
              </w:rPr>
              <w:t>方案满足招标文件要求，但内容存在2处瑕疵：4分；</w:t>
            </w:r>
          </w:p>
          <w:p w14:paraId="10E1F49B">
            <w:pPr>
              <w:widowControl/>
              <w:spacing w:line="400" w:lineRule="exact"/>
              <w:jc w:val="left"/>
              <w:rPr>
                <w:b/>
                <w:sz w:val="24"/>
                <w:highlight w:val="none"/>
              </w:rPr>
            </w:pPr>
            <w:r>
              <w:rPr>
                <w:rFonts w:hint="eastAsia"/>
                <w:kern w:val="0"/>
                <w:sz w:val="24"/>
                <w:szCs w:val="24"/>
                <w:highlight w:val="none"/>
              </w:rPr>
              <w:t>未提供该项内容或其他情况：0分。</w:t>
            </w:r>
          </w:p>
        </w:tc>
        <w:tc>
          <w:tcPr>
            <w:tcW w:w="1140" w:type="dxa"/>
            <w:vAlign w:val="center"/>
          </w:tcPr>
          <w:p w14:paraId="477187D2">
            <w:pPr>
              <w:widowControl/>
              <w:adjustRightInd w:val="0"/>
              <w:snapToGrid w:val="0"/>
              <w:jc w:val="center"/>
              <w:rPr>
                <w:kern w:val="0"/>
                <w:sz w:val="24"/>
                <w:szCs w:val="24"/>
                <w:highlight w:val="none"/>
              </w:rPr>
            </w:pPr>
            <w:r>
              <w:rPr>
                <w:rFonts w:hint="eastAsia"/>
                <w:kern w:val="0"/>
                <w:sz w:val="24"/>
                <w:szCs w:val="24"/>
                <w:highlight w:val="none"/>
              </w:rPr>
              <w:t>6</w:t>
            </w:r>
          </w:p>
        </w:tc>
      </w:tr>
      <w:tr w14:paraId="5844A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3" w:hRule="atLeast"/>
          <w:jc w:val="center"/>
        </w:trPr>
        <w:tc>
          <w:tcPr>
            <w:tcW w:w="663" w:type="dxa"/>
            <w:noWrap/>
            <w:vAlign w:val="center"/>
          </w:tcPr>
          <w:p w14:paraId="2E03653C">
            <w:pPr>
              <w:widowControl/>
              <w:adjustRightInd w:val="0"/>
              <w:snapToGrid w:val="0"/>
              <w:jc w:val="center"/>
              <w:rPr>
                <w:kern w:val="0"/>
                <w:sz w:val="24"/>
                <w:szCs w:val="24"/>
                <w:highlight w:val="none"/>
              </w:rPr>
            </w:pPr>
            <w:r>
              <w:rPr>
                <w:rFonts w:hint="eastAsia"/>
                <w:kern w:val="0"/>
                <w:sz w:val="24"/>
                <w:szCs w:val="24"/>
                <w:highlight w:val="none"/>
              </w:rPr>
              <w:t>8</w:t>
            </w:r>
          </w:p>
        </w:tc>
        <w:tc>
          <w:tcPr>
            <w:tcW w:w="1442" w:type="dxa"/>
            <w:vAlign w:val="center"/>
          </w:tcPr>
          <w:p w14:paraId="534F718F">
            <w:pPr>
              <w:widowControl/>
              <w:adjustRightInd w:val="0"/>
              <w:snapToGrid w:val="0"/>
              <w:jc w:val="left"/>
              <w:rPr>
                <w:kern w:val="0"/>
                <w:sz w:val="24"/>
                <w:szCs w:val="24"/>
                <w:highlight w:val="none"/>
              </w:rPr>
            </w:pPr>
            <w:r>
              <w:rPr>
                <w:rFonts w:hint="eastAsia"/>
                <w:kern w:val="0"/>
                <w:sz w:val="24"/>
                <w:szCs w:val="24"/>
                <w:highlight w:val="none"/>
              </w:rPr>
              <w:t>项目安全保障方案评价</w:t>
            </w:r>
          </w:p>
        </w:tc>
        <w:tc>
          <w:tcPr>
            <w:tcW w:w="7291" w:type="dxa"/>
            <w:vAlign w:val="center"/>
          </w:tcPr>
          <w:p w14:paraId="29C44EB9">
            <w:pPr>
              <w:widowControl/>
              <w:adjustRightInd w:val="0"/>
              <w:snapToGrid w:val="0"/>
              <w:rPr>
                <w:kern w:val="0"/>
                <w:sz w:val="24"/>
                <w:szCs w:val="24"/>
                <w:highlight w:val="none"/>
              </w:rPr>
            </w:pPr>
            <w:r>
              <w:rPr>
                <w:rFonts w:hint="eastAsia"/>
                <w:kern w:val="0"/>
                <w:sz w:val="24"/>
                <w:szCs w:val="24"/>
                <w:highlight w:val="none"/>
              </w:rPr>
              <w:t>提供项目安全保障方案（包含但不限于运维保险与事故处理措施），至少包含安全保障目标（包括但不限于运维人员、运维对象及其周边的车辆和人员）、安全保障计划、安全保障措施等。</w:t>
            </w:r>
          </w:p>
          <w:p w14:paraId="6B0CC587">
            <w:pPr>
              <w:widowControl/>
              <w:adjustRightInd w:val="0"/>
              <w:snapToGrid w:val="0"/>
              <w:rPr>
                <w:kern w:val="0"/>
                <w:sz w:val="24"/>
                <w:szCs w:val="24"/>
                <w:highlight w:val="none"/>
              </w:rPr>
            </w:pPr>
            <w:r>
              <w:rPr>
                <w:rFonts w:hint="eastAsia"/>
                <w:kern w:val="0"/>
                <w:sz w:val="24"/>
                <w:szCs w:val="24"/>
                <w:highlight w:val="none"/>
              </w:rPr>
              <w:t>方案详实完整，针对性、可操作性强，完全满足项目需求：6分；</w:t>
            </w:r>
          </w:p>
          <w:p w14:paraId="6402C054">
            <w:pPr>
              <w:widowControl/>
              <w:adjustRightInd w:val="0"/>
              <w:snapToGrid w:val="0"/>
              <w:rPr>
                <w:kern w:val="0"/>
                <w:sz w:val="24"/>
                <w:szCs w:val="24"/>
                <w:highlight w:val="none"/>
              </w:rPr>
            </w:pPr>
            <w:r>
              <w:rPr>
                <w:rFonts w:hint="eastAsia"/>
                <w:kern w:val="0"/>
                <w:sz w:val="24"/>
                <w:szCs w:val="24"/>
                <w:highlight w:val="none"/>
              </w:rPr>
              <w:t>方案满足招标文件要求，但内容存在1处瑕疵：5分；</w:t>
            </w:r>
          </w:p>
          <w:p w14:paraId="5899531F">
            <w:pPr>
              <w:widowControl/>
              <w:adjustRightInd w:val="0"/>
              <w:snapToGrid w:val="0"/>
              <w:rPr>
                <w:kern w:val="0"/>
                <w:sz w:val="24"/>
                <w:szCs w:val="24"/>
                <w:highlight w:val="none"/>
              </w:rPr>
            </w:pPr>
            <w:r>
              <w:rPr>
                <w:rFonts w:hint="eastAsia"/>
                <w:kern w:val="0"/>
                <w:sz w:val="24"/>
                <w:szCs w:val="24"/>
                <w:highlight w:val="none"/>
              </w:rPr>
              <w:t>方案满足招标文件要求，但内容存在2处瑕疵：4分；</w:t>
            </w:r>
          </w:p>
          <w:p w14:paraId="0D16A8BA">
            <w:pPr>
              <w:widowControl/>
              <w:adjustRightInd w:val="0"/>
              <w:snapToGrid w:val="0"/>
              <w:rPr>
                <w:kern w:val="0"/>
                <w:sz w:val="24"/>
                <w:szCs w:val="24"/>
                <w:highlight w:val="none"/>
              </w:rPr>
            </w:pPr>
            <w:r>
              <w:rPr>
                <w:rFonts w:hint="eastAsia"/>
                <w:kern w:val="0"/>
                <w:sz w:val="24"/>
                <w:szCs w:val="24"/>
                <w:highlight w:val="none"/>
              </w:rPr>
              <w:t>未提供该项内容或其他情况：0分。</w:t>
            </w:r>
          </w:p>
        </w:tc>
        <w:tc>
          <w:tcPr>
            <w:tcW w:w="1140" w:type="dxa"/>
            <w:vAlign w:val="center"/>
          </w:tcPr>
          <w:p w14:paraId="3953A097">
            <w:pPr>
              <w:widowControl/>
              <w:adjustRightInd w:val="0"/>
              <w:snapToGrid w:val="0"/>
              <w:jc w:val="center"/>
              <w:rPr>
                <w:kern w:val="0"/>
                <w:sz w:val="24"/>
                <w:szCs w:val="24"/>
                <w:highlight w:val="none"/>
              </w:rPr>
            </w:pPr>
            <w:r>
              <w:rPr>
                <w:rFonts w:hint="eastAsia"/>
                <w:kern w:val="0"/>
                <w:sz w:val="24"/>
                <w:szCs w:val="24"/>
                <w:highlight w:val="none"/>
              </w:rPr>
              <w:t>6</w:t>
            </w:r>
          </w:p>
        </w:tc>
      </w:tr>
      <w:tr w14:paraId="02F5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6" w:type="dxa"/>
            <w:gridSpan w:val="3"/>
            <w:noWrap/>
            <w:vAlign w:val="center"/>
          </w:tcPr>
          <w:p w14:paraId="5C3FC134">
            <w:pPr>
              <w:widowControl/>
              <w:adjustRightInd w:val="0"/>
              <w:snapToGrid w:val="0"/>
              <w:jc w:val="center"/>
              <w:rPr>
                <w:sz w:val="24"/>
                <w:highlight w:val="none"/>
              </w:rPr>
            </w:pPr>
            <w:r>
              <w:rPr>
                <w:sz w:val="24"/>
                <w:highlight w:val="none"/>
              </w:rPr>
              <w:t>合计</w:t>
            </w:r>
          </w:p>
        </w:tc>
        <w:tc>
          <w:tcPr>
            <w:tcW w:w="1140" w:type="dxa"/>
            <w:vAlign w:val="center"/>
          </w:tcPr>
          <w:p w14:paraId="14E3D1D8">
            <w:pPr>
              <w:widowControl/>
              <w:adjustRightInd w:val="0"/>
              <w:snapToGrid w:val="0"/>
              <w:jc w:val="center"/>
              <w:rPr>
                <w:kern w:val="0"/>
                <w:sz w:val="24"/>
                <w:szCs w:val="24"/>
                <w:highlight w:val="none"/>
              </w:rPr>
            </w:pPr>
            <w:r>
              <w:rPr>
                <w:kern w:val="0"/>
                <w:sz w:val="24"/>
                <w:szCs w:val="24"/>
                <w:highlight w:val="none"/>
              </w:rPr>
              <w:t>100</w:t>
            </w:r>
          </w:p>
        </w:tc>
      </w:tr>
      <w:tr w14:paraId="64327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0536" w:type="dxa"/>
            <w:gridSpan w:val="4"/>
            <w:noWrap/>
            <w:vAlign w:val="center"/>
          </w:tcPr>
          <w:p w14:paraId="3156A631">
            <w:pPr>
              <w:widowControl/>
              <w:adjustRightInd w:val="0"/>
              <w:snapToGrid w:val="0"/>
              <w:jc w:val="left"/>
              <w:rPr>
                <w:b/>
                <w:kern w:val="0"/>
                <w:sz w:val="24"/>
                <w:szCs w:val="24"/>
                <w:highlight w:val="none"/>
              </w:rPr>
            </w:pPr>
            <w:r>
              <w:rPr>
                <w:rFonts w:hint="eastAsia"/>
                <w:b/>
                <w:kern w:val="0"/>
                <w:sz w:val="24"/>
                <w:szCs w:val="24"/>
                <w:highlight w:val="none"/>
              </w:rPr>
              <w:t>注：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14:paraId="7F2CACB3">
      <w:pPr>
        <w:spacing w:line="360" w:lineRule="auto"/>
        <w:ind w:firstLine="448" w:firstLineChars="200"/>
        <w:outlineLvl w:val="0"/>
        <w:rPr>
          <w:rFonts w:hAnsiTheme="minorEastAsia"/>
          <w:sz w:val="24"/>
          <w:highlight w:val="none"/>
        </w:rPr>
      </w:pPr>
    </w:p>
    <w:p w14:paraId="6FEA4C4E">
      <w:pPr>
        <w:spacing w:line="360" w:lineRule="auto"/>
        <w:ind w:firstLine="448" w:firstLineChars="200"/>
        <w:outlineLvl w:val="0"/>
        <w:rPr>
          <w:sz w:val="24"/>
          <w:highlight w:val="none"/>
        </w:rPr>
      </w:pPr>
      <w:r>
        <w:rPr>
          <w:rFonts w:hAnsiTheme="minorEastAsia"/>
          <w:sz w:val="24"/>
          <w:highlight w:val="none"/>
        </w:rPr>
        <w:t>四、投标文件内容要求</w:t>
      </w:r>
    </w:p>
    <w:p w14:paraId="0A7E4127">
      <w:pPr>
        <w:spacing w:line="360" w:lineRule="auto"/>
        <w:ind w:firstLine="448" w:firstLineChars="200"/>
        <w:outlineLvl w:val="0"/>
        <w:rPr>
          <w:sz w:val="24"/>
          <w:highlight w:val="none"/>
        </w:rPr>
      </w:pPr>
      <w:r>
        <w:rPr>
          <w:rFonts w:hint="eastAsia" w:hAnsiTheme="minorEastAsia"/>
          <w:sz w:val="24"/>
          <w:highlight w:val="none"/>
        </w:rPr>
        <w:t>（一）</w:t>
      </w:r>
      <w:r>
        <w:rPr>
          <w:rFonts w:hAnsiTheme="minorEastAsia"/>
          <w:sz w:val="24"/>
          <w:highlight w:val="none"/>
        </w:rPr>
        <w:t>投标人须按照《投标须知》</w:t>
      </w:r>
      <w:r>
        <w:rPr>
          <w:sz w:val="24"/>
          <w:highlight w:val="none"/>
        </w:rPr>
        <w:t xml:space="preserve">“C </w:t>
      </w:r>
      <w:r>
        <w:rPr>
          <w:rFonts w:hAnsiTheme="minorEastAsia"/>
          <w:sz w:val="24"/>
          <w:highlight w:val="none"/>
        </w:rPr>
        <w:t>投标文件的编制</w:t>
      </w:r>
      <w:r>
        <w:rPr>
          <w:sz w:val="24"/>
          <w:highlight w:val="none"/>
        </w:rPr>
        <w:t>”</w:t>
      </w:r>
      <w:r>
        <w:rPr>
          <w:rFonts w:hAnsiTheme="minorEastAsia"/>
          <w:sz w:val="24"/>
          <w:highlight w:val="none"/>
        </w:rPr>
        <w:t>中的相关要求编制投标文件</w:t>
      </w:r>
      <w:r>
        <w:rPr>
          <w:rFonts w:hint="eastAsia" w:hAnsiTheme="minorEastAsia"/>
          <w:sz w:val="24"/>
          <w:highlight w:val="none"/>
        </w:rPr>
        <w:t>。</w:t>
      </w:r>
    </w:p>
    <w:p w14:paraId="28962F8A">
      <w:pPr>
        <w:spacing w:line="360" w:lineRule="auto"/>
        <w:ind w:firstLine="448" w:firstLineChars="200"/>
        <w:outlineLvl w:val="0"/>
        <w:rPr>
          <w:sz w:val="24"/>
          <w:highlight w:val="none"/>
        </w:rPr>
      </w:pPr>
      <w:r>
        <w:rPr>
          <w:rFonts w:hint="eastAsia" w:hAnsiTheme="minorEastAsia"/>
          <w:sz w:val="24"/>
          <w:highlight w:val="none"/>
        </w:rPr>
        <w:t>（二）</w:t>
      </w:r>
      <w:r>
        <w:rPr>
          <w:rFonts w:hAnsiTheme="minorEastAsia"/>
          <w:sz w:val="24"/>
          <w:highlight w:val="none"/>
        </w:rPr>
        <w:t>投标文件</w:t>
      </w:r>
      <w:r>
        <w:rPr>
          <w:rFonts w:hint="eastAsia" w:hAnsiTheme="minorEastAsia"/>
          <w:sz w:val="24"/>
          <w:highlight w:val="none"/>
        </w:rPr>
        <w:t>格式参照第五部分</w:t>
      </w:r>
      <w:r>
        <w:rPr>
          <w:rFonts w:hint="eastAsia"/>
          <w:sz w:val="24"/>
          <w:highlight w:val="none"/>
        </w:rPr>
        <w:t>“</w:t>
      </w:r>
      <w:r>
        <w:rPr>
          <w:rFonts w:hint="eastAsia" w:hAnsiTheme="minorEastAsia"/>
          <w:sz w:val="24"/>
          <w:highlight w:val="none"/>
        </w:rPr>
        <w:t>投标文件格式</w:t>
      </w:r>
      <w:r>
        <w:rPr>
          <w:rFonts w:hint="eastAsia"/>
          <w:sz w:val="24"/>
          <w:highlight w:val="none"/>
        </w:rPr>
        <w:t>”</w:t>
      </w:r>
      <w:r>
        <w:rPr>
          <w:rFonts w:hint="eastAsia" w:hAnsiTheme="minorEastAsia"/>
          <w:sz w:val="24"/>
          <w:highlight w:val="none"/>
        </w:rPr>
        <w:t>。</w:t>
      </w:r>
    </w:p>
    <w:p w14:paraId="30B46128">
      <w:pPr>
        <w:spacing w:line="360" w:lineRule="auto"/>
        <w:ind w:firstLine="448" w:firstLineChars="200"/>
        <w:outlineLvl w:val="0"/>
        <w:rPr>
          <w:rFonts w:hint="eastAsia"/>
          <w:sz w:val="24"/>
          <w:highlight w:val="none"/>
        </w:rPr>
      </w:pPr>
    </w:p>
    <w:p w14:paraId="76253927">
      <w:pPr>
        <w:spacing w:line="360" w:lineRule="auto"/>
        <w:ind w:firstLine="448" w:firstLineChars="200"/>
        <w:outlineLvl w:val="0"/>
        <w:rPr>
          <w:sz w:val="24"/>
          <w:highlight w:val="none"/>
        </w:rPr>
      </w:pPr>
    </w:p>
    <w:p w14:paraId="0D0E9517">
      <w:pPr>
        <w:spacing w:line="360" w:lineRule="auto"/>
        <w:jc w:val="center"/>
        <w:rPr>
          <w:b/>
          <w:sz w:val="24"/>
          <w:highlight w:val="none"/>
        </w:rPr>
      </w:pPr>
      <w:r>
        <w:rPr>
          <w:sz w:val="24"/>
          <w:highlight w:val="none"/>
          <w:u w:val="single"/>
        </w:rPr>
        <w:br w:type="page"/>
      </w:r>
      <w:r>
        <w:rPr>
          <w:rFonts w:hAnsiTheme="minorEastAsia"/>
          <w:b/>
          <w:sz w:val="24"/>
          <w:highlight w:val="none"/>
        </w:rPr>
        <w:t>项目需求书</w:t>
      </w:r>
    </w:p>
    <w:p w14:paraId="037A5A04">
      <w:pPr>
        <w:keepNext/>
        <w:keepLines/>
        <w:adjustRightInd w:val="0"/>
        <w:snapToGrid w:val="0"/>
        <w:spacing w:line="288" w:lineRule="auto"/>
        <w:outlineLvl w:val="1"/>
        <w:rPr>
          <w:rFonts w:ascii="Cambria" w:hAnsi="Cambria"/>
          <w:bCs/>
          <w:sz w:val="24"/>
          <w:szCs w:val="32"/>
          <w:highlight w:val="none"/>
        </w:rPr>
      </w:pPr>
      <w:r>
        <w:rPr>
          <w:rFonts w:hint="eastAsia" w:ascii="Cambria" w:hAnsi="Cambria"/>
          <w:bCs/>
          <w:sz w:val="24"/>
          <w:szCs w:val="32"/>
          <w:highlight w:val="none"/>
        </w:rPr>
        <w:t>一、项目背景</w:t>
      </w:r>
    </w:p>
    <w:p w14:paraId="07DC09F2">
      <w:pPr>
        <w:autoSpaceDE w:val="0"/>
        <w:autoSpaceDN w:val="0"/>
        <w:adjustRightInd w:val="0"/>
        <w:snapToGrid w:val="0"/>
        <w:spacing w:line="288" w:lineRule="auto"/>
        <w:ind w:firstLine="448" w:firstLineChars="200"/>
        <w:rPr>
          <w:sz w:val="24"/>
          <w:highlight w:val="none"/>
        </w:rPr>
      </w:pPr>
      <w:r>
        <w:rPr>
          <w:rFonts w:hint="eastAsia"/>
          <w:sz w:val="24"/>
          <w:highlight w:val="none"/>
        </w:rPr>
        <w:t>本项目为天津市公安局滨海分局视频监控系统第6、7、8包运维服务项目，点位由采购人提供。</w:t>
      </w:r>
    </w:p>
    <w:p w14:paraId="1F764F20">
      <w:pPr>
        <w:autoSpaceDE w:val="0"/>
        <w:autoSpaceDN w:val="0"/>
        <w:adjustRightInd w:val="0"/>
        <w:snapToGrid w:val="0"/>
        <w:spacing w:line="288" w:lineRule="auto"/>
        <w:ind w:firstLine="448" w:firstLineChars="200"/>
        <w:rPr>
          <w:sz w:val="24"/>
          <w:highlight w:val="none"/>
        </w:rPr>
      </w:pPr>
      <w:bookmarkStart w:id="116" w:name="OLE_LINK141"/>
      <w:bookmarkStart w:id="117" w:name="OLE_LINK142"/>
      <w:r>
        <w:rPr>
          <w:rFonts w:hint="eastAsia"/>
          <w:sz w:val="24"/>
          <w:highlight w:val="none"/>
        </w:rPr>
        <w:t>本项目所属行业：</w:t>
      </w:r>
      <w:bookmarkEnd w:id="116"/>
      <w:bookmarkEnd w:id="117"/>
      <w:r>
        <w:rPr>
          <w:rFonts w:hint="eastAsia"/>
          <w:sz w:val="24"/>
          <w:highlight w:val="none"/>
        </w:rPr>
        <w:t>软件和信息技术服务业。</w:t>
      </w:r>
    </w:p>
    <w:p w14:paraId="18C639AC">
      <w:pPr>
        <w:keepNext/>
        <w:keepLines/>
        <w:adjustRightInd w:val="0"/>
        <w:snapToGrid w:val="0"/>
        <w:spacing w:line="288" w:lineRule="auto"/>
        <w:outlineLvl w:val="1"/>
        <w:rPr>
          <w:rFonts w:ascii="Cambria" w:hAnsi="Cambria"/>
          <w:bCs/>
          <w:sz w:val="24"/>
          <w:szCs w:val="32"/>
          <w:highlight w:val="none"/>
        </w:rPr>
      </w:pPr>
      <w:r>
        <w:rPr>
          <w:rFonts w:hint="eastAsia" w:ascii="Cambria" w:hAnsi="Cambria"/>
          <w:bCs/>
          <w:sz w:val="24"/>
          <w:szCs w:val="32"/>
          <w:highlight w:val="none"/>
        </w:rPr>
        <w:t>二、技术参数</w:t>
      </w:r>
    </w:p>
    <w:p w14:paraId="079F340F">
      <w:pPr>
        <w:keepNext/>
        <w:keepLines/>
        <w:numPr>
          <w:ilvl w:val="1"/>
          <w:numId w:val="0"/>
        </w:numPr>
        <w:adjustRightInd w:val="0"/>
        <w:snapToGrid w:val="0"/>
        <w:spacing w:line="288" w:lineRule="auto"/>
        <w:outlineLvl w:val="2"/>
        <w:rPr>
          <w:b/>
          <w:sz w:val="24"/>
          <w:szCs w:val="32"/>
          <w:highlight w:val="none"/>
        </w:rPr>
      </w:pPr>
      <w:r>
        <w:rPr>
          <w:rFonts w:hint="eastAsia"/>
          <w:b/>
          <w:sz w:val="24"/>
          <w:szCs w:val="32"/>
          <w:highlight w:val="none"/>
        </w:rPr>
        <w:t>第一包技术要求：</w:t>
      </w:r>
    </w:p>
    <w:p w14:paraId="019CDC40">
      <w:pPr>
        <w:keepNext/>
        <w:keepLines/>
        <w:adjustRightInd w:val="0"/>
        <w:snapToGrid w:val="0"/>
        <w:spacing w:line="288" w:lineRule="auto"/>
        <w:ind w:firstLine="448" w:firstLineChars="200"/>
        <w:outlineLvl w:val="3"/>
        <w:rPr>
          <w:rFonts w:ascii="Cambria" w:hAnsi="Cambria"/>
          <w:b/>
          <w:bCs/>
          <w:sz w:val="24"/>
          <w:szCs w:val="28"/>
          <w:highlight w:val="none"/>
        </w:rPr>
      </w:pPr>
      <w:r>
        <w:rPr>
          <w:rFonts w:hint="eastAsia" w:ascii="Cambria" w:hAnsi="Cambria"/>
          <w:b/>
          <w:bCs/>
          <w:sz w:val="24"/>
          <w:szCs w:val="28"/>
          <w:highlight w:val="none"/>
        </w:rPr>
        <w:t>一、服务规模及内容</w:t>
      </w:r>
    </w:p>
    <w:p w14:paraId="79BA2A96">
      <w:pPr>
        <w:adjustRightInd w:val="0"/>
        <w:snapToGrid w:val="0"/>
        <w:spacing w:line="288" w:lineRule="auto"/>
        <w:ind w:firstLine="448" w:firstLineChars="200"/>
        <w:rPr>
          <w:rFonts w:ascii="宋体" w:hAnsi="宋体"/>
          <w:sz w:val="24"/>
          <w:szCs w:val="24"/>
          <w:highlight w:val="none"/>
        </w:rPr>
      </w:pPr>
      <w:r>
        <w:rPr>
          <w:rFonts w:hint="eastAsia" w:ascii="宋体" w:hAnsi="宋体"/>
          <w:sz w:val="24"/>
          <w:szCs w:val="24"/>
          <w:highlight w:val="none"/>
        </w:rPr>
        <w:t>本包运维内容涉及前端设备、网络链路及后端设备的全面维护。其中，前端设备包括视频监控摄像机、前端交换机、前端存储设备、杆体配套设施、供电系统等。</w:t>
      </w:r>
    </w:p>
    <w:p w14:paraId="7600A431">
      <w:pPr>
        <w:adjustRightInd w:val="0"/>
        <w:snapToGrid w:val="0"/>
        <w:spacing w:line="288" w:lineRule="auto"/>
        <w:ind w:firstLine="448" w:firstLineChars="200"/>
        <w:rPr>
          <w:rFonts w:ascii="宋体" w:hAnsi="宋体"/>
          <w:sz w:val="24"/>
          <w:szCs w:val="24"/>
          <w:highlight w:val="none"/>
        </w:rPr>
      </w:pPr>
      <w:r>
        <w:rPr>
          <w:rFonts w:ascii="宋体" w:hAnsi="宋体"/>
          <w:sz w:val="24"/>
          <w:szCs w:val="24"/>
          <w:highlight w:val="none"/>
        </w:rPr>
        <w:t>网络链路包括</w:t>
      </w:r>
      <w:r>
        <w:rPr>
          <w:rFonts w:hint="eastAsia" w:ascii="宋体" w:hAnsi="宋体"/>
          <w:sz w:val="24"/>
          <w:szCs w:val="24"/>
          <w:highlight w:val="none"/>
        </w:rPr>
        <w:t>：</w:t>
      </w:r>
    </w:p>
    <w:p w14:paraId="11A7E02B">
      <w:pPr>
        <w:adjustRightInd w:val="0"/>
        <w:snapToGrid w:val="0"/>
        <w:spacing w:line="288" w:lineRule="auto"/>
        <w:ind w:firstLine="448" w:firstLineChars="200"/>
        <w:rPr>
          <w:rFonts w:ascii="宋体" w:hAnsi="宋体"/>
          <w:sz w:val="24"/>
          <w:szCs w:val="24"/>
          <w:highlight w:val="none"/>
        </w:rPr>
      </w:pPr>
      <w:r>
        <w:rPr>
          <w:rFonts w:hint="eastAsia" w:ascii="宋体" w:hAnsi="宋体"/>
          <w:sz w:val="24"/>
          <w:szCs w:val="24"/>
          <w:highlight w:val="none"/>
        </w:rPr>
        <w:t>第6包：</w:t>
      </w:r>
      <w:r>
        <w:rPr>
          <w:rFonts w:ascii="宋体" w:hAnsi="宋体"/>
          <w:sz w:val="24"/>
          <w:szCs w:val="24"/>
          <w:highlight w:val="none"/>
        </w:rPr>
        <w:t>前端点位-</w:t>
      </w:r>
      <w:r>
        <w:rPr>
          <w:rFonts w:hint="eastAsia" w:ascii="宋体" w:hAnsi="宋体"/>
          <w:sz w:val="24"/>
          <w:szCs w:val="24"/>
          <w:highlight w:val="none"/>
        </w:rPr>
        <w:t>前端</w:t>
      </w:r>
      <w:r>
        <w:rPr>
          <w:rFonts w:ascii="宋体" w:hAnsi="宋体"/>
          <w:sz w:val="24"/>
          <w:szCs w:val="24"/>
          <w:highlight w:val="none"/>
        </w:rPr>
        <w:t>汇聚机房百兆链路</w:t>
      </w:r>
      <w:r>
        <w:rPr>
          <w:rFonts w:hint="eastAsia" w:ascii="宋体" w:hAnsi="宋体"/>
          <w:sz w:val="24"/>
          <w:szCs w:val="24"/>
          <w:highlight w:val="none"/>
        </w:rPr>
        <w:t>269</w:t>
      </w:r>
      <w:r>
        <w:rPr>
          <w:rFonts w:ascii="宋体" w:hAnsi="宋体"/>
          <w:sz w:val="24"/>
          <w:szCs w:val="24"/>
          <w:highlight w:val="none"/>
        </w:rPr>
        <w:t>条</w:t>
      </w:r>
      <w:r>
        <w:rPr>
          <w:rFonts w:hint="eastAsia" w:ascii="宋体" w:hAnsi="宋体"/>
          <w:sz w:val="24"/>
          <w:szCs w:val="24"/>
          <w:highlight w:val="none"/>
        </w:rPr>
        <w:t>，</w:t>
      </w:r>
      <w:r>
        <w:rPr>
          <w:rFonts w:ascii="宋体" w:hAnsi="宋体"/>
          <w:sz w:val="24"/>
          <w:szCs w:val="24"/>
          <w:highlight w:val="none"/>
        </w:rPr>
        <w:t>大港油田信息中心OLT机房-3个派出所千兆链路3条、大港油田信息中心OLT机房-大港联通港西机房千兆链路1条</w:t>
      </w:r>
      <w:r>
        <w:rPr>
          <w:rFonts w:hint="eastAsia" w:ascii="宋体" w:hAnsi="宋体"/>
          <w:sz w:val="24"/>
          <w:szCs w:val="24"/>
          <w:highlight w:val="none"/>
        </w:rPr>
        <w:t>，</w:t>
      </w:r>
      <w:r>
        <w:rPr>
          <w:rFonts w:ascii="宋体" w:hAnsi="宋体"/>
          <w:sz w:val="24"/>
          <w:szCs w:val="24"/>
          <w:highlight w:val="none"/>
        </w:rPr>
        <w:t>大港油田信息中心OLT机房-大港广电机房万兆链路1条的日常维护和通信保障。</w:t>
      </w:r>
    </w:p>
    <w:p w14:paraId="704F888A">
      <w:pPr>
        <w:adjustRightInd w:val="0"/>
        <w:snapToGrid w:val="0"/>
        <w:spacing w:line="288" w:lineRule="auto"/>
        <w:ind w:firstLine="448" w:firstLineChars="200"/>
        <w:rPr>
          <w:rFonts w:ascii="宋体" w:hAnsi="宋体"/>
          <w:sz w:val="24"/>
          <w:szCs w:val="24"/>
          <w:highlight w:val="none"/>
        </w:rPr>
      </w:pPr>
      <w:r>
        <w:rPr>
          <w:rFonts w:hint="eastAsia" w:ascii="宋体" w:hAnsi="宋体"/>
          <w:sz w:val="24"/>
          <w:szCs w:val="24"/>
          <w:highlight w:val="none"/>
        </w:rPr>
        <w:t>第7包：前端点位-</w:t>
      </w:r>
      <w:r>
        <w:rPr>
          <w:rFonts w:ascii="宋体" w:hAnsi="宋体"/>
          <w:sz w:val="24"/>
          <w:szCs w:val="24"/>
          <w:highlight w:val="none"/>
        </w:rPr>
        <w:t>大港油田信息中心OLT机房百兆链路4</w:t>
      </w:r>
      <w:r>
        <w:rPr>
          <w:rFonts w:hint="eastAsia" w:ascii="宋体" w:hAnsi="宋体"/>
          <w:sz w:val="24"/>
          <w:szCs w:val="24"/>
          <w:highlight w:val="none"/>
        </w:rPr>
        <w:t>19</w:t>
      </w:r>
      <w:r>
        <w:rPr>
          <w:rFonts w:ascii="宋体" w:hAnsi="宋体"/>
          <w:sz w:val="24"/>
          <w:szCs w:val="24"/>
          <w:highlight w:val="none"/>
        </w:rPr>
        <w:t>条</w:t>
      </w:r>
      <w:r>
        <w:rPr>
          <w:rFonts w:hint="eastAsia" w:ascii="宋体" w:hAnsi="宋体"/>
          <w:sz w:val="24"/>
          <w:szCs w:val="24"/>
          <w:highlight w:val="none"/>
        </w:rPr>
        <w:t>，</w:t>
      </w:r>
      <w:r>
        <w:rPr>
          <w:rFonts w:ascii="宋体" w:hAnsi="宋体"/>
          <w:sz w:val="24"/>
          <w:szCs w:val="24"/>
          <w:highlight w:val="none"/>
        </w:rPr>
        <w:t>大港油田信息中心OLT机房-1个派出所千兆链路1条</w:t>
      </w:r>
      <w:r>
        <w:rPr>
          <w:rFonts w:hint="eastAsia" w:ascii="宋体" w:hAnsi="宋体"/>
          <w:sz w:val="24"/>
          <w:szCs w:val="24"/>
          <w:highlight w:val="none"/>
        </w:rPr>
        <w:t>，</w:t>
      </w:r>
      <w:r>
        <w:rPr>
          <w:rFonts w:ascii="宋体" w:hAnsi="宋体"/>
          <w:sz w:val="24"/>
          <w:szCs w:val="24"/>
          <w:highlight w:val="none"/>
        </w:rPr>
        <w:t>大港油田信息中心OLT机房-联通IDC机房万兆链路1条</w:t>
      </w:r>
      <w:r>
        <w:rPr>
          <w:rFonts w:hint="eastAsia" w:ascii="宋体" w:hAnsi="宋体"/>
          <w:sz w:val="24"/>
          <w:szCs w:val="24"/>
          <w:highlight w:val="none"/>
        </w:rPr>
        <w:t>的日常维护和通信保障。</w:t>
      </w:r>
    </w:p>
    <w:p w14:paraId="36361BCE">
      <w:pPr>
        <w:adjustRightInd w:val="0"/>
        <w:snapToGrid w:val="0"/>
        <w:spacing w:line="288" w:lineRule="auto"/>
        <w:ind w:firstLine="448" w:firstLineChars="200"/>
        <w:rPr>
          <w:rFonts w:ascii="宋体" w:hAnsi="宋体"/>
          <w:sz w:val="24"/>
          <w:szCs w:val="24"/>
          <w:highlight w:val="none"/>
        </w:rPr>
      </w:pPr>
      <w:r>
        <w:rPr>
          <w:rFonts w:hint="eastAsia" w:ascii="宋体" w:hAnsi="宋体"/>
          <w:sz w:val="24"/>
          <w:szCs w:val="24"/>
          <w:highlight w:val="none"/>
        </w:rPr>
        <w:t>后端设备包括视频监控系统平台、电子卡口后台处理系统、服务器、存储设备、其他相关网络设备，以及机柜租赁保障服务。运维服务内容如下表所示：</w:t>
      </w:r>
    </w:p>
    <w:tbl>
      <w:tblPr>
        <w:tblStyle w:val="19"/>
        <w:tblW w:w="0" w:type="auto"/>
        <w:tblInd w:w="0" w:type="dxa"/>
        <w:tblLayout w:type="autofit"/>
        <w:tblCellMar>
          <w:top w:w="0" w:type="dxa"/>
          <w:left w:w="57" w:type="dxa"/>
          <w:bottom w:w="0" w:type="dxa"/>
          <w:right w:w="57" w:type="dxa"/>
        </w:tblCellMar>
      </w:tblPr>
      <w:tblGrid>
        <w:gridCol w:w="727"/>
        <w:gridCol w:w="6164"/>
        <w:gridCol w:w="567"/>
        <w:gridCol w:w="788"/>
      </w:tblGrid>
      <w:tr w14:paraId="6F72DECA">
        <w:tblPrEx>
          <w:tblCellMar>
            <w:top w:w="0" w:type="dxa"/>
            <w:left w:w="57" w:type="dxa"/>
            <w:bottom w:w="0" w:type="dxa"/>
            <w:right w:w="57" w:type="dxa"/>
          </w:tblCellMar>
        </w:tblPrEx>
        <w:trPr>
          <w:tblHeader/>
        </w:trPr>
        <w:tc>
          <w:tcPr>
            <w:tcW w:w="0" w:type="auto"/>
            <w:tcBorders>
              <w:top w:val="single" w:color="auto" w:sz="4" w:space="0"/>
              <w:left w:val="single" w:color="auto" w:sz="4" w:space="0"/>
              <w:bottom w:val="single" w:color="auto" w:sz="4" w:space="0"/>
              <w:right w:val="single" w:color="auto" w:sz="4" w:space="0"/>
            </w:tcBorders>
            <w:vAlign w:val="center"/>
          </w:tcPr>
          <w:p w14:paraId="54D58979">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序号</w:t>
            </w:r>
          </w:p>
        </w:tc>
        <w:tc>
          <w:tcPr>
            <w:tcW w:w="6164" w:type="dxa"/>
            <w:tcBorders>
              <w:top w:val="single" w:color="auto" w:sz="4" w:space="0"/>
              <w:left w:val="nil"/>
              <w:bottom w:val="single" w:color="auto" w:sz="4" w:space="0"/>
              <w:right w:val="single" w:color="auto" w:sz="4" w:space="0"/>
            </w:tcBorders>
            <w:vAlign w:val="center"/>
          </w:tcPr>
          <w:p w14:paraId="1F07C66B">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运维服务内容</w:t>
            </w:r>
          </w:p>
        </w:tc>
        <w:tc>
          <w:tcPr>
            <w:tcW w:w="567" w:type="dxa"/>
            <w:tcBorders>
              <w:top w:val="single" w:color="auto" w:sz="4" w:space="0"/>
              <w:left w:val="nil"/>
              <w:bottom w:val="single" w:color="auto" w:sz="4" w:space="0"/>
              <w:right w:val="single" w:color="auto" w:sz="4" w:space="0"/>
            </w:tcBorders>
            <w:vAlign w:val="center"/>
          </w:tcPr>
          <w:p w14:paraId="0853BA16">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单位</w:t>
            </w:r>
          </w:p>
        </w:tc>
        <w:tc>
          <w:tcPr>
            <w:tcW w:w="788" w:type="dxa"/>
            <w:tcBorders>
              <w:top w:val="single" w:color="auto" w:sz="4" w:space="0"/>
              <w:left w:val="nil"/>
              <w:bottom w:val="single" w:color="auto" w:sz="4" w:space="0"/>
              <w:right w:val="single" w:color="auto" w:sz="4" w:space="0"/>
            </w:tcBorders>
            <w:vAlign w:val="center"/>
          </w:tcPr>
          <w:p w14:paraId="0F168ED9">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数量</w:t>
            </w:r>
          </w:p>
        </w:tc>
      </w:tr>
      <w:tr w14:paraId="55BCDBFF">
        <w:tblPrEx>
          <w:tblCellMar>
            <w:top w:w="0" w:type="dxa"/>
            <w:left w:w="57" w:type="dxa"/>
            <w:bottom w:w="0" w:type="dxa"/>
            <w:right w:w="57" w:type="dxa"/>
          </w:tblCellMar>
        </w:tblPrEx>
        <w:tc>
          <w:tcPr>
            <w:tcW w:w="0" w:type="auto"/>
            <w:gridSpan w:val="4"/>
            <w:tcBorders>
              <w:top w:val="single" w:color="auto" w:sz="4" w:space="0"/>
              <w:left w:val="single" w:color="auto" w:sz="4" w:space="0"/>
              <w:bottom w:val="single" w:color="auto" w:sz="4" w:space="0"/>
              <w:right w:val="single" w:color="000000" w:sz="4" w:space="0"/>
            </w:tcBorders>
            <w:vAlign w:val="center"/>
          </w:tcPr>
          <w:p w14:paraId="24D9E1EC">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第6包</w:t>
            </w:r>
          </w:p>
        </w:tc>
      </w:tr>
      <w:tr w14:paraId="4CCA9BC8">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4950A77E">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一</w:t>
            </w:r>
          </w:p>
        </w:tc>
        <w:tc>
          <w:tcPr>
            <w:tcW w:w="6164" w:type="dxa"/>
            <w:tcBorders>
              <w:top w:val="nil"/>
              <w:left w:val="nil"/>
              <w:bottom w:val="single" w:color="auto" w:sz="4" w:space="0"/>
              <w:right w:val="single" w:color="auto" w:sz="4" w:space="0"/>
            </w:tcBorders>
            <w:vAlign w:val="center"/>
          </w:tcPr>
          <w:p w14:paraId="36366F28">
            <w:pPr>
              <w:widowControl/>
              <w:jc w:val="left"/>
              <w:rPr>
                <w:rFonts w:ascii="宋体" w:hAnsi="宋体" w:cs="宋体"/>
                <w:b/>
                <w:bCs/>
                <w:color w:val="000000"/>
                <w:kern w:val="0"/>
                <w:sz w:val="22"/>
                <w:highlight w:val="none"/>
              </w:rPr>
            </w:pPr>
            <w:r>
              <w:rPr>
                <w:rFonts w:ascii="宋体" w:hAnsi="宋体" w:cs="宋体"/>
                <w:b/>
                <w:bCs/>
                <w:color w:val="000000"/>
                <w:kern w:val="0"/>
                <w:sz w:val="22"/>
                <w:highlight w:val="none"/>
              </w:rPr>
              <w:t>前端设备运维服务及改造</w:t>
            </w:r>
          </w:p>
        </w:tc>
        <w:tc>
          <w:tcPr>
            <w:tcW w:w="567" w:type="dxa"/>
            <w:tcBorders>
              <w:top w:val="nil"/>
              <w:left w:val="nil"/>
              <w:bottom w:val="single" w:color="auto" w:sz="4" w:space="0"/>
              <w:right w:val="single" w:color="auto" w:sz="4" w:space="0"/>
            </w:tcBorders>
            <w:vAlign w:val="center"/>
          </w:tcPr>
          <w:p w14:paraId="615317F6">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　</w:t>
            </w:r>
          </w:p>
        </w:tc>
        <w:tc>
          <w:tcPr>
            <w:tcW w:w="788" w:type="dxa"/>
            <w:tcBorders>
              <w:top w:val="nil"/>
              <w:left w:val="nil"/>
              <w:bottom w:val="single" w:color="auto" w:sz="4" w:space="0"/>
              <w:right w:val="single" w:color="auto" w:sz="4" w:space="0"/>
            </w:tcBorders>
            <w:vAlign w:val="center"/>
          </w:tcPr>
          <w:p w14:paraId="4BCB2EAE">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　</w:t>
            </w:r>
          </w:p>
        </w:tc>
      </w:tr>
      <w:tr w14:paraId="75C91A1D">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13C727F1">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（一）</w:t>
            </w:r>
          </w:p>
        </w:tc>
        <w:tc>
          <w:tcPr>
            <w:tcW w:w="6164" w:type="dxa"/>
            <w:tcBorders>
              <w:top w:val="nil"/>
              <w:left w:val="nil"/>
              <w:bottom w:val="single" w:color="auto" w:sz="4" w:space="0"/>
              <w:right w:val="single" w:color="auto" w:sz="4" w:space="0"/>
            </w:tcBorders>
            <w:vAlign w:val="center"/>
          </w:tcPr>
          <w:p w14:paraId="5A540BAF">
            <w:pPr>
              <w:widowControl/>
              <w:jc w:val="left"/>
              <w:rPr>
                <w:rFonts w:ascii="宋体" w:hAnsi="宋体" w:cs="宋体"/>
                <w:b/>
                <w:bCs/>
                <w:color w:val="000000"/>
                <w:kern w:val="0"/>
                <w:sz w:val="22"/>
                <w:highlight w:val="none"/>
              </w:rPr>
            </w:pPr>
            <w:r>
              <w:rPr>
                <w:rFonts w:ascii="宋体" w:hAnsi="宋体" w:cs="宋体"/>
                <w:b/>
                <w:bCs/>
                <w:color w:val="000000"/>
                <w:kern w:val="0"/>
                <w:sz w:val="22"/>
                <w:highlight w:val="none"/>
              </w:rPr>
              <w:t>前端设备运维服务</w:t>
            </w:r>
          </w:p>
        </w:tc>
        <w:tc>
          <w:tcPr>
            <w:tcW w:w="567" w:type="dxa"/>
            <w:tcBorders>
              <w:top w:val="nil"/>
              <w:left w:val="nil"/>
              <w:bottom w:val="single" w:color="auto" w:sz="4" w:space="0"/>
              <w:right w:val="single" w:color="auto" w:sz="4" w:space="0"/>
            </w:tcBorders>
            <w:vAlign w:val="center"/>
          </w:tcPr>
          <w:p w14:paraId="65512F2F">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　</w:t>
            </w:r>
          </w:p>
        </w:tc>
        <w:tc>
          <w:tcPr>
            <w:tcW w:w="788" w:type="dxa"/>
            <w:tcBorders>
              <w:top w:val="nil"/>
              <w:left w:val="nil"/>
              <w:bottom w:val="single" w:color="auto" w:sz="4" w:space="0"/>
              <w:right w:val="single" w:color="auto" w:sz="4" w:space="0"/>
            </w:tcBorders>
            <w:vAlign w:val="center"/>
          </w:tcPr>
          <w:p w14:paraId="768C0C84">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　</w:t>
            </w:r>
          </w:p>
        </w:tc>
      </w:tr>
      <w:tr w14:paraId="7EB5F024">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3EFBB59C">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6164" w:type="dxa"/>
            <w:tcBorders>
              <w:top w:val="nil"/>
              <w:left w:val="nil"/>
              <w:bottom w:val="single" w:color="auto" w:sz="4" w:space="0"/>
              <w:right w:val="single" w:color="auto" w:sz="4" w:space="0"/>
            </w:tcBorders>
            <w:vAlign w:val="center"/>
          </w:tcPr>
          <w:p w14:paraId="5972EAE0">
            <w:pPr>
              <w:widowControl/>
              <w:rPr>
                <w:rFonts w:ascii="宋体" w:hAnsi="宋体" w:cs="宋体"/>
                <w:color w:val="000000"/>
                <w:kern w:val="0"/>
                <w:sz w:val="22"/>
                <w:highlight w:val="none"/>
              </w:rPr>
            </w:pPr>
            <w:r>
              <w:rPr>
                <w:rFonts w:ascii="宋体" w:hAnsi="宋体" w:cs="宋体"/>
                <w:color w:val="000000"/>
                <w:kern w:val="0"/>
                <w:sz w:val="22"/>
                <w:highlight w:val="none"/>
              </w:rPr>
              <w:t>视频监控杆体（含迁移杆体）</w:t>
            </w:r>
          </w:p>
        </w:tc>
        <w:tc>
          <w:tcPr>
            <w:tcW w:w="567" w:type="dxa"/>
            <w:tcBorders>
              <w:top w:val="nil"/>
              <w:left w:val="nil"/>
              <w:bottom w:val="single" w:color="auto" w:sz="4" w:space="0"/>
              <w:right w:val="single" w:color="auto" w:sz="4" w:space="0"/>
            </w:tcBorders>
            <w:vAlign w:val="center"/>
          </w:tcPr>
          <w:p w14:paraId="28A97EF9">
            <w:pPr>
              <w:widowControl/>
              <w:jc w:val="center"/>
              <w:rPr>
                <w:rFonts w:ascii="宋体" w:hAnsi="宋体" w:cs="宋体"/>
                <w:color w:val="000000"/>
                <w:kern w:val="0"/>
                <w:sz w:val="22"/>
                <w:highlight w:val="none"/>
              </w:rPr>
            </w:pPr>
            <w:r>
              <w:rPr>
                <w:rFonts w:ascii="宋体" w:hAnsi="宋体" w:cs="宋体"/>
                <w:color w:val="000000"/>
                <w:kern w:val="0"/>
                <w:sz w:val="22"/>
                <w:highlight w:val="none"/>
              </w:rPr>
              <w:t>根</w:t>
            </w:r>
          </w:p>
        </w:tc>
        <w:tc>
          <w:tcPr>
            <w:tcW w:w="788" w:type="dxa"/>
            <w:tcBorders>
              <w:top w:val="nil"/>
              <w:left w:val="nil"/>
              <w:bottom w:val="single" w:color="auto" w:sz="4" w:space="0"/>
              <w:right w:val="single" w:color="auto" w:sz="4" w:space="0"/>
            </w:tcBorders>
            <w:vAlign w:val="center"/>
          </w:tcPr>
          <w:p w14:paraId="0978EA01">
            <w:pPr>
              <w:widowControl/>
              <w:jc w:val="center"/>
              <w:rPr>
                <w:rFonts w:ascii="宋体" w:hAnsi="宋体" w:cs="宋体"/>
                <w:color w:val="000000"/>
                <w:kern w:val="0"/>
                <w:sz w:val="22"/>
                <w:highlight w:val="none"/>
              </w:rPr>
            </w:pPr>
            <w:r>
              <w:rPr>
                <w:rFonts w:ascii="宋体" w:hAnsi="宋体" w:cs="宋体"/>
                <w:color w:val="000000"/>
                <w:kern w:val="0"/>
                <w:sz w:val="22"/>
                <w:highlight w:val="none"/>
              </w:rPr>
              <w:t>269</w:t>
            </w:r>
          </w:p>
        </w:tc>
      </w:tr>
      <w:tr w14:paraId="63D982E5">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24CA95BB">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6164" w:type="dxa"/>
            <w:tcBorders>
              <w:top w:val="nil"/>
              <w:left w:val="nil"/>
              <w:bottom w:val="single" w:color="auto" w:sz="4" w:space="0"/>
              <w:right w:val="single" w:color="auto" w:sz="4" w:space="0"/>
            </w:tcBorders>
            <w:vAlign w:val="center"/>
          </w:tcPr>
          <w:p w14:paraId="0ADEFC21">
            <w:pPr>
              <w:widowControl/>
              <w:rPr>
                <w:rFonts w:ascii="宋体" w:hAnsi="宋体" w:cs="宋体"/>
                <w:color w:val="000000"/>
                <w:kern w:val="0"/>
                <w:sz w:val="22"/>
                <w:highlight w:val="none"/>
              </w:rPr>
            </w:pPr>
            <w:r>
              <w:rPr>
                <w:rFonts w:ascii="宋体" w:hAnsi="宋体" w:cs="宋体"/>
                <w:color w:val="000000"/>
                <w:kern w:val="0"/>
                <w:sz w:val="22"/>
                <w:highlight w:val="none"/>
              </w:rPr>
              <w:t>视频监控摄像机（含杆体迁移摄像机）</w:t>
            </w:r>
          </w:p>
        </w:tc>
        <w:tc>
          <w:tcPr>
            <w:tcW w:w="567" w:type="dxa"/>
            <w:tcBorders>
              <w:top w:val="nil"/>
              <w:left w:val="nil"/>
              <w:bottom w:val="single" w:color="auto" w:sz="4" w:space="0"/>
              <w:right w:val="single" w:color="auto" w:sz="4" w:space="0"/>
            </w:tcBorders>
            <w:vAlign w:val="center"/>
          </w:tcPr>
          <w:p w14:paraId="277B459F">
            <w:pPr>
              <w:widowControl/>
              <w:jc w:val="center"/>
              <w:rPr>
                <w:rFonts w:ascii="宋体" w:hAnsi="宋体" w:cs="宋体"/>
                <w:color w:val="000000"/>
                <w:kern w:val="0"/>
                <w:sz w:val="22"/>
                <w:highlight w:val="none"/>
              </w:rPr>
            </w:pPr>
            <w:r>
              <w:rPr>
                <w:rFonts w:ascii="宋体" w:hAnsi="宋体" w:cs="宋体"/>
                <w:color w:val="000000"/>
                <w:kern w:val="0"/>
                <w:sz w:val="22"/>
                <w:highlight w:val="none"/>
              </w:rPr>
              <w:t>个</w:t>
            </w:r>
          </w:p>
        </w:tc>
        <w:tc>
          <w:tcPr>
            <w:tcW w:w="788" w:type="dxa"/>
            <w:tcBorders>
              <w:top w:val="nil"/>
              <w:left w:val="nil"/>
              <w:bottom w:val="single" w:color="auto" w:sz="4" w:space="0"/>
              <w:right w:val="single" w:color="auto" w:sz="4" w:space="0"/>
            </w:tcBorders>
            <w:vAlign w:val="center"/>
          </w:tcPr>
          <w:p w14:paraId="3F2AB11D">
            <w:pPr>
              <w:widowControl/>
              <w:jc w:val="center"/>
              <w:rPr>
                <w:rFonts w:ascii="宋体" w:hAnsi="宋体" w:cs="宋体"/>
                <w:color w:val="000000"/>
                <w:kern w:val="0"/>
                <w:sz w:val="22"/>
                <w:highlight w:val="none"/>
              </w:rPr>
            </w:pPr>
            <w:r>
              <w:rPr>
                <w:rFonts w:ascii="宋体" w:hAnsi="宋体" w:cs="宋体"/>
                <w:color w:val="000000"/>
                <w:kern w:val="0"/>
                <w:sz w:val="22"/>
                <w:highlight w:val="none"/>
              </w:rPr>
              <w:t>786</w:t>
            </w:r>
          </w:p>
        </w:tc>
      </w:tr>
      <w:tr w14:paraId="454A895A">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2A7F7178">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6164" w:type="dxa"/>
            <w:tcBorders>
              <w:top w:val="nil"/>
              <w:left w:val="nil"/>
              <w:bottom w:val="single" w:color="auto" w:sz="4" w:space="0"/>
              <w:right w:val="single" w:color="auto" w:sz="4" w:space="0"/>
            </w:tcBorders>
            <w:vAlign w:val="center"/>
          </w:tcPr>
          <w:p w14:paraId="7630E01B">
            <w:pPr>
              <w:widowControl/>
              <w:rPr>
                <w:rFonts w:ascii="宋体" w:hAnsi="宋体" w:cs="宋体"/>
                <w:color w:val="000000"/>
                <w:kern w:val="0"/>
                <w:sz w:val="22"/>
                <w:highlight w:val="none"/>
              </w:rPr>
            </w:pPr>
            <w:r>
              <w:rPr>
                <w:rFonts w:ascii="宋体" w:hAnsi="宋体" w:cs="宋体"/>
                <w:color w:val="000000"/>
                <w:kern w:val="0"/>
                <w:sz w:val="22"/>
                <w:highlight w:val="none"/>
              </w:rPr>
              <w:t>智能摄像机</w:t>
            </w:r>
          </w:p>
        </w:tc>
        <w:tc>
          <w:tcPr>
            <w:tcW w:w="567" w:type="dxa"/>
            <w:tcBorders>
              <w:top w:val="nil"/>
              <w:left w:val="nil"/>
              <w:bottom w:val="single" w:color="auto" w:sz="4" w:space="0"/>
              <w:right w:val="single" w:color="auto" w:sz="4" w:space="0"/>
            </w:tcBorders>
            <w:vAlign w:val="center"/>
          </w:tcPr>
          <w:p w14:paraId="4C127201">
            <w:pPr>
              <w:widowControl/>
              <w:jc w:val="center"/>
              <w:rPr>
                <w:rFonts w:ascii="宋体" w:hAnsi="宋体" w:cs="宋体"/>
                <w:color w:val="000000"/>
                <w:kern w:val="0"/>
                <w:sz w:val="22"/>
                <w:highlight w:val="none"/>
              </w:rPr>
            </w:pPr>
            <w:r>
              <w:rPr>
                <w:rFonts w:ascii="宋体" w:hAnsi="宋体" w:cs="宋体"/>
                <w:color w:val="000000"/>
                <w:kern w:val="0"/>
                <w:sz w:val="22"/>
                <w:highlight w:val="none"/>
              </w:rPr>
              <w:t>个</w:t>
            </w:r>
          </w:p>
        </w:tc>
        <w:tc>
          <w:tcPr>
            <w:tcW w:w="788" w:type="dxa"/>
            <w:tcBorders>
              <w:top w:val="nil"/>
              <w:left w:val="nil"/>
              <w:bottom w:val="single" w:color="auto" w:sz="4" w:space="0"/>
              <w:right w:val="single" w:color="auto" w:sz="4" w:space="0"/>
            </w:tcBorders>
            <w:vAlign w:val="center"/>
          </w:tcPr>
          <w:p w14:paraId="7AAC767D">
            <w:pPr>
              <w:widowControl/>
              <w:jc w:val="center"/>
              <w:rPr>
                <w:rFonts w:ascii="宋体" w:hAnsi="宋体" w:cs="宋体"/>
                <w:color w:val="000000"/>
                <w:kern w:val="0"/>
                <w:sz w:val="22"/>
                <w:highlight w:val="none"/>
              </w:rPr>
            </w:pPr>
            <w:r>
              <w:rPr>
                <w:rFonts w:ascii="宋体" w:hAnsi="宋体" w:cs="宋体"/>
                <w:color w:val="000000"/>
                <w:kern w:val="0"/>
                <w:sz w:val="22"/>
                <w:highlight w:val="none"/>
              </w:rPr>
              <w:t>256</w:t>
            </w:r>
          </w:p>
        </w:tc>
      </w:tr>
      <w:tr w14:paraId="40846F65">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578429EB">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（二）</w:t>
            </w:r>
          </w:p>
        </w:tc>
        <w:tc>
          <w:tcPr>
            <w:tcW w:w="6164" w:type="dxa"/>
            <w:tcBorders>
              <w:top w:val="nil"/>
              <w:left w:val="nil"/>
              <w:bottom w:val="single" w:color="auto" w:sz="4" w:space="0"/>
              <w:right w:val="single" w:color="auto" w:sz="4" w:space="0"/>
            </w:tcBorders>
            <w:vAlign w:val="center"/>
          </w:tcPr>
          <w:p w14:paraId="04490F9D">
            <w:pPr>
              <w:widowControl/>
              <w:rPr>
                <w:rFonts w:ascii="宋体" w:hAnsi="宋体" w:cs="宋体"/>
                <w:b/>
                <w:bCs/>
                <w:color w:val="000000"/>
                <w:kern w:val="0"/>
                <w:sz w:val="22"/>
                <w:highlight w:val="none"/>
              </w:rPr>
            </w:pPr>
            <w:r>
              <w:rPr>
                <w:rFonts w:ascii="宋体" w:hAnsi="宋体" w:cs="宋体"/>
                <w:b/>
                <w:bCs/>
                <w:color w:val="000000"/>
                <w:kern w:val="0"/>
                <w:sz w:val="22"/>
                <w:highlight w:val="none"/>
              </w:rPr>
              <w:t>杆体拆除与迁移工作</w:t>
            </w:r>
          </w:p>
        </w:tc>
        <w:tc>
          <w:tcPr>
            <w:tcW w:w="567" w:type="dxa"/>
            <w:tcBorders>
              <w:top w:val="nil"/>
              <w:left w:val="nil"/>
              <w:bottom w:val="single" w:color="auto" w:sz="4" w:space="0"/>
              <w:right w:val="single" w:color="auto" w:sz="4" w:space="0"/>
            </w:tcBorders>
            <w:vAlign w:val="center"/>
          </w:tcPr>
          <w:p w14:paraId="01E8BB74">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杆</w:t>
            </w:r>
          </w:p>
        </w:tc>
        <w:tc>
          <w:tcPr>
            <w:tcW w:w="788" w:type="dxa"/>
            <w:tcBorders>
              <w:top w:val="nil"/>
              <w:left w:val="nil"/>
              <w:bottom w:val="single" w:color="auto" w:sz="4" w:space="0"/>
              <w:right w:val="single" w:color="auto" w:sz="4" w:space="0"/>
            </w:tcBorders>
            <w:vAlign w:val="center"/>
          </w:tcPr>
          <w:p w14:paraId="586BF435">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12</w:t>
            </w:r>
          </w:p>
        </w:tc>
      </w:tr>
      <w:tr w14:paraId="0857C022">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33B253E1">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三</w:t>
            </w:r>
          </w:p>
        </w:tc>
        <w:tc>
          <w:tcPr>
            <w:tcW w:w="6164" w:type="dxa"/>
            <w:tcBorders>
              <w:top w:val="nil"/>
              <w:left w:val="nil"/>
              <w:bottom w:val="single" w:color="auto" w:sz="4" w:space="0"/>
              <w:right w:val="single" w:color="auto" w:sz="4" w:space="0"/>
            </w:tcBorders>
            <w:vAlign w:val="center"/>
          </w:tcPr>
          <w:p w14:paraId="5B489E93">
            <w:pPr>
              <w:widowControl/>
              <w:rPr>
                <w:rFonts w:ascii="宋体" w:hAnsi="宋体" w:cs="宋体"/>
                <w:b/>
                <w:bCs/>
                <w:color w:val="000000"/>
                <w:kern w:val="0"/>
                <w:sz w:val="22"/>
                <w:highlight w:val="none"/>
              </w:rPr>
            </w:pPr>
            <w:r>
              <w:rPr>
                <w:rFonts w:ascii="宋体" w:hAnsi="宋体" w:cs="宋体"/>
                <w:b/>
                <w:bCs/>
                <w:color w:val="000000"/>
                <w:kern w:val="0"/>
                <w:sz w:val="22"/>
                <w:highlight w:val="none"/>
              </w:rPr>
              <w:t>网络链路保障服务</w:t>
            </w:r>
          </w:p>
        </w:tc>
        <w:tc>
          <w:tcPr>
            <w:tcW w:w="567" w:type="dxa"/>
            <w:tcBorders>
              <w:top w:val="nil"/>
              <w:left w:val="nil"/>
              <w:bottom w:val="single" w:color="auto" w:sz="4" w:space="0"/>
              <w:right w:val="single" w:color="auto" w:sz="4" w:space="0"/>
            </w:tcBorders>
            <w:vAlign w:val="center"/>
          </w:tcPr>
          <w:p w14:paraId="0BF86451">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c>
          <w:tcPr>
            <w:tcW w:w="788" w:type="dxa"/>
            <w:tcBorders>
              <w:top w:val="nil"/>
              <w:left w:val="nil"/>
              <w:bottom w:val="single" w:color="auto" w:sz="4" w:space="0"/>
              <w:right w:val="single" w:color="auto" w:sz="4" w:space="0"/>
            </w:tcBorders>
            <w:vAlign w:val="center"/>
          </w:tcPr>
          <w:p w14:paraId="532D3504">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r>
      <w:tr w14:paraId="440C3DA8">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29729E7C">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6164" w:type="dxa"/>
            <w:tcBorders>
              <w:top w:val="nil"/>
              <w:left w:val="nil"/>
              <w:bottom w:val="single" w:color="auto" w:sz="4" w:space="0"/>
              <w:right w:val="single" w:color="auto" w:sz="4" w:space="0"/>
            </w:tcBorders>
            <w:vAlign w:val="center"/>
          </w:tcPr>
          <w:p w14:paraId="2D36D57D">
            <w:pPr>
              <w:widowControl/>
              <w:rPr>
                <w:rFonts w:ascii="宋体" w:hAnsi="宋体" w:cs="宋体"/>
                <w:color w:val="000000"/>
                <w:kern w:val="0"/>
                <w:sz w:val="22"/>
                <w:highlight w:val="none"/>
              </w:rPr>
            </w:pPr>
            <w:r>
              <w:rPr>
                <w:rFonts w:ascii="宋体" w:hAnsi="宋体" w:cs="宋体"/>
                <w:color w:val="000000"/>
                <w:kern w:val="0"/>
                <w:sz w:val="22"/>
                <w:highlight w:val="none"/>
              </w:rPr>
              <w:t>前端点位-前端汇聚机房百兆链路</w:t>
            </w:r>
          </w:p>
        </w:tc>
        <w:tc>
          <w:tcPr>
            <w:tcW w:w="567" w:type="dxa"/>
            <w:tcBorders>
              <w:top w:val="nil"/>
              <w:left w:val="nil"/>
              <w:bottom w:val="single" w:color="auto" w:sz="4" w:space="0"/>
              <w:right w:val="single" w:color="auto" w:sz="4" w:space="0"/>
            </w:tcBorders>
            <w:vAlign w:val="center"/>
          </w:tcPr>
          <w:p w14:paraId="2BA8D91B">
            <w:pPr>
              <w:widowControl/>
              <w:jc w:val="center"/>
              <w:rPr>
                <w:rFonts w:ascii="宋体" w:hAnsi="宋体" w:cs="宋体"/>
                <w:color w:val="000000"/>
                <w:kern w:val="0"/>
                <w:sz w:val="22"/>
                <w:highlight w:val="none"/>
              </w:rPr>
            </w:pPr>
            <w:r>
              <w:rPr>
                <w:rFonts w:ascii="宋体" w:hAnsi="宋体" w:cs="宋体"/>
                <w:color w:val="000000"/>
                <w:kern w:val="0"/>
                <w:sz w:val="22"/>
                <w:highlight w:val="none"/>
              </w:rPr>
              <w:t>条</w:t>
            </w:r>
          </w:p>
        </w:tc>
        <w:tc>
          <w:tcPr>
            <w:tcW w:w="788" w:type="dxa"/>
            <w:tcBorders>
              <w:top w:val="nil"/>
              <w:left w:val="nil"/>
              <w:bottom w:val="single" w:color="auto" w:sz="4" w:space="0"/>
              <w:right w:val="single" w:color="auto" w:sz="4" w:space="0"/>
            </w:tcBorders>
            <w:vAlign w:val="center"/>
          </w:tcPr>
          <w:p w14:paraId="079D993C">
            <w:pPr>
              <w:widowControl/>
              <w:jc w:val="center"/>
              <w:rPr>
                <w:rFonts w:ascii="宋体" w:hAnsi="宋体" w:cs="宋体"/>
                <w:color w:val="000000"/>
                <w:kern w:val="0"/>
                <w:sz w:val="22"/>
                <w:highlight w:val="none"/>
              </w:rPr>
            </w:pPr>
            <w:r>
              <w:rPr>
                <w:rFonts w:ascii="宋体" w:hAnsi="宋体" w:cs="宋体"/>
                <w:color w:val="000000"/>
                <w:kern w:val="0"/>
                <w:sz w:val="22"/>
                <w:highlight w:val="none"/>
              </w:rPr>
              <w:t>269</w:t>
            </w:r>
          </w:p>
        </w:tc>
      </w:tr>
      <w:tr w14:paraId="63F85D91">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24A62BFA">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6164" w:type="dxa"/>
            <w:tcBorders>
              <w:top w:val="nil"/>
              <w:left w:val="nil"/>
              <w:bottom w:val="single" w:color="auto" w:sz="4" w:space="0"/>
              <w:right w:val="single" w:color="auto" w:sz="4" w:space="0"/>
            </w:tcBorders>
            <w:vAlign w:val="center"/>
          </w:tcPr>
          <w:p w14:paraId="15F1D669">
            <w:pPr>
              <w:widowControl/>
              <w:rPr>
                <w:rFonts w:ascii="宋体" w:hAnsi="宋体" w:cs="宋体"/>
                <w:color w:val="000000"/>
                <w:kern w:val="0"/>
                <w:sz w:val="22"/>
                <w:highlight w:val="none"/>
              </w:rPr>
            </w:pPr>
            <w:r>
              <w:rPr>
                <w:rFonts w:ascii="宋体" w:hAnsi="宋体" w:cs="宋体"/>
                <w:color w:val="000000"/>
                <w:kern w:val="0"/>
                <w:sz w:val="22"/>
                <w:highlight w:val="none"/>
              </w:rPr>
              <w:t>大港油田信息中心OLT机房-派出所千兆光纤链路</w:t>
            </w:r>
          </w:p>
        </w:tc>
        <w:tc>
          <w:tcPr>
            <w:tcW w:w="567" w:type="dxa"/>
            <w:tcBorders>
              <w:top w:val="nil"/>
              <w:left w:val="nil"/>
              <w:bottom w:val="single" w:color="auto" w:sz="4" w:space="0"/>
              <w:right w:val="single" w:color="auto" w:sz="4" w:space="0"/>
            </w:tcBorders>
            <w:vAlign w:val="center"/>
          </w:tcPr>
          <w:p w14:paraId="79BB43A5">
            <w:pPr>
              <w:widowControl/>
              <w:jc w:val="center"/>
              <w:rPr>
                <w:rFonts w:ascii="宋体" w:hAnsi="宋体" w:cs="宋体"/>
                <w:color w:val="000000"/>
                <w:kern w:val="0"/>
                <w:sz w:val="22"/>
                <w:highlight w:val="none"/>
              </w:rPr>
            </w:pPr>
            <w:r>
              <w:rPr>
                <w:rFonts w:ascii="宋体" w:hAnsi="宋体" w:cs="宋体"/>
                <w:color w:val="000000"/>
                <w:kern w:val="0"/>
                <w:sz w:val="22"/>
                <w:highlight w:val="none"/>
              </w:rPr>
              <w:t>条</w:t>
            </w:r>
          </w:p>
        </w:tc>
        <w:tc>
          <w:tcPr>
            <w:tcW w:w="788" w:type="dxa"/>
            <w:tcBorders>
              <w:top w:val="nil"/>
              <w:left w:val="nil"/>
              <w:bottom w:val="single" w:color="auto" w:sz="4" w:space="0"/>
              <w:right w:val="single" w:color="auto" w:sz="4" w:space="0"/>
            </w:tcBorders>
            <w:vAlign w:val="center"/>
          </w:tcPr>
          <w:p w14:paraId="201F186A">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r>
      <w:tr w14:paraId="13DF93D8">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4A2A7352">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6164" w:type="dxa"/>
            <w:tcBorders>
              <w:top w:val="nil"/>
              <w:left w:val="nil"/>
              <w:bottom w:val="single" w:color="auto" w:sz="4" w:space="0"/>
              <w:right w:val="single" w:color="auto" w:sz="4" w:space="0"/>
            </w:tcBorders>
            <w:vAlign w:val="center"/>
          </w:tcPr>
          <w:p w14:paraId="5996DCFD">
            <w:pPr>
              <w:widowControl/>
              <w:rPr>
                <w:rFonts w:ascii="宋体" w:hAnsi="宋体" w:cs="宋体"/>
                <w:color w:val="000000"/>
                <w:kern w:val="0"/>
                <w:sz w:val="22"/>
                <w:highlight w:val="none"/>
              </w:rPr>
            </w:pPr>
            <w:r>
              <w:rPr>
                <w:rFonts w:ascii="宋体" w:hAnsi="宋体" w:cs="宋体"/>
                <w:color w:val="000000"/>
                <w:kern w:val="0"/>
                <w:sz w:val="22"/>
                <w:highlight w:val="none"/>
              </w:rPr>
              <w:t>大港油田信息中心OLT机房-大港联通港西机房千兆链路</w:t>
            </w:r>
          </w:p>
        </w:tc>
        <w:tc>
          <w:tcPr>
            <w:tcW w:w="567" w:type="dxa"/>
            <w:tcBorders>
              <w:top w:val="nil"/>
              <w:left w:val="nil"/>
              <w:bottom w:val="single" w:color="auto" w:sz="4" w:space="0"/>
              <w:right w:val="single" w:color="auto" w:sz="4" w:space="0"/>
            </w:tcBorders>
            <w:vAlign w:val="center"/>
          </w:tcPr>
          <w:p w14:paraId="0BA8CBB3">
            <w:pPr>
              <w:widowControl/>
              <w:jc w:val="center"/>
              <w:rPr>
                <w:rFonts w:ascii="宋体" w:hAnsi="宋体" w:cs="宋体"/>
                <w:color w:val="000000"/>
                <w:kern w:val="0"/>
                <w:sz w:val="22"/>
                <w:highlight w:val="none"/>
              </w:rPr>
            </w:pPr>
            <w:r>
              <w:rPr>
                <w:rFonts w:ascii="宋体" w:hAnsi="宋体" w:cs="宋体"/>
                <w:color w:val="000000"/>
                <w:kern w:val="0"/>
                <w:sz w:val="22"/>
                <w:highlight w:val="none"/>
              </w:rPr>
              <w:t>条</w:t>
            </w:r>
          </w:p>
        </w:tc>
        <w:tc>
          <w:tcPr>
            <w:tcW w:w="788" w:type="dxa"/>
            <w:tcBorders>
              <w:top w:val="nil"/>
              <w:left w:val="nil"/>
              <w:bottom w:val="single" w:color="auto" w:sz="4" w:space="0"/>
              <w:right w:val="single" w:color="auto" w:sz="4" w:space="0"/>
            </w:tcBorders>
            <w:vAlign w:val="center"/>
          </w:tcPr>
          <w:p w14:paraId="659B5A2E">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5E4BE8C2">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033785FC">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6164" w:type="dxa"/>
            <w:tcBorders>
              <w:top w:val="nil"/>
              <w:left w:val="nil"/>
              <w:bottom w:val="single" w:color="auto" w:sz="4" w:space="0"/>
              <w:right w:val="single" w:color="auto" w:sz="4" w:space="0"/>
            </w:tcBorders>
            <w:vAlign w:val="center"/>
          </w:tcPr>
          <w:p w14:paraId="041BD716">
            <w:pPr>
              <w:widowControl/>
              <w:rPr>
                <w:rFonts w:ascii="宋体" w:hAnsi="宋体" w:cs="宋体"/>
                <w:color w:val="000000"/>
                <w:kern w:val="0"/>
                <w:sz w:val="22"/>
                <w:highlight w:val="none"/>
              </w:rPr>
            </w:pPr>
            <w:r>
              <w:rPr>
                <w:rFonts w:ascii="宋体" w:hAnsi="宋体" w:cs="宋体"/>
                <w:color w:val="000000"/>
                <w:kern w:val="0"/>
                <w:sz w:val="22"/>
                <w:highlight w:val="none"/>
              </w:rPr>
              <w:t>大港油田信息中心OLT机房-大港广电机房万兆光纤链路</w:t>
            </w:r>
          </w:p>
        </w:tc>
        <w:tc>
          <w:tcPr>
            <w:tcW w:w="567" w:type="dxa"/>
            <w:tcBorders>
              <w:top w:val="nil"/>
              <w:left w:val="nil"/>
              <w:bottom w:val="single" w:color="auto" w:sz="4" w:space="0"/>
              <w:right w:val="single" w:color="auto" w:sz="4" w:space="0"/>
            </w:tcBorders>
            <w:vAlign w:val="center"/>
          </w:tcPr>
          <w:p w14:paraId="3B1725DC">
            <w:pPr>
              <w:widowControl/>
              <w:jc w:val="center"/>
              <w:rPr>
                <w:rFonts w:ascii="宋体" w:hAnsi="宋体" w:cs="宋体"/>
                <w:color w:val="000000"/>
                <w:kern w:val="0"/>
                <w:sz w:val="22"/>
                <w:highlight w:val="none"/>
              </w:rPr>
            </w:pPr>
            <w:r>
              <w:rPr>
                <w:rFonts w:ascii="宋体" w:hAnsi="宋体" w:cs="宋体"/>
                <w:color w:val="000000"/>
                <w:kern w:val="0"/>
                <w:sz w:val="22"/>
                <w:highlight w:val="none"/>
              </w:rPr>
              <w:t>条</w:t>
            </w:r>
          </w:p>
        </w:tc>
        <w:tc>
          <w:tcPr>
            <w:tcW w:w="788" w:type="dxa"/>
            <w:tcBorders>
              <w:top w:val="nil"/>
              <w:left w:val="nil"/>
              <w:bottom w:val="single" w:color="auto" w:sz="4" w:space="0"/>
              <w:right w:val="single" w:color="auto" w:sz="4" w:space="0"/>
            </w:tcBorders>
            <w:vAlign w:val="center"/>
          </w:tcPr>
          <w:p w14:paraId="0214429B">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1D2CBA1F">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212D3A04">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四</w:t>
            </w:r>
          </w:p>
        </w:tc>
        <w:tc>
          <w:tcPr>
            <w:tcW w:w="6164" w:type="dxa"/>
            <w:tcBorders>
              <w:top w:val="nil"/>
              <w:left w:val="nil"/>
              <w:bottom w:val="single" w:color="auto" w:sz="4" w:space="0"/>
              <w:right w:val="single" w:color="auto" w:sz="4" w:space="0"/>
            </w:tcBorders>
            <w:vAlign w:val="center"/>
          </w:tcPr>
          <w:p w14:paraId="5F176645">
            <w:pPr>
              <w:widowControl/>
              <w:rPr>
                <w:rFonts w:ascii="宋体" w:hAnsi="宋体" w:cs="宋体"/>
                <w:b/>
                <w:bCs/>
                <w:color w:val="000000"/>
                <w:kern w:val="0"/>
                <w:sz w:val="22"/>
                <w:highlight w:val="none"/>
              </w:rPr>
            </w:pPr>
            <w:r>
              <w:rPr>
                <w:rFonts w:ascii="宋体" w:hAnsi="宋体" w:cs="宋体"/>
                <w:b/>
                <w:bCs/>
                <w:color w:val="000000"/>
                <w:kern w:val="0"/>
                <w:sz w:val="22"/>
                <w:highlight w:val="none"/>
              </w:rPr>
              <w:t>后端设备运维服务</w:t>
            </w:r>
          </w:p>
        </w:tc>
        <w:tc>
          <w:tcPr>
            <w:tcW w:w="567" w:type="dxa"/>
            <w:tcBorders>
              <w:top w:val="nil"/>
              <w:left w:val="nil"/>
              <w:bottom w:val="single" w:color="auto" w:sz="4" w:space="0"/>
              <w:right w:val="single" w:color="auto" w:sz="4" w:space="0"/>
            </w:tcBorders>
            <w:vAlign w:val="center"/>
          </w:tcPr>
          <w:p w14:paraId="1FBB5576">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　</w:t>
            </w:r>
          </w:p>
        </w:tc>
        <w:tc>
          <w:tcPr>
            <w:tcW w:w="788" w:type="dxa"/>
            <w:tcBorders>
              <w:top w:val="nil"/>
              <w:left w:val="nil"/>
              <w:bottom w:val="single" w:color="auto" w:sz="4" w:space="0"/>
              <w:right w:val="single" w:color="auto" w:sz="4" w:space="0"/>
            </w:tcBorders>
            <w:vAlign w:val="center"/>
          </w:tcPr>
          <w:p w14:paraId="70CA5506">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　</w:t>
            </w:r>
          </w:p>
        </w:tc>
      </w:tr>
      <w:tr w14:paraId="2765EF08">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57ED0350">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6164" w:type="dxa"/>
            <w:tcBorders>
              <w:top w:val="nil"/>
              <w:left w:val="nil"/>
              <w:bottom w:val="single" w:color="auto" w:sz="4" w:space="0"/>
              <w:right w:val="single" w:color="auto" w:sz="4" w:space="0"/>
            </w:tcBorders>
            <w:vAlign w:val="center"/>
          </w:tcPr>
          <w:p w14:paraId="3AA4FBEA">
            <w:pPr>
              <w:widowControl/>
              <w:jc w:val="left"/>
              <w:rPr>
                <w:rFonts w:ascii="宋体" w:hAnsi="宋体" w:cs="宋体"/>
                <w:color w:val="000000"/>
                <w:kern w:val="0"/>
                <w:sz w:val="22"/>
                <w:highlight w:val="none"/>
              </w:rPr>
            </w:pPr>
            <w:r>
              <w:rPr>
                <w:rFonts w:ascii="宋体" w:hAnsi="宋体" w:cs="宋体"/>
                <w:color w:val="000000"/>
                <w:kern w:val="0"/>
                <w:sz w:val="22"/>
                <w:highlight w:val="none"/>
              </w:rPr>
              <w:t>视频监控存储系统</w:t>
            </w:r>
          </w:p>
        </w:tc>
        <w:tc>
          <w:tcPr>
            <w:tcW w:w="567" w:type="dxa"/>
            <w:tcBorders>
              <w:top w:val="nil"/>
              <w:left w:val="nil"/>
              <w:bottom w:val="single" w:color="auto" w:sz="4" w:space="0"/>
              <w:right w:val="single" w:color="auto" w:sz="4" w:space="0"/>
            </w:tcBorders>
            <w:vAlign w:val="center"/>
          </w:tcPr>
          <w:p w14:paraId="66611067">
            <w:pPr>
              <w:widowControl/>
              <w:jc w:val="center"/>
              <w:rPr>
                <w:rFonts w:ascii="宋体" w:hAnsi="宋体" w:cs="宋体"/>
                <w:color w:val="000000"/>
                <w:kern w:val="0"/>
                <w:sz w:val="22"/>
                <w:highlight w:val="none"/>
              </w:rPr>
            </w:pPr>
            <w:r>
              <w:rPr>
                <w:rFonts w:ascii="宋体" w:hAnsi="宋体" w:cs="宋体"/>
                <w:color w:val="000000"/>
                <w:kern w:val="0"/>
                <w:sz w:val="22"/>
                <w:highlight w:val="none"/>
              </w:rPr>
              <w:t>套</w:t>
            </w:r>
          </w:p>
        </w:tc>
        <w:tc>
          <w:tcPr>
            <w:tcW w:w="788" w:type="dxa"/>
            <w:tcBorders>
              <w:top w:val="nil"/>
              <w:left w:val="nil"/>
              <w:bottom w:val="single" w:color="auto" w:sz="4" w:space="0"/>
              <w:right w:val="single" w:color="auto" w:sz="4" w:space="0"/>
            </w:tcBorders>
            <w:vAlign w:val="center"/>
          </w:tcPr>
          <w:p w14:paraId="34BF3BCD">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72AA26F8">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0C8FCB4B">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6164" w:type="dxa"/>
            <w:tcBorders>
              <w:top w:val="nil"/>
              <w:left w:val="nil"/>
              <w:bottom w:val="single" w:color="auto" w:sz="4" w:space="0"/>
              <w:right w:val="single" w:color="auto" w:sz="4" w:space="0"/>
            </w:tcBorders>
            <w:vAlign w:val="center"/>
          </w:tcPr>
          <w:p w14:paraId="0376B75E">
            <w:pPr>
              <w:widowControl/>
              <w:jc w:val="left"/>
              <w:rPr>
                <w:rFonts w:ascii="宋体" w:hAnsi="宋体" w:cs="宋体"/>
                <w:color w:val="000000"/>
                <w:kern w:val="0"/>
                <w:sz w:val="22"/>
                <w:highlight w:val="none"/>
              </w:rPr>
            </w:pPr>
            <w:r>
              <w:rPr>
                <w:rFonts w:ascii="宋体" w:hAnsi="宋体" w:cs="宋体"/>
                <w:color w:val="000000"/>
                <w:kern w:val="0"/>
                <w:sz w:val="22"/>
                <w:highlight w:val="none"/>
              </w:rPr>
              <w:t>机柜租赁</w:t>
            </w:r>
          </w:p>
        </w:tc>
        <w:tc>
          <w:tcPr>
            <w:tcW w:w="567" w:type="dxa"/>
            <w:tcBorders>
              <w:top w:val="nil"/>
              <w:left w:val="nil"/>
              <w:bottom w:val="single" w:color="auto" w:sz="4" w:space="0"/>
              <w:right w:val="single" w:color="auto" w:sz="4" w:space="0"/>
            </w:tcBorders>
            <w:vAlign w:val="center"/>
          </w:tcPr>
          <w:p w14:paraId="7C6550AF">
            <w:pPr>
              <w:widowControl/>
              <w:jc w:val="center"/>
              <w:rPr>
                <w:rFonts w:ascii="宋体" w:hAnsi="宋体" w:cs="宋体"/>
                <w:color w:val="000000"/>
                <w:kern w:val="0"/>
                <w:sz w:val="22"/>
                <w:highlight w:val="none"/>
              </w:rPr>
            </w:pPr>
            <w:r>
              <w:rPr>
                <w:rFonts w:ascii="宋体" w:hAnsi="宋体" w:cs="宋体"/>
                <w:color w:val="000000"/>
                <w:kern w:val="0"/>
                <w:sz w:val="22"/>
                <w:highlight w:val="none"/>
              </w:rPr>
              <w:t>个</w:t>
            </w:r>
          </w:p>
        </w:tc>
        <w:tc>
          <w:tcPr>
            <w:tcW w:w="788" w:type="dxa"/>
            <w:tcBorders>
              <w:top w:val="nil"/>
              <w:left w:val="nil"/>
              <w:bottom w:val="single" w:color="auto" w:sz="4" w:space="0"/>
              <w:right w:val="single" w:color="auto" w:sz="4" w:space="0"/>
            </w:tcBorders>
            <w:vAlign w:val="center"/>
          </w:tcPr>
          <w:p w14:paraId="55D54AF9">
            <w:pPr>
              <w:widowControl/>
              <w:jc w:val="center"/>
              <w:rPr>
                <w:rFonts w:ascii="宋体" w:hAnsi="宋体" w:cs="宋体"/>
                <w:color w:val="000000"/>
                <w:kern w:val="0"/>
                <w:sz w:val="22"/>
                <w:highlight w:val="none"/>
              </w:rPr>
            </w:pPr>
            <w:r>
              <w:rPr>
                <w:rFonts w:ascii="宋体" w:hAnsi="宋体" w:cs="宋体"/>
                <w:color w:val="000000"/>
                <w:kern w:val="0"/>
                <w:sz w:val="22"/>
                <w:highlight w:val="none"/>
              </w:rPr>
              <w:t>4</w:t>
            </w:r>
          </w:p>
        </w:tc>
      </w:tr>
      <w:tr w14:paraId="6B0B91C5">
        <w:tblPrEx>
          <w:tblCellMar>
            <w:top w:w="0" w:type="dxa"/>
            <w:left w:w="57" w:type="dxa"/>
            <w:bottom w:w="0" w:type="dxa"/>
            <w:right w:w="57" w:type="dxa"/>
          </w:tblCellMar>
        </w:tblPrEx>
        <w:tc>
          <w:tcPr>
            <w:tcW w:w="0" w:type="auto"/>
            <w:gridSpan w:val="4"/>
            <w:tcBorders>
              <w:top w:val="single" w:color="auto" w:sz="4" w:space="0"/>
              <w:left w:val="single" w:color="auto" w:sz="4" w:space="0"/>
              <w:bottom w:val="single" w:color="auto" w:sz="4" w:space="0"/>
              <w:right w:val="single" w:color="000000" w:sz="4" w:space="0"/>
            </w:tcBorders>
            <w:vAlign w:val="center"/>
          </w:tcPr>
          <w:p w14:paraId="04A5E33F">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第7包</w:t>
            </w:r>
          </w:p>
        </w:tc>
      </w:tr>
      <w:tr w14:paraId="06E0427D">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35E42103">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一</w:t>
            </w:r>
          </w:p>
        </w:tc>
        <w:tc>
          <w:tcPr>
            <w:tcW w:w="6164" w:type="dxa"/>
            <w:tcBorders>
              <w:top w:val="nil"/>
              <w:left w:val="nil"/>
              <w:bottom w:val="single" w:color="auto" w:sz="4" w:space="0"/>
              <w:right w:val="single" w:color="auto" w:sz="4" w:space="0"/>
            </w:tcBorders>
            <w:vAlign w:val="center"/>
          </w:tcPr>
          <w:p w14:paraId="0BD3400B">
            <w:pPr>
              <w:widowControl/>
              <w:jc w:val="left"/>
              <w:rPr>
                <w:rFonts w:ascii="宋体" w:hAnsi="宋体" w:cs="宋体"/>
                <w:b/>
                <w:bCs/>
                <w:color w:val="000000"/>
                <w:kern w:val="0"/>
                <w:sz w:val="22"/>
                <w:highlight w:val="none"/>
              </w:rPr>
            </w:pPr>
            <w:r>
              <w:rPr>
                <w:rFonts w:ascii="宋体" w:hAnsi="宋体" w:cs="宋体"/>
                <w:b/>
                <w:bCs/>
                <w:color w:val="000000"/>
                <w:kern w:val="0"/>
                <w:sz w:val="22"/>
                <w:highlight w:val="none"/>
              </w:rPr>
              <w:t>前端设备运维服务及改造</w:t>
            </w:r>
          </w:p>
        </w:tc>
        <w:tc>
          <w:tcPr>
            <w:tcW w:w="567" w:type="dxa"/>
            <w:tcBorders>
              <w:top w:val="nil"/>
              <w:left w:val="nil"/>
              <w:bottom w:val="single" w:color="auto" w:sz="4" w:space="0"/>
              <w:right w:val="single" w:color="auto" w:sz="4" w:space="0"/>
            </w:tcBorders>
            <w:vAlign w:val="center"/>
          </w:tcPr>
          <w:p w14:paraId="424C9234">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　</w:t>
            </w:r>
          </w:p>
        </w:tc>
        <w:tc>
          <w:tcPr>
            <w:tcW w:w="788" w:type="dxa"/>
            <w:tcBorders>
              <w:top w:val="nil"/>
              <w:left w:val="nil"/>
              <w:bottom w:val="single" w:color="auto" w:sz="4" w:space="0"/>
              <w:right w:val="single" w:color="auto" w:sz="4" w:space="0"/>
            </w:tcBorders>
            <w:vAlign w:val="center"/>
          </w:tcPr>
          <w:p w14:paraId="0E91B52D">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　</w:t>
            </w:r>
          </w:p>
        </w:tc>
      </w:tr>
      <w:tr w14:paraId="1A2495CB">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64635F4B">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（一）</w:t>
            </w:r>
          </w:p>
        </w:tc>
        <w:tc>
          <w:tcPr>
            <w:tcW w:w="6164" w:type="dxa"/>
            <w:tcBorders>
              <w:top w:val="nil"/>
              <w:left w:val="nil"/>
              <w:bottom w:val="single" w:color="auto" w:sz="4" w:space="0"/>
              <w:right w:val="single" w:color="auto" w:sz="4" w:space="0"/>
            </w:tcBorders>
            <w:vAlign w:val="center"/>
          </w:tcPr>
          <w:p w14:paraId="534BAEB1">
            <w:pPr>
              <w:widowControl/>
              <w:rPr>
                <w:rFonts w:ascii="宋体" w:hAnsi="宋体" w:cs="宋体"/>
                <w:b/>
                <w:bCs/>
                <w:color w:val="000000"/>
                <w:kern w:val="0"/>
                <w:sz w:val="22"/>
                <w:highlight w:val="none"/>
              </w:rPr>
            </w:pPr>
            <w:r>
              <w:rPr>
                <w:rFonts w:ascii="宋体" w:hAnsi="宋体" w:cs="宋体"/>
                <w:b/>
                <w:bCs/>
                <w:color w:val="000000"/>
                <w:kern w:val="0"/>
                <w:sz w:val="22"/>
                <w:highlight w:val="none"/>
              </w:rPr>
              <w:t>前端设备运维服务</w:t>
            </w:r>
          </w:p>
        </w:tc>
        <w:tc>
          <w:tcPr>
            <w:tcW w:w="567" w:type="dxa"/>
            <w:tcBorders>
              <w:top w:val="nil"/>
              <w:left w:val="nil"/>
              <w:bottom w:val="single" w:color="auto" w:sz="4" w:space="0"/>
              <w:right w:val="single" w:color="auto" w:sz="4" w:space="0"/>
            </w:tcBorders>
            <w:vAlign w:val="center"/>
          </w:tcPr>
          <w:p w14:paraId="19798C1A">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c>
          <w:tcPr>
            <w:tcW w:w="788" w:type="dxa"/>
            <w:tcBorders>
              <w:top w:val="nil"/>
              <w:left w:val="nil"/>
              <w:bottom w:val="single" w:color="auto" w:sz="4" w:space="0"/>
              <w:right w:val="single" w:color="auto" w:sz="4" w:space="0"/>
            </w:tcBorders>
            <w:vAlign w:val="center"/>
          </w:tcPr>
          <w:p w14:paraId="67008614">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r>
      <w:tr w14:paraId="020A16AB">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08934F23">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1</w:t>
            </w:r>
          </w:p>
        </w:tc>
        <w:tc>
          <w:tcPr>
            <w:tcW w:w="6164" w:type="dxa"/>
            <w:tcBorders>
              <w:top w:val="nil"/>
              <w:left w:val="nil"/>
              <w:bottom w:val="single" w:color="auto" w:sz="4" w:space="0"/>
              <w:right w:val="single" w:color="auto" w:sz="4" w:space="0"/>
            </w:tcBorders>
            <w:vAlign w:val="center"/>
          </w:tcPr>
          <w:p w14:paraId="164FA2A5">
            <w:pPr>
              <w:widowControl/>
              <w:rPr>
                <w:rFonts w:ascii="宋体" w:hAnsi="宋体" w:cs="宋体"/>
                <w:b/>
                <w:bCs/>
                <w:color w:val="000000"/>
                <w:kern w:val="0"/>
                <w:sz w:val="22"/>
                <w:highlight w:val="none"/>
              </w:rPr>
            </w:pPr>
            <w:r>
              <w:rPr>
                <w:rFonts w:ascii="宋体" w:hAnsi="宋体" w:cs="宋体"/>
                <w:b/>
                <w:bCs/>
                <w:color w:val="000000"/>
                <w:kern w:val="0"/>
                <w:sz w:val="22"/>
                <w:highlight w:val="none"/>
              </w:rPr>
              <w:t>视频监控设备</w:t>
            </w:r>
          </w:p>
        </w:tc>
        <w:tc>
          <w:tcPr>
            <w:tcW w:w="567" w:type="dxa"/>
            <w:tcBorders>
              <w:top w:val="nil"/>
              <w:left w:val="nil"/>
              <w:bottom w:val="single" w:color="auto" w:sz="4" w:space="0"/>
              <w:right w:val="single" w:color="auto" w:sz="4" w:space="0"/>
            </w:tcBorders>
            <w:vAlign w:val="center"/>
          </w:tcPr>
          <w:p w14:paraId="081F5EE0">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c>
          <w:tcPr>
            <w:tcW w:w="788" w:type="dxa"/>
            <w:tcBorders>
              <w:top w:val="nil"/>
              <w:left w:val="nil"/>
              <w:bottom w:val="single" w:color="auto" w:sz="4" w:space="0"/>
              <w:right w:val="single" w:color="auto" w:sz="4" w:space="0"/>
            </w:tcBorders>
            <w:vAlign w:val="center"/>
          </w:tcPr>
          <w:p w14:paraId="36875D11">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r>
      <w:tr w14:paraId="08A6778D">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58144828">
            <w:pPr>
              <w:widowControl/>
              <w:jc w:val="center"/>
              <w:rPr>
                <w:rFonts w:ascii="宋体" w:hAnsi="宋体" w:cs="宋体"/>
                <w:color w:val="000000"/>
                <w:kern w:val="0"/>
                <w:sz w:val="22"/>
                <w:highlight w:val="none"/>
              </w:rPr>
            </w:pPr>
            <w:r>
              <w:rPr>
                <w:rFonts w:ascii="宋体" w:hAnsi="宋体" w:cs="宋体"/>
                <w:color w:val="000000"/>
                <w:kern w:val="0"/>
                <w:sz w:val="22"/>
                <w:highlight w:val="none"/>
              </w:rPr>
              <w:t>1.1</w:t>
            </w:r>
          </w:p>
        </w:tc>
        <w:tc>
          <w:tcPr>
            <w:tcW w:w="6164" w:type="dxa"/>
            <w:tcBorders>
              <w:top w:val="nil"/>
              <w:left w:val="nil"/>
              <w:bottom w:val="single" w:color="auto" w:sz="4" w:space="0"/>
              <w:right w:val="single" w:color="auto" w:sz="4" w:space="0"/>
            </w:tcBorders>
            <w:vAlign w:val="center"/>
          </w:tcPr>
          <w:p w14:paraId="1D20FC8E">
            <w:pPr>
              <w:widowControl/>
              <w:rPr>
                <w:rFonts w:ascii="宋体" w:hAnsi="宋体" w:cs="宋体"/>
                <w:color w:val="000000"/>
                <w:kern w:val="0"/>
                <w:sz w:val="22"/>
                <w:highlight w:val="none"/>
              </w:rPr>
            </w:pPr>
            <w:r>
              <w:rPr>
                <w:rFonts w:ascii="宋体" w:hAnsi="宋体" w:cs="宋体"/>
                <w:color w:val="000000"/>
                <w:kern w:val="0"/>
                <w:sz w:val="22"/>
                <w:highlight w:val="none"/>
              </w:rPr>
              <w:t>视频监控杆体（含杆体迁移）</w:t>
            </w:r>
          </w:p>
        </w:tc>
        <w:tc>
          <w:tcPr>
            <w:tcW w:w="567" w:type="dxa"/>
            <w:tcBorders>
              <w:top w:val="nil"/>
              <w:left w:val="nil"/>
              <w:bottom w:val="single" w:color="auto" w:sz="4" w:space="0"/>
              <w:right w:val="single" w:color="auto" w:sz="4" w:space="0"/>
            </w:tcBorders>
            <w:vAlign w:val="center"/>
          </w:tcPr>
          <w:p w14:paraId="15858BC9">
            <w:pPr>
              <w:widowControl/>
              <w:jc w:val="center"/>
              <w:rPr>
                <w:rFonts w:ascii="宋体" w:hAnsi="宋体" w:cs="宋体"/>
                <w:color w:val="000000"/>
                <w:kern w:val="0"/>
                <w:sz w:val="22"/>
                <w:highlight w:val="none"/>
              </w:rPr>
            </w:pPr>
            <w:r>
              <w:rPr>
                <w:rFonts w:ascii="宋体" w:hAnsi="宋体" w:cs="宋体"/>
                <w:color w:val="000000"/>
                <w:kern w:val="0"/>
                <w:sz w:val="22"/>
                <w:highlight w:val="none"/>
              </w:rPr>
              <w:t>根</w:t>
            </w:r>
          </w:p>
        </w:tc>
        <w:tc>
          <w:tcPr>
            <w:tcW w:w="788" w:type="dxa"/>
            <w:tcBorders>
              <w:top w:val="nil"/>
              <w:left w:val="nil"/>
              <w:bottom w:val="single" w:color="auto" w:sz="4" w:space="0"/>
              <w:right w:val="single" w:color="auto" w:sz="4" w:space="0"/>
            </w:tcBorders>
            <w:vAlign w:val="center"/>
          </w:tcPr>
          <w:p w14:paraId="3F505A56">
            <w:pPr>
              <w:widowControl/>
              <w:jc w:val="center"/>
              <w:rPr>
                <w:rFonts w:ascii="宋体" w:hAnsi="宋体" w:cs="宋体"/>
                <w:color w:val="000000"/>
                <w:kern w:val="0"/>
                <w:sz w:val="22"/>
                <w:highlight w:val="none"/>
              </w:rPr>
            </w:pPr>
            <w:r>
              <w:rPr>
                <w:rFonts w:ascii="宋体" w:hAnsi="宋体" w:cs="宋体"/>
                <w:color w:val="000000"/>
                <w:kern w:val="0"/>
                <w:sz w:val="22"/>
                <w:highlight w:val="none"/>
              </w:rPr>
              <w:t>319</w:t>
            </w:r>
          </w:p>
        </w:tc>
      </w:tr>
      <w:tr w14:paraId="3FFD7387">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75451BAF">
            <w:pPr>
              <w:widowControl/>
              <w:jc w:val="center"/>
              <w:rPr>
                <w:rFonts w:ascii="宋体" w:hAnsi="宋体" w:cs="宋体"/>
                <w:color w:val="000000"/>
                <w:kern w:val="0"/>
                <w:sz w:val="22"/>
                <w:highlight w:val="none"/>
              </w:rPr>
            </w:pPr>
            <w:r>
              <w:rPr>
                <w:rFonts w:ascii="宋体" w:hAnsi="宋体" w:cs="宋体"/>
                <w:color w:val="000000"/>
                <w:kern w:val="0"/>
                <w:sz w:val="22"/>
                <w:highlight w:val="none"/>
              </w:rPr>
              <w:t>1.2</w:t>
            </w:r>
          </w:p>
        </w:tc>
        <w:tc>
          <w:tcPr>
            <w:tcW w:w="6164" w:type="dxa"/>
            <w:tcBorders>
              <w:top w:val="nil"/>
              <w:left w:val="nil"/>
              <w:bottom w:val="single" w:color="auto" w:sz="4" w:space="0"/>
              <w:right w:val="single" w:color="auto" w:sz="4" w:space="0"/>
            </w:tcBorders>
            <w:vAlign w:val="center"/>
          </w:tcPr>
          <w:p w14:paraId="77440301">
            <w:pPr>
              <w:widowControl/>
              <w:rPr>
                <w:rFonts w:ascii="宋体" w:hAnsi="宋体" w:cs="宋体"/>
                <w:color w:val="000000"/>
                <w:kern w:val="0"/>
                <w:sz w:val="22"/>
                <w:highlight w:val="none"/>
              </w:rPr>
            </w:pPr>
            <w:r>
              <w:rPr>
                <w:rFonts w:ascii="宋体" w:hAnsi="宋体" w:cs="宋体"/>
                <w:color w:val="000000"/>
                <w:kern w:val="0"/>
                <w:sz w:val="22"/>
                <w:highlight w:val="none"/>
              </w:rPr>
              <w:t>视频监控摄像机（含高点摄像机、智能摄像机、利旧加装摄像机、杆体迁移摄像机）</w:t>
            </w:r>
          </w:p>
        </w:tc>
        <w:tc>
          <w:tcPr>
            <w:tcW w:w="567" w:type="dxa"/>
            <w:tcBorders>
              <w:top w:val="nil"/>
              <w:left w:val="nil"/>
              <w:bottom w:val="single" w:color="auto" w:sz="4" w:space="0"/>
              <w:right w:val="single" w:color="auto" w:sz="4" w:space="0"/>
            </w:tcBorders>
            <w:vAlign w:val="center"/>
          </w:tcPr>
          <w:p w14:paraId="07343614">
            <w:pPr>
              <w:widowControl/>
              <w:jc w:val="center"/>
              <w:rPr>
                <w:rFonts w:ascii="宋体" w:hAnsi="宋体" w:cs="宋体"/>
                <w:color w:val="000000"/>
                <w:kern w:val="0"/>
                <w:sz w:val="22"/>
                <w:highlight w:val="none"/>
              </w:rPr>
            </w:pPr>
            <w:r>
              <w:rPr>
                <w:rFonts w:ascii="宋体" w:hAnsi="宋体" w:cs="宋体"/>
                <w:color w:val="000000"/>
                <w:kern w:val="0"/>
                <w:sz w:val="22"/>
                <w:highlight w:val="none"/>
              </w:rPr>
              <w:t>个</w:t>
            </w:r>
          </w:p>
        </w:tc>
        <w:tc>
          <w:tcPr>
            <w:tcW w:w="788" w:type="dxa"/>
            <w:tcBorders>
              <w:top w:val="nil"/>
              <w:left w:val="nil"/>
              <w:bottom w:val="single" w:color="auto" w:sz="4" w:space="0"/>
              <w:right w:val="single" w:color="auto" w:sz="4" w:space="0"/>
            </w:tcBorders>
            <w:vAlign w:val="center"/>
          </w:tcPr>
          <w:p w14:paraId="790B425A">
            <w:pPr>
              <w:widowControl/>
              <w:jc w:val="center"/>
              <w:rPr>
                <w:rFonts w:ascii="宋体" w:hAnsi="宋体" w:cs="宋体"/>
                <w:color w:val="000000"/>
                <w:kern w:val="0"/>
                <w:sz w:val="22"/>
                <w:highlight w:val="none"/>
              </w:rPr>
            </w:pPr>
            <w:r>
              <w:rPr>
                <w:rFonts w:ascii="宋体" w:hAnsi="宋体" w:cs="宋体"/>
                <w:color w:val="000000"/>
                <w:kern w:val="0"/>
                <w:sz w:val="22"/>
                <w:highlight w:val="none"/>
              </w:rPr>
              <w:t>724</w:t>
            </w:r>
          </w:p>
        </w:tc>
      </w:tr>
      <w:tr w14:paraId="247CAFAA">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7945CD31">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2</w:t>
            </w:r>
          </w:p>
        </w:tc>
        <w:tc>
          <w:tcPr>
            <w:tcW w:w="6164" w:type="dxa"/>
            <w:tcBorders>
              <w:top w:val="nil"/>
              <w:left w:val="nil"/>
              <w:bottom w:val="single" w:color="auto" w:sz="4" w:space="0"/>
              <w:right w:val="single" w:color="auto" w:sz="4" w:space="0"/>
            </w:tcBorders>
            <w:vAlign w:val="center"/>
          </w:tcPr>
          <w:p w14:paraId="05DDD820">
            <w:pPr>
              <w:widowControl/>
              <w:rPr>
                <w:rFonts w:ascii="宋体" w:hAnsi="宋体" w:cs="宋体"/>
                <w:b/>
                <w:bCs/>
                <w:color w:val="000000"/>
                <w:kern w:val="0"/>
                <w:sz w:val="22"/>
                <w:highlight w:val="none"/>
              </w:rPr>
            </w:pPr>
            <w:r>
              <w:rPr>
                <w:rFonts w:ascii="宋体" w:hAnsi="宋体" w:cs="宋体"/>
                <w:b/>
                <w:bCs/>
                <w:color w:val="000000"/>
                <w:kern w:val="0"/>
                <w:sz w:val="22"/>
                <w:highlight w:val="none"/>
              </w:rPr>
              <w:t>电子卡口设备</w:t>
            </w:r>
          </w:p>
        </w:tc>
        <w:tc>
          <w:tcPr>
            <w:tcW w:w="567" w:type="dxa"/>
            <w:tcBorders>
              <w:top w:val="nil"/>
              <w:left w:val="nil"/>
              <w:bottom w:val="single" w:color="auto" w:sz="4" w:space="0"/>
              <w:right w:val="single" w:color="auto" w:sz="4" w:space="0"/>
            </w:tcBorders>
            <w:vAlign w:val="center"/>
          </w:tcPr>
          <w:p w14:paraId="2AB8F8E7">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c>
          <w:tcPr>
            <w:tcW w:w="788" w:type="dxa"/>
            <w:tcBorders>
              <w:top w:val="nil"/>
              <w:left w:val="nil"/>
              <w:bottom w:val="single" w:color="auto" w:sz="4" w:space="0"/>
              <w:right w:val="single" w:color="auto" w:sz="4" w:space="0"/>
            </w:tcBorders>
            <w:vAlign w:val="center"/>
          </w:tcPr>
          <w:p w14:paraId="15316F04">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r>
      <w:tr w14:paraId="2FDB6E70">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5E6BE3F9">
            <w:pPr>
              <w:widowControl/>
              <w:jc w:val="center"/>
              <w:rPr>
                <w:rFonts w:ascii="宋体" w:hAnsi="宋体" w:cs="宋体"/>
                <w:color w:val="000000"/>
                <w:kern w:val="0"/>
                <w:sz w:val="22"/>
                <w:highlight w:val="none"/>
              </w:rPr>
            </w:pPr>
            <w:r>
              <w:rPr>
                <w:rFonts w:ascii="宋体" w:hAnsi="宋体" w:cs="宋体"/>
                <w:color w:val="000000"/>
                <w:kern w:val="0"/>
                <w:sz w:val="22"/>
                <w:highlight w:val="none"/>
              </w:rPr>
              <w:t>2.1</w:t>
            </w:r>
          </w:p>
        </w:tc>
        <w:tc>
          <w:tcPr>
            <w:tcW w:w="6164" w:type="dxa"/>
            <w:tcBorders>
              <w:top w:val="nil"/>
              <w:left w:val="nil"/>
              <w:bottom w:val="single" w:color="auto" w:sz="4" w:space="0"/>
              <w:right w:val="single" w:color="auto" w:sz="4" w:space="0"/>
            </w:tcBorders>
            <w:vAlign w:val="center"/>
          </w:tcPr>
          <w:p w14:paraId="6C15B1C7">
            <w:pPr>
              <w:widowControl/>
              <w:rPr>
                <w:rFonts w:ascii="宋体" w:hAnsi="宋体" w:cs="宋体"/>
                <w:color w:val="000000"/>
                <w:kern w:val="0"/>
                <w:sz w:val="22"/>
                <w:highlight w:val="none"/>
              </w:rPr>
            </w:pPr>
            <w:r>
              <w:rPr>
                <w:rFonts w:ascii="宋体" w:hAnsi="宋体" w:cs="宋体"/>
                <w:color w:val="000000"/>
                <w:kern w:val="0"/>
                <w:sz w:val="22"/>
                <w:highlight w:val="none"/>
              </w:rPr>
              <w:t>卡口相机</w:t>
            </w:r>
          </w:p>
        </w:tc>
        <w:tc>
          <w:tcPr>
            <w:tcW w:w="567" w:type="dxa"/>
            <w:tcBorders>
              <w:top w:val="nil"/>
              <w:left w:val="nil"/>
              <w:bottom w:val="single" w:color="auto" w:sz="4" w:space="0"/>
              <w:right w:val="single" w:color="auto" w:sz="4" w:space="0"/>
            </w:tcBorders>
            <w:vAlign w:val="center"/>
          </w:tcPr>
          <w:p w14:paraId="175215D5">
            <w:pPr>
              <w:widowControl/>
              <w:jc w:val="center"/>
              <w:rPr>
                <w:rFonts w:ascii="宋体" w:hAnsi="宋体" w:cs="宋体"/>
                <w:color w:val="000000"/>
                <w:kern w:val="0"/>
                <w:sz w:val="22"/>
                <w:highlight w:val="none"/>
              </w:rPr>
            </w:pPr>
            <w:r>
              <w:rPr>
                <w:rFonts w:ascii="宋体" w:hAnsi="宋体" w:cs="宋体"/>
                <w:color w:val="000000"/>
                <w:kern w:val="0"/>
                <w:sz w:val="22"/>
                <w:highlight w:val="none"/>
              </w:rPr>
              <w:t>个</w:t>
            </w:r>
          </w:p>
        </w:tc>
        <w:tc>
          <w:tcPr>
            <w:tcW w:w="788" w:type="dxa"/>
            <w:tcBorders>
              <w:top w:val="nil"/>
              <w:left w:val="nil"/>
              <w:bottom w:val="single" w:color="auto" w:sz="4" w:space="0"/>
              <w:right w:val="single" w:color="auto" w:sz="4" w:space="0"/>
            </w:tcBorders>
            <w:vAlign w:val="center"/>
          </w:tcPr>
          <w:p w14:paraId="431C4DA4">
            <w:pPr>
              <w:widowControl/>
              <w:jc w:val="center"/>
              <w:rPr>
                <w:rFonts w:ascii="宋体" w:hAnsi="宋体" w:cs="宋体"/>
                <w:color w:val="000000"/>
                <w:kern w:val="0"/>
                <w:sz w:val="22"/>
                <w:highlight w:val="none"/>
              </w:rPr>
            </w:pPr>
            <w:r>
              <w:rPr>
                <w:rFonts w:ascii="宋体" w:hAnsi="宋体" w:cs="宋体"/>
                <w:color w:val="000000"/>
                <w:kern w:val="0"/>
                <w:sz w:val="22"/>
                <w:highlight w:val="none"/>
              </w:rPr>
              <w:t>86</w:t>
            </w:r>
          </w:p>
        </w:tc>
      </w:tr>
      <w:tr w14:paraId="552B30FF">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10287AB5">
            <w:pPr>
              <w:widowControl/>
              <w:jc w:val="center"/>
              <w:rPr>
                <w:rFonts w:ascii="宋体" w:hAnsi="宋体" w:cs="宋体"/>
                <w:color w:val="000000"/>
                <w:kern w:val="0"/>
                <w:sz w:val="22"/>
                <w:highlight w:val="none"/>
              </w:rPr>
            </w:pPr>
            <w:r>
              <w:rPr>
                <w:rFonts w:ascii="宋体" w:hAnsi="宋体" w:cs="宋体"/>
                <w:color w:val="000000"/>
                <w:kern w:val="0"/>
                <w:sz w:val="22"/>
                <w:highlight w:val="none"/>
              </w:rPr>
              <w:t>2.2</w:t>
            </w:r>
          </w:p>
        </w:tc>
        <w:tc>
          <w:tcPr>
            <w:tcW w:w="6164" w:type="dxa"/>
            <w:tcBorders>
              <w:top w:val="nil"/>
              <w:left w:val="nil"/>
              <w:bottom w:val="single" w:color="auto" w:sz="4" w:space="0"/>
              <w:right w:val="single" w:color="auto" w:sz="4" w:space="0"/>
            </w:tcBorders>
            <w:vAlign w:val="center"/>
          </w:tcPr>
          <w:p w14:paraId="7BF8382F">
            <w:pPr>
              <w:widowControl/>
              <w:rPr>
                <w:rFonts w:ascii="宋体" w:hAnsi="宋体" w:cs="宋体"/>
                <w:color w:val="000000"/>
                <w:kern w:val="0"/>
                <w:sz w:val="22"/>
                <w:highlight w:val="none"/>
              </w:rPr>
            </w:pPr>
            <w:r>
              <w:rPr>
                <w:rFonts w:ascii="宋体" w:hAnsi="宋体" w:cs="宋体"/>
                <w:color w:val="000000"/>
                <w:kern w:val="0"/>
                <w:sz w:val="22"/>
                <w:highlight w:val="none"/>
              </w:rPr>
              <w:t>正反向全景摄像机（含高清网络摄像机）</w:t>
            </w:r>
          </w:p>
        </w:tc>
        <w:tc>
          <w:tcPr>
            <w:tcW w:w="567" w:type="dxa"/>
            <w:tcBorders>
              <w:top w:val="nil"/>
              <w:left w:val="nil"/>
              <w:bottom w:val="single" w:color="auto" w:sz="4" w:space="0"/>
              <w:right w:val="single" w:color="auto" w:sz="4" w:space="0"/>
            </w:tcBorders>
            <w:vAlign w:val="center"/>
          </w:tcPr>
          <w:p w14:paraId="7C905962">
            <w:pPr>
              <w:widowControl/>
              <w:jc w:val="center"/>
              <w:rPr>
                <w:rFonts w:ascii="宋体" w:hAnsi="宋体" w:cs="宋体"/>
                <w:color w:val="000000"/>
                <w:kern w:val="0"/>
                <w:sz w:val="22"/>
                <w:highlight w:val="none"/>
              </w:rPr>
            </w:pPr>
            <w:r>
              <w:rPr>
                <w:rFonts w:ascii="宋体" w:hAnsi="宋体" w:cs="宋体"/>
                <w:color w:val="000000"/>
                <w:kern w:val="0"/>
                <w:sz w:val="22"/>
                <w:highlight w:val="none"/>
              </w:rPr>
              <w:t>个</w:t>
            </w:r>
          </w:p>
        </w:tc>
        <w:tc>
          <w:tcPr>
            <w:tcW w:w="788" w:type="dxa"/>
            <w:tcBorders>
              <w:top w:val="nil"/>
              <w:left w:val="nil"/>
              <w:bottom w:val="single" w:color="auto" w:sz="4" w:space="0"/>
              <w:right w:val="single" w:color="auto" w:sz="4" w:space="0"/>
            </w:tcBorders>
            <w:vAlign w:val="center"/>
          </w:tcPr>
          <w:p w14:paraId="48C1FD9C">
            <w:pPr>
              <w:widowControl/>
              <w:jc w:val="center"/>
              <w:rPr>
                <w:rFonts w:ascii="宋体" w:hAnsi="宋体" w:cs="宋体"/>
                <w:color w:val="000000"/>
                <w:kern w:val="0"/>
                <w:sz w:val="22"/>
                <w:highlight w:val="none"/>
              </w:rPr>
            </w:pPr>
            <w:r>
              <w:rPr>
                <w:rFonts w:ascii="宋体" w:hAnsi="宋体" w:cs="宋体"/>
                <w:color w:val="000000"/>
                <w:kern w:val="0"/>
                <w:sz w:val="22"/>
                <w:highlight w:val="none"/>
              </w:rPr>
              <w:t>62</w:t>
            </w:r>
          </w:p>
        </w:tc>
      </w:tr>
      <w:tr w14:paraId="20977E56">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750392FB">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（二）</w:t>
            </w:r>
          </w:p>
        </w:tc>
        <w:tc>
          <w:tcPr>
            <w:tcW w:w="6164" w:type="dxa"/>
            <w:tcBorders>
              <w:top w:val="nil"/>
              <w:left w:val="nil"/>
              <w:bottom w:val="single" w:color="auto" w:sz="4" w:space="0"/>
              <w:right w:val="single" w:color="auto" w:sz="4" w:space="0"/>
            </w:tcBorders>
            <w:vAlign w:val="center"/>
          </w:tcPr>
          <w:p w14:paraId="252A9A0D">
            <w:pPr>
              <w:widowControl/>
              <w:rPr>
                <w:rFonts w:ascii="宋体" w:hAnsi="宋体" w:cs="宋体"/>
                <w:b/>
                <w:bCs/>
                <w:color w:val="000000"/>
                <w:kern w:val="0"/>
                <w:sz w:val="22"/>
                <w:highlight w:val="none"/>
              </w:rPr>
            </w:pPr>
            <w:r>
              <w:rPr>
                <w:rFonts w:ascii="宋体" w:hAnsi="宋体" w:cs="宋体"/>
                <w:b/>
                <w:bCs/>
                <w:color w:val="000000"/>
                <w:kern w:val="0"/>
                <w:sz w:val="22"/>
                <w:highlight w:val="none"/>
              </w:rPr>
              <w:t>监控设备拆除工作</w:t>
            </w:r>
          </w:p>
        </w:tc>
        <w:tc>
          <w:tcPr>
            <w:tcW w:w="567" w:type="dxa"/>
            <w:tcBorders>
              <w:top w:val="nil"/>
              <w:left w:val="nil"/>
              <w:bottom w:val="single" w:color="auto" w:sz="4" w:space="0"/>
              <w:right w:val="single" w:color="auto" w:sz="4" w:space="0"/>
            </w:tcBorders>
            <w:vAlign w:val="center"/>
          </w:tcPr>
          <w:p w14:paraId="6E64A9BB">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c>
          <w:tcPr>
            <w:tcW w:w="788" w:type="dxa"/>
            <w:tcBorders>
              <w:top w:val="nil"/>
              <w:left w:val="nil"/>
              <w:bottom w:val="single" w:color="auto" w:sz="4" w:space="0"/>
              <w:right w:val="single" w:color="auto" w:sz="4" w:space="0"/>
            </w:tcBorders>
            <w:vAlign w:val="center"/>
          </w:tcPr>
          <w:p w14:paraId="26D04FF0">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r>
      <w:tr w14:paraId="4242E07D">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6ED65C0B">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6164" w:type="dxa"/>
            <w:tcBorders>
              <w:top w:val="nil"/>
              <w:left w:val="nil"/>
              <w:bottom w:val="single" w:color="auto" w:sz="4" w:space="0"/>
              <w:right w:val="single" w:color="auto" w:sz="4" w:space="0"/>
            </w:tcBorders>
            <w:vAlign w:val="center"/>
          </w:tcPr>
          <w:p w14:paraId="3095F1AE">
            <w:pPr>
              <w:widowControl/>
              <w:rPr>
                <w:rFonts w:ascii="宋体" w:hAnsi="宋体" w:cs="宋体"/>
                <w:color w:val="000000"/>
                <w:kern w:val="0"/>
                <w:sz w:val="22"/>
                <w:highlight w:val="none"/>
              </w:rPr>
            </w:pPr>
            <w:r>
              <w:rPr>
                <w:rFonts w:ascii="宋体" w:hAnsi="宋体" w:cs="宋体"/>
                <w:color w:val="000000"/>
                <w:kern w:val="0"/>
                <w:sz w:val="22"/>
                <w:highlight w:val="none"/>
              </w:rPr>
              <w:t>高清网络摄像机(用于枪式防护罩)</w:t>
            </w:r>
          </w:p>
        </w:tc>
        <w:tc>
          <w:tcPr>
            <w:tcW w:w="567" w:type="dxa"/>
            <w:tcBorders>
              <w:top w:val="nil"/>
              <w:left w:val="nil"/>
              <w:bottom w:val="single" w:color="auto" w:sz="4" w:space="0"/>
              <w:right w:val="single" w:color="auto" w:sz="4" w:space="0"/>
            </w:tcBorders>
            <w:vAlign w:val="center"/>
          </w:tcPr>
          <w:p w14:paraId="03657868">
            <w:pPr>
              <w:widowControl/>
              <w:jc w:val="center"/>
              <w:rPr>
                <w:rFonts w:ascii="宋体" w:hAnsi="宋体" w:cs="宋体"/>
                <w:color w:val="000000"/>
                <w:kern w:val="0"/>
                <w:sz w:val="22"/>
                <w:highlight w:val="none"/>
              </w:rPr>
            </w:pPr>
            <w:r>
              <w:rPr>
                <w:rFonts w:ascii="宋体" w:hAnsi="宋体" w:cs="宋体"/>
                <w:color w:val="000000"/>
                <w:kern w:val="0"/>
                <w:sz w:val="22"/>
                <w:highlight w:val="none"/>
              </w:rPr>
              <w:t>台</w:t>
            </w:r>
          </w:p>
        </w:tc>
        <w:tc>
          <w:tcPr>
            <w:tcW w:w="788" w:type="dxa"/>
            <w:tcBorders>
              <w:top w:val="nil"/>
              <w:left w:val="nil"/>
              <w:bottom w:val="single" w:color="auto" w:sz="4" w:space="0"/>
              <w:right w:val="single" w:color="auto" w:sz="4" w:space="0"/>
            </w:tcBorders>
            <w:vAlign w:val="center"/>
          </w:tcPr>
          <w:p w14:paraId="66C8D93D">
            <w:pPr>
              <w:widowControl/>
              <w:jc w:val="center"/>
              <w:rPr>
                <w:rFonts w:ascii="宋体" w:hAnsi="宋体" w:cs="宋体"/>
                <w:color w:val="000000"/>
                <w:kern w:val="0"/>
                <w:sz w:val="22"/>
                <w:highlight w:val="none"/>
              </w:rPr>
            </w:pPr>
            <w:r>
              <w:rPr>
                <w:rFonts w:ascii="宋体" w:hAnsi="宋体" w:cs="宋体"/>
                <w:color w:val="000000"/>
                <w:kern w:val="0"/>
                <w:sz w:val="22"/>
                <w:highlight w:val="none"/>
              </w:rPr>
              <w:t>165</w:t>
            </w:r>
          </w:p>
        </w:tc>
      </w:tr>
      <w:tr w14:paraId="1A14572B">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1AAAE165">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6164" w:type="dxa"/>
            <w:tcBorders>
              <w:top w:val="nil"/>
              <w:left w:val="nil"/>
              <w:bottom w:val="single" w:color="auto" w:sz="4" w:space="0"/>
              <w:right w:val="single" w:color="auto" w:sz="4" w:space="0"/>
            </w:tcBorders>
            <w:vAlign w:val="center"/>
          </w:tcPr>
          <w:p w14:paraId="2895AC32">
            <w:pPr>
              <w:widowControl/>
              <w:rPr>
                <w:rFonts w:ascii="宋体" w:hAnsi="宋体" w:cs="宋体"/>
                <w:color w:val="000000"/>
                <w:kern w:val="0"/>
                <w:sz w:val="22"/>
                <w:highlight w:val="none"/>
              </w:rPr>
            </w:pPr>
            <w:r>
              <w:rPr>
                <w:rFonts w:ascii="宋体" w:hAnsi="宋体" w:cs="宋体"/>
                <w:color w:val="000000"/>
                <w:kern w:val="0"/>
                <w:sz w:val="22"/>
                <w:highlight w:val="none"/>
              </w:rPr>
              <w:t>高清网络摄像机(用于球形防护罩)</w:t>
            </w:r>
          </w:p>
        </w:tc>
        <w:tc>
          <w:tcPr>
            <w:tcW w:w="567" w:type="dxa"/>
            <w:tcBorders>
              <w:top w:val="nil"/>
              <w:left w:val="nil"/>
              <w:bottom w:val="single" w:color="auto" w:sz="4" w:space="0"/>
              <w:right w:val="single" w:color="auto" w:sz="4" w:space="0"/>
            </w:tcBorders>
            <w:vAlign w:val="center"/>
          </w:tcPr>
          <w:p w14:paraId="10FBBF1A">
            <w:pPr>
              <w:widowControl/>
              <w:jc w:val="center"/>
              <w:rPr>
                <w:rFonts w:ascii="宋体" w:hAnsi="宋体" w:cs="宋体"/>
                <w:color w:val="000000"/>
                <w:kern w:val="0"/>
                <w:sz w:val="22"/>
                <w:highlight w:val="none"/>
              </w:rPr>
            </w:pPr>
            <w:r>
              <w:rPr>
                <w:rFonts w:ascii="宋体" w:hAnsi="宋体" w:cs="宋体"/>
                <w:color w:val="000000"/>
                <w:kern w:val="0"/>
                <w:sz w:val="22"/>
                <w:highlight w:val="none"/>
              </w:rPr>
              <w:t>台</w:t>
            </w:r>
          </w:p>
        </w:tc>
        <w:tc>
          <w:tcPr>
            <w:tcW w:w="788" w:type="dxa"/>
            <w:tcBorders>
              <w:top w:val="nil"/>
              <w:left w:val="nil"/>
              <w:bottom w:val="single" w:color="auto" w:sz="4" w:space="0"/>
              <w:right w:val="single" w:color="auto" w:sz="4" w:space="0"/>
            </w:tcBorders>
            <w:vAlign w:val="center"/>
          </w:tcPr>
          <w:p w14:paraId="24DF001E">
            <w:pPr>
              <w:widowControl/>
              <w:jc w:val="center"/>
              <w:rPr>
                <w:rFonts w:ascii="宋体" w:hAnsi="宋体" w:cs="宋体"/>
                <w:color w:val="000000"/>
                <w:kern w:val="0"/>
                <w:sz w:val="22"/>
                <w:highlight w:val="none"/>
              </w:rPr>
            </w:pPr>
            <w:r>
              <w:rPr>
                <w:rFonts w:ascii="宋体" w:hAnsi="宋体" w:cs="宋体"/>
                <w:color w:val="000000"/>
                <w:kern w:val="0"/>
                <w:sz w:val="22"/>
                <w:highlight w:val="none"/>
              </w:rPr>
              <w:t>444</w:t>
            </w:r>
          </w:p>
        </w:tc>
      </w:tr>
      <w:tr w14:paraId="506F6B17">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1960BF0D">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6164" w:type="dxa"/>
            <w:tcBorders>
              <w:top w:val="nil"/>
              <w:left w:val="nil"/>
              <w:bottom w:val="single" w:color="auto" w:sz="4" w:space="0"/>
              <w:right w:val="single" w:color="auto" w:sz="4" w:space="0"/>
            </w:tcBorders>
            <w:vAlign w:val="center"/>
          </w:tcPr>
          <w:p w14:paraId="2F8E1291">
            <w:pPr>
              <w:widowControl/>
              <w:rPr>
                <w:rFonts w:ascii="宋体" w:hAnsi="宋体" w:cs="宋体"/>
                <w:color w:val="000000"/>
                <w:kern w:val="0"/>
                <w:sz w:val="22"/>
                <w:highlight w:val="none"/>
              </w:rPr>
            </w:pPr>
            <w:r>
              <w:rPr>
                <w:rFonts w:ascii="宋体" w:hAnsi="宋体" w:cs="宋体"/>
                <w:color w:val="000000"/>
                <w:kern w:val="0"/>
                <w:sz w:val="22"/>
                <w:highlight w:val="none"/>
              </w:rPr>
              <w:t>正反向全景摄像机</w:t>
            </w:r>
          </w:p>
        </w:tc>
        <w:tc>
          <w:tcPr>
            <w:tcW w:w="567" w:type="dxa"/>
            <w:tcBorders>
              <w:top w:val="nil"/>
              <w:left w:val="nil"/>
              <w:bottom w:val="single" w:color="auto" w:sz="4" w:space="0"/>
              <w:right w:val="single" w:color="auto" w:sz="4" w:space="0"/>
            </w:tcBorders>
            <w:vAlign w:val="center"/>
          </w:tcPr>
          <w:p w14:paraId="786B0B08">
            <w:pPr>
              <w:widowControl/>
              <w:jc w:val="center"/>
              <w:rPr>
                <w:rFonts w:ascii="宋体" w:hAnsi="宋体" w:cs="宋体"/>
                <w:color w:val="000000"/>
                <w:kern w:val="0"/>
                <w:sz w:val="22"/>
                <w:highlight w:val="none"/>
              </w:rPr>
            </w:pPr>
            <w:r>
              <w:rPr>
                <w:rFonts w:ascii="宋体" w:hAnsi="宋体" w:cs="宋体"/>
                <w:color w:val="000000"/>
                <w:kern w:val="0"/>
                <w:sz w:val="22"/>
                <w:highlight w:val="none"/>
              </w:rPr>
              <w:t>台</w:t>
            </w:r>
          </w:p>
        </w:tc>
        <w:tc>
          <w:tcPr>
            <w:tcW w:w="788" w:type="dxa"/>
            <w:tcBorders>
              <w:top w:val="nil"/>
              <w:left w:val="nil"/>
              <w:bottom w:val="single" w:color="auto" w:sz="4" w:space="0"/>
              <w:right w:val="single" w:color="auto" w:sz="4" w:space="0"/>
            </w:tcBorders>
            <w:vAlign w:val="center"/>
          </w:tcPr>
          <w:p w14:paraId="3D932140">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0405500B">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5D6C3F33">
            <w:pPr>
              <w:widowControl/>
              <w:jc w:val="center"/>
              <w:rPr>
                <w:rFonts w:ascii="宋体" w:hAnsi="宋体" w:cs="宋体"/>
                <w:color w:val="000000"/>
                <w:kern w:val="0"/>
                <w:sz w:val="22"/>
                <w:highlight w:val="none"/>
              </w:rPr>
            </w:pPr>
            <w:r>
              <w:rPr>
                <w:rFonts w:ascii="宋体" w:hAnsi="宋体" w:cs="宋体"/>
                <w:color w:val="000000"/>
                <w:kern w:val="0"/>
                <w:sz w:val="22"/>
                <w:highlight w:val="none"/>
              </w:rPr>
              <w:t>4</w:t>
            </w:r>
          </w:p>
        </w:tc>
        <w:tc>
          <w:tcPr>
            <w:tcW w:w="6164" w:type="dxa"/>
            <w:tcBorders>
              <w:top w:val="nil"/>
              <w:left w:val="nil"/>
              <w:bottom w:val="single" w:color="auto" w:sz="4" w:space="0"/>
              <w:right w:val="single" w:color="auto" w:sz="4" w:space="0"/>
            </w:tcBorders>
            <w:vAlign w:val="center"/>
          </w:tcPr>
          <w:p w14:paraId="1CC16C4F">
            <w:pPr>
              <w:widowControl/>
              <w:rPr>
                <w:rFonts w:ascii="宋体" w:hAnsi="宋体" w:cs="宋体"/>
                <w:color w:val="000000"/>
                <w:kern w:val="0"/>
                <w:sz w:val="22"/>
                <w:highlight w:val="none"/>
              </w:rPr>
            </w:pPr>
            <w:r>
              <w:rPr>
                <w:rFonts w:ascii="宋体" w:hAnsi="宋体" w:cs="宋体"/>
                <w:color w:val="000000"/>
                <w:kern w:val="0"/>
                <w:sz w:val="22"/>
                <w:highlight w:val="none"/>
              </w:rPr>
              <w:t>非合同相机</w:t>
            </w:r>
          </w:p>
        </w:tc>
        <w:tc>
          <w:tcPr>
            <w:tcW w:w="567" w:type="dxa"/>
            <w:tcBorders>
              <w:top w:val="nil"/>
              <w:left w:val="nil"/>
              <w:bottom w:val="single" w:color="auto" w:sz="4" w:space="0"/>
              <w:right w:val="single" w:color="auto" w:sz="4" w:space="0"/>
            </w:tcBorders>
            <w:vAlign w:val="center"/>
          </w:tcPr>
          <w:p w14:paraId="4364D1F0">
            <w:pPr>
              <w:widowControl/>
              <w:jc w:val="center"/>
              <w:rPr>
                <w:rFonts w:ascii="宋体" w:hAnsi="宋体" w:cs="宋体"/>
                <w:color w:val="000000"/>
                <w:kern w:val="0"/>
                <w:sz w:val="22"/>
                <w:highlight w:val="none"/>
              </w:rPr>
            </w:pPr>
            <w:r>
              <w:rPr>
                <w:rFonts w:ascii="宋体" w:hAnsi="宋体" w:cs="宋体"/>
                <w:color w:val="000000"/>
                <w:kern w:val="0"/>
                <w:sz w:val="22"/>
                <w:highlight w:val="none"/>
              </w:rPr>
              <w:t>台</w:t>
            </w:r>
          </w:p>
        </w:tc>
        <w:tc>
          <w:tcPr>
            <w:tcW w:w="788" w:type="dxa"/>
            <w:tcBorders>
              <w:top w:val="nil"/>
              <w:left w:val="nil"/>
              <w:bottom w:val="single" w:color="auto" w:sz="4" w:space="0"/>
              <w:right w:val="single" w:color="auto" w:sz="4" w:space="0"/>
            </w:tcBorders>
            <w:vAlign w:val="center"/>
          </w:tcPr>
          <w:p w14:paraId="0DD6C9B8">
            <w:pPr>
              <w:widowControl/>
              <w:jc w:val="center"/>
              <w:rPr>
                <w:rFonts w:ascii="宋体" w:hAnsi="宋体" w:cs="宋体"/>
                <w:color w:val="000000"/>
                <w:kern w:val="0"/>
                <w:sz w:val="22"/>
                <w:highlight w:val="none"/>
              </w:rPr>
            </w:pPr>
            <w:r>
              <w:rPr>
                <w:rFonts w:ascii="宋体" w:hAnsi="宋体" w:cs="宋体"/>
                <w:color w:val="000000"/>
                <w:kern w:val="0"/>
                <w:sz w:val="22"/>
                <w:highlight w:val="none"/>
              </w:rPr>
              <w:t>32</w:t>
            </w:r>
          </w:p>
        </w:tc>
      </w:tr>
      <w:tr w14:paraId="4E795F06">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5ADC7250">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（三）</w:t>
            </w:r>
          </w:p>
        </w:tc>
        <w:tc>
          <w:tcPr>
            <w:tcW w:w="6164" w:type="dxa"/>
            <w:tcBorders>
              <w:top w:val="nil"/>
              <w:left w:val="nil"/>
              <w:bottom w:val="single" w:color="auto" w:sz="4" w:space="0"/>
              <w:right w:val="single" w:color="auto" w:sz="4" w:space="0"/>
            </w:tcBorders>
            <w:vAlign w:val="center"/>
          </w:tcPr>
          <w:p w14:paraId="561A495E">
            <w:pPr>
              <w:widowControl/>
              <w:rPr>
                <w:rFonts w:ascii="宋体" w:hAnsi="宋体" w:cs="宋体"/>
                <w:b/>
                <w:bCs/>
                <w:color w:val="000000"/>
                <w:kern w:val="0"/>
                <w:sz w:val="22"/>
                <w:highlight w:val="none"/>
              </w:rPr>
            </w:pPr>
            <w:r>
              <w:rPr>
                <w:rFonts w:ascii="宋体" w:hAnsi="宋体" w:cs="宋体"/>
                <w:b/>
                <w:bCs/>
                <w:color w:val="000000"/>
                <w:kern w:val="0"/>
                <w:sz w:val="22"/>
                <w:highlight w:val="none"/>
              </w:rPr>
              <w:t>监控设备利旧加装工作</w:t>
            </w:r>
          </w:p>
        </w:tc>
        <w:tc>
          <w:tcPr>
            <w:tcW w:w="567" w:type="dxa"/>
            <w:tcBorders>
              <w:top w:val="nil"/>
              <w:left w:val="nil"/>
              <w:bottom w:val="single" w:color="auto" w:sz="4" w:space="0"/>
              <w:right w:val="single" w:color="auto" w:sz="4" w:space="0"/>
            </w:tcBorders>
            <w:vAlign w:val="center"/>
          </w:tcPr>
          <w:p w14:paraId="497D80FA">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c>
          <w:tcPr>
            <w:tcW w:w="788" w:type="dxa"/>
            <w:tcBorders>
              <w:top w:val="nil"/>
              <w:left w:val="nil"/>
              <w:bottom w:val="single" w:color="auto" w:sz="4" w:space="0"/>
              <w:right w:val="single" w:color="auto" w:sz="4" w:space="0"/>
            </w:tcBorders>
            <w:vAlign w:val="center"/>
          </w:tcPr>
          <w:p w14:paraId="6EC9CAE3">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r>
      <w:tr w14:paraId="0C41C461">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213F4D10">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6164" w:type="dxa"/>
            <w:tcBorders>
              <w:top w:val="nil"/>
              <w:left w:val="nil"/>
              <w:bottom w:val="single" w:color="auto" w:sz="4" w:space="0"/>
              <w:right w:val="single" w:color="auto" w:sz="4" w:space="0"/>
            </w:tcBorders>
            <w:vAlign w:val="center"/>
          </w:tcPr>
          <w:p w14:paraId="147C1729">
            <w:pPr>
              <w:widowControl/>
              <w:rPr>
                <w:rFonts w:ascii="宋体" w:hAnsi="宋体" w:cs="宋体"/>
                <w:color w:val="000000"/>
                <w:kern w:val="0"/>
                <w:sz w:val="22"/>
                <w:highlight w:val="none"/>
              </w:rPr>
            </w:pPr>
            <w:r>
              <w:rPr>
                <w:rFonts w:ascii="宋体" w:hAnsi="宋体" w:cs="宋体"/>
                <w:color w:val="000000"/>
                <w:kern w:val="0"/>
                <w:sz w:val="22"/>
                <w:highlight w:val="none"/>
              </w:rPr>
              <w:t>高清网络摄像机(用于枪式防护罩)</w:t>
            </w:r>
          </w:p>
        </w:tc>
        <w:tc>
          <w:tcPr>
            <w:tcW w:w="567" w:type="dxa"/>
            <w:tcBorders>
              <w:top w:val="nil"/>
              <w:left w:val="nil"/>
              <w:bottom w:val="single" w:color="auto" w:sz="4" w:space="0"/>
              <w:right w:val="single" w:color="auto" w:sz="4" w:space="0"/>
            </w:tcBorders>
            <w:vAlign w:val="center"/>
          </w:tcPr>
          <w:p w14:paraId="77914A25">
            <w:pPr>
              <w:widowControl/>
              <w:jc w:val="center"/>
              <w:rPr>
                <w:rFonts w:ascii="宋体" w:hAnsi="宋体" w:cs="宋体"/>
                <w:color w:val="000000"/>
                <w:kern w:val="0"/>
                <w:sz w:val="22"/>
                <w:highlight w:val="none"/>
              </w:rPr>
            </w:pPr>
            <w:r>
              <w:rPr>
                <w:rFonts w:ascii="宋体" w:hAnsi="宋体" w:cs="宋体"/>
                <w:color w:val="000000"/>
                <w:kern w:val="0"/>
                <w:sz w:val="22"/>
                <w:highlight w:val="none"/>
              </w:rPr>
              <w:t>台</w:t>
            </w:r>
          </w:p>
        </w:tc>
        <w:tc>
          <w:tcPr>
            <w:tcW w:w="788" w:type="dxa"/>
            <w:tcBorders>
              <w:top w:val="nil"/>
              <w:left w:val="nil"/>
              <w:bottom w:val="single" w:color="auto" w:sz="4" w:space="0"/>
              <w:right w:val="single" w:color="auto" w:sz="4" w:space="0"/>
            </w:tcBorders>
            <w:vAlign w:val="center"/>
          </w:tcPr>
          <w:p w14:paraId="1BD66DDF">
            <w:pPr>
              <w:widowControl/>
              <w:jc w:val="center"/>
              <w:rPr>
                <w:rFonts w:ascii="宋体" w:hAnsi="宋体" w:cs="宋体"/>
                <w:color w:val="000000"/>
                <w:kern w:val="0"/>
                <w:sz w:val="22"/>
                <w:highlight w:val="none"/>
              </w:rPr>
            </w:pPr>
            <w:r>
              <w:rPr>
                <w:rFonts w:ascii="宋体" w:hAnsi="宋体" w:cs="宋体"/>
                <w:color w:val="000000"/>
                <w:kern w:val="0"/>
                <w:sz w:val="22"/>
                <w:highlight w:val="none"/>
              </w:rPr>
              <w:t>4</w:t>
            </w:r>
          </w:p>
        </w:tc>
      </w:tr>
      <w:tr w14:paraId="119D93A3">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521771D6">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（四）</w:t>
            </w:r>
          </w:p>
        </w:tc>
        <w:tc>
          <w:tcPr>
            <w:tcW w:w="6164" w:type="dxa"/>
            <w:tcBorders>
              <w:top w:val="nil"/>
              <w:left w:val="nil"/>
              <w:bottom w:val="single" w:color="auto" w:sz="4" w:space="0"/>
              <w:right w:val="single" w:color="auto" w:sz="4" w:space="0"/>
            </w:tcBorders>
            <w:vAlign w:val="center"/>
          </w:tcPr>
          <w:p w14:paraId="68770C36">
            <w:pPr>
              <w:widowControl/>
              <w:rPr>
                <w:rFonts w:ascii="宋体" w:hAnsi="宋体" w:cs="宋体"/>
                <w:b/>
                <w:bCs/>
                <w:color w:val="000000"/>
                <w:kern w:val="0"/>
                <w:sz w:val="22"/>
                <w:highlight w:val="none"/>
              </w:rPr>
            </w:pPr>
            <w:r>
              <w:rPr>
                <w:rFonts w:ascii="宋体" w:hAnsi="宋体" w:cs="宋体"/>
                <w:b/>
                <w:bCs/>
                <w:color w:val="000000"/>
                <w:kern w:val="0"/>
                <w:sz w:val="22"/>
                <w:highlight w:val="none"/>
              </w:rPr>
              <w:t>杆体拆除及迁移工作</w:t>
            </w:r>
          </w:p>
        </w:tc>
        <w:tc>
          <w:tcPr>
            <w:tcW w:w="567" w:type="dxa"/>
            <w:tcBorders>
              <w:top w:val="nil"/>
              <w:left w:val="nil"/>
              <w:bottom w:val="single" w:color="auto" w:sz="4" w:space="0"/>
              <w:right w:val="single" w:color="auto" w:sz="4" w:space="0"/>
            </w:tcBorders>
            <w:vAlign w:val="center"/>
          </w:tcPr>
          <w:p w14:paraId="3A1C5BEB">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根</w:t>
            </w:r>
          </w:p>
        </w:tc>
        <w:tc>
          <w:tcPr>
            <w:tcW w:w="788" w:type="dxa"/>
            <w:tcBorders>
              <w:top w:val="nil"/>
              <w:left w:val="nil"/>
              <w:bottom w:val="single" w:color="auto" w:sz="4" w:space="0"/>
              <w:right w:val="single" w:color="auto" w:sz="4" w:space="0"/>
            </w:tcBorders>
            <w:vAlign w:val="center"/>
          </w:tcPr>
          <w:p w14:paraId="6CFF1A37">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12</w:t>
            </w:r>
          </w:p>
        </w:tc>
      </w:tr>
      <w:tr w14:paraId="75BCAFE6">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65359E2B">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（五）</w:t>
            </w:r>
          </w:p>
        </w:tc>
        <w:tc>
          <w:tcPr>
            <w:tcW w:w="6164" w:type="dxa"/>
            <w:tcBorders>
              <w:top w:val="nil"/>
              <w:left w:val="nil"/>
              <w:bottom w:val="single" w:color="auto" w:sz="4" w:space="0"/>
              <w:right w:val="single" w:color="auto" w:sz="4" w:space="0"/>
            </w:tcBorders>
            <w:vAlign w:val="center"/>
          </w:tcPr>
          <w:p w14:paraId="5501BC2D">
            <w:pPr>
              <w:widowControl/>
              <w:rPr>
                <w:rFonts w:ascii="宋体" w:hAnsi="宋体" w:cs="宋体"/>
                <w:b/>
                <w:bCs/>
                <w:color w:val="000000"/>
                <w:kern w:val="0"/>
                <w:sz w:val="22"/>
                <w:highlight w:val="none"/>
              </w:rPr>
            </w:pPr>
            <w:r>
              <w:rPr>
                <w:rFonts w:ascii="宋体" w:hAnsi="宋体" w:cs="宋体"/>
                <w:b/>
                <w:bCs/>
                <w:color w:val="000000"/>
                <w:kern w:val="0"/>
                <w:sz w:val="22"/>
                <w:highlight w:val="none"/>
              </w:rPr>
              <w:t>杆体拆除工作</w:t>
            </w:r>
          </w:p>
        </w:tc>
        <w:tc>
          <w:tcPr>
            <w:tcW w:w="567" w:type="dxa"/>
            <w:tcBorders>
              <w:top w:val="nil"/>
              <w:left w:val="nil"/>
              <w:bottom w:val="single" w:color="auto" w:sz="4" w:space="0"/>
              <w:right w:val="single" w:color="auto" w:sz="4" w:space="0"/>
            </w:tcBorders>
            <w:vAlign w:val="center"/>
          </w:tcPr>
          <w:p w14:paraId="3E9CDB0C">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根</w:t>
            </w:r>
          </w:p>
        </w:tc>
        <w:tc>
          <w:tcPr>
            <w:tcW w:w="788" w:type="dxa"/>
            <w:tcBorders>
              <w:top w:val="nil"/>
              <w:left w:val="nil"/>
              <w:bottom w:val="single" w:color="auto" w:sz="4" w:space="0"/>
              <w:right w:val="single" w:color="auto" w:sz="4" w:space="0"/>
            </w:tcBorders>
            <w:vAlign w:val="center"/>
          </w:tcPr>
          <w:p w14:paraId="228C26E4">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40</w:t>
            </w:r>
          </w:p>
        </w:tc>
      </w:tr>
      <w:tr w14:paraId="7059ED21">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62B4F7CC">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二</w:t>
            </w:r>
          </w:p>
        </w:tc>
        <w:tc>
          <w:tcPr>
            <w:tcW w:w="6164" w:type="dxa"/>
            <w:tcBorders>
              <w:top w:val="nil"/>
              <w:left w:val="nil"/>
              <w:bottom w:val="single" w:color="auto" w:sz="4" w:space="0"/>
              <w:right w:val="single" w:color="auto" w:sz="4" w:space="0"/>
            </w:tcBorders>
            <w:vAlign w:val="center"/>
          </w:tcPr>
          <w:p w14:paraId="53934704">
            <w:pPr>
              <w:widowControl/>
              <w:rPr>
                <w:rFonts w:ascii="宋体" w:hAnsi="宋体" w:cs="宋体"/>
                <w:b/>
                <w:bCs/>
                <w:color w:val="000000"/>
                <w:kern w:val="0"/>
                <w:sz w:val="22"/>
                <w:highlight w:val="none"/>
              </w:rPr>
            </w:pPr>
            <w:r>
              <w:rPr>
                <w:rFonts w:ascii="宋体" w:hAnsi="宋体" w:cs="宋体"/>
                <w:b/>
                <w:bCs/>
                <w:color w:val="000000"/>
                <w:kern w:val="0"/>
                <w:sz w:val="22"/>
                <w:highlight w:val="none"/>
              </w:rPr>
              <w:t>网络链路保障服务</w:t>
            </w:r>
          </w:p>
        </w:tc>
        <w:tc>
          <w:tcPr>
            <w:tcW w:w="567" w:type="dxa"/>
            <w:tcBorders>
              <w:top w:val="nil"/>
              <w:left w:val="nil"/>
              <w:bottom w:val="single" w:color="auto" w:sz="4" w:space="0"/>
              <w:right w:val="single" w:color="auto" w:sz="4" w:space="0"/>
            </w:tcBorders>
            <w:vAlign w:val="center"/>
          </w:tcPr>
          <w:p w14:paraId="54185299">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c>
          <w:tcPr>
            <w:tcW w:w="788" w:type="dxa"/>
            <w:tcBorders>
              <w:top w:val="nil"/>
              <w:left w:val="nil"/>
              <w:bottom w:val="single" w:color="auto" w:sz="4" w:space="0"/>
              <w:right w:val="single" w:color="auto" w:sz="4" w:space="0"/>
            </w:tcBorders>
            <w:vAlign w:val="center"/>
          </w:tcPr>
          <w:p w14:paraId="442591DF">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r>
      <w:tr w14:paraId="5C8ACCEC">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44EAF204">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6164" w:type="dxa"/>
            <w:tcBorders>
              <w:top w:val="nil"/>
              <w:left w:val="nil"/>
              <w:bottom w:val="single" w:color="auto" w:sz="4" w:space="0"/>
              <w:right w:val="single" w:color="auto" w:sz="4" w:space="0"/>
            </w:tcBorders>
            <w:vAlign w:val="center"/>
          </w:tcPr>
          <w:p w14:paraId="04535401">
            <w:pPr>
              <w:widowControl/>
              <w:rPr>
                <w:rFonts w:ascii="宋体" w:hAnsi="宋体" w:cs="宋体"/>
                <w:color w:val="000000"/>
                <w:kern w:val="0"/>
                <w:sz w:val="22"/>
                <w:highlight w:val="none"/>
              </w:rPr>
            </w:pPr>
            <w:r>
              <w:rPr>
                <w:rFonts w:ascii="宋体" w:hAnsi="宋体" w:cs="宋体"/>
                <w:color w:val="000000"/>
                <w:kern w:val="0"/>
                <w:sz w:val="22"/>
                <w:highlight w:val="none"/>
              </w:rPr>
              <w:t>视频监控至存储机房百兆光纤链路</w:t>
            </w:r>
          </w:p>
        </w:tc>
        <w:tc>
          <w:tcPr>
            <w:tcW w:w="567" w:type="dxa"/>
            <w:tcBorders>
              <w:top w:val="nil"/>
              <w:left w:val="nil"/>
              <w:bottom w:val="single" w:color="auto" w:sz="4" w:space="0"/>
              <w:right w:val="single" w:color="auto" w:sz="4" w:space="0"/>
            </w:tcBorders>
            <w:vAlign w:val="center"/>
          </w:tcPr>
          <w:p w14:paraId="0BCA67F5">
            <w:pPr>
              <w:widowControl/>
              <w:jc w:val="center"/>
              <w:rPr>
                <w:rFonts w:ascii="宋体" w:hAnsi="宋体" w:cs="宋体"/>
                <w:color w:val="000000"/>
                <w:kern w:val="0"/>
                <w:sz w:val="22"/>
                <w:highlight w:val="none"/>
              </w:rPr>
            </w:pPr>
            <w:r>
              <w:rPr>
                <w:rFonts w:ascii="宋体" w:hAnsi="宋体" w:cs="宋体"/>
                <w:color w:val="000000"/>
                <w:kern w:val="0"/>
                <w:sz w:val="22"/>
                <w:highlight w:val="none"/>
              </w:rPr>
              <w:t>条</w:t>
            </w:r>
          </w:p>
        </w:tc>
        <w:tc>
          <w:tcPr>
            <w:tcW w:w="788" w:type="dxa"/>
            <w:tcBorders>
              <w:top w:val="nil"/>
              <w:left w:val="nil"/>
              <w:bottom w:val="single" w:color="auto" w:sz="4" w:space="0"/>
              <w:right w:val="single" w:color="auto" w:sz="4" w:space="0"/>
            </w:tcBorders>
            <w:vAlign w:val="center"/>
          </w:tcPr>
          <w:p w14:paraId="6F02E151">
            <w:pPr>
              <w:widowControl/>
              <w:jc w:val="center"/>
              <w:rPr>
                <w:rFonts w:ascii="宋体" w:hAnsi="宋体" w:cs="宋体"/>
                <w:color w:val="000000"/>
                <w:kern w:val="0"/>
                <w:sz w:val="22"/>
                <w:highlight w:val="none"/>
              </w:rPr>
            </w:pPr>
            <w:r>
              <w:rPr>
                <w:rFonts w:ascii="宋体" w:hAnsi="宋体" w:cs="宋体"/>
                <w:color w:val="000000"/>
                <w:kern w:val="0"/>
                <w:sz w:val="22"/>
                <w:highlight w:val="none"/>
              </w:rPr>
              <w:t>419</w:t>
            </w:r>
          </w:p>
        </w:tc>
      </w:tr>
      <w:tr w14:paraId="3446499C">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53E4542C">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6164" w:type="dxa"/>
            <w:tcBorders>
              <w:top w:val="nil"/>
              <w:left w:val="nil"/>
              <w:bottom w:val="single" w:color="auto" w:sz="4" w:space="0"/>
              <w:right w:val="single" w:color="auto" w:sz="4" w:space="0"/>
            </w:tcBorders>
            <w:vAlign w:val="center"/>
          </w:tcPr>
          <w:p w14:paraId="797DFF09">
            <w:pPr>
              <w:widowControl/>
              <w:rPr>
                <w:rFonts w:ascii="宋体" w:hAnsi="宋体" w:cs="宋体"/>
                <w:color w:val="000000"/>
                <w:kern w:val="0"/>
                <w:sz w:val="22"/>
                <w:highlight w:val="none"/>
              </w:rPr>
            </w:pPr>
            <w:r>
              <w:rPr>
                <w:rFonts w:ascii="宋体" w:hAnsi="宋体" w:cs="宋体"/>
                <w:color w:val="000000"/>
                <w:kern w:val="0"/>
                <w:sz w:val="22"/>
                <w:highlight w:val="none"/>
              </w:rPr>
              <w:t>存储机房连接至1个派出所千兆光纤链路</w:t>
            </w:r>
          </w:p>
        </w:tc>
        <w:tc>
          <w:tcPr>
            <w:tcW w:w="567" w:type="dxa"/>
            <w:tcBorders>
              <w:top w:val="nil"/>
              <w:left w:val="nil"/>
              <w:bottom w:val="single" w:color="auto" w:sz="4" w:space="0"/>
              <w:right w:val="single" w:color="auto" w:sz="4" w:space="0"/>
            </w:tcBorders>
            <w:vAlign w:val="center"/>
          </w:tcPr>
          <w:p w14:paraId="71AE016A">
            <w:pPr>
              <w:widowControl/>
              <w:jc w:val="center"/>
              <w:rPr>
                <w:rFonts w:ascii="宋体" w:hAnsi="宋体" w:cs="宋体"/>
                <w:color w:val="000000"/>
                <w:kern w:val="0"/>
                <w:sz w:val="22"/>
                <w:highlight w:val="none"/>
              </w:rPr>
            </w:pPr>
            <w:r>
              <w:rPr>
                <w:rFonts w:ascii="宋体" w:hAnsi="宋体" w:cs="宋体"/>
                <w:color w:val="000000"/>
                <w:kern w:val="0"/>
                <w:sz w:val="22"/>
                <w:highlight w:val="none"/>
              </w:rPr>
              <w:t>条</w:t>
            </w:r>
          </w:p>
        </w:tc>
        <w:tc>
          <w:tcPr>
            <w:tcW w:w="788" w:type="dxa"/>
            <w:tcBorders>
              <w:top w:val="nil"/>
              <w:left w:val="nil"/>
              <w:bottom w:val="single" w:color="auto" w:sz="4" w:space="0"/>
              <w:right w:val="single" w:color="auto" w:sz="4" w:space="0"/>
            </w:tcBorders>
            <w:vAlign w:val="center"/>
          </w:tcPr>
          <w:p w14:paraId="3B79372B">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1924D252">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0782A91C">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6164" w:type="dxa"/>
            <w:tcBorders>
              <w:top w:val="nil"/>
              <w:left w:val="nil"/>
              <w:bottom w:val="single" w:color="auto" w:sz="4" w:space="0"/>
              <w:right w:val="single" w:color="auto" w:sz="4" w:space="0"/>
            </w:tcBorders>
            <w:vAlign w:val="center"/>
          </w:tcPr>
          <w:p w14:paraId="3A9E5CEE">
            <w:pPr>
              <w:widowControl/>
              <w:rPr>
                <w:rFonts w:ascii="宋体" w:hAnsi="宋体" w:cs="宋体"/>
                <w:color w:val="000000"/>
                <w:kern w:val="0"/>
                <w:sz w:val="22"/>
                <w:highlight w:val="none"/>
              </w:rPr>
            </w:pPr>
            <w:r>
              <w:rPr>
                <w:rFonts w:ascii="宋体" w:hAnsi="宋体" w:cs="宋体"/>
                <w:color w:val="000000"/>
                <w:kern w:val="0"/>
                <w:sz w:val="22"/>
                <w:highlight w:val="none"/>
              </w:rPr>
              <w:t>存储机房至联通IDC机房万兆光纤链路</w:t>
            </w:r>
          </w:p>
        </w:tc>
        <w:tc>
          <w:tcPr>
            <w:tcW w:w="567" w:type="dxa"/>
            <w:tcBorders>
              <w:top w:val="nil"/>
              <w:left w:val="nil"/>
              <w:bottom w:val="single" w:color="auto" w:sz="4" w:space="0"/>
              <w:right w:val="single" w:color="auto" w:sz="4" w:space="0"/>
            </w:tcBorders>
            <w:vAlign w:val="center"/>
          </w:tcPr>
          <w:p w14:paraId="685FF46B">
            <w:pPr>
              <w:widowControl/>
              <w:jc w:val="center"/>
              <w:rPr>
                <w:rFonts w:ascii="宋体" w:hAnsi="宋体" w:cs="宋体"/>
                <w:color w:val="000000"/>
                <w:kern w:val="0"/>
                <w:sz w:val="22"/>
                <w:highlight w:val="none"/>
              </w:rPr>
            </w:pPr>
            <w:r>
              <w:rPr>
                <w:rFonts w:ascii="宋体" w:hAnsi="宋体" w:cs="宋体"/>
                <w:color w:val="000000"/>
                <w:kern w:val="0"/>
                <w:sz w:val="22"/>
                <w:highlight w:val="none"/>
              </w:rPr>
              <w:t>条</w:t>
            </w:r>
          </w:p>
        </w:tc>
        <w:tc>
          <w:tcPr>
            <w:tcW w:w="788" w:type="dxa"/>
            <w:tcBorders>
              <w:top w:val="nil"/>
              <w:left w:val="nil"/>
              <w:bottom w:val="single" w:color="auto" w:sz="4" w:space="0"/>
              <w:right w:val="single" w:color="auto" w:sz="4" w:space="0"/>
            </w:tcBorders>
            <w:vAlign w:val="center"/>
          </w:tcPr>
          <w:p w14:paraId="4430A488">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20D4CD7F">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34A55042">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三</w:t>
            </w:r>
          </w:p>
        </w:tc>
        <w:tc>
          <w:tcPr>
            <w:tcW w:w="6164" w:type="dxa"/>
            <w:tcBorders>
              <w:top w:val="nil"/>
              <w:left w:val="nil"/>
              <w:bottom w:val="single" w:color="auto" w:sz="4" w:space="0"/>
              <w:right w:val="single" w:color="auto" w:sz="4" w:space="0"/>
            </w:tcBorders>
            <w:vAlign w:val="center"/>
          </w:tcPr>
          <w:p w14:paraId="4504BDDB">
            <w:pPr>
              <w:widowControl/>
              <w:rPr>
                <w:rFonts w:ascii="宋体" w:hAnsi="宋体" w:cs="宋体"/>
                <w:b/>
                <w:bCs/>
                <w:color w:val="000000"/>
                <w:kern w:val="0"/>
                <w:sz w:val="22"/>
                <w:highlight w:val="none"/>
              </w:rPr>
            </w:pPr>
            <w:r>
              <w:rPr>
                <w:rFonts w:ascii="宋体" w:hAnsi="宋体" w:cs="宋体"/>
                <w:b/>
                <w:bCs/>
                <w:color w:val="000000"/>
                <w:kern w:val="0"/>
                <w:sz w:val="22"/>
                <w:highlight w:val="none"/>
              </w:rPr>
              <w:t>后端设备运维服务</w:t>
            </w:r>
          </w:p>
        </w:tc>
        <w:tc>
          <w:tcPr>
            <w:tcW w:w="567" w:type="dxa"/>
            <w:tcBorders>
              <w:top w:val="nil"/>
              <w:left w:val="nil"/>
              <w:bottom w:val="single" w:color="auto" w:sz="4" w:space="0"/>
              <w:right w:val="single" w:color="auto" w:sz="4" w:space="0"/>
            </w:tcBorders>
            <w:vAlign w:val="center"/>
          </w:tcPr>
          <w:p w14:paraId="61F45824">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c>
          <w:tcPr>
            <w:tcW w:w="788" w:type="dxa"/>
            <w:tcBorders>
              <w:top w:val="nil"/>
              <w:left w:val="nil"/>
              <w:bottom w:val="single" w:color="auto" w:sz="4" w:space="0"/>
              <w:right w:val="single" w:color="auto" w:sz="4" w:space="0"/>
            </w:tcBorders>
            <w:vAlign w:val="center"/>
          </w:tcPr>
          <w:p w14:paraId="75E65842">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r>
      <w:tr w14:paraId="01B7484E">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1EDC3BCF">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6164" w:type="dxa"/>
            <w:tcBorders>
              <w:top w:val="nil"/>
              <w:left w:val="nil"/>
              <w:bottom w:val="single" w:color="auto" w:sz="4" w:space="0"/>
              <w:right w:val="single" w:color="auto" w:sz="4" w:space="0"/>
            </w:tcBorders>
            <w:vAlign w:val="center"/>
          </w:tcPr>
          <w:p w14:paraId="01EF304C">
            <w:pPr>
              <w:widowControl/>
              <w:rPr>
                <w:rFonts w:ascii="宋体" w:hAnsi="宋体" w:cs="宋体"/>
                <w:color w:val="000000"/>
                <w:kern w:val="0"/>
                <w:sz w:val="22"/>
                <w:highlight w:val="none"/>
              </w:rPr>
            </w:pPr>
            <w:r>
              <w:rPr>
                <w:rFonts w:ascii="宋体" w:hAnsi="宋体" w:cs="宋体"/>
                <w:color w:val="000000"/>
                <w:kern w:val="0"/>
                <w:sz w:val="22"/>
                <w:highlight w:val="none"/>
              </w:rPr>
              <w:t>视频监控系统平台</w:t>
            </w:r>
          </w:p>
        </w:tc>
        <w:tc>
          <w:tcPr>
            <w:tcW w:w="567" w:type="dxa"/>
            <w:tcBorders>
              <w:top w:val="nil"/>
              <w:left w:val="nil"/>
              <w:bottom w:val="single" w:color="auto" w:sz="4" w:space="0"/>
              <w:right w:val="single" w:color="auto" w:sz="4" w:space="0"/>
            </w:tcBorders>
            <w:vAlign w:val="center"/>
          </w:tcPr>
          <w:p w14:paraId="501C7AA5">
            <w:pPr>
              <w:widowControl/>
              <w:jc w:val="center"/>
              <w:rPr>
                <w:rFonts w:ascii="宋体" w:hAnsi="宋体" w:cs="宋体"/>
                <w:color w:val="000000"/>
                <w:kern w:val="0"/>
                <w:sz w:val="22"/>
                <w:highlight w:val="none"/>
              </w:rPr>
            </w:pPr>
            <w:r>
              <w:rPr>
                <w:rFonts w:ascii="宋体" w:hAnsi="宋体" w:cs="宋体"/>
                <w:color w:val="000000"/>
                <w:kern w:val="0"/>
                <w:sz w:val="22"/>
                <w:highlight w:val="none"/>
              </w:rPr>
              <w:t>套</w:t>
            </w:r>
          </w:p>
        </w:tc>
        <w:tc>
          <w:tcPr>
            <w:tcW w:w="788" w:type="dxa"/>
            <w:tcBorders>
              <w:top w:val="nil"/>
              <w:left w:val="nil"/>
              <w:bottom w:val="single" w:color="auto" w:sz="4" w:space="0"/>
              <w:right w:val="single" w:color="auto" w:sz="4" w:space="0"/>
            </w:tcBorders>
            <w:vAlign w:val="center"/>
          </w:tcPr>
          <w:p w14:paraId="6F99FE22">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2B6B1C30">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6F5D85D1">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6164" w:type="dxa"/>
            <w:tcBorders>
              <w:top w:val="nil"/>
              <w:left w:val="nil"/>
              <w:bottom w:val="single" w:color="auto" w:sz="4" w:space="0"/>
              <w:right w:val="single" w:color="auto" w:sz="4" w:space="0"/>
            </w:tcBorders>
            <w:vAlign w:val="center"/>
          </w:tcPr>
          <w:p w14:paraId="71E38694">
            <w:pPr>
              <w:widowControl/>
              <w:rPr>
                <w:rFonts w:ascii="宋体" w:hAnsi="宋体" w:cs="宋体"/>
                <w:color w:val="000000"/>
                <w:kern w:val="0"/>
                <w:sz w:val="22"/>
                <w:highlight w:val="none"/>
              </w:rPr>
            </w:pPr>
            <w:r>
              <w:rPr>
                <w:rFonts w:ascii="宋体" w:hAnsi="宋体" w:cs="宋体"/>
                <w:color w:val="000000"/>
                <w:kern w:val="0"/>
                <w:sz w:val="22"/>
                <w:highlight w:val="none"/>
              </w:rPr>
              <w:t>视频监控存储系统</w:t>
            </w:r>
          </w:p>
        </w:tc>
        <w:tc>
          <w:tcPr>
            <w:tcW w:w="567" w:type="dxa"/>
            <w:tcBorders>
              <w:top w:val="nil"/>
              <w:left w:val="nil"/>
              <w:bottom w:val="single" w:color="auto" w:sz="4" w:space="0"/>
              <w:right w:val="single" w:color="auto" w:sz="4" w:space="0"/>
            </w:tcBorders>
            <w:vAlign w:val="center"/>
          </w:tcPr>
          <w:p w14:paraId="40AEE303">
            <w:pPr>
              <w:widowControl/>
              <w:jc w:val="center"/>
              <w:rPr>
                <w:rFonts w:ascii="宋体" w:hAnsi="宋体" w:cs="宋体"/>
                <w:color w:val="000000"/>
                <w:kern w:val="0"/>
                <w:sz w:val="22"/>
                <w:highlight w:val="none"/>
              </w:rPr>
            </w:pPr>
            <w:r>
              <w:rPr>
                <w:rFonts w:ascii="宋体" w:hAnsi="宋体" w:cs="宋体"/>
                <w:color w:val="000000"/>
                <w:kern w:val="0"/>
                <w:sz w:val="22"/>
                <w:highlight w:val="none"/>
              </w:rPr>
              <w:t>套</w:t>
            </w:r>
          </w:p>
        </w:tc>
        <w:tc>
          <w:tcPr>
            <w:tcW w:w="788" w:type="dxa"/>
            <w:tcBorders>
              <w:top w:val="nil"/>
              <w:left w:val="nil"/>
              <w:bottom w:val="single" w:color="auto" w:sz="4" w:space="0"/>
              <w:right w:val="single" w:color="auto" w:sz="4" w:space="0"/>
            </w:tcBorders>
            <w:vAlign w:val="center"/>
          </w:tcPr>
          <w:p w14:paraId="1047BEB0">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5D02DF8C">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47252465">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6164" w:type="dxa"/>
            <w:tcBorders>
              <w:top w:val="nil"/>
              <w:left w:val="nil"/>
              <w:bottom w:val="single" w:color="auto" w:sz="4" w:space="0"/>
              <w:right w:val="single" w:color="auto" w:sz="4" w:space="0"/>
            </w:tcBorders>
            <w:vAlign w:val="center"/>
          </w:tcPr>
          <w:p w14:paraId="76F2110D">
            <w:pPr>
              <w:widowControl/>
              <w:rPr>
                <w:rFonts w:ascii="宋体" w:hAnsi="宋体" w:cs="宋体"/>
                <w:color w:val="000000"/>
                <w:kern w:val="0"/>
                <w:sz w:val="22"/>
                <w:highlight w:val="none"/>
              </w:rPr>
            </w:pPr>
            <w:r>
              <w:rPr>
                <w:rFonts w:ascii="宋体" w:hAnsi="宋体" w:cs="宋体"/>
                <w:color w:val="000000"/>
                <w:kern w:val="0"/>
                <w:sz w:val="22"/>
                <w:highlight w:val="none"/>
              </w:rPr>
              <w:t>电子卡口后台处理系统</w:t>
            </w:r>
          </w:p>
        </w:tc>
        <w:tc>
          <w:tcPr>
            <w:tcW w:w="567" w:type="dxa"/>
            <w:tcBorders>
              <w:top w:val="nil"/>
              <w:left w:val="nil"/>
              <w:bottom w:val="single" w:color="auto" w:sz="4" w:space="0"/>
              <w:right w:val="single" w:color="auto" w:sz="4" w:space="0"/>
            </w:tcBorders>
            <w:vAlign w:val="center"/>
          </w:tcPr>
          <w:p w14:paraId="3F85222C">
            <w:pPr>
              <w:widowControl/>
              <w:jc w:val="center"/>
              <w:rPr>
                <w:rFonts w:ascii="宋体" w:hAnsi="宋体" w:cs="宋体"/>
                <w:color w:val="000000"/>
                <w:kern w:val="0"/>
                <w:sz w:val="22"/>
                <w:highlight w:val="none"/>
              </w:rPr>
            </w:pPr>
            <w:r>
              <w:rPr>
                <w:rFonts w:ascii="宋体" w:hAnsi="宋体" w:cs="宋体"/>
                <w:color w:val="000000"/>
                <w:kern w:val="0"/>
                <w:sz w:val="22"/>
                <w:highlight w:val="none"/>
              </w:rPr>
              <w:t>套</w:t>
            </w:r>
          </w:p>
        </w:tc>
        <w:tc>
          <w:tcPr>
            <w:tcW w:w="788" w:type="dxa"/>
            <w:tcBorders>
              <w:top w:val="nil"/>
              <w:left w:val="nil"/>
              <w:bottom w:val="single" w:color="auto" w:sz="4" w:space="0"/>
              <w:right w:val="single" w:color="auto" w:sz="4" w:space="0"/>
            </w:tcBorders>
            <w:vAlign w:val="center"/>
          </w:tcPr>
          <w:p w14:paraId="717CD4F6">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572109B2">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5246D334">
            <w:pPr>
              <w:widowControl/>
              <w:jc w:val="center"/>
              <w:rPr>
                <w:rFonts w:ascii="宋体" w:hAnsi="宋体" w:cs="宋体"/>
                <w:color w:val="000000"/>
                <w:kern w:val="0"/>
                <w:sz w:val="22"/>
                <w:highlight w:val="none"/>
              </w:rPr>
            </w:pPr>
            <w:r>
              <w:rPr>
                <w:rFonts w:ascii="宋体" w:hAnsi="宋体" w:cs="宋体"/>
                <w:color w:val="000000"/>
                <w:kern w:val="0"/>
                <w:sz w:val="22"/>
                <w:highlight w:val="none"/>
              </w:rPr>
              <w:t>4</w:t>
            </w:r>
          </w:p>
        </w:tc>
        <w:tc>
          <w:tcPr>
            <w:tcW w:w="6164" w:type="dxa"/>
            <w:tcBorders>
              <w:top w:val="nil"/>
              <w:left w:val="nil"/>
              <w:bottom w:val="single" w:color="auto" w:sz="4" w:space="0"/>
              <w:right w:val="single" w:color="auto" w:sz="4" w:space="0"/>
            </w:tcBorders>
            <w:vAlign w:val="center"/>
          </w:tcPr>
          <w:p w14:paraId="02214776">
            <w:pPr>
              <w:widowControl/>
              <w:rPr>
                <w:rFonts w:ascii="宋体" w:hAnsi="宋体" w:cs="宋体"/>
                <w:color w:val="000000"/>
                <w:kern w:val="0"/>
                <w:sz w:val="22"/>
                <w:highlight w:val="none"/>
              </w:rPr>
            </w:pPr>
            <w:r>
              <w:rPr>
                <w:rFonts w:ascii="宋体" w:hAnsi="宋体" w:cs="宋体"/>
                <w:color w:val="000000"/>
                <w:kern w:val="0"/>
                <w:sz w:val="22"/>
                <w:highlight w:val="none"/>
              </w:rPr>
              <w:t>电子卡口存储系统</w:t>
            </w:r>
          </w:p>
        </w:tc>
        <w:tc>
          <w:tcPr>
            <w:tcW w:w="567" w:type="dxa"/>
            <w:tcBorders>
              <w:top w:val="nil"/>
              <w:left w:val="nil"/>
              <w:bottom w:val="single" w:color="auto" w:sz="4" w:space="0"/>
              <w:right w:val="single" w:color="auto" w:sz="4" w:space="0"/>
            </w:tcBorders>
            <w:vAlign w:val="center"/>
          </w:tcPr>
          <w:p w14:paraId="51BF3DFA">
            <w:pPr>
              <w:widowControl/>
              <w:jc w:val="center"/>
              <w:rPr>
                <w:rFonts w:ascii="宋体" w:hAnsi="宋体" w:cs="宋体"/>
                <w:color w:val="000000"/>
                <w:kern w:val="0"/>
                <w:sz w:val="22"/>
                <w:highlight w:val="none"/>
              </w:rPr>
            </w:pPr>
            <w:r>
              <w:rPr>
                <w:rFonts w:ascii="宋体" w:hAnsi="宋体" w:cs="宋体"/>
                <w:color w:val="000000"/>
                <w:kern w:val="0"/>
                <w:sz w:val="22"/>
                <w:highlight w:val="none"/>
              </w:rPr>
              <w:t>套</w:t>
            </w:r>
          </w:p>
        </w:tc>
        <w:tc>
          <w:tcPr>
            <w:tcW w:w="788" w:type="dxa"/>
            <w:tcBorders>
              <w:top w:val="nil"/>
              <w:left w:val="nil"/>
              <w:bottom w:val="single" w:color="auto" w:sz="4" w:space="0"/>
              <w:right w:val="single" w:color="auto" w:sz="4" w:space="0"/>
            </w:tcBorders>
            <w:vAlign w:val="center"/>
          </w:tcPr>
          <w:p w14:paraId="30B97DEF">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3BD73ED5">
        <w:tblPrEx>
          <w:tblCellMar>
            <w:top w:w="0" w:type="dxa"/>
            <w:left w:w="57" w:type="dxa"/>
            <w:bottom w:w="0" w:type="dxa"/>
            <w:right w:w="57" w:type="dxa"/>
          </w:tblCellMar>
        </w:tblPrEx>
        <w:tc>
          <w:tcPr>
            <w:tcW w:w="0" w:type="auto"/>
            <w:tcBorders>
              <w:top w:val="nil"/>
              <w:left w:val="single" w:color="auto" w:sz="4" w:space="0"/>
              <w:bottom w:val="single" w:color="auto" w:sz="4" w:space="0"/>
              <w:right w:val="single" w:color="auto" w:sz="4" w:space="0"/>
            </w:tcBorders>
            <w:vAlign w:val="center"/>
          </w:tcPr>
          <w:p w14:paraId="297DE3A2">
            <w:pPr>
              <w:widowControl/>
              <w:jc w:val="center"/>
              <w:rPr>
                <w:rFonts w:ascii="宋体" w:hAnsi="宋体" w:cs="宋体"/>
                <w:color w:val="000000"/>
                <w:kern w:val="0"/>
                <w:sz w:val="22"/>
                <w:highlight w:val="none"/>
              </w:rPr>
            </w:pPr>
            <w:r>
              <w:rPr>
                <w:rFonts w:ascii="宋体" w:hAnsi="宋体" w:cs="宋体"/>
                <w:color w:val="000000"/>
                <w:kern w:val="0"/>
                <w:sz w:val="22"/>
                <w:highlight w:val="none"/>
              </w:rPr>
              <w:t>5</w:t>
            </w:r>
          </w:p>
        </w:tc>
        <w:tc>
          <w:tcPr>
            <w:tcW w:w="6164" w:type="dxa"/>
            <w:tcBorders>
              <w:top w:val="nil"/>
              <w:left w:val="nil"/>
              <w:bottom w:val="single" w:color="auto" w:sz="4" w:space="0"/>
              <w:right w:val="single" w:color="auto" w:sz="4" w:space="0"/>
            </w:tcBorders>
            <w:vAlign w:val="center"/>
          </w:tcPr>
          <w:p w14:paraId="5D927BE4">
            <w:pPr>
              <w:widowControl/>
              <w:rPr>
                <w:rFonts w:ascii="宋体" w:hAnsi="宋体" w:cs="宋体"/>
                <w:color w:val="000000"/>
                <w:kern w:val="0"/>
                <w:sz w:val="22"/>
                <w:highlight w:val="none"/>
              </w:rPr>
            </w:pPr>
            <w:r>
              <w:rPr>
                <w:rFonts w:ascii="宋体" w:hAnsi="宋体" w:cs="宋体"/>
                <w:color w:val="000000"/>
                <w:kern w:val="0"/>
                <w:sz w:val="22"/>
                <w:highlight w:val="none"/>
              </w:rPr>
              <w:t>机柜租赁服务</w:t>
            </w:r>
          </w:p>
        </w:tc>
        <w:tc>
          <w:tcPr>
            <w:tcW w:w="567" w:type="dxa"/>
            <w:tcBorders>
              <w:top w:val="nil"/>
              <w:left w:val="nil"/>
              <w:bottom w:val="single" w:color="auto" w:sz="4" w:space="0"/>
              <w:right w:val="single" w:color="auto" w:sz="4" w:space="0"/>
            </w:tcBorders>
            <w:vAlign w:val="center"/>
          </w:tcPr>
          <w:p w14:paraId="57A7C2F4">
            <w:pPr>
              <w:widowControl/>
              <w:jc w:val="center"/>
              <w:rPr>
                <w:rFonts w:ascii="宋体" w:hAnsi="宋体" w:cs="宋体"/>
                <w:color w:val="000000"/>
                <w:kern w:val="0"/>
                <w:sz w:val="22"/>
                <w:highlight w:val="none"/>
              </w:rPr>
            </w:pPr>
            <w:r>
              <w:rPr>
                <w:rFonts w:ascii="宋体" w:hAnsi="宋体" w:cs="宋体"/>
                <w:color w:val="000000"/>
                <w:kern w:val="0"/>
                <w:sz w:val="22"/>
                <w:highlight w:val="none"/>
              </w:rPr>
              <w:t>个</w:t>
            </w:r>
          </w:p>
        </w:tc>
        <w:tc>
          <w:tcPr>
            <w:tcW w:w="788" w:type="dxa"/>
            <w:tcBorders>
              <w:top w:val="nil"/>
              <w:left w:val="nil"/>
              <w:bottom w:val="single" w:color="auto" w:sz="4" w:space="0"/>
              <w:right w:val="single" w:color="auto" w:sz="4" w:space="0"/>
            </w:tcBorders>
            <w:vAlign w:val="center"/>
          </w:tcPr>
          <w:p w14:paraId="59EEDE69">
            <w:pPr>
              <w:widowControl/>
              <w:jc w:val="center"/>
              <w:rPr>
                <w:rFonts w:ascii="宋体" w:hAnsi="宋体" w:cs="宋体"/>
                <w:color w:val="000000"/>
                <w:kern w:val="0"/>
                <w:sz w:val="22"/>
                <w:highlight w:val="none"/>
              </w:rPr>
            </w:pPr>
            <w:r>
              <w:rPr>
                <w:rFonts w:ascii="宋体" w:hAnsi="宋体" w:cs="宋体"/>
                <w:color w:val="000000"/>
                <w:kern w:val="0"/>
                <w:sz w:val="22"/>
                <w:highlight w:val="none"/>
              </w:rPr>
              <w:t>8</w:t>
            </w:r>
          </w:p>
        </w:tc>
      </w:tr>
    </w:tbl>
    <w:p w14:paraId="4B923F4E">
      <w:pPr>
        <w:keepNext/>
        <w:keepLines/>
        <w:adjustRightInd w:val="0"/>
        <w:snapToGrid w:val="0"/>
        <w:spacing w:line="288" w:lineRule="auto"/>
        <w:ind w:firstLine="448" w:firstLineChars="200"/>
        <w:outlineLvl w:val="3"/>
        <w:rPr>
          <w:rFonts w:ascii="Cambria" w:hAnsi="Cambria"/>
          <w:b/>
          <w:bCs/>
          <w:sz w:val="24"/>
          <w:szCs w:val="28"/>
          <w:highlight w:val="none"/>
        </w:rPr>
      </w:pPr>
      <w:r>
        <w:rPr>
          <w:rFonts w:hint="eastAsia" w:ascii="Cambria" w:hAnsi="Cambria"/>
          <w:b/>
          <w:bCs/>
          <w:sz w:val="24"/>
          <w:szCs w:val="28"/>
          <w:highlight w:val="none"/>
        </w:rPr>
        <w:t>二、运维服务要求</w:t>
      </w:r>
    </w:p>
    <w:p w14:paraId="44936994">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（一）前端设备维护</w:t>
      </w:r>
    </w:p>
    <w:p w14:paraId="66462F3A">
      <w:pPr>
        <w:autoSpaceDE w:val="0"/>
        <w:autoSpaceDN w:val="0"/>
        <w:adjustRightInd w:val="0"/>
        <w:snapToGrid w:val="0"/>
        <w:spacing w:line="288" w:lineRule="auto"/>
        <w:ind w:firstLine="448" w:firstLineChars="200"/>
        <w:rPr>
          <w:sz w:val="24"/>
          <w:highlight w:val="none"/>
        </w:rPr>
      </w:pPr>
      <w:r>
        <w:rPr>
          <w:rFonts w:hint="eastAsia"/>
          <w:sz w:val="24"/>
          <w:highlight w:val="none"/>
        </w:rPr>
        <w:t>中标供应商需对前端视频监控的监控杆体、杆上设备、监控点位取电路由进行日常维护，确保设备正常运行，有效支持公安业务应用需求，满足前端设备月均完好率不低于97%；确保运维人员、运维对象及其周边车辆和人员的生命财产安全。</w:t>
      </w:r>
    </w:p>
    <w:p w14:paraId="2D8EA375">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（二）</w:t>
      </w:r>
      <w:r>
        <w:rPr>
          <w:b/>
          <w:bCs/>
          <w:sz w:val="24"/>
          <w:szCs w:val="28"/>
          <w:highlight w:val="none"/>
        </w:rPr>
        <w:t>加装智能摄像机维护</w:t>
      </w:r>
    </w:p>
    <w:p w14:paraId="54217BBF">
      <w:pPr>
        <w:autoSpaceDE w:val="0"/>
        <w:autoSpaceDN w:val="0"/>
        <w:adjustRightInd w:val="0"/>
        <w:snapToGrid w:val="0"/>
        <w:spacing w:line="288" w:lineRule="auto"/>
        <w:ind w:firstLine="448" w:firstLineChars="200"/>
        <w:rPr>
          <w:sz w:val="24"/>
          <w:highlight w:val="none"/>
        </w:rPr>
      </w:pPr>
      <w:r>
        <w:rPr>
          <w:sz w:val="24"/>
          <w:highlight w:val="none"/>
        </w:rPr>
        <w:t>由</w:t>
      </w:r>
      <w:r>
        <w:rPr>
          <w:rFonts w:hint="eastAsia"/>
          <w:sz w:val="24"/>
          <w:highlight w:val="none"/>
        </w:rPr>
        <w:t>招标人</w:t>
      </w:r>
      <w:r>
        <w:rPr>
          <w:sz w:val="24"/>
          <w:highlight w:val="none"/>
        </w:rPr>
        <w:t>指定第三方单位提供并加装的智能摄像机，纳入本</w:t>
      </w:r>
      <w:r>
        <w:rPr>
          <w:rFonts w:hint="eastAsia"/>
          <w:sz w:val="24"/>
          <w:highlight w:val="none"/>
        </w:rPr>
        <w:t>包</w:t>
      </w:r>
      <w:r>
        <w:rPr>
          <w:sz w:val="24"/>
          <w:highlight w:val="none"/>
        </w:rPr>
        <w:t>运维范围内，</w:t>
      </w:r>
      <w:r>
        <w:rPr>
          <w:rFonts w:hint="eastAsia"/>
          <w:sz w:val="24"/>
          <w:highlight w:val="none"/>
        </w:rPr>
        <w:t>中标供应商</w:t>
      </w:r>
      <w:r>
        <w:rPr>
          <w:sz w:val="24"/>
          <w:highlight w:val="none"/>
        </w:rPr>
        <w:t>负责其日常运维服务工作，确保设备正常运行。</w:t>
      </w:r>
    </w:p>
    <w:p w14:paraId="239529BA">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（三）前端设备拆除与加装</w:t>
      </w:r>
    </w:p>
    <w:p w14:paraId="2C6E8828">
      <w:pPr>
        <w:autoSpaceDE w:val="0"/>
        <w:autoSpaceDN w:val="0"/>
        <w:adjustRightInd w:val="0"/>
        <w:snapToGrid w:val="0"/>
        <w:spacing w:line="288" w:lineRule="auto"/>
        <w:ind w:firstLine="448" w:firstLineChars="200"/>
        <w:rPr>
          <w:sz w:val="24"/>
          <w:highlight w:val="none"/>
        </w:rPr>
      </w:pPr>
      <w:r>
        <w:rPr>
          <w:rFonts w:hint="eastAsia"/>
          <w:sz w:val="24"/>
          <w:highlight w:val="none"/>
        </w:rPr>
        <w:t>中标供应商应根据招标人要求拆除无需运维的监控点位，并对拆除监控点位遗留的电缆做好绝缘保护，避免漏电和人员触电事故。</w:t>
      </w:r>
      <w:r>
        <w:rPr>
          <w:sz w:val="24"/>
          <w:highlight w:val="none"/>
        </w:rPr>
        <w:t>同时在</w:t>
      </w:r>
      <w:r>
        <w:rPr>
          <w:rFonts w:hint="eastAsia"/>
          <w:sz w:val="24"/>
          <w:highlight w:val="none"/>
        </w:rPr>
        <w:t>招标人</w:t>
      </w:r>
      <w:r>
        <w:rPr>
          <w:sz w:val="24"/>
          <w:highlight w:val="none"/>
        </w:rPr>
        <w:t>指定的路口监控杆体上加装横臂，安装本次拆除的监控设备，实现利旧监控摄像机的加装。</w:t>
      </w:r>
    </w:p>
    <w:p w14:paraId="276A3A3A">
      <w:pPr>
        <w:autoSpaceDE w:val="0"/>
        <w:autoSpaceDN w:val="0"/>
        <w:adjustRightInd w:val="0"/>
        <w:snapToGrid w:val="0"/>
        <w:spacing w:line="288" w:lineRule="auto"/>
        <w:ind w:firstLine="448" w:firstLineChars="200"/>
        <w:rPr>
          <w:sz w:val="24"/>
          <w:highlight w:val="none"/>
        </w:rPr>
      </w:pPr>
      <w:r>
        <w:rPr>
          <w:rFonts w:hint="eastAsia"/>
          <w:sz w:val="24"/>
          <w:highlight w:val="none"/>
        </w:rPr>
        <w:t>拆除内容包括摄像机（含摄像机、护罩、镜头、云台、监控标识牌），拆除的设备统一交由招标人作为备品备件。参与拆除、加装工作人员应具备高空作业证、电工证等相关操作证件；</w:t>
      </w:r>
      <w:r>
        <w:rPr>
          <w:sz w:val="24"/>
          <w:highlight w:val="none"/>
        </w:rPr>
        <w:t>所加装设备纳入本次运维服务范围内</w:t>
      </w:r>
      <w:r>
        <w:rPr>
          <w:rFonts w:hint="eastAsia"/>
          <w:sz w:val="24"/>
          <w:highlight w:val="none"/>
        </w:rPr>
        <w:t>。</w:t>
      </w:r>
      <w:r>
        <w:rPr>
          <w:sz w:val="24"/>
          <w:highlight w:val="none"/>
        </w:rPr>
        <w:t>拆除</w:t>
      </w:r>
      <w:r>
        <w:rPr>
          <w:rFonts w:hint="eastAsia"/>
          <w:sz w:val="24"/>
          <w:highlight w:val="none"/>
        </w:rPr>
        <w:t>、加装利旧</w:t>
      </w:r>
      <w:r>
        <w:rPr>
          <w:sz w:val="24"/>
          <w:highlight w:val="none"/>
        </w:rPr>
        <w:t>设备数量以</w:t>
      </w:r>
      <w:r>
        <w:rPr>
          <w:rFonts w:hint="eastAsia"/>
          <w:sz w:val="24"/>
          <w:highlight w:val="none"/>
        </w:rPr>
        <w:t>工程量清单</w:t>
      </w:r>
      <w:r>
        <w:rPr>
          <w:sz w:val="24"/>
          <w:highlight w:val="none"/>
        </w:rPr>
        <w:t>中列出的数量为基准，运维期间实际拆除</w:t>
      </w:r>
      <w:r>
        <w:rPr>
          <w:rFonts w:hint="eastAsia"/>
          <w:sz w:val="24"/>
          <w:highlight w:val="none"/>
        </w:rPr>
        <w:t>、加装</w:t>
      </w:r>
      <w:r>
        <w:rPr>
          <w:sz w:val="24"/>
          <w:highlight w:val="none"/>
        </w:rPr>
        <w:t>数量，可在该基准数量的±50%范围内浮动调整。</w:t>
      </w:r>
    </w:p>
    <w:p w14:paraId="314898CA">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（四）杆体拆除</w:t>
      </w:r>
    </w:p>
    <w:p w14:paraId="491A4F6E">
      <w:pPr>
        <w:autoSpaceDE w:val="0"/>
        <w:autoSpaceDN w:val="0"/>
        <w:adjustRightInd w:val="0"/>
        <w:snapToGrid w:val="0"/>
        <w:spacing w:line="288" w:lineRule="auto"/>
        <w:ind w:firstLine="448" w:firstLineChars="200"/>
        <w:rPr>
          <w:sz w:val="24"/>
          <w:highlight w:val="none"/>
        </w:rPr>
      </w:pPr>
      <w:r>
        <w:rPr>
          <w:rFonts w:hint="eastAsia"/>
          <w:sz w:val="24"/>
          <w:highlight w:val="none"/>
        </w:rPr>
        <w:t>中标供应商应根据采购人要求将运维范围外指定点位的杆体拆除，并运输至采购人指定地点存放。</w:t>
      </w:r>
    </w:p>
    <w:p w14:paraId="116604D5">
      <w:pPr>
        <w:autoSpaceDE w:val="0"/>
        <w:autoSpaceDN w:val="0"/>
        <w:adjustRightInd w:val="0"/>
        <w:snapToGrid w:val="0"/>
        <w:spacing w:line="288" w:lineRule="auto"/>
        <w:ind w:firstLine="448" w:firstLineChars="200"/>
        <w:rPr>
          <w:sz w:val="24"/>
          <w:highlight w:val="none"/>
        </w:rPr>
      </w:pPr>
      <w:r>
        <w:rPr>
          <w:rFonts w:hint="eastAsia"/>
          <w:sz w:val="24"/>
          <w:highlight w:val="none"/>
        </w:rPr>
        <w:t>杆体需从原位置拆除，拆除后需清理地面钢铁结构及碎渣杂物，使恢复后路面与周边路边齐平。电源线按规范接续后埋地保护，确保监控系统供电回路连续完整。</w:t>
      </w:r>
    </w:p>
    <w:p w14:paraId="11D41900">
      <w:pPr>
        <w:autoSpaceDE w:val="0"/>
        <w:autoSpaceDN w:val="0"/>
        <w:adjustRightInd w:val="0"/>
        <w:snapToGrid w:val="0"/>
        <w:spacing w:line="288" w:lineRule="auto"/>
        <w:ind w:firstLine="448" w:firstLineChars="200"/>
        <w:rPr>
          <w:sz w:val="24"/>
          <w:highlight w:val="none"/>
        </w:rPr>
      </w:pPr>
      <w:r>
        <w:rPr>
          <w:rFonts w:hint="eastAsia"/>
          <w:sz w:val="24"/>
          <w:highlight w:val="none"/>
        </w:rPr>
        <w:t>在运维期间，杆体拆除位置与数量，以实际发生为准。</w:t>
      </w:r>
    </w:p>
    <w:p w14:paraId="10CFE2A1">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（五）</w:t>
      </w:r>
      <w:r>
        <w:rPr>
          <w:b/>
          <w:bCs/>
          <w:sz w:val="24"/>
          <w:szCs w:val="28"/>
          <w:highlight w:val="none"/>
        </w:rPr>
        <w:t>杆体拆除与迁移</w:t>
      </w:r>
    </w:p>
    <w:p w14:paraId="1235F4DC">
      <w:pPr>
        <w:autoSpaceDE w:val="0"/>
        <w:autoSpaceDN w:val="0"/>
        <w:adjustRightInd w:val="0"/>
        <w:snapToGrid w:val="0"/>
        <w:spacing w:line="288" w:lineRule="auto"/>
        <w:ind w:firstLine="448" w:firstLineChars="200"/>
        <w:rPr>
          <w:sz w:val="24"/>
          <w:highlight w:val="none"/>
        </w:rPr>
      </w:pPr>
      <w:r>
        <w:rPr>
          <w:rFonts w:hint="eastAsia"/>
          <w:sz w:val="24"/>
          <w:highlight w:val="none"/>
        </w:rPr>
        <w:t>中标供应商应根据招标人要求将运维范围外指定点位的杆体拆除，并迁移至新位置重新立杆。</w:t>
      </w:r>
    </w:p>
    <w:p w14:paraId="3AFF6281">
      <w:pPr>
        <w:autoSpaceDE w:val="0"/>
        <w:autoSpaceDN w:val="0"/>
        <w:adjustRightInd w:val="0"/>
        <w:snapToGrid w:val="0"/>
        <w:spacing w:line="288" w:lineRule="auto"/>
        <w:ind w:firstLine="448" w:firstLineChars="200"/>
        <w:rPr>
          <w:sz w:val="24"/>
          <w:highlight w:val="none"/>
        </w:rPr>
      </w:pPr>
      <w:r>
        <w:rPr>
          <w:rFonts w:hint="eastAsia"/>
          <w:sz w:val="24"/>
          <w:highlight w:val="none"/>
        </w:rPr>
        <w:t>杆体需从原位置拆除，拆除后需清理地面钢铁结构及碎渣杂物，将杆体基础顶面修整至低于周边路面一个面包砖的厚度，重新铺设面包砖，使恢复后路面与周边路边齐平。电源线按规范接续后埋地保护，确保监控系统供电回路连续完整。</w:t>
      </w:r>
    </w:p>
    <w:p w14:paraId="7272CCBF">
      <w:pPr>
        <w:autoSpaceDE w:val="0"/>
        <w:autoSpaceDN w:val="0"/>
        <w:adjustRightInd w:val="0"/>
        <w:snapToGrid w:val="0"/>
        <w:spacing w:line="288" w:lineRule="auto"/>
        <w:ind w:firstLine="448" w:firstLineChars="200"/>
        <w:rPr>
          <w:sz w:val="24"/>
          <w:highlight w:val="none"/>
        </w:rPr>
      </w:pPr>
      <w:r>
        <w:rPr>
          <w:rFonts w:hint="eastAsia"/>
          <w:sz w:val="24"/>
          <w:highlight w:val="none"/>
        </w:rPr>
        <w:t>重新立杆需要重新制作并安装杆体基础、立杆，并重新取电，其中包含的人工费、机械费、材料费由运维服务方承担。参与拆除、迁移工作人员应具备高空作业证、电工证等相关操作证件。</w:t>
      </w:r>
    </w:p>
    <w:p w14:paraId="3925AC14">
      <w:pPr>
        <w:autoSpaceDE w:val="0"/>
        <w:autoSpaceDN w:val="0"/>
        <w:adjustRightInd w:val="0"/>
        <w:snapToGrid w:val="0"/>
        <w:spacing w:line="288" w:lineRule="auto"/>
        <w:ind w:firstLine="448" w:firstLineChars="200"/>
        <w:rPr>
          <w:sz w:val="24"/>
          <w:highlight w:val="none"/>
        </w:rPr>
      </w:pPr>
      <w:r>
        <w:rPr>
          <w:rFonts w:hint="eastAsia"/>
          <w:sz w:val="24"/>
          <w:highlight w:val="none"/>
        </w:rPr>
        <w:t>迁移杆体上的摄像机（含摄像机、护罩、镜头、监控标识牌）、室外分线箱、箱内设备（室外分线箱中的PDU电源插座、电源防雷、工业交换机、前端存储）随杆体一同迁移，所迁移杆体的杆体维护、前端设备维护、前端设备供电、前端网络链路包含在运维范围内。</w:t>
      </w:r>
    </w:p>
    <w:p w14:paraId="75475C4B">
      <w:pPr>
        <w:autoSpaceDE w:val="0"/>
        <w:autoSpaceDN w:val="0"/>
        <w:adjustRightInd w:val="0"/>
        <w:snapToGrid w:val="0"/>
        <w:spacing w:line="288" w:lineRule="auto"/>
        <w:ind w:firstLine="448" w:firstLineChars="200"/>
        <w:rPr>
          <w:sz w:val="24"/>
          <w:highlight w:val="none"/>
        </w:rPr>
      </w:pPr>
      <w:r>
        <w:rPr>
          <w:rFonts w:hint="eastAsia"/>
          <w:sz w:val="24"/>
          <w:highlight w:val="none"/>
        </w:rPr>
        <w:t>在运维期间，杆体拆除、迁移的位置与数量，以实际发生为准。</w:t>
      </w:r>
    </w:p>
    <w:p w14:paraId="4DACB211">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（六）网络链路保障</w:t>
      </w:r>
    </w:p>
    <w:p w14:paraId="753803B9">
      <w:pPr>
        <w:autoSpaceDE w:val="0"/>
        <w:autoSpaceDN w:val="0"/>
        <w:adjustRightInd w:val="0"/>
        <w:snapToGrid w:val="0"/>
        <w:spacing w:line="288" w:lineRule="auto"/>
        <w:ind w:firstLine="448" w:firstLineChars="200"/>
        <w:rPr>
          <w:sz w:val="24"/>
          <w:highlight w:val="none"/>
        </w:rPr>
      </w:pPr>
      <w:bookmarkStart w:id="118" w:name="_Hlk203033847"/>
      <w:r>
        <w:rPr>
          <w:rFonts w:hint="eastAsia"/>
          <w:sz w:val="24"/>
          <w:highlight w:val="none"/>
        </w:rPr>
        <w:t>本包保障服务涉及视频监控百兆链路688条，千兆链路5条，万兆链路2条。以上网络链路由中标供应商负责，可根据实际情况与采购人要求进行调整，满足网络通畅要求。</w:t>
      </w:r>
      <w:bookmarkEnd w:id="118"/>
      <w:r>
        <w:rPr>
          <w:rFonts w:hint="eastAsia"/>
          <w:sz w:val="24"/>
          <w:highlight w:val="none"/>
        </w:rPr>
        <w:t>因特殊情况暂时无法接通有线链路的，可使用无线传输设备，无线传输设备比例最高不得超过百兆链路总数的</w:t>
      </w:r>
      <w:r>
        <w:rPr>
          <w:sz w:val="24"/>
          <w:highlight w:val="none"/>
        </w:rPr>
        <w:t>2%</w:t>
      </w:r>
      <w:r>
        <w:rPr>
          <w:rFonts w:hint="eastAsia"/>
          <w:sz w:val="24"/>
          <w:highlight w:val="none"/>
        </w:rPr>
        <w:t>。</w:t>
      </w:r>
    </w:p>
    <w:p w14:paraId="00F3D057">
      <w:pPr>
        <w:autoSpaceDE w:val="0"/>
        <w:autoSpaceDN w:val="0"/>
        <w:adjustRightInd w:val="0"/>
        <w:snapToGrid w:val="0"/>
        <w:spacing w:line="288" w:lineRule="auto"/>
        <w:ind w:firstLine="448" w:firstLineChars="200"/>
        <w:rPr>
          <w:sz w:val="24"/>
          <w:highlight w:val="none"/>
        </w:rPr>
      </w:pPr>
      <w:r>
        <w:rPr>
          <w:rFonts w:hint="eastAsia"/>
          <w:sz w:val="24"/>
          <w:highlight w:val="none"/>
        </w:rPr>
        <w:t>运维服务期间，招标人有权替换中标供应商租用的网络链路，替换的网络链路费用按替换时长从运维费用中核减。</w:t>
      </w:r>
    </w:p>
    <w:p w14:paraId="248C3E19">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（七）后端设备维护</w:t>
      </w:r>
    </w:p>
    <w:p w14:paraId="33370A2B">
      <w:pPr>
        <w:autoSpaceDE w:val="0"/>
        <w:autoSpaceDN w:val="0"/>
        <w:adjustRightInd w:val="0"/>
        <w:snapToGrid w:val="0"/>
        <w:spacing w:line="288" w:lineRule="auto"/>
        <w:ind w:firstLine="448" w:firstLineChars="200"/>
        <w:rPr>
          <w:sz w:val="24"/>
          <w:highlight w:val="none"/>
        </w:rPr>
      </w:pPr>
      <w:r>
        <w:rPr>
          <w:sz w:val="24"/>
          <w:highlight w:val="none"/>
        </w:rPr>
        <w:t>本包后端设备维护包括后端视频监控系统平台、视频监控存储设备、电子卡口后台处理系统、电子卡口存储系统、服务器、存储硬盘、网络交换机等，目前</w:t>
      </w:r>
      <w:r>
        <w:rPr>
          <w:rFonts w:hint="eastAsia"/>
          <w:sz w:val="24"/>
          <w:highlight w:val="none"/>
        </w:rPr>
        <w:t>托管</w:t>
      </w:r>
      <w:r>
        <w:rPr>
          <w:sz w:val="24"/>
          <w:highlight w:val="none"/>
        </w:rPr>
        <w:t>在大港油田信息中心OLT机房中，</w:t>
      </w:r>
      <w:r>
        <w:rPr>
          <w:rFonts w:hint="eastAsia"/>
          <w:sz w:val="24"/>
          <w:highlight w:val="none"/>
        </w:rPr>
        <w:t>中标供应商</w:t>
      </w:r>
      <w:r>
        <w:rPr>
          <w:sz w:val="24"/>
          <w:highlight w:val="none"/>
        </w:rPr>
        <w:t>需进行日常维护</w:t>
      </w:r>
      <w:r>
        <w:rPr>
          <w:rFonts w:hint="eastAsia"/>
          <w:sz w:val="24"/>
          <w:highlight w:val="none"/>
        </w:rPr>
        <w:t>，确保系统正常运行并支付机柜租赁费用</w:t>
      </w:r>
      <w:r>
        <w:rPr>
          <w:sz w:val="24"/>
          <w:highlight w:val="none"/>
        </w:rPr>
        <w:t>。以上后端设备发生故障无法修复后，该设备的更换由</w:t>
      </w:r>
      <w:r>
        <w:rPr>
          <w:rFonts w:hint="eastAsia"/>
          <w:sz w:val="24"/>
          <w:highlight w:val="none"/>
        </w:rPr>
        <w:t>中标供应商</w:t>
      </w:r>
      <w:r>
        <w:rPr>
          <w:sz w:val="24"/>
          <w:highlight w:val="none"/>
        </w:rPr>
        <w:t>无偿提供，确保系统正常运行</w:t>
      </w:r>
      <w:r>
        <w:rPr>
          <w:rFonts w:hint="eastAsia"/>
          <w:sz w:val="24"/>
          <w:highlight w:val="none"/>
        </w:rPr>
        <w:t>。</w:t>
      </w:r>
    </w:p>
    <w:p w14:paraId="618DE4BB">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（八）设备供电保障</w:t>
      </w:r>
    </w:p>
    <w:p w14:paraId="1B8CB89C">
      <w:pPr>
        <w:autoSpaceDE w:val="0"/>
        <w:autoSpaceDN w:val="0"/>
        <w:adjustRightInd w:val="0"/>
        <w:snapToGrid w:val="0"/>
        <w:spacing w:line="288" w:lineRule="auto"/>
        <w:ind w:firstLine="448" w:firstLineChars="200"/>
        <w:rPr>
          <w:sz w:val="24"/>
          <w:highlight w:val="none"/>
        </w:rPr>
      </w:pPr>
      <w:r>
        <w:rPr>
          <w:rFonts w:hint="eastAsia"/>
          <w:sz w:val="24"/>
          <w:highlight w:val="none"/>
        </w:rPr>
        <w:t>中标供应商应保障本次运维范围内前后端设备的电力正常供应和用电安全，并负责维护前端监控设备至取电点之间的供电路由。后端设备电力供应包含在机柜租赁保障服务中。</w:t>
      </w:r>
    </w:p>
    <w:p w14:paraId="0092EC3A">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（九）运维边界</w:t>
      </w:r>
    </w:p>
    <w:p w14:paraId="1F7D1F59">
      <w:pPr>
        <w:autoSpaceDE w:val="0"/>
        <w:autoSpaceDN w:val="0"/>
        <w:adjustRightInd w:val="0"/>
        <w:snapToGrid w:val="0"/>
        <w:spacing w:line="288" w:lineRule="auto"/>
        <w:ind w:firstLine="448" w:firstLineChars="200"/>
        <w:rPr>
          <w:sz w:val="24"/>
          <w:highlight w:val="none"/>
        </w:rPr>
      </w:pPr>
      <w:r>
        <w:rPr>
          <w:rFonts w:hint="eastAsia"/>
          <w:sz w:val="24"/>
          <w:highlight w:val="none"/>
        </w:rPr>
        <w:t>本包视频监控系统运维服务对象包括前端、网络链路及后台，其中前端运维服务对象包括前端监控杆体、杆上所有设备、取电点至监控杆体之间的取电路由。</w:t>
      </w:r>
      <w:r>
        <w:rPr>
          <w:sz w:val="24"/>
          <w:highlight w:val="none"/>
        </w:rPr>
        <w:t>网络链路</w:t>
      </w:r>
      <w:r>
        <w:rPr>
          <w:rFonts w:hint="eastAsia"/>
          <w:sz w:val="24"/>
          <w:highlight w:val="none"/>
        </w:rPr>
        <w:t>：（1）第6包：包括</w:t>
      </w:r>
      <w:r>
        <w:rPr>
          <w:sz w:val="24"/>
          <w:highlight w:val="none"/>
        </w:rPr>
        <w:t>前端点位</w:t>
      </w:r>
      <w:r>
        <w:rPr>
          <w:rFonts w:hint="eastAsia"/>
          <w:sz w:val="24"/>
          <w:highlight w:val="none"/>
        </w:rPr>
        <w:t>至</w:t>
      </w:r>
      <w:r>
        <w:rPr>
          <w:sz w:val="24"/>
          <w:highlight w:val="none"/>
        </w:rPr>
        <w:t>前端汇聚机房百兆链路</w:t>
      </w:r>
      <w:r>
        <w:rPr>
          <w:rFonts w:hint="eastAsia"/>
          <w:sz w:val="24"/>
          <w:highlight w:val="none"/>
        </w:rPr>
        <w:t>、</w:t>
      </w:r>
      <w:r>
        <w:rPr>
          <w:sz w:val="24"/>
          <w:highlight w:val="none"/>
        </w:rPr>
        <w:t>大港油田信息中心OLT机房</w:t>
      </w:r>
      <w:r>
        <w:rPr>
          <w:rFonts w:hint="eastAsia"/>
          <w:sz w:val="24"/>
          <w:highlight w:val="none"/>
        </w:rPr>
        <w:t>至</w:t>
      </w:r>
      <w:r>
        <w:rPr>
          <w:sz w:val="24"/>
          <w:highlight w:val="none"/>
        </w:rPr>
        <w:t>派出所千兆链路</w:t>
      </w:r>
      <w:r>
        <w:rPr>
          <w:rFonts w:hint="eastAsia"/>
          <w:sz w:val="24"/>
          <w:highlight w:val="none"/>
        </w:rPr>
        <w:t>、</w:t>
      </w:r>
      <w:r>
        <w:rPr>
          <w:sz w:val="24"/>
          <w:highlight w:val="none"/>
        </w:rPr>
        <w:t>大港油田信息中心OLT机房</w:t>
      </w:r>
      <w:r>
        <w:rPr>
          <w:rFonts w:hint="eastAsia"/>
          <w:sz w:val="24"/>
          <w:highlight w:val="none"/>
        </w:rPr>
        <w:t>至</w:t>
      </w:r>
      <w:r>
        <w:rPr>
          <w:sz w:val="24"/>
          <w:highlight w:val="none"/>
        </w:rPr>
        <w:t>大港联通港西机房千兆链路</w:t>
      </w:r>
      <w:r>
        <w:rPr>
          <w:rFonts w:hint="eastAsia"/>
          <w:sz w:val="24"/>
          <w:highlight w:val="none"/>
        </w:rPr>
        <w:t>、</w:t>
      </w:r>
      <w:r>
        <w:rPr>
          <w:sz w:val="24"/>
          <w:highlight w:val="none"/>
        </w:rPr>
        <w:t>大港油田信息中心OLT机房</w:t>
      </w:r>
      <w:r>
        <w:rPr>
          <w:rFonts w:hint="eastAsia"/>
          <w:sz w:val="24"/>
          <w:highlight w:val="none"/>
        </w:rPr>
        <w:t>至</w:t>
      </w:r>
      <w:r>
        <w:rPr>
          <w:sz w:val="24"/>
          <w:highlight w:val="none"/>
        </w:rPr>
        <w:t>大港广电机房万兆链路</w:t>
      </w:r>
      <w:r>
        <w:rPr>
          <w:rFonts w:hint="eastAsia"/>
          <w:sz w:val="24"/>
          <w:highlight w:val="none"/>
        </w:rPr>
        <w:t>；（2）第7包：</w:t>
      </w:r>
      <w:r>
        <w:rPr>
          <w:sz w:val="24"/>
          <w:highlight w:val="none"/>
        </w:rPr>
        <w:t>前端点位至大港油田信息中心OLT机房百兆链路，大港油田信息中心OLT机房至派出所千兆链路，大港油田信息中心OLT机房</w:t>
      </w:r>
      <w:r>
        <w:rPr>
          <w:rFonts w:hint="eastAsia"/>
          <w:sz w:val="24"/>
          <w:highlight w:val="none"/>
        </w:rPr>
        <w:t>至</w:t>
      </w:r>
      <w:r>
        <w:rPr>
          <w:sz w:val="24"/>
          <w:highlight w:val="none"/>
        </w:rPr>
        <w:t>联通IDC机房万兆链路</w:t>
      </w:r>
      <w:r>
        <w:rPr>
          <w:rFonts w:hint="eastAsia"/>
          <w:sz w:val="24"/>
          <w:highlight w:val="none"/>
        </w:rPr>
        <w:t>。</w:t>
      </w:r>
      <w:r>
        <w:rPr>
          <w:sz w:val="24"/>
          <w:highlight w:val="none"/>
        </w:rPr>
        <w:t>后端</w:t>
      </w:r>
      <w:r>
        <w:rPr>
          <w:rFonts w:hint="eastAsia"/>
          <w:sz w:val="24"/>
          <w:highlight w:val="none"/>
        </w:rPr>
        <w:t>包括视频监控系统平台、电子卡口后台处理系统、存储设备、服务器</w:t>
      </w:r>
      <w:r>
        <w:rPr>
          <w:sz w:val="24"/>
          <w:highlight w:val="none"/>
        </w:rPr>
        <w:t>及网络设备</w:t>
      </w:r>
      <w:r>
        <w:rPr>
          <w:rFonts w:hint="eastAsia"/>
          <w:sz w:val="24"/>
          <w:highlight w:val="none"/>
        </w:rPr>
        <w:t>托管在</w:t>
      </w:r>
      <w:r>
        <w:rPr>
          <w:sz w:val="24"/>
          <w:highlight w:val="none"/>
        </w:rPr>
        <w:t>大港油田信息中心OLT机房中</w:t>
      </w:r>
      <w:r>
        <w:rPr>
          <w:rFonts w:hint="eastAsia"/>
          <w:sz w:val="24"/>
          <w:highlight w:val="none"/>
        </w:rPr>
        <w:t>，具体运维边界如下表所示：</w:t>
      </w:r>
    </w:p>
    <w:tbl>
      <w:tblPr>
        <w:tblStyle w:val="19"/>
        <w:tblW w:w="5000" w:type="pct"/>
        <w:tblInd w:w="0" w:type="dxa"/>
        <w:tblLayout w:type="autofit"/>
        <w:tblCellMar>
          <w:top w:w="0" w:type="dxa"/>
          <w:left w:w="108" w:type="dxa"/>
          <w:bottom w:w="0" w:type="dxa"/>
          <w:right w:w="108" w:type="dxa"/>
        </w:tblCellMar>
      </w:tblPr>
      <w:tblGrid>
        <w:gridCol w:w="947"/>
        <w:gridCol w:w="1099"/>
        <w:gridCol w:w="6266"/>
      </w:tblGrid>
      <w:tr w14:paraId="5A3F3D4E">
        <w:tblPrEx>
          <w:tblCellMar>
            <w:top w:w="0" w:type="dxa"/>
            <w:left w:w="108" w:type="dxa"/>
            <w:bottom w:w="0" w:type="dxa"/>
            <w:right w:w="108" w:type="dxa"/>
          </w:tblCellMar>
        </w:tblPrEx>
        <w:trPr>
          <w:trHeight w:val="285" w:hRule="atLeast"/>
          <w:tblHeader/>
        </w:trPr>
        <w:tc>
          <w:tcPr>
            <w:tcW w:w="570" w:type="pct"/>
            <w:tcBorders>
              <w:top w:val="single" w:color="auto" w:sz="4" w:space="0"/>
              <w:left w:val="single" w:color="auto" w:sz="4" w:space="0"/>
              <w:bottom w:val="single" w:color="auto" w:sz="4" w:space="0"/>
              <w:right w:val="single" w:color="auto" w:sz="4" w:space="0"/>
            </w:tcBorders>
            <w:noWrap/>
            <w:vAlign w:val="center"/>
          </w:tcPr>
          <w:p w14:paraId="1E286E9B">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序号</w:t>
            </w:r>
          </w:p>
        </w:tc>
        <w:tc>
          <w:tcPr>
            <w:tcW w:w="661" w:type="pct"/>
            <w:tcBorders>
              <w:top w:val="single" w:color="auto" w:sz="4" w:space="0"/>
              <w:left w:val="nil"/>
              <w:bottom w:val="single" w:color="auto" w:sz="4" w:space="0"/>
              <w:right w:val="single" w:color="auto" w:sz="4" w:space="0"/>
            </w:tcBorders>
            <w:noWrap/>
            <w:vAlign w:val="center"/>
          </w:tcPr>
          <w:p w14:paraId="1027E40D">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位置</w:t>
            </w:r>
          </w:p>
        </w:tc>
        <w:tc>
          <w:tcPr>
            <w:tcW w:w="3770" w:type="pct"/>
            <w:tcBorders>
              <w:top w:val="single" w:color="auto" w:sz="4" w:space="0"/>
              <w:left w:val="nil"/>
              <w:bottom w:val="single" w:color="auto" w:sz="4" w:space="0"/>
              <w:right w:val="single" w:color="auto" w:sz="4" w:space="0"/>
            </w:tcBorders>
            <w:noWrap/>
            <w:vAlign w:val="center"/>
          </w:tcPr>
          <w:p w14:paraId="6564773D">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运维边界</w:t>
            </w:r>
          </w:p>
        </w:tc>
      </w:tr>
      <w:tr w14:paraId="2A5F8686">
        <w:tblPrEx>
          <w:tblCellMar>
            <w:top w:w="0" w:type="dxa"/>
            <w:left w:w="108" w:type="dxa"/>
            <w:bottom w:w="0" w:type="dxa"/>
            <w:right w:w="108" w:type="dxa"/>
          </w:tblCellMar>
        </w:tblPrEx>
        <w:trPr>
          <w:trHeight w:val="285" w:hRule="atLeast"/>
        </w:trPr>
        <w:tc>
          <w:tcPr>
            <w:tcW w:w="5000" w:type="pct"/>
            <w:gridSpan w:val="3"/>
            <w:tcBorders>
              <w:top w:val="single" w:color="auto" w:sz="4" w:space="0"/>
              <w:left w:val="single" w:color="auto" w:sz="4" w:space="0"/>
              <w:bottom w:val="single" w:color="auto" w:sz="4" w:space="0"/>
              <w:right w:val="single" w:color="auto" w:sz="4" w:space="0"/>
            </w:tcBorders>
            <w:noWrap/>
            <w:vAlign w:val="center"/>
          </w:tcPr>
          <w:p w14:paraId="471FCF46">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第</w:t>
            </w:r>
            <w:r>
              <w:rPr>
                <w:rFonts w:hint="eastAsia" w:ascii="宋体" w:hAnsi="宋体" w:cs="宋体"/>
                <w:b/>
                <w:bCs/>
                <w:color w:val="000000"/>
                <w:kern w:val="0"/>
                <w:sz w:val="22"/>
                <w:highlight w:val="none"/>
              </w:rPr>
              <w:t>6</w:t>
            </w:r>
            <w:r>
              <w:rPr>
                <w:rFonts w:ascii="宋体" w:hAnsi="宋体" w:cs="宋体"/>
                <w:b/>
                <w:bCs/>
                <w:color w:val="000000"/>
                <w:kern w:val="0"/>
                <w:sz w:val="22"/>
                <w:highlight w:val="none"/>
              </w:rPr>
              <w:t>包</w:t>
            </w:r>
          </w:p>
        </w:tc>
      </w:tr>
      <w:tr w14:paraId="40ABE395">
        <w:tblPrEx>
          <w:tblCellMar>
            <w:top w:w="0" w:type="dxa"/>
            <w:left w:w="108" w:type="dxa"/>
            <w:bottom w:w="0" w:type="dxa"/>
            <w:right w:w="108" w:type="dxa"/>
          </w:tblCellMar>
        </w:tblPrEx>
        <w:trPr>
          <w:trHeight w:val="1425" w:hRule="atLeast"/>
        </w:trPr>
        <w:tc>
          <w:tcPr>
            <w:tcW w:w="570" w:type="pct"/>
            <w:tcBorders>
              <w:top w:val="nil"/>
              <w:left w:val="single" w:color="auto" w:sz="4" w:space="0"/>
              <w:bottom w:val="single" w:color="auto" w:sz="4" w:space="0"/>
              <w:right w:val="single" w:color="auto" w:sz="4" w:space="0"/>
            </w:tcBorders>
            <w:noWrap/>
            <w:vAlign w:val="center"/>
          </w:tcPr>
          <w:p w14:paraId="2DB89135">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661" w:type="pct"/>
            <w:tcBorders>
              <w:top w:val="nil"/>
              <w:left w:val="nil"/>
              <w:bottom w:val="single" w:color="auto" w:sz="4" w:space="0"/>
              <w:right w:val="single" w:color="auto" w:sz="4" w:space="0"/>
            </w:tcBorders>
            <w:noWrap/>
            <w:vAlign w:val="center"/>
          </w:tcPr>
          <w:p w14:paraId="1CA75F85">
            <w:pPr>
              <w:widowControl/>
              <w:jc w:val="center"/>
              <w:rPr>
                <w:rFonts w:ascii="宋体" w:hAnsi="宋体" w:cs="宋体"/>
                <w:color w:val="000000"/>
                <w:kern w:val="0"/>
                <w:sz w:val="22"/>
                <w:highlight w:val="none"/>
              </w:rPr>
            </w:pPr>
            <w:r>
              <w:rPr>
                <w:rFonts w:ascii="宋体" w:hAnsi="宋体" w:cs="宋体"/>
                <w:color w:val="000000"/>
                <w:kern w:val="0"/>
                <w:sz w:val="22"/>
                <w:highlight w:val="none"/>
              </w:rPr>
              <w:t>前端</w:t>
            </w:r>
          </w:p>
        </w:tc>
        <w:tc>
          <w:tcPr>
            <w:tcW w:w="3770" w:type="pct"/>
            <w:tcBorders>
              <w:top w:val="nil"/>
              <w:left w:val="nil"/>
              <w:bottom w:val="single" w:color="auto" w:sz="4" w:space="0"/>
              <w:right w:val="single" w:color="auto" w:sz="4" w:space="0"/>
            </w:tcBorders>
            <w:vAlign w:val="center"/>
          </w:tcPr>
          <w:p w14:paraId="5C082CCF">
            <w:pPr>
              <w:widowControl/>
              <w:jc w:val="left"/>
              <w:rPr>
                <w:rFonts w:ascii="宋体" w:hAnsi="宋体" w:cs="宋体"/>
                <w:color w:val="000000"/>
                <w:kern w:val="0"/>
                <w:sz w:val="22"/>
                <w:highlight w:val="none"/>
              </w:rPr>
            </w:pPr>
            <w:r>
              <w:rPr>
                <w:rFonts w:ascii="宋体" w:hAnsi="宋体" w:cs="宋体"/>
                <w:color w:val="000000"/>
                <w:kern w:val="0"/>
                <w:sz w:val="22"/>
                <w:highlight w:val="none"/>
              </w:rPr>
              <w:t>监控杆体及杆上设备、抱杆机箱及箱内设备、监控杆体抱杆箱中光端盒端口至杆上设备之间网络、监控杆体之间至取电点的取电路由，运维服务方应负责前端监控设备的电路保障；</w:t>
            </w:r>
            <w:r>
              <w:rPr>
                <w:rFonts w:ascii="宋体" w:hAnsi="宋体" w:cs="宋体"/>
                <w:color w:val="000000"/>
                <w:kern w:val="0"/>
                <w:sz w:val="22"/>
                <w:highlight w:val="none"/>
              </w:rPr>
              <w:br w:type="textWrapping"/>
            </w:r>
            <w:r>
              <w:rPr>
                <w:rFonts w:ascii="宋体" w:hAnsi="宋体" w:cs="宋体"/>
                <w:color w:val="000000"/>
                <w:kern w:val="0"/>
                <w:sz w:val="22"/>
                <w:highlight w:val="none"/>
              </w:rPr>
              <w:t>第三方单位提供并加装的智能摄像机的维修工作，不在</w:t>
            </w:r>
            <w:r>
              <w:rPr>
                <w:rFonts w:hint="eastAsia" w:ascii="宋体" w:hAnsi="宋体" w:cs="宋体"/>
                <w:color w:val="000000"/>
                <w:kern w:val="0"/>
                <w:sz w:val="22"/>
                <w:highlight w:val="none"/>
              </w:rPr>
              <w:t>本包</w:t>
            </w:r>
            <w:r>
              <w:rPr>
                <w:rFonts w:ascii="宋体" w:hAnsi="宋体" w:cs="宋体"/>
                <w:color w:val="000000"/>
                <w:kern w:val="0"/>
                <w:sz w:val="22"/>
                <w:highlight w:val="none"/>
              </w:rPr>
              <w:t>运维服务范围内。</w:t>
            </w:r>
          </w:p>
        </w:tc>
      </w:tr>
      <w:tr w14:paraId="5BA30FED">
        <w:tblPrEx>
          <w:tblCellMar>
            <w:top w:w="0" w:type="dxa"/>
            <w:left w:w="108" w:type="dxa"/>
            <w:bottom w:w="0" w:type="dxa"/>
            <w:right w:w="108" w:type="dxa"/>
          </w:tblCellMar>
        </w:tblPrEx>
        <w:trPr>
          <w:trHeight w:val="570" w:hRule="atLeast"/>
        </w:trPr>
        <w:tc>
          <w:tcPr>
            <w:tcW w:w="570" w:type="pct"/>
            <w:tcBorders>
              <w:top w:val="nil"/>
              <w:left w:val="single" w:color="auto" w:sz="4" w:space="0"/>
              <w:bottom w:val="single" w:color="auto" w:sz="4" w:space="0"/>
              <w:right w:val="single" w:color="auto" w:sz="4" w:space="0"/>
            </w:tcBorders>
            <w:noWrap/>
            <w:vAlign w:val="center"/>
          </w:tcPr>
          <w:p w14:paraId="1D469190">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661" w:type="pct"/>
            <w:tcBorders>
              <w:top w:val="nil"/>
              <w:left w:val="nil"/>
              <w:bottom w:val="single" w:color="auto" w:sz="4" w:space="0"/>
              <w:right w:val="single" w:color="auto" w:sz="4" w:space="0"/>
            </w:tcBorders>
            <w:noWrap/>
            <w:vAlign w:val="center"/>
          </w:tcPr>
          <w:p w14:paraId="374B1143">
            <w:pPr>
              <w:widowControl/>
              <w:jc w:val="center"/>
              <w:rPr>
                <w:rFonts w:ascii="宋体" w:hAnsi="宋体" w:cs="宋体"/>
                <w:color w:val="000000"/>
                <w:kern w:val="0"/>
                <w:sz w:val="22"/>
                <w:highlight w:val="none"/>
              </w:rPr>
            </w:pPr>
            <w:r>
              <w:rPr>
                <w:rFonts w:ascii="宋体" w:hAnsi="宋体" w:cs="宋体"/>
                <w:color w:val="000000"/>
                <w:kern w:val="0"/>
                <w:sz w:val="22"/>
                <w:highlight w:val="none"/>
              </w:rPr>
              <w:t>前端链路</w:t>
            </w:r>
          </w:p>
        </w:tc>
        <w:tc>
          <w:tcPr>
            <w:tcW w:w="3770" w:type="pct"/>
            <w:tcBorders>
              <w:top w:val="nil"/>
              <w:left w:val="nil"/>
              <w:bottom w:val="single" w:color="auto" w:sz="4" w:space="0"/>
              <w:right w:val="single" w:color="auto" w:sz="4" w:space="0"/>
            </w:tcBorders>
            <w:vAlign w:val="center"/>
          </w:tcPr>
          <w:p w14:paraId="55E209E9">
            <w:pPr>
              <w:widowControl/>
              <w:jc w:val="left"/>
              <w:rPr>
                <w:rFonts w:ascii="宋体" w:hAnsi="宋体" w:cs="宋体"/>
                <w:color w:val="000000"/>
                <w:kern w:val="0"/>
                <w:sz w:val="22"/>
                <w:highlight w:val="none"/>
              </w:rPr>
            </w:pPr>
            <w:r>
              <w:rPr>
                <w:rFonts w:ascii="宋体" w:hAnsi="宋体" w:cs="宋体"/>
                <w:color w:val="000000"/>
                <w:kern w:val="0"/>
                <w:sz w:val="22"/>
                <w:highlight w:val="none"/>
              </w:rPr>
              <w:t>监控杆体抱杆箱中光端盒至大港油田信息中心OLT机房、前端汇聚机房之间的网络链路；</w:t>
            </w:r>
            <w:r>
              <w:rPr>
                <w:rFonts w:ascii="宋体" w:hAnsi="宋体" w:cs="宋体"/>
                <w:color w:val="000000"/>
                <w:kern w:val="0"/>
                <w:sz w:val="22"/>
                <w:highlight w:val="none"/>
              </w:rPr>
              <w:br w:type="textWrapping"/>
            </w:r>
            <w:r>
              <w:rPr>
                <w:rFonts w:ascii="宋体" w:hAnsi="宋体" w:cs="宋体"/>
                <w:color w:val="000000"/>
                <w:kern w:val="0"/>
                <w:sz w:val="22"/>
                <w:highlight w:val="none"/>
              </w:rPr>
              <w:t>前端汇聚机房汇聚交换机以及</w:t>
            </w:r>
            <w:r>
              <w:rPr>
                <w:rFonts w:hint="eastAsia" w:ascii="宋体" w:hAnsi="宋体" w:cs="宋体"/>
                <w:color w:val="000000"/>
                <w:kern w:val="0"/>
                <w:sz w:val="22"/>
                <w:highlight w:val="none"/>
              </w:rPr>
              <w:t>与其</w:t>
            </w:r>
            <w:r>
              <w:rPr>
                <w:rFonts w:ascii="宋体" w:hAnsi="宋体" w:cs="宋体"/>
                <w:color w:val="000000"/>
                <w:kern w:val="0"/>
                <w:sz w:val="22"/>
                <w:highlight w:val="none"/>
              </w:rPr>
              <w:t>连接的其他设备不在本</w:t>
            </w:r>
            <w:r>
              <w:rPr>
                <w:rFonts w:hint="eastAsia" w:ascii="宋体" w:hAnsi="宋体" w:cs="宋体"/>
                <w:color w:val="000000"/>
                <w:kern w:val="0"/>
                <w:sz w:val="22"/>
                <w:highlight w:val="none"/>
              </w:rPr>
              <w:t>包</w:t>
            </w:r>
            <w:r>
              <w:rPr>
                <w:rFonts w:ascii="宋体" w:hAnsi="宋体" w:cs="宋体"/>
                <w:color w:val="000000"/>
                <w:kern w:val="0"/>
                <w:sz w:val="22"/>
                <w:highlight w:val="none"/>
              </w:rPr>
              <w:t>运维范围内。</w:t>
            </w:r>
          </w:p>
        </w:tc>
      </w:tr>
      <w:tr w14:paraId="50C84AAA">
        <w:tblPrEx>
          <w:tblCellMar>
            <w:top w:w="0" w:type="dxa"/>
            <w:left w:w="108" w:type="dxa"/>
            <w:bottom w:w="0" w:type="dxa"/>
            <w:right w:w="108" w:type="dxa"/>
          </w:tblCellMar>
        </w:tblPrEx>
        <w:trPr>
          <w:trHeight w:val="855" w:hRule="atLeast"/>
        </w:trPr>
        <w:tc>
          <w:tcPr>
            <w:tcW w:w="570" w:type="pct"/>
            <w:tcBorders>
              <w:top w:val="nil"/>
              <w:left w:val="single" w:color="auto" w:sz="4" w:space="0"/>
              <w:bottom w:val="single" w:color="auto" w:sz="4" w:space="0"/>
              <w:right w:val="single" w:color="auto" w:sz="4" w:space="0"/>
            </w:tcBorders>
            <w:noWrap/>
            <w:vAlign w:val="center"/>
          </w:tcPr>
          <w:p w14:paraId="19A6E099">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661" w:type="pct"/>
            <w:tcBorders>
              <w:top w:val="nil"/>
              <w:left w:val="nil"/>
              <w:bottom w:val="single" w:color="auto" w:sz="4" w:space="0"/>
              <w:right w:val="single" w:color="auto" w:sz="4" w:space="0"/>
            </w:tcBorders>
            <w:noWrap/>
            <w:vAlign w:val="center"/>
          </w:tcPr>
          <w:p w14:paraId="32031DD5">
            <w:pPr>
              <w:widowControl/>
              <w:jc w:val="center"/>
              <w:rPr>
                <w:rFonts w:ascii="宋体" w:hAnsi="宋体" w:cs="宋体"/>
                <w:color w:val="000000"/>
                <w:kern w:val="0"/>
                <w:sz w:val="22"/>
                <w:highlight w:val="none"/>
              </w:rPr>
            </w:pPr>
            <w:r>
              <w:rPr>
                <w:rFonts w:ascii="宋体" w:hAnsi="宋体" w:cs="宋体"/>
                <w:color w:val="000000"/>
                <w:kern w:val="0"/>
                <w:sz w:val="22"/>
                <w:highlight w:val="none"/>
              </w:rPr>
              <w:t>派出所</w:t>
            </w:r>
          </w:p>
        </w:tc>
        <w:tc>
          <w:tcPr>
            <w:tcW w:w="3770" w:type="pct"/>
            <w:tcBorders>
              <w:top w:val="nil"/>
              <w:left w:val="nil"/>
              <w:bottom w:val="single" w:color="auto" w:sz="4" w:space="0"/>
              <w:right w:val="single" w:color="auto" w:sz="4" w:space="0"/>
            </w:tcBorders>
            <w:vAlign w:val="center"/>
          </w:tcPr>
          <w:p w14:paraId="3C9C3C76">
            <w:pPr>
              <w:widowControl/>
              <w:jc w:val="left"/>
              <w:rPr>
                <w:rFonts w:ascii="宋体" w:hAnsi="宋体" w:cs="宋体"/>
                <w:color w:val="000000"/>
                <w:kern w:val="0"/>
                <w:sz w:val="22"/>
                <w:highlight w:val="none"/>
              </w:rPr>
            </w:pPr>
            <w:r>
              <w:rPr>
                <w:rFonts w:ascii="宋体" w:hAnsi="宋体" w:cs="宋体"/>
                <w:color w:val="000000"/>
                <w:kern w:val="0"/>
                <w:sz w:val="22"/>
                <w:highlight w:val="none"/>
              </w:rPr>
              <w:t>大港油田信息中心OLT机房至各派出所间千兆光纤链路</w:t>
            </w:r>
            <w:r>
              <w:rPr>
                <w:rFonts w:hint="eastAsia" w:ascii="宋体" w:hAnsi="宋体" w:cs="宋体"/>
                <w:color w:val="000000"/>
                <w:kern w:val="0"/>
                <w:sz w:val="22"/>
                <w:highlight w:val="none"/>
              </w:rPr>
              <w:t>，派出所视频专网千兆交换机与光模块</w:t>
            </w:r>
            <w:r>
              <w:rPr>
                <w:rFonts w:ascii="宋体" w:hAnsi="宋体" w:cs="宋体"/>
                <w:color w:val="000000"/>
                <w:kern w:val="0"/>
                <w:sz w:val="22"/>
                <w:highlight w:val="none"/>
              </w:rPr>
              <w:t>；</w:t>
            </w:r>
            <w:r>
              <w:rPr>
                <w:rFonts w:ascii="宋体" w:hAnsi="宋体" w:cs="宋体"/>
                <w:color w:val="000000"/>
                <w:kern w:val="0"/>
                <w:sz w:val="22"/>
                <w:highlight w:val="none"/>
              </w:rPr>
              <w:br w:type="textWrapping"/>
            </w:r>
            <w:r>
              <w:rPr>
                <w:rFonts w:hint="eastAsia" w:ascii="宋体" w:hAnsi="宋体" w:cs="宋体"/>
                <w:color w:val="000000"/>
                <w:kern w:val="0"/>
                <w:sz w:val="22"/>
                <w:highlight w:val="none"/>
              </w:rPr>
              <w:t>与</w:t>
            </w:r>
            <w:r>
              <w:rPr>
                <w:rFonts w:ascii="宋体" w:hAnsi="宋体" w:cs="宋体"/>
                <w:color w:val="000000"/>
                <w:kern w:val="0"/>
                <w:sz w:val="22"/>
                <w:highlight w:val="none"/>
              </w:rPr>
              <w:t>派出所</w:t>
            </w:r>
            <w:r>
              <w:rPr>
                <w:rFonts w:hint="eastAsia" w:ascii="宋体" w:hAnsi="宋体" w:cs="宋体"/>
                <w:color w:val="000000"/>
                <w:kern w:val="0"/>
                <w:sz w:val="22"/>
                <w:highlight w:val="none"/>
              </w:rPr>
              <w:t>千兆交换机连接的其他设备不在本包运维范围内。</w:t>
            </w:r>
          </w:p>
        </w:tc>
      </w:tr>
      <w:tr w14:paraId="4814E173">
        <w:tblPrEx>
          <w:tblCellMar>
            <w:top w:w="0" w:type="dxa"/>
            <w:left w:w="108" w:type="dxa"/>
            <w:bottom w:w="0" w:type="dxa"/>
            <w:right w:w="108" w:type="dxa"/>
          </w:tblCellMar>
        </w:tblPrEx>
        <w:trPr>
          <w:trHeight w:val="1140" w:hRule="atLeast"/>
        </w:trPr>
        <w:tc>
          <w:tcPr>
            <w:tcW w:w="570" w:type="pct"/>
            <w:tcBorders>
              <w:top w:val="nil"/>
              <w:left w:val="single" w:color="auto" w:sz="4" w:space="0"/>
              <w:bottom w:val="single" w:color="auto" w:sz="4" w:space="0"/>
              <w:right w:val="single" w:color="auto" w:sz="4" w:space="0"/>
            </w:tcBorders>
            <w:noWrap/>
            <w:vAlign w:val="center"/>
          </w:tcPr>
          <w:p w14:paraId="2EE546C2">
            <w:pPr>
              <w:widowControl/>
              <w:jc w:val="center"/>
              <w:rPr>
                <w:rFonts w:ascii="宋体" w:hAnsi="宋体" w:cs="宋体"/>
                <w:color w:val="000000"/>
                <w:kern w:val="0"/>
                <w:sz w:val="22"/>
                <w:highlight w:val="none"/>
              </w:rPr>
            </w:pPr>
            <w:r>
              <w:rPr>
                <w:rFonts w:ascii="宋体" w:hAnsi="宋体" w:cs="宋体"/>
                <w:color w:val="000000"/>
                <w:kern w:val="0"/>
                <w:sz w:val="22"/>
                <w:highlight w:val="none"/>
              </w:rPr>
              <w:t>4</w:t>
            </w:r>
          </w:p>
        </w:tc>
        <w:tc>
          <w:tcPr>
            <w:tcW w:w="661" w:type="pct"/>
            <w:tcBorders>
              <w:top w:val="nil"/>
              <w:left w:val="nil"/>
              <w:bottom w:val="single" w:color="auto" w:sz="4" w:space="0"/>
              <w:right w:val="single" w:color="auto" w:sz="4" w:space="0"/>
            </w:tcBorders>
            <w:noWrap/>
            <w:vAlign w:val="center"/>
          </w:tcPr>
          <w:p w14:paraId="2CD842A4">
            <w:pPr>
              <w:widowControl/>
              <w:jc w:val="center"/>
              <w:rPr>
                <w:rFonts w:ascii="宋体" w:hAnsi="宋体" w:cs="宋体"/>
                <w:color w:val="000000"/>
                <w:kern w:val="0"/>
                <w:sz w:val="22"/>
                <w:highlight w:val="none"/>
              </w:rPr>
            </w:pPr>
            <w:r>
              <w:rPr>
                <w:rFonts w:ascii="宋体" w:hAnsi="宋体" w:cs="宋体"/>
                <w:color w:val="000000"/>
                <w:kern w:val="0"/>
                <w:sz w:val="22"/>
                <w:highlight w:val="none"/>
              </w:rPr>
              <w:t>后端</w:t>
            </w:r>
          </w:p>
        </w:tc>
        <w:tc>
          <w:tcPr>
            <w:tcW w:w="3770" w:type="pct"/>
            <w:tcBorders>
              <w:top w:val="nil"/>
              <w:left w:val="nil"/>
              <w:bottom w:val="single" w:color="auto" w:sz="4" w:space="0"/>
              <w:right w:val="single" w:color="auto" w:sz="4" w:space="0"/>
            </w:tcBorders>
            <w:vAlign w:val="center"/>
          </w:tcPr>
          <w:p w14:paraId="7F814FF6">
            <w:pPr>
              <w:widowControl/>
              <w:jc w:val="left"/>
              <w:rPr>
                <w:rFonts w:ascii="宋体" w:hAnsi="宋体" w:cs="宋体"/>
                <w:color w:val="000000"/>
                <w:kern w:val="0"/>
                <w:sz w:val="22"/>
                <w:highlight w:val="none"/>
              </w:rPr>
            </w:pPr>
            <w:r>
              <w:rPr>
                <w:rFonts w:hint="eastAsia" w:ascii="宋体" w:hAnsi="宋体" w:cs="宋体"/>
                <w:color w:val="000000"/>
                <w:kern w:val="0"/>
                <w:sz w:val="22"/>
                <w:highlight w:val="none"/>
              </w:rPr>
              <w:t>大港油田信息中心OLT机房与大港联通港西汇聚交换机间的千兆链路；</w:t>
            </w:r>
          </w:p>
          <w:p w14:paraId="1EE58E06">
            <w:pPr>
              <w:widowControl/>
              <w:jc w:val="left"/>
              <w:rPr>
                <w:rFonts w:ascii="宋体" w:hAnsi="宋体" w:cs="宋体"/>
                <w:color w:val="000000"/>
                <w:kern w:val="0"/>
                <w:sz w:val="22"/>
                <w:highlight w:val="none"/>
              </w:rPr>
            </w:pPr>
            <w:r>
              <w:rPr>
                <w:rFonts w:hint="eastAsia" w:ascii="宋体" w:hAnsi="宋体" w:cs="宋体"/>
                <w:color w:val="000000"/>
                <w:kern w:val="0"/>
                <w:sz w:val="22"/>
                <w:highlight w:val="none"/>
              </w:rPr>
              <w:t>该大港联通港西汇聚交换机、与其连接的和本包无关的其他设备，不在本包运维范围内。</w:t>
            </w:r>
          </w:p>
          <w:p w14:paraId="6786472E">
            <w:pPr>
              <w:widowControl/>
              <w:jc w:val="left"/>
              <w:rPr>
                <w:rFonts w:ascii="宋体" w:hAnsi="宋体" w:cs="宋体"/>
                <w:color w:val="000000"/>
                <w:kern w:val="0"/>
                <w:sz w:val="22"/>
                <w:highlight w:val="none"/>
              </w:rPr>
            </w:pPr>
            <w:r>
              <w:rPr>
                <w:rFonts w:hint="eastAsia" w:ascii="宋体" w:hAnsi="宋体" w:cs="宋体"/>
                <w:color w:val="000000"/>
                <w:kern w:val="0"/>
                <w:sz w:val="22"/>
                <w:highlight w:val="none"/>
              </w:rPr>
              <w:t>大港油田信息中心OLT机房中，与本包相关的存储系统，交换机，光模块等；</w:t>
            </w:r>
          </w:p>
          <w:p w14:paraId="2565A919">
            <w:pPr>
              <w:widowControl/>
              <w:jc w:val="left"/>
              <w:rPr>
                <w:rFonts w:ascii="宋体" w:hAnsi="宋体" w:cs="宋体"/>
                <w:color w:val="000000"/>
                <w:kern w:val="0"/>
                <w:sz w:val="22"/>
                <w:highlight w:val="none"/>
              </w:rPr>
            </w:pPr>
            <w:r>
              <w:rPr>
                <w:rFonts w:hint="eastAsia" w:ascii="宋体" w:hAnsi="宋体" w:cs="宋体"/>
                <w:color w:val="000000"/>
                <w:kern w:val="0"/>
                <w:sz w:val="22"/>
                <w:highlight w:val="none"/>
              </w:rPr>
              <w:t>本包三层万兆交换机至大港广电机房视频专网交换机对应光口间的网络链路；大港广电机房视频专网交换机及与其连接的其他设备不在本包运维范围内。</w:t>
            </w:r>
          </w:p>
        </w:tc>
      </w:tr>
      <w:tr w14:paraId="4C55F8B8">
        <w:tblPrEx>
          <w:tblCellMar>
            <w:top w:w="0" w:type="dxa"/>
            <w:left w:w="108" w:type="dxa"/>
            <w:bottom w:w="0" w:type="dxa"/>
            <w:right w:w="108" w:type="dxa"/>
          </w:tblCellMar>
        </w:tblPrEx>
        <w:trPr>
          <w:trHeight w:val="285" w:hRule="atLeast"/>
        </w:trPr>
        <w:tc>
          <w:tcPr>
            <w:tcW w:w="5000" w:type="pct"/>
            <w:gridSpan w:val="3"/>
            <w:tcBorders>
              <w:top w:val="single" w:color="auto" w:sz="4" w:space="0"/>
              <w:left w:val="single" w:color="auto" w:sz="4" w:space="0"/>
              <w:bottom w:val="single" w:color="auto" w:sz="4" w:space="0"/>
              <w:right w:val="single" w:color="auto" w:sz="4" w:space="0"/>
            </w:tcBorders>
            <w:noWrap/>
            <w:vAlign w:val="center"/>
          </w:tcPr>
          <w:p w14:paraId="6419C98C">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第</w:t>
            </w:r>
            <w:r>
              <w:rPr>
                <w:rFonts w:hint="eastAsia" w:ascii="宋体" w:hAnsi="宋体" w:cs="宋体"/>
                <w:b/>
                <w:bCs/>
                <w:color w:val="000000"/>
                <w:kern w:val="0"/>
                <w:sz w:val="22"/>
                <w:highlight w:val="none"/>
              </w:rPr>
              <w:t>7</w:t>
            </w:r>
            <w:r>
              <w:rPr>
                <w:rFonts w:ascii="宋体" w:hAnsi="宋体" w:cs="宋体"/>
                <w:b/>
                <w:bCs/>
                <w:color w:val="000000"/>
                <w:kern w:val="0"/>
                <w:sz w:val="22"/>
                <w:highlight w:val="none"/>
              </w:rPr>
              <w:t>包</w:t>
            </w:r>
          </w:p>
        </w:tc>
      </w:tr>
      <w:tr w14:paraId="14C026FD">
        <w:tblPrEx>
          <w:tblCellMar>
            <w:top w:w="0" w:type="dxa"/>
            <w:left w:w="108" w:type="dxa"/>
            <w:bottom w:w="0" w:type="dxa"/>
            <w:right w:w="108" w:type="dxa"/>
          </w:tblCellMar>
        </w:tblPrEx>
        <w:trPr>
          <w:trHeight w:val="1350" w:hRule="atLeast"/>
        </w:trPr>
        <w:tc>
          <w:tcPr>
            <w:tcW w:w="570" w:type="pct"/>
            <w:tcBorders>
              <w:top w:val="nil"/>
              <w:left w:val="single" w:color="auto" w:sz="4" w:space="0"/>
              <w:bottom w:val="single" w:color="auto" w:sz="4" w:space="0"/>
              <w:right w:val="single" w:color="auto" w:sz="4" w:space="0"/>
            </w:tcBorders>
            <w:noWrap/>
            <w:vAlign w:val="center"/>
          </w:tcPr>
          <w:p w14:paraId="19338429">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661" w:type="pct"/>
            <w:tcBorders>
              <w:top w:val="nil"/>
              <w:left w:val="nil"/>
              <w:bottom w:val="single" w:color="auto" w:sz="4" w:space="0"/>
              <w:right w:val="single" w:color="auto" w:sz="4" w:space="0"/>
            </w:tcBorders>
            <w:noWrap/>
            <w:vAlign w:val="center"/>
          </w:tcPr>
          <w:p w14:paraId="6861E026">
            <w:pPr>
              <w:widowControl/>
              <w:jc w:val="center"/>
              <w:rPr>
                <w:rFonts w:ascii="宋体" w:hAnsi="宋体" w:cs="宋体"/>
                <w:color w:val="000000"/>
                <w:kern w:val="0"/>
                <w:sz w:val="22"/>
                <w:highlight w:val="none"/>
              </w:rPr>
            </w:pPr>
            <w:r>
              <w:rPr>
                <w:rFonts w:ascii="宋体" w:hAnsi="宋体" w:cs="宋体"/>
                <w:color w:val="000000"/>
                <w:kern w:val="0"/>
                <w:sz w:val="22"/>
                <w:highlight w:val="none"/>
              </w:rPr>
              <w:t>前端</w:t>
            </w:r>
          </w:p>
        </w:tc>
        <w:tc>
          <w:tcPr>
            <w:tcW w:w="3770" w:type="pct"/>
            <w:tcBorders>
              <w:top w:val="nil"/>
              <w:left w:val="nil"/>
              <w:bottom w:val="single" w:color="auto" w:sz="4" w:space="0"/>
              <w:right w:val="single" w:color="auto" w:sz="4" w:space="0"/>
            </w:tcBorders>
            <w:vAlign w:val="center"/>
          </w:tcPr>
          <w:p w14:paraId="0DE1080B">
            <w:pPr>
              <w:widowControl/>
              <w:jc w:val="left"/>
              <w:rPr>
                <w:rFonts w:ascii="宋体" w:hAnsi="宋体" w:cs="宋体"/>
                <w:color w:val="000000"/>
                <w:kern w:val="0"/>
                <w:sz w:val="22"/>
                <w:highlight w:val="none"/>
              </w:rPr>
            </w:pPr>
            <w:r>
              <w:rPr>
                <w:rFonts w:hint="eastAsia" w:ascii="宋体" w:hAnsi="宋体" w:cs="宋体"/>
                <w:color w:val="000000"/>
                <w:kern w:val="0"/>
                <w:sz w:val="22"/>
                <w:highlight w:val="none"/>
              </w:rPr>
              <w:t>监控杆体及杆上设备、抱杆机箱及箱内设备、监控杆体抱杆箱中光端盒端口至杆上设备之间网络、监控杆体之间至取电点的取电路由，运维服务方应负责前端监控设备的电路保障；</w:t>
            </w:r>
          </w:p>
          <w:p w14:paraId="0CFE599A">
            <w:pPr>
              <w:widowControl/>
              <w:jc w:val="left"/>
              <w:rPr>
                <w:rFonts w:ascii="宋体" w:hAnsi="宋体" w:cs="宋体"/>
                <w:color w:val="000000"/>
                <w:kern w:val="0"/>
                <w:sz w:val="22"/>
                <w:highlight w:val="none"/>
              </w:rPr>
            </w:pPr>
            <w:r>
              <w:rPr>
                <w:rFonts w:hint="eastAsia" w:ascii="宋体" w:hAnsi="宋体" w:cs="宋体"/>
                <w:color w:val="000000"/>
                <w:kern w:val="0"/>
                <w:sz w:val="22"/>
                <w:highlight w:val="none"/>
              </w:rPr>
              <w:t>第三方单位提供并加装的智能摄像机的维修工作，不在本包运维服务范围内。</w:t>
            </w:r>
          </w:p>
        </w:tc>
      </w:tr>
      <w:tr w14:paraId="66B195E6">
        <w:tblPrEx>
          <w:tblCellMar>
            <w:top w:w="0" w:type="dxa"/>
            <w:left w:w="108" w:type="dxa"/>
            <w:bottom w:w="0" w:type="dxa"/>
            <w:right w:w="108" w:type="dxa"/>
          </w:tblCellMar>
        </w:tblPrEx>
        <w:trPr>
          <w:trHeight w:val="270" w:hRule="atLeast"/>
        </w:trPr>
        <w:tc>
          <w:tcPr>
            <w:tcW w:w="570" w:type="pct"/>
            <w:tcBorders>
              <w:top w:val="nil"/>
              <w:left w:val="single" w:color="auto" w:sz="4" w:space="0"/>
              <w:bottom w:val="single" w:color="auto" w:sz="4" w:space="0"/>
              <w:right w:val="single" w:color="auto" w:sz="4" w:space="0"/>
            </w:tcBorders>
            <w:noWrap/>
            <w:vAlign w:val="center"/>
          </w:tcPr>
          <w:p w14:paraId="2AA47AAC">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661" w:type="pct"/>
            <w:tcBorders>
              <w:top w:val="nil"/>
              <w:left w:val="nil"/>
              <w:bottom w:val="single" w:color="auto" w:sz="4" w:space="0"/>
              <w:right w:val="single" w:color="auto" w:sz="4" w:space="0"/>
            </w:tcBorders>
            <w:noWrap/>
            <w:vAlign w:val="center"/>
          </w:tcPr>
          <w:p w14:paraId="0302EC42">
            <w:pPr>
              <w:widowControl/>
              <w:jc w:val="center"/>
              <w:rPr>
                <w:rFonts w:ascii="宋体" w:hAnsi="宋体" w:cs="宋体"/>
                <w:color w:val="000000"/>
                <w:kern w:val="0"/>
                <w:sz w:val="22"/>
                <w:highlight w:val="none"/>
              </w:rPr>
            </w:pPr>
            <w:r>
              <w:rPr>
                <w:rFonts w:ascii="宋体" w:hAnsi="宋体" w:cs="宋体"/>
                <w:color w:val="000000"/>
                <w:kern w:val="0"/>
                <w:sz w:val="22"/>
                <w:highlight w:val="none"/>
              </w:rPr>
              <w:t>前端链路</w:t>
            </w:r>
          </w:p>
        </w:tc>
        <w:tc>
          <w:tcPr>
            <w:tcW w:w="3770" w:type="pct"/>
            <w:tcBorders>
              <w:top w:val="nil"/>
              <w:left w:val="nil"/>
              <w:bottom w:val="single" w:color="auto" w:sz="4" w:space="0"/>
              <w:right w:val="single" w:color="auto" w:sz="4" w:space="0"/>
            </w:tcBorders>
            <w:vAlign w:val="center"/>
          </w:tcPr>
          <w:p w14:paraId="222E564D">
            <w:pPr>
              <w:widowControl/>
              <w:jc w:val="left"/>
              <w:rPr>
                <w:rFonts w:ascii="宋体" w:hAnsi="宋体" w:cs="宋体"/>
                <w:color w:val="000000"/>
                <w:kern w:val="0"/>
                <w:sz w:val="22"/>
                <w:highlight w:val="none"/>
              </w:rPr>
            </w:pPr>
            <w:r>
              <w:rPr>
                <w:rFonts w:ascii="宋体" w:hAnsi="宋体" w:cs="宋体"/>
                <w:color w:val="000000"/>
                <w:kern w:val="0"/>
                <w:sz w:val="22"/>
                <w:highlight w:val="none"/>
              </w:rPr>
              <w:t>监控杆体抱杆箱中光端盒至大港油田信息中心OLT机房之间的网络链路。</w:t>
            </w:r>
          </w:p>
        </w:tc>
      </w:tr>
      <w:tr w14:paraId="29623ACD">
        <w:tblPrEx>
          <w:tblCellMar>
            <w:top w:w="0" w:type="dxa"/>
            <w:left w:w="108" w:type="dxa"/>
            <w:bottom w:w="0" w:type="dxa"/>
            <w:right w:w="108" w:type="dxa"/>
          </w:tblCellMar>
        </w:tblPrEx>
        <w:trPr>
          <w:trHeight w:val="270" w:hRule="atLeast"/>
        </w:trPr>
        <w:tc>
          <w:tcPr>
            <w:tcW w:w="570" w:type="pct"/>
            <w:tcBorders>
              <w:top w:val="nil"/>
              <w:left w:val="single" w:color="auto" w:sz="4" w:space="0"/>
              <w:bottom w:val="single" w:color="auto" w:sz="4" w:space="0"/>
              <w:right w:val="single" w:color="auto" w:sz="4" w:space="0"/>
            </w:tcBorders>
            <w:noWrap/>
            <w:vAlign w:val="center"/>
          </w:tcPr>
          <w:p w14:paraId="45D085CD">
            <w:pPr>
              <w:widowControl/>
              <w:jc w:val="center"/>
              <w:rPr>
                <w:rFonts w:ascii="宋体" w:hAnsi="宋体" w:cs="宋体"/>
                <w:color w:val="000000"/>
                <w:kern w:val="0"/>
                <w:sz w:val="22"/>
                <w:highlight w:val="none"/>
              </w:rPr>
            </w:pPr>
            <w:r>
              <w:rPr>
                <w:rFonts w:hint="eastAsia" w:ascii="宋体" w:hAnsi="宋体" w:cs="宋体"/>
                <w:color w:val="000000"/>
                <w:kern w:val="0"/>
                <w:sz w:val="22"/>
                <w:highlight w:val="none"/>
              </w:rPr>
              <w:t>3</w:t>
            </w:r>
          </w:p>
        </w:tc>
        <w:tc>
          <w:tcPr>
            <w:tcW w:w="661" w:type="pct"/>
            <w:tcBorders>
              <w:top w:val="nil"/>
              <w:left w:val="nil"/>
              <w:bottom w:val="single" w:color="auto" w:sz="4" w:space="0"/>
              <w:right w:val="single" w:color="auto" w:sz="4" w:space="0"/>
            </w:tcBorders>
            <w:noWrap/>
            <w:vAlign w:val="center"/>
          </w:tcPr>
          <w:p w14:paraId="6BA9DCDE">
            <w:pPr>
              <w:widowControl/>
              <w:jc w:val="center"/>
              <w:rPr>
                <w:rFonts w:ascii="宋体" w:hAnsi="宋体" w:cs="宋体"/>
                <w:color w:val="000000"/>
                <w:kern w:val="0"/>
                <w:sz w:val="22"/>
                <w:highlight w:val="none"/>
              </w:rPr>
            </w:pPr>
            <w:r>
              <w:rPr>
                <w:rFonts w:hint="eastAsia" w:ascii="宋体" w:hAnsi="宋体" w:cs="宋体"/>
                <w:color w:val="000000"/>
                <w:kern w:val="0"/>
                <w:sz w:val="22"/>
                <w:highlight w:val="none"/>
              </w:rPr>
              <w:t>派出所</w:t>
            </w:r>
          </w:p>
        </w:tc>
        <w:tc>
          <w:tcPr>
            <w:tcW w:w="3770" w:type="pct"/>
            <w:tcBorders>
              <w:top w:val="nil"/>
              <w:left w:val="nil"/>
              <w:bottom w:val="single" w:color="auto" w:sz="4" w:space="0"/>
              <w:right w:val="single" w:color="auto" w:sz="4" w:space="0"/>
            </w:tcBorders>
            <w:vAlign w:val="center"/>
          </w:tcPr>
          <w:p w14:paraId="6E8B10DB">
            <w:pPr>
              <w:widowControl/>
              <w:jc w:val="left"/>
              <w:rPr>
                <w:rFonts w:ascii="宋体" w:hAnsi="宋体" w:cs="宋体"/>
                <w:color w:val="000000"/>
                <w:kern w:val="0"/>
                <w:sz w:val="22"/>
                <w:highlight w:val="none"/>
              </w:rPr>
            </w:pPr>
            <w:r>
              <w:rPr>
                <w:rFonts w:hint="eastAsia" w:ascii="宋体" w:hAnsi="宋体" w:cs="宋体"/>
                <w:color w:val="000000"/>
                <w:kern w:val="0"/>
                <w:sz w:val="22"/>
                <w:highlight w:val="none"/>
              </w:rPr>
              <w:t>大港油田信息中心OLT机房至派出所间千兆光纤链路，派出所视频专网千兆交换机与光模块；</w:t>
            </w:r>
          </w:p>
          <w:p w14:paraId="68128416">
            <w:pPr>
              <w:widowControl/>
              <w:jc w:val="left"/>
              <w:rPr>
                <w:rFonts w:ascii="宋体" w:hAnsi="宋体" w:cs="宋体"/>
                <w:color w:val="000000"/>
                <w:kern w:val="0"/>
                <w:sz w:val="22"/>
                <w:highlight w:val="none"/>
              </w:rPr>
            </w:pPr>
            <w:r>
              <w:rPr>
                <w:rFonts w:hint="eastAsia" w:ascii="宋体" w:hAnsi="宋体" w:cs="宋体"/>
                <w:color w:val="000000"/>
                <w:kern w:val="0"/>
                <w:sz w:val="22"/>
                <w:highlight w:val="none"/>
              </w:rPr>
              <w:t>与该派出所千兆交换机连接的其他设备不在本包运维范围内。</w:t>
            </w:r>
          </w:p>
        </w:tc>
      </w:tr>
      <w:tr w14:paraId="4BAF4A08">
        <w:tblPrEx>
          <w:tblCellMar>
            <w:top w:w="0" w:type="dxa"/>
            <w:left w:w="108" w:type="dxa"/>
            <w:bottom w:w="0" w:type="dxa"/>
            <w:right w:w="108" w:type="dxa"/>
          </w:tblCellMar>
        </w:tblPrEx>
        <w:trPr>
          <w:trHeight w:val="1620" w:hRule="atLeast"/>
        </w:trPr>
        <w:tc>
          <w:tcPr>
            <w:tcW w:w="570" w:type="pct"/>
            <w:tcBorders>
              <w:top w:val="nil"/>
              <w:left w:val="single" w:color="auto" w:sz="4" w:space="0"/>
              <w:bottom w:val="single" w:color="auto" w:sz="4" w:space="0"/>
              <w:right w:val="single" w:color="auto" w:sz="4" w:space="0"/>
            </w:tcBorders>
            <w:noWrap/>
            <w:vAlign w:val="center"/>
          </w:tcPr>
          <w:p w14:paraId="38769926">
            <w:pPr>
              <w:widowControl/>
              <w:adjustRightInd w:val="0"/>
              <w:snapToGrid w:val="0"/>
              <w:spacing w:line="288" w:lineRule="auto"/>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661" w:type="pct"/>
            <w:tcBorders>
              <w:top w:val="nil"/>
              <w:left w:val="nil"/>
              <w:bottom w:val="single" w:color="auto" w:sz="4" w:space="0"/>
              <w:right w:val="single" w:color="auto" w:sz="4" w:space="0"/>
            </w:tcBorders>
            <w:noWrap/>
            <w:vAlign w:val="center"/>
          </w:tcPr>
          <w:p w14:paraId="38DE1601">
            <w:pPr>
              <w:widowControl/>
              <w:adjustRightInd w:val="0"/>
              <w:snapToGrid w:val="0"/>
              <w:spacing w:line="288" w:lineRule="auto"/>
              <w:jc w:val="center"/>
              <w:rPr>
                <w:rFonts w:ascii="宋体" w:hAnsi="宋体" w:cs="宋体"/>
                <w:color w:val="000000"/>
                <w:kern w:val="0"/>
                <w:sz w:val="22"/>
                <w:highlight w:val="none"/>
              </w:rPr>
            </w:pPr>
            <w:r>
              <w:rPr>
                <w:rFonts w:ascii="宋体" w:hAnsi="宋体" w:cs="宋体"/>
                <w:color w:val="000000"/>
                <w:kern w:val="0"/>
                <w:sz w:val="22"/>
                <w:highlight w:val="none"/>
              </w:rPr>
              <w:t>后端</w:t>
            </w:r>
          </w:p>
        </w:tc>
        <w:tc>
          <w:tcPr>
            <w:tcW w:w="3770" w:type="pct"/>
            <w:tcBorders>
              <w:top w:val="nil"/>
              <w:left w:val="nil"/>
              <w:bottom w:val="single" w:color="auto" w:sz="4" w:space="0"/>
              <w:right w:val="single" w:color="auto" w:sz="4" w:space="0"/>
            </w:tcBorders>
            <w:vAlign w:val="center"/>
          </w:tcPr>
          <w:p w14:paraId="3AFEFDFA">
            <w:pPr>
              <w:widowControl/>
              <w:adjustRightInd w:val="0"/>
              <w:snapToGrid w:val="0"/>
              <w:spacing w:line="288" w:lineRule="auto"/>
              <w:jc w:val="left"/>
              <w:rPr>
                <w:rFonts w:ascii="宋体" w:hAnsi="宋体" w:cs="宋体"/>
                <w:color w:val="000000"/>
                <w:kern w:val="0"/>
                <w:sz w:val="22"/>
                <w:highlight w:val="none"/>
              </w:rPr>
            </w:pPr>
            <w:r>
              <w:rPr>
                <w:rFonts w:hint="eastAsia" w:ascii="宋体" w:hAnsi="宋体" w:cs="宋体"/>
                <w:color w:val="000000"/>
                <w:kern w:val="0"/>
                <w:sz w:val="22"/>
                <w:highlight w:val="none"/>
              </w:rPr>
              <w:t>大港油田信息中心OLT机房中，与本包相关的视频监控平台、电子卡口后台处理系统、存储系统、服务器、软件功能模块、交换机、光模块等；</w:t>
            </w:r>
          </w:p>
          <w:p w14:paraId="636242F3">
            <w:pPr>
              <w:widowControl/>
              <w:adjustRightInd w:val="0"/>
              <w:snapToGrid w:val="0"/>
              <w:spacing w:line="288" w:lineRule="auto"/>
              <w:jc w:val="left"/>
              <w:rPr>
                <w:rFonts w:ascii="宋体" w:hAnsi="宋体" w:cs="宋体"/>
                <w:color w:val="000000"/>
                <w:kern w:val="0"/>
                <w:sz w:val="22"/>
                <w:highlight w:val="none"/>
              </w:rPr>
            </w:pPr>
            <w:r>
              <w:rPr>
                <w:rFonts w:hint="eastAsia" w:ascii="宋体" w:hAnsi="宋体" w:cs="宋体"/>
                <w:color w:val="000000"/>
                <w:kern w:val="0"/>
                <w:sz w:val="22"/>
                <w:highlight w:val="none"/>
              </w:rPr>
              <w:t>大港油田信息中心OLT机房至联通IDC机房对应光口间的网络链路，联通IDC机房视频专网交换机及与其连接的其他设备不在本包运维范围内。</w:t>
            </w:r>
          </w:p>
        </w:tc>
      </w:tr>
    </w:tbl>
    <w:p w14:paraId="1EB7E203">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（十）运维保障方案</w:t>
      </w:r>
    </w:p>
    <w:p w14:paraId="0F663D0C">
      <w:pPr>
        <w:adjustRightInd w:val="0"/>
        <w:snapToGrid w:val="0"/>
        <w:spacing w:line="288" w:lineRule="auto"/>
        <w:ind w:firstLine="448" w:firstLineChars="200"/>
        <w:rPr>
          <w:sz w:val="24"/>
          <w:highlight w:val="none"/>
        </w:rPr>
      </w:pPr>
      <w:r>
        <w:rPr>
          <w:rFonts w:hint="eastAsia"/>
          <w:sz w:val="24"/>
          <w:highlight w:val="none"/>
        </w:rPr>
        <w:t>中标供应商应提供一套完整运维方案，实现运维全流程留痕、智能化管理，对日常运维工作、定期巡检工作、故障处理流程、运维成果文档进行集中统一管控，并能根据采购人需求、实际运维工作特点，对运维系统进行流程调整、定制开发。</w:t>
      </w:r>
    </w:p>
    <w:p w14:paraId="6040B26D">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1、统一服务台建设</w:t>
      </w:r>
    </w:p>
    <w:p w14:paraId="2D09DADD">
      <w:pPr>
        <w:adjustRightInd w:val="0"/>
        <w:snapToGrid w:val="0"/>
        <w:spacing w:line="288" w:lineRule="auto"/>
        <w:ind w:firstLine="448" w:firstLineChars="200"/>
        <w:rPr>
          <w:sz w:val="24"/>
          <w:highlight w:val="none"/>
        </w:rPr>
      </w:pPr>
      <w:r>
        <w:rPr>
          <w:rFonts w:hint="eastAsia"/>
          <w:sz w:val="24"/>
          <w:highlight w:val="none"/>
        </w:rPr>
        <w:t>中标供应商须设立并提供全天候的服务热线电话和故障申告电话，确保每天24小时不间断地受理与本包相关的所有服务需求。该服务包括但不限于</w:t>
      </w:r>
      <w:r>
        <w:rPr>
          <w:sz w:val="24"/>
          <w:highlight w:val="none"/>
        </w:rPr>
        <w:t>不限于视频监控系统、电子卡口后台处理系统、后端存储设备、网络及链路等方面的疑难问题解答、技术指导以及故障申告处理</w:t>
      </w:r>
      <w:r>
        <w:rPr>
          <w:rFonts w:hint="eastAsia"/>
          <w:sz w:val="24"/>
          <w:highlight w:val="none"/>
        </w:rPr>
        <w:t>。</w:t>
      </w:r>
    </w:p>
    <w:p w14:paraId="6E1E0CE6">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2、运维交接</w:t>
      </w:r>
    </w:p>
    <w:p w14:paraId="11E1D1BD">
      <w:pPr>
        <w:adjustRightInd w:val="0"/>
        <w:snapToGrid w:val="0"/>
        <w:spacing w:line="288" w:lineRule="auto"/>
        <w:ind w:firstLine="448" w:firstLineChars="200"/>
        <w:rPr>
          <w:sz w:val="24"/>
          <w:highlight w:val="none"/>
        </w:rPr>
      </w:pPr>
      <w:r>
        <w:rPr>
          <w:rFonts w:hint="eastAsia"/>
          <w:sz w:val="24"/>
          <w:highlight w:val="none"/>
        </w:rPr>
        <w:t>中标供应商应在中标后与采购人进行资料交接，并对资料进行整理，包括但不限于：点位名称、设备编号、设备厂家、IP地址、安装位置、当前状态、状态描述、设备照片等文档材料。</w:t>
      </w:r>
    </w:p>
    <w:p w14:paraId="1F37EEA4">
      <w:pPr>
        <w:adjustRightInd w:val="0"/>
        <w:snapToGrid w:val="0"/>
        <w:spacing w:line="288" w:lineRule="auto"/>
        <w:ind w:firstLine="448" w:firstLineChars="200"/>
        <w:rPr>
          <w:sz w:val="24"/>
          <w:highlight w:val="none"/>
        </w:rPr>
      </w:pPr>
      <w:r>
        <w:rPr>
          <w:rFonts w:hint="eastAsia"/>
          <w:sz w:val="24"/>
          <w:highlight w:val="none"/>
        </w:rPr>
        <w:t>中标供应商应在中标后对本包运维范围内涉及软硬件设备及配套设施，进行核查，与采购人提供工程量清单及点位明细、资产核查报告明细进行对比，将对比结果提交采购人进行确认，以采购人确认结果为本包最终运维工程量清单及点位明细；针对中标供应商核查过程中发现设备缺失的情况（如设备分线箱、监控标识牌等），应使用采购人提供的备品备件进行补充、修复。</w:t>
      </w:r>
    </w:p>
    <w:p w14:paraId="3FCADF26">
      <w:pPr>
        <w:adjustRightInd w:val="0"/>
        <w:snapToGrid w:val="0"/>
        <w:spacing w:line="288" w:lineRule="auto"/>
        <w:ind w:firstLine="448" w:firstLineChars="200"/>
        <w:rPr>
          <w:sz w:val="24"/>
          <w:highlight w:val="none"/>
        </w:rPr>
      </w:pPr>
      <w:r>
        <w:rPr>
          <w:rFonts w:hint="eastAsia"/>
          <w:sz w:val="24"/>
          <w:highlight w:val="none"/>
        </w:rPr>
        <w:t>中标供应商应完善运维范围内前端监控点位“一机一档”表格，确保表格内容与实际情况一致。应完善运行维护机制，确保本包安全、稳定、正常运行。</w:t>
      </w:r>
    </w:p>
    <w:p w14:paraId="64DF78EA">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3、日常维护服务</w:t>
      </w:r>
    </w:p>
    <w:p w14:paraId="6C2E871E">
      <w:pPr>
        <w:adjustRightInd w:val="0"/>
        <w:snapToGrid w:val="0"/>
        <w:spacing w:line="288" w:lineRule="auto"/>
        <w:ind w:firstLine="448" w:firstLineChars="200"/>
        <w:rPr>
          <w:sz w:val="24"/>
          <w:highlight w:val="none"/>
        </w:rPr>
      </w:pPr>
      <w:r>
        <w:rPr>
          <w:rFonts w:hint="eastAsia"/>
          <w:sz w:val="24"/>
          <w:highlight w:val="none"/>
        </w:rPr>
        <w:t>中标供应商须安排平台巡检人员、维护的专职队伍和车辆等必要设备设施，为本次运维项目进行日常维护工作。</w:t>
      </w:r>
    </w:p>
    <w:p w14:paraId="50026922">
      <w:pPr>
        <w:adjustRightInd w:val="0"/>
        <w:snapToGrid w:val="0"/>
        <w:spacing w:line="288" w:lineRule="auto"/>
        <w:ind w:firstLine="448" w:firstLineChars="200"/>
        <w:rPr>
          <w:sz w:val="24"/>
          <w:highlight w:val="none"/>
        </w:rPr>
      </w:pPr>
      <w:r>
        <w:rPr>
          <w:rFonts w:hint="eastAsia"/>
          <w:sz w:val="24"/>
          <w:highlight w:val="none"/>
        </w:rPr>
        <w:t>平台巡检人员日常运维工作：</w:t>
      </w:r>
    </w:p>
    <w:p w14:paraId="07881219">
      <w:pPr>
        <w:adjustRightInd w:val="0"/>
        <w:snapToGrid w:val="0"/>
        <w:spacing w:line="288" w:lineRule="auto"/>
        <w:ind w:firstLine="448" w:firstLineChars="200"/>
        <w:rPr>
          <w:sz w:val="24"/>
          <w:highlight w:val="none"/>
        </w:rPr>
      </w:pPr>
      <w:r>
        <w:rPr>
          <w:rFonts w:hint="eastAsia"/>
          <w:sz w:val="24"/>
          <w:highlight w:val="none"/>
        </w:rPr>
        <w:t>（1）</w:t>
      </w:r>
      <w:r>
        <w:rPr>
          <w:sz w:val="24"/>
          <w:highlight w:val="none"/>
        </w:rPr>
        <w:t>运维服务方应指定不少于</w:t>
      </w:r>
      <w:r>
        <w:rPr>
          <w:rFonts w:hint="eastAsia"/>
          <w:sz w:val="24"/>
          <w:highlight w:val="none"/>
        </w:rPr>
        <w:t>2</w:t>
      </w:r>
      <w:r>
        <w:rPr>
          <w:sz w:val="24"/>
          <w:highlight w:val="none"/>
        </w:rPr>
        <w:t>名专职平台巡检人员，在</w:t>
      </w:r>
      <w:r>
        <w:rPr>
          <w:rFonts w:hint="eastAsia"/>
          <w:sz w:val="24"/>
          <w:highlight w:val="none"/>
        </w:rPr>
        <w:t>采购人</w:t>
      </w:r>
      <w:r>
        <w:rPr>
          <w:sz w:val="24"/>
          <w:highlight w:val="none"/>
        </w:rPr>
        <w:t>认可的安全可靠的物理、网络环境下，进行平台巡检工作。每日通过指定</w:t>
      </w:r>
      <w:r>
        <w:rPr>
          <w:rFonts w:hint="eastAsia"/>
          <w:sz w:val="24"/>
          <w:highlight w:val="none"/>
        </w:rPr>
        <w:t>考核</w:t>
      </w:r>
      <w:r>
        <w:rPr>
          <w:sz w:val="24"/>
          <w:highlight w:val="none"/>
        </w:rPr>
        <w:t>平台查看前端设备完好情况，校对前端视频监控画面时间、地点、名称等信息；检查平台数据完整性，监控每天的网络连通性、占用流量等运行状态；通过接听故障申告电话或主动发现的方式受理前端故障，并进行初步判断，填报《故障派修单》，联系电话支持工程师并配合其分析故障原因、提出解决方案；外场服务人员或技术支持工程师前往事故发生地点后，在平台端配合其维修工作。平台巡检人员信息提前向建设单位备案，服从</w:t>
      </w:r>
      <w:r>
        <w:rPr>
          <w:rFonts w:hint="eastAsia"/>
          <w:sz w:val="24"/>
          <w:highlight w:val="none"/>
        </w:rPr>
        <w:t>采购人</w:t>
      </w:r>
      <w:r>
        <w:rPr>
          <w:sz w:val="24"/>
          <w:highlight w:val="none"/>
        </w:rPr>
        <w:t>管理（含考勤管理等），完成</w:t>
      </w:r>
      <w:r>
        <w:rPr>
          <w:rFonts w:hint="eastAsia"/>
          <w:sz w:val="24"/>
          <w:highlight w:val="none"/>
        </w:rPr>
        <w:t>采购人</w:t>
      </w:r>
      <w:r>
        <w:rPr>
          <w:sz w:val="24"/>
          <w:highlight w:val="none"/>
        </w:rPr>
        <w:t>安排的其他运维服务相关工作；应配置备用平台巡检人员，保证每天平台巡检工作不间断执行。</w:t>
      </w:r>
    </w:p>
    <w:p w14:paraId="0A2B0D45">
      <w:pPr>
        <w:adjustRightInd w:val="0"/>
        <w:snapToGrid w:val="0"/>
        <w:spacing w:line="288" w:lineRule="auto"/>
        <w:ind w:firstLine="448" w:firstLineChars="200"/>
        <w:rPr>
          <w:sz w:val="24"/>
          <w:highlight w:val="none"/>
        </w:rPr>
      </w:pPr>
      <w:r>
        <w:rPr>
          <w:rFonts w:hint="eastAsia"/>
          <w:sz w:val="24"/>
          <w:highlight w:val="none"/>
        </w:rPr>
        <w:t>（2）</w:t>
      </w:r>
      <w:r>
        <w:rPr>
          <w:sz w:val="24"/>
          <w:highlight w:val="none"/>
        </w:rPr>
        <w:t>按滨海分局的要求填报、整理运维资料，填报《运维值班日志》、《前端摄像机日完好率统计表》、《</w:t>
      </w:r>
      <w:r>
        <w:rPr>
          <w:rFonts w:hint="eastAsia"/>
          <w:sz w:val="24"/>
          <w:highlight w:val="none"/>
        </w:rPr>
        <w:t>季度运维报告</w:t>
      </w:r>
      <w:r>
        <w:rPr>
          <w:sz w:val="24"/>
          <w:highlight w:val="none"/>
        </w:rPr>
        <w:t>》等。</w:t>
      </w:r>
    </w:p>
    <w:p w14:paraId="30A8CEC8">
      <w:pPr>
        <w:adjustRightInd w:val="0"/>
        <w:snapToGrid w:val="0"/>
        <w:spacing w:line="288" w:lineRule="auto"/>
        <w:ind w:firstLine="448" w:firstLineChars="200"/>
        <w:rPr>
          <w:sz w:val="24"/>
          <w:highlight w:val="none"/>
        </w:rPr>
      </w:pPr>
      <w:r>
        <w:rPr>
          <w:rFonts w:hint="eastAsia"/>
          <w:sz w:val="24"/>
          <w:highlight w:val="none"/>
        </w:rPr>
        <w:t>（3）</w:t>
      </w:r>
      <w:r>
        <w:rPr>
          <w:sz w:val="24"/>
          <w:highlight w:val="none"/>
        </w:rPr>
        <w:t>须按照</w:t>
      </w:r>
      <w:r>
        <w:rPr>
          <w:rFonts w:hint="eastAsia"/>
          <w:sz w:val="24"/>
          <w:highlight w:val="none"/>
        </w:rPr>
        <w:t>《公安视频图像屏幕显示信息叠加规范》（</w:t>
      </w:r>
      <w:r>
        <w:rPr>
          <w:sz w:val="24"/>
          <w:highlight w:val="none"/>
        </w:rPr>
        <w:t>GA/T751-2024）和天津市公安局对视频数据治理要求整理日常运维资料，结合实际运维情况和</w:t>
      </w:r>
      <w:r>
        <w:rPr>
          <w:rFonts w:hint="eastAsia"/>
          <w:sz w:val="24"/>
          <w:highlight w:val="none"/>
        </w:rPr>
        <w:t>采购人</w:t>
      </w:r>
      <w:r>
        <w:rPr>
          <w:sz w:val="24"/>
          <w:highlight w:val="none"/>
        </w:rPr>
        <w:t>需求及时对视频监控一机一档资料进行调整，确保数据真实准确，运维资料整理内容包括但不限于设备名称、设备厂商、行政区域、监控点位类型、设备型号、点位俗称、IPV4 地址、IPV6 地址、MAC地址、摄像机类型、摄像机功能类型、补光属性、摄像机编码格式、安装地址、经纬度（需精确到小数点后6位）、摄像机位置类型、监控方位、联网属性、所属辖区公安机关、安装时间、管理单位、管理单位联系方式、录像保存天数、设备状态、所属部门/行业、维护单位、维护责任人、维修/维护记录、资料照片（现场杆体正面照、独立设备近照、杆体现场环境区域全景照、取电点现场环境区域全景照）等信息。</w:t>
      </w:r>
    </w:p>
    <w:p w14:paraId="5711A9C5">
      <w:pPr>
        <w:adjustRightInd w:val="0"/>
        <w:snapToGrid w:val="0"/>
        <w:spacing w:line="288" w:lineRule="auto"/>
        <w:ind w:firstLine="448" w:firstLineChars="200"/>
        <w:rPr>
          <w:sz w:val="24"/>
          <w:highlight w:val="none"/>
        </w:rPr>
      </w:pPr>
      <w:r>
        <w:rPr>
          <w:rFonts w:hint="eastAsia"/>
          <w:sz w:val="24"/>
          <w:highlight w:val="none"/>
        </w:rPr>
        <w:t>（4）中标供应商</w:t>
      </w:r>
      <w:r>
        <w:rPr>
          <w:sz w:val="24"/>
          <w:highlight w:val="none"/>
        </w:rPr>
        <w:t>应对机房中的存储设备进行日常维护，通过平台检查记录配置信息（网络配置和软件配置），检查硬盘的运行情况等。</w:t>
      </w:r>
    </w:p>
    <w:p w14:paraId="5BAABF9C">
      <w:pPr>
        <w:adjustRightInd w:val="0"/>
        <w:snapToGrid w:val="0"/>
        <w:spacing w:line="288" w:lineRule="auto"/>
        <w:ind w:firstLine="448" w:firstLineChars="200"/>
        <w:rPr>
          <w:sz w:val="24"/>
          <w:highlight w:val="none"/>
        </w:rPr>
      </w:pPr>
      <w:r>
        <w:rPr>
          <w:rFonts w:hint="eastAsia"/>
          <w:sz w:val="24"/>
          <w:highlight w:val="none"/>
        </w:rPr>
        <w:t>外场服务人员日常运维工作：</w:t>
      </w:r>
    </w:p>
    <w:p w14:paraId="4085A3BB">
      <w:pPr>
        <w:adjustRightInd w:val="0"/>
        <w:snapToGrid w:val="0"/>
        <w:spacing w:line="288" w:lineRule="auto"/>
        <w:ind w:firstLine="448" w:firstLineChars="200"/>
        <w:rPr>
          <w:sz w:val="24"/>
          <w:highlight w:val="none"/>
        </w:rPr>
      </w:pPr>
      <w:r>
        <w:rPr>
          <w:sz w:val="24"/>
          <w:highlight w:val="none"/>
        </w:rPr>
        <w:t>接收平台巡检人员、技术支持工程师工作指令，听取故障分析结果与解决方案，前往故障发生点位查看，结合现场实际情况，开展故障维修工作。</w:t>
      </w:r>
    </w:p>
    <w:p w14:paraId="61E71187">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4、定期巡检服务</w:t>
      </w:r>
    </w:p>
    <w:p w14:paraId="789844A7">
      <w:pPr>
        <w:adjustRightInd w:val="0"/>
        <w:snapToGrid w:val="0"/>
        <w:spacing w:line="288" w:lineRule="auto"/>
        <w:ind w:firstLine="448" w:firstLineChars="200"/>
        <w:rPr>
          <w:sz w:val="24"/>
          <w:highlight w:val="none"/>
        </w:rPr>
      </w:pPr>
      <w:r>
        <w:rPr>
          <w:rFonts w:hint="eastAsia"/>
          <w:sz w:val="24"/>
          <w:highlight w:val="none"/>
        </w:rPr>
        <w:t>中标供应商需每3个月至少对运维范围内设备和设施进行一次全面的定期巡检，运维服务期内定期巡检不少于4次，且在服务期内平均分配，以确保系统的持续稳定运行和设备的良好状态。</w:t>
      </w:r>
    </w:p>
    <w:p w14:paraId="048EA7FE">
      <w:pPr>
        <w:adjustRightInd w:val="0"/>
        <w:snapToGrid w:val="0"/>
        <w:spacing w:line="288" w:lineRule="auto"/>
        <w:ind w:firstLine="448" w:firstLineChars="200"/>
        <w:rPr>
          <w:sz w:val="24"/>
          <w:highlight w:val="none"/>
        </w:rPr>
      </w:pPr>
      <w:r>
        <w:rPr>
          <w:rFonts w:hint="eastAsia"/>
          <w:sz w:val="24"/>
          <w:highlight w:val="none"/>
        </w:rPr>
        <w:t>中标供应商需对每次巡检进行详细记录，包括设备状态、发现的问题及处理情况，并形成完整的巡检报告提交给采购人。对于巡检中发现的潜在问题或隐患，应立即采取整改措施，确保设备设施的安全性和可靠性。同时，巡检报告将作为后续运维工作的参考依据，方便进一步优化设备维护策略和巡检计划。</w:t>
      </w:r>
    </w:p>
    <w:p w14:paraId="6FCF6F59">
      <w:pPr>
        <w:adjustRightInd w:val="0"/>
        <w:snapToGrid w:val="0"/>
        <w:spacing w:line="288" w:lineRule="auto"/>
        <w:ind w:firstLine="448" w:firstLineChars="200"/>
        <w:outlineLvl w:val="6"/>
        <w:rPr>
          <w:sz w:val="24"/>
          <w:highlight w:val="none"/>
        </w:rPr>
      </w:pPr>
      <w:r>
        <w:rPr>
          <w:rFonts w:hint="eastAsia"/>
          <w:sz w:val="24"/>
          <w:highlight w:val="none"/>
        </w:rPr>
        <w:t>（1）监控杆体等设施巡检</w:t>
      </w:r>
    </w:p>
    <w:p w14:paraId="03EF8C64">
      <w:pPr>
        <w:adjustRightInd w:val="0"/>
        <w:snapToGrid w:val="0"/>
        <w:spacing w:line="288" w:lineRule="auto"/>
        <w:ind w:firstLine="448" w:firstLineChars="200"/>
        <w:rPr>
          <w:sz w:val="24"/>
          <w:highlight w:val="none"/>
        </w:rPr>
      </w:pPr>
      <w:r>
        <w:rPr>
          <w:rFonts w:hint="eastAsia"/>
          <w:sz w:val="24"/>
          <w:highlight w:val="none"/>
        </w:rPr>
        <w:t>设施巡检内容包括监控杆体、杆体基础、紧固件和抱杆箱。</w:t>
      </w:r>
    </w:p>
    <w:p w14:paraId="17E990E7">
      <w:pPr>
        <w:adjustRightInd w:val="0"/>
        <w:snapToGrid w:val="0"/>
        <w:spacing w:line="288" w:lineRule="auto"/>
        <w:ind w:firstLine="448" w:firstLineChars="200"/>
        <w:outlineLvl w:val="7"/>
        <w:rPr>
          <w:sz w:val="24"/>
          <w:highlight w:val="none"/>
        </w:rPr>
      </w:pPr>
      <w:r>
        <w:rPr>
          <w:rFonts w:hint="eastAsia"/>
          <w:sz w:val="24"/>
          <w:highlight w:val="none"/>
        </w:rPr>
        <w:t>1）监控杆体检查</w:t>
      </w:r>
    </w:p>
    <w:p w14:paraId="7668A6B6">
      <w:pPr>
        <w:adjustRightInd w:val="0"/>
        <w:snapToGrid w:val="0"/>
        <w:spacing w:line="288" w:lineRule="auto"/>
        <w:ind w:firstLine="448" w:firstLineChars="200"/>
        <w:rPr>
          <w:sz w:val="24"/>
          <w:highlight w:val="none"/>
        </w:rPr>
      </w:pPr>
      <w:r>
        <w:rPr>
          <w:rFonts w:hint="eastAsia"/>
          <w:sz w:val="24"/>
          <w:highlight w:val="none"/>
        </w:rPr>
        <w:t>保证监控杆体外观完好，满足竖直度要求，无歪斜、倾倒、晃动等现象。</w:t>
      </w:r>
    </w:p>
    <w:p w14:paraId="27D0882F">
      <w:pPr>
        <w:adjustRightInd w:val="0"/>
        <w:snapToGrid w:val="0"/>
        <w:spacing w:line="288" w:lineRule="auto"/>
        <w:ind w:firstLine="448" w:firstLineChars="200"/>
        <w:rPr>
          <w:sz w:val="24"/>
          <w:highlight w:val="none"/>
        </w:rPr>
      </w:pPr>
      <w:r>
        <w:rPr>
          <w:rFonts w:hint="eastAsia"/>
          <w:sz w:val="24"/>
          <w:highlight w:val="none"/>
        </w:rPr>
        <w:t>检查杆柱是否存在因事故碰撞或人为破坏造成的断裂、弯折、凹陷、划痕等现象。</w:t>
      </w:r>
    </w:p>
    <w:p w14:paraId="0605347E">
      <w:pPr>
        <w:adjustRightInd w:val="0"/>
        <w:snapToGrid w:val="0"/>
        <w:spacing w:line="288" w:lineRule="auto"/>
        <w:ind w:firstLine="448" w:firstLineChars="200"/>
        <w:rPr>
          <w:sz w:val="24"/>
          <w:highlight w:val="none"/>
        </w:rPr>
      </w:pPr>
      <w:r>
        <w:rPr>
          <w:rFonts w:hint="eastAsia"/>
          <w:sz w:val="24"/>
          <w:highlight w:val="none"/>
        </w:rPr>
        <w:t>检查杆柱上是否存在粘贴小广告、喷涂文字图画、动物粪便、口香糖等污物附着的现象。</w:t>
      </w:r>
    </w:p>
    <w:p w14:paraId="10BB68D8">
      <w:pPr>
        <w:adjustRightInd w:val="0"/>
        <w:snapToGrid w:val="0"/>
        <w:spacing w:line="288" w:lineRule="auto"/>
        <w:ind w:firstLine="448" w:firstLineChars="200"/>
        <w:rPr>
          <w:sz w:val="24"/>
          <w:highlight w:val="none"/>
        </w:rPr>
      </w:pPr>
      <w:r>
        <w:rPr>
          <w:rFonts w:hint="eastAsia"/>
          <w:sz w:val="24"/>
          <w:highlight w:val="none"/>
        </w:rPr>
        <w:t>检查杆体表面是否存在涂层脱落、腐蚀生锈的现象。</w:t>
      </w:r>
    </w:p>
    <w:p w14:paraId="00B1DA40">
      <w:pPr>
        <w:adjustRightInd w:val="0"/>
        <w:snapToGrid w:val="0"/>
        <w:spacing w:line="288" w:lineRule="auto"/>
        <w:ind w:firstLine="448" w:firstLineChars="200"/>
        <w:rPr>
          <w:sz w:val="24"/>
          <w:highlight w:val="none"/>
        </w:rPr>
      </w:pPr>
      <w:r>
        <w:rPr>
          <w:rFonts w:hint="eastAsia"/>
          <w:sz w:val="24"/>
          <w:highlight w:val="none"/>
        </w:rPr>
        <w:t>检查杆柱上是否存在搭系线缆、晾衣绳和拴挂物品等现象，造成杆柱受力而产生安全隐患。</w:t>
      </w:r>
    </w:p>
    <w:p w14:paraId="420E6A12">
      <w:pPr>
        <w:adjustRightInd w:val="0"/>
        <w:snapToGrid w:val="0"/>
        <w:spacing w:line="288" w:lineRule="auto"/>
        <w:ind w:firstLine="448" w:firstLineChars="200"/>
        <w:rPr>
          <w:sz w:val="24"/>
          <w:highlight w:val="none"/>
        </w:rPr>
      </w:pPr>
      <w:r>
        <w:rPr>
          <w:rFonts w:hint="eastAsia"/>
          <w:sz w:val="24"/>
          <w:highlight w:val="none"/>
        </w:rPr>
        <w:t>检查杆体上安装的附着物是否牢固，是否存在安全隐患。</w:t>
      </w:r>
    </w:p>
    <w:p w14:paraId="3E07FD72">
      <w:pPr>
        <w:adjustRightInd w:val="0"/>
        <w:snapToGrid w:val="0"/>
        <w:spacing w:line="288" w:lineRule="auto"/>
        <w:ind w:firstLine="448" w:firstLineChars="200"/>
        <w:rPr>
          <w:sz w:val="24"/>
          <w:highlight w:val="none"/>
        </w:rPr>
      </w:pPr>
      <w:r>
        <w:rPr>
          <w:rFonts w:hint="eastAsia"/>
          <w:sz w:val="24"/>
          <w:highlight w:val="none"/>
        </w:rPr>
        <w:t>检查杆体是否漏电，检查杆体接地装置是否完好，确保杆体周围经过人员的安全。</w:t>
      </w:r>
    </w:p>
    <w:p w14:paraId="5392D99A">
      <w:pPr>
        <w:adjustRightInd w:val="0"/>
        <w:snapToGrid w:val="0"/>
        <w:spacing w:line="288" w:lineRule="auto"/>
        <w:ind w:firstLine="448" w:firstLineChars="200"/>
        <w:rPr>
          <w:sz w:val="24"/>
          <w:highlight w:val="none"/>
        </w:rPr>
      </w:pPr>
      <w:r>
        <w:rPr>
          <w:rFonts w:hint="eastAsia"/>
          <w:sz w:val="24"/>
          <w:highlight w:val="none"/>
        </w:rPr>
        <w:t>巡检过程中发现上述问题，中标供应商需采取相应措施进行合理处置，并在48小时内修复。</w:t>
      </w:r>
    </w:p>
    <w:p w14:paraId="43B2C4F5">
      <w:pPr>
        <w:adjustRightInd w:val="0"/>
        <w:snapToGrid w:val="0"/>
        <w:spacing w:line="288" w:lineRule="auto"/>
        <w:ind w:firstLine="448" w:firstLineChars="200"/>
        <w:outlineLvl w:val="7"/>
        <w:rPr>
          <w:sz w:val="24"/>
          <w:highlight w:val="none"/>
        </w:rPr>
      </w:pPr>
      <w:r>
        <w:rPr>
          <w:rFonts w:hint="eastAsia"/>
          <w:sz w:val="24"/>
          <w:highlight w:val="none"/>
        </w:rPr>
        <w:t>2）杆体基础</w:t>
      </w:r>
    </w:p>
    <w:p w14:paraId="3C3AC6F1">
      <w:pPr>
        <w:adjustRightInd w:val="0"/>
        <w:snapToGrid w:val="0"/>
        <w:spacing w:line="288" w:lineRule="auto"/>
        <w:ind w:firstLine="448" w:firstLineChars="200"/>
        <w:rPr>
          <w:sz w:val="24"/>
          <w:highlight w:val="none"/>
        </w:rPr>
      </w:pPr>
      <w:r>
        <w:rPr>
          <w:rFonts w:hint="eastAsia"/>
          <w:sz w:val="24"/>
          <w:highlight w:val="none"/>
        </w:rPr>
        <w:t>通过检查确认监控杆体基础稳固、无安全隐患，对监控设备自身及交通通行不构成安全隐患，对露出地面部分采取妥当措施予以保护。</w:t>
      </w:r>
    </w:p>
    <w:p w14:paraId="35EEE085">
      <w:pPr>
        <w:adjustRightInd w:val="0"/>
        <w:snapToGrid w:val="0"/>
        <w:spacing w:line="288" w:lineRule="auto"/>
        <w:ind w:firstLine="448" w:firstLineChars="200"/>
        <w:rPr>
          <w:sz w:val="24"/>
          <w:highlight w:val="none"/>
        </w:rPr>
      </w:pPr>
      <w:r>
        <w:rPr>
          <w:rFonts w:hint="eastAsia"/>
          <w:sz w:val="24"/>
          <w:highlight w:val="none"/>
        </w:rPr>
        <w:t>针对监控设备杆体基础埋深较浅，易受土层、天气变化影响的情况，检查基础是否松动。</w:t>
      </w:r>
    </w:p>
    <w:p w14:paraId="28282768">
      <w:pPr>
        <w:adjustRightInd w:val="0"/>
        <w:snapToGrid w:val="0"/>
        <w:spacing w:line="288" w:lineRule="auto"/>
        <w:ind w:firstLine="448" w:firstLineChars="200"/>
        <w:rPr>
          <w:sz w:val="24"/>
          <w:highlight w:val="none"/>
        </w:rPr>
      </w:pPr>
      <w:r>
        <w:rPr>
          <w:rFonts w:hint="eastAsia"/>
          <w:sz w:val="24"/>
          <w:highlight w:val="none"/>
        </w:rPr>
        <w:t>对设置于步道上的杆体，检查其基础混凝土部分是否高于路面、影响车辆和行人通行、存在安全隐患。</w:t>
      </w:r>
    </w:p>
    <w:p w14:paraId="277C9980">
      <w:pPr>
        <w:adjustRightInd w:val="0"/>
        <w:snapToGrid w:val="0"/>
        <w:spacing w:line="288" w:lineRule="auto"/>
        <w:ind w:firstLine="448" w:firstLineChars="200"/>
        <w:rPr>
          <w:sz w:val="24"/>
          <w:highlight w:val="none"/>
        </w:rPr>
      </w:pPr>
      <w:r>
        <w:rPr>
          <w:rFonts w:hint="eastAsia"/>
          <w:sz w:val="24"/>
          <w:highlight w:val="none"/>
        </w:rPr>
        <w:t>检查设备安装或维护过程中，部分损坏的基础是否采取了相应的保护措施。</w:t>
      </w:r>
    </w:p>
    <w:p w14:paraId="7219795F">
      <w:pPr>
        <w:adjustRightInd w:val="0"/>
        <w:snapToGrid w:val="0"/>
        <w:spacing w:line="288" w:lineRule="auto"/>
        <w:ind w:firstLine="448" w:firstLineChars="200"/>
        <w:rPr>
          <w:sz w:val="24"/>
          <w:highlight w:val="none"/>
        </w:rPr>
      </w:pPr>
      <w:r>
        <w:rPr>
          <w:rFonts w:hint="eastAsia"/>
          <w:sz w:val="24"/>
          <w:highlight w:val="none"/>
        </w:rPr>
        <w:t>检查杆体手井及井盖是否破损，一旦发现破损、存在安全隐患的手井及井盖，巡检人员须进行现场处置，修复破损井盖，消除安全隐患。如现场确认不能立即修复，中标供应商需对手井及井盖进行360度围挡，围挡上应有全天候醒目的安全警示标识。</w:t>
      </w:r>
    </w:p>
    <w:p w14:paraId="5652225A">
      <w:pPr>
        <w:adjustRightInd w:val="0"/>
        <w:snapToGrid w:val="0"/>
        <w:spacing w:line="288" w:lineRule="auto"/>
        <w:ind w:firstLine="448" w:firstLineChars="200"/>
        <w:rPr>
          <w:sz w:val="24"/>
          <w:highlight w:val="none"/>
        </w:rPr>
      </w:pPr>
      <w:r>
        <w:rPr>
          <w:rFonts w:hint="eastAsia"/>
          <w:sz w:val="24"/>
          <w:highlight w:val="none"/>
        </w:rPr>
        <w:t>中标供应商在巡检过程中发现存在问题的杆体基础，应第一时间向采购人上报故障，同时采取预防性保护措施，防止发生安全事故及二次伤害，并保证在48小时内修复正常。</w:t>
      </w:r>
    </w:p>
    <w:p w14:paraId="27FCC5D1">
      <w:pPr>
        <w:adjustRightInd w:val="0"/>
        <w:snapToGrid w:val="0"/>
        <w:spacing w:line="288" w:lineRule="auto"/>
        <w:ind w:firstLine="448" w:firstLineChars="200"/>
        <w:outlineLvl w:val="7"/>
        <w:rPr>
          <w:sz w:val="24"/>
          <w:highlight w:val="none"/>
        </w:rPr>
      </w:pPr>
      <w:r>
        <w:rPr>
          <w:rFonts w:hint="eastAsia"/>
          <w:sz w:val="24"/>
          <w:highlight w:val="none"/>
        </w:rPr>
        <w:t>3）紧固件</w:t>
      </w:r>
    </w:p>
    <w:p w14:paraId="273DA4B7">
      <w:pPr>
        <w:adjustRightInd w:val="0"/>
        <w:snapToGrid w:val="0"/>
        <w:spacing w:line="288" w:lineRule="auto"/>
        <w:ind w:firstLine="448" w:firstLineChars="200"/>
        <w:rPr>
          <w:sz w:val="24"/>
          <w:highlight w:val="none"/>
        </w:rPr>
      </w:pPr>
      <w:r>
        <w:rPr>
          <w:rFonts w:hint="eastAsia"/>
          <w:sz w:val="24"/>
          <w:highlight w:val="none"/>
        </w:rPr>
        <w:t>巡检过程中检查监控杆体与杆上设备各主要部件之间连接是否牢固、是否有老化锈蚀现象，重点关注监控杆体与基础间地脚螺栓与螺母是否齐全完好、连接紧密，确保非专业人员无法轻易松开。</w:t>
      </w:r>
    </w:p>
    <w:p w14:paraId="02E4C665">
      <w:pPr>
        <w:adjustRightInd w:val="0"/>
        <w:snapToGrid w:val="0"/>
        <w:spacing w:line="288" w:lineRule="auto"/>
        <w:ind w:firstLine="448" w:firstLineChars="200"/>
        <w:rPr>
          <w:sz w:val="24"/>
          <w:highlight w:val="none"/>
        </w:rPr>
      </w:pPr>
      <w:r>
        <w:rPr>
          <w:rFonts w:hint="eastAsia"/>
          <w:sz w:val="24"/>
          <w:highlight w:val="none"/>
        </w:rPr>
        <w:t>巡检过程中发现此类问题，应第一时间向采购人上报故障，同时采取保护措施，防止发生安全事故及二次伤害，并保证在48小时内尽快修复正常。</w:t>
      </w:r>
    </w:p>
    <w:p w14:paraId="1D9BAFDD">
      <w:pPr>
        <w:adjustRightInd w:val="0"/>
        <w:snapToGrid w:val="0"/>
        <w:spacing w:line="288" w:lineRule="auto"/>
        <w:ind w:firstLine="448" w:firstLineChars="200"/>
        <w:outlineLvl w:val="7"/>
        <w:rPr>
          <w:sz w:val="24"/>
          <w:highlight w:val="none"/>
        </w:rPr>
      </w:pPr>
      <w:r>
        <w:rPr>
          <w:rFonts w:hint="eastAsia"/>
          <w:sz w:val="24"/>
          <w:highlight w:val="none"/>
        </w:rPr>
        <w:t>4）抱杆箱</w:t>
      </w:r>
    </w:p>
    <w:p w14:paraId="78B67A57">
      <w:pPr>
        <w:adjustRightInd w:val="0"/>
        <w:snapToGrid w:val="0"/>
        <w:spacing w:line="288" w:lineRule="auto"/>
        <w:ind w:firstLine="448" w:firstLineChars="200"/>
        <w:rPr>
          <w:sz w:val="24"/>
          <w:highlight w:val="none"/>
        </w:rPr>
      </w:pPr>
      <w:r>
        <w:rPr>
          <w:rFonts w:hint="eastAsia"/>
          <w:sz w:val="24"/>
          <w:highlight w:val="none"/>
        </w:rPr>
        <w:t>检查抱杆箱表面是否存在破损、变形，机箱整体是否清洁，机箱内部有无渗水现象，箱体内外部有无生锈。</w:t>
      </w:r>
    </w:p>
    <w:p w14:paraId="0B805046">
      <w:pPr>
        <w:adjustRightInd w:val="0"/>
        <w:snapToGrid w:val="0"/>
        <w:spacing w:line="288" w:lineRule="auto"/>
        <w:ind w:firstLine="448" w:firstLineChars="200"/>
        <w:rPr>
          <w:sz w:val="24"/>
          <w:highlight w:val="none"/>
        </w:rPr>
      </w:pPr>
      <w:r>
        <w:rPr>
          <w:rFonts w:hint="eastAsia"/>
          <w:sz w:val="24"/>
          <w:highlight w:val="none"/>
        </w:rPr>
        <w:t>测量抱杆箱的接地性能是否良好，接地电阻是否符合接地规范的要求，小于等于4欧姆。</w:t>
      </w:r>
    </w:p>
    <w:p w14:paraId="549439DC">
      <w:pPr>
        <w:adjustRightInd w:val="0"/>
        <w:snapToGrid w:val="0"/>
        <w:spacing w:line="288" w:lineRule="auto"/>
        <w:ind w:firstLine="448" w:firstLineChars="200"/>
        <w:rPr>
          <w:sz w:val="24"/>
          <w:highlight w:val="none"/>
        </w:rPr>
      </w:pPr>
      <w:r>
        <w:rPr>
          <w:rFonts w:hint="eastAsia"/>
          <w:sz w:val="24"/>
          <w:highlight w:val="none"/>
        </w:rPr>
        <w:t>检查机箱门锁是否有被撬动的痕迹，门锁能否正常打开；检查抱杆箱与监控杆体接连是否牢固，查看是否有线缆或抱杆箱坠落的隐患或情况。</w:t>
      </w:r>
    </w:p>
    <w:p w14:paraId="557CA21C">
      <w:pPr>
        <w:adjustRightInd w:val="0"/>
        <w:snapToGrid w:val="0"/>
        <w:spacing w:line="288" w:lineRule="auto"/>
        <w:ind w:firstLine="448" w:firstLineChars="200"/>
        <w:rPr>
          <w:sz w:val="24"/>
          <w:highlight w:val="none"/>
        </w:rPr>
      </w:pPr>
      <w:r>
        <w:rPr>
          <w:rFonts w:hint="eastAsia"/>
          <w:sz w:val="24"/>
          <w:highlight w:val="none"/>
        </w:rPr>
        <w:t>巡检过程中发现上述问题，中标供应商需及时采取相应措施进行合理处置，并保证在48小时内修复。</w:t>
      </w:r>
    </w:p>
    <w:p w14:paraId="2963E94F">
      <w:pPr>
        <w:adjustRightInd w:val="0"/>
        <w:snapToGrid w:val="0"/>
        <w:spacing w:line="288" w:lineRule="auto"/>
        <w:ind w:firstLine="448" w:firstLineChars="200"/>
        <w:outlineLvl w:val="6"/>
        <w:rPr>
          <w:sz w:val="24"/>
          <w:highlight w:val="none"/>
        </w:rPr>
      </w:pPr>
      <w:r>
        <w:rPr>
          <w:rFonts w:hint="eastAsia"/>
          <w:sz w:val="24"/>
          <w:highlight w:val="none"/>
        </w:rPr>
        <w:t>（2）杆上设备巡检</w:t>
      </w:r>
    </w:p>
    <w:p w14:paraId="78FA4D11">
      <w:pPr>
        <w:adjustRightInd w:val="0"/>
        <w:snapToGrid w:val="0"/>
        <w:spacing w:line="288" w:lineRule="auto"/>
        <w:ind w:firstLine="448" w:firstLineChars="200"/>
        <w:rPr>
          <w:sz w:val="24"/>
          <w:highlight w:val="none"/>
        </w:rPr>
      </w:pPr>
      <w:r>
        <w:rPr>
          <w:rFonts w:hint="eastAsia"/>
          <w:sz w:val="24"/>
          <w:highlight w:val="none"/>
        </w:rPr>
        <w:t>杆上设备巡检包括摄像机巡检和抱杆箱内设备巡检。</w:t>
      </w:r>
    </w:p>
    <w:p w14:paraId="356B8F6B">
      <w:pPr>
        <w:adjustRightInd w:val="0"/>
        <w:snapToGrid w:val="0"/>
        <w:spacing w:line="288" w:lineRule="auto"/>
        <w:ind w:firstLine="448" w:firstLineChars="200"/>
        <w:outlineLvl w:val="7"/>
        <w:rPr>
          <w:sz w:val="24"/>
          <w:highlight w:val="none"/>
        </w:rPr>
      </w:pPr>
      <w:r>
        <w:rPr>
          <w:rFonts w:hint="eastAsia"/>
          <w:sz w:val="24"/>
          <w:highlight w:val="none"/>
        </w:rPr>
        <w:t>1）摄像机巡检</w:t>
      </w:r>
    </w:p>
    <w:p w14:paraId="7A69DAA7">
      <w:pPr>
        <w:adjustRightInd w:val="0"/>
        <w:snapToGrid w:val="0"/>
        <w:spacing w:line="288" w:lineRule="auto"/>
        <w:ind w:firstLine="448" w:firstLineChars="200"/>
        <w:rPr>
          <w:sz w:val="24"/>
          <w:highlight w:val="none"/>
        </w:rPr>
      </w:pPr>
      <w:r>
        <w:rPr>
          <w:rFonts w:hint="eastAsia"/>
          <w:sz w:val="24"/>
          <w:highlight w:val="none"/>
        </w:rPr>
        <w:t>核对监控杆体上摄像机等设备数量，检查设备指示灯工作状态是否正常；</w:t>
      </w:r>
    </w:p>
    <w:p w14:paraId="49F63041">
      <w:pPr>
        <w:adjustRightInd w:val="0"/>
        <w:snapToGrid w:val="0"/>
        <w:spacing w:line="288" w:lineRule="auto"/>
        <w:ind w:firstLine="448" w:firstLineChars="200"/>
        <w:rPr>
          <w:sz w:val="24"/>
          <w:highlight w:val="none"/>
        </w:rPr>
      </w:pPr>
      <w:r>
        <w:rPr>
          <w:rFonts w:hint="eastAsia"/>
          <w:sz w:val="24"/>
          <w:highlight w:val="none"/>
        </w:rPr>
        <w:t>观察设备外观有无破损、污渍，固定螺栓有无松动，设备强弱电线缆连接是否异常；</w:t>
      </w:r>
    </w:p>
    <w:p w14:paraId="04A6038F">
      <w:pPr>
        <w:adjustRightInd w:val="0"/>
        <w:snapToGrid w:val="0"/>
        <w:spacing w:line="288" w:lineRule="auto"/>
        <w:ind w:firstLine="448" w:firstLineChars="200"/>
        <w:rPr>
          <w:sz w:val="24"/>
          <w:highlight w:val="none"/>
        </w:rPr>
      </w:pPr>
      <w:r>
        <w:rPr>
          <w:rFonts w:hint="eastAsia"/>
          <w:sz w:val="24"/>
          <w:highlight w:val="none"/>
        </w:rPr>
        <w:t>摄像机线缆有无老化问题，及时进行更换；</w:t>
      </w:r>
    </w:p>
    <w:p w14:paraId="6FE34589">
      <w:pPr>
        <w:adjustRightInd w:val="0"/>
        <w:snapToGrid w:val="0"/>
        <w:spacing w:line="288" w:lineRule="auto"/>
        <w:ind w:firstLine="448" w:firstLineChars="200"/>
        <w:rPr>
          <w:sz w:val="24"/>
          <w:highlight w:val="none"/>
        </w:rPr>
      </w:pPr>
      <w:r>
        <w:rPr>
          <w:rFonts w:hint="eastAsia"/>
          <w:sz w:val="24"/>
          <w:highlight w:val="none"/>
        </w:rPr>
        <w:t>检查摄像机监控方向及云台位置是否正常、是否在预置位，云台是否能够正常旋转；</w:t>
      </w:r>
    </w:p>
    <w:p w14:paraId="7CEF88A2">
      <w:pPr>
        <w:adjustRightInd w:val="0"/>
        <w:snapToGrid w:val="0"/>
        <w:spacing w:line="288" w:lineRule="auto"/>
        <w:ind w:firstLine="448" w:firstLineChars="200"/>
        <w:rPr>
          <w:sz w:val="24"/>
          <w:highlight w:val="none"/>
        </w:rPr>
      </w:pPr>
      <w:r>
        <w:rPr>
          <w:rFonts w:hint="eastAsia"/>
          <w:sz w:val="24"/>
          <w:highlight w:val="none"/>
        </w:rPr>
        <w:t>检测视频图像清晰度是否符合要求，有无过度曝光、模糊等现象。</w:t>
      </w:r>
    </w:p>
    <w:p w14:paraId="0C59B666">
      <w:pPr>
        <w:adjustRightInd w:val="0"/>
        <w:snapToGrid w:val="0"/>
        <w:spacing w:line="288" w:lineRule="auto"/>
        <w:ind w:firstLine="448" w:firstLineChars="200"/>
        <w:rPr>
          <w:sz w:val="24"/>
          <w:highlight w:val="none"/>
        </w:rPr>
      </w:pPr>
      <w:r>
        <w:rPr>
          <w:rFonts w:hint="eastAsia"/>
          <w:sz w:val="24"/>
          <w:highlight w:val="none"/>
        </w:rPr>
        <w:t>巡检人员须清洁设备表面污渍，修复破损设备，固定设备螺栓，确保摄像机监控方向、云台位置正常，确保视频图像清晰度符合要求。</w:t>
      </w:r>
    </w:p>
    <w:p w14:paraId="68B73128">
      <w:pPr>
        <w:adjustRightInd w:val="0"/>
        <w:snapToGrid w:val="0"/>
        <w:spacing w:line="288" w:lineRule="auto"/>
        <w:ind w:firstLine="448" w:firstLineChars="200"/>
        <w:outlineLvl w:val="7"/>
        <w:rPr>
          <w:sz w:val="24"/>
          <w:highlight w:val="none"/>
        </w:rPr>
      </w:pPr>
      <w:r>
        <w:rPr>
          <w:rFonts w:hint="eastAsia"/>
          <w:sz w:val="24"/>
          <w:highlight w:val="none"/>
        </w:rPr>
        <w:t>2）抱杆箱内设备巡检</w:t>
      </w:r>
    </w:p>
    <w:p w14:paraId="56E5BE05">
      <w:pPr>
        <w:adjustRightInd w:val="0"/>
        <w:snapToGrid w:val="0"/>
        <w:spacing w:line="288" w:lineRule="auto"/>
        <w:ind w:firstLine="448" w:firstLineChars="200"/>
        <w:rPr>
          <w:sz w:val="24"/>
          <w:highlight w:val="none"/>
        </w:rPr>
      </w:pPr>
      <w:r>
        <w:rPr>
          <w:rFonts w:hint="eastAsia"/>
          <w:sz w:val="24"/>
          <w:highlight w:val="none"/>
        </w:rPr>
        <w:t>机箱内部清洁、除尘，整理箱内线缆；</w:t>
      </w:r>
    </w:p>
    <w:p w14:paraId="46B7B4A3">
      <w:pPr>
        <w:adjustRightInd w:val="0"/>
        <w:snapToGrid w:val="0"/>
        <w:spacing w:line="288" w:lineRule="auto"/>
        <w:ind w:firstLine="448" w:firstLineChars="200"/>
        <w:rPr>
          <w:sz w:val="24"/>
          <w:highlight w:val="none"/>
        </w:rPr>
      </w:pPr>
      <w:r>
        <w:rPr>
          <w:rFonts w:hint="eastAsia"/>
          <w:sz w:val="24"/>
          <w:highlight w:val="none"/>
        </w:rPr>
        <w:t>箱内电力、网络线缆有无老化问题，及时进行更换；</w:t>
      </w:r>
    </w:p>
    <w:p w14:paraId="10999D7F">
      <w:pPr>
        <w:adjustRightInd w:val="0"/>
        <w:snapToGrid w:val="0"/>
        <w:spacing w:line="288" w:lineRule="auto"/>
        <w:ind w:firstLine="448" w:firstLineChars="200"/>
        <w:rPr>
          <w:sz w:val="24"/>
          <w:highlight w:val="none"/>
        </w:rPr>
      </w:pPr>
      <w:r>
        <w:rPr>
          <w:rFonts w:hint="eastAsia"/>
          <w:sz w:val="24"/>
          <w:highlight w:val="none"/>
        </w:rPr>
        <w:t>核对箱内设备数量，检查设备指示灯工作状态是否正常；</w:t>
      </w:r>
    </w:p>
    <w:p w14:paraId="703BC12A">
      <w:pPr>
        <w:adjustRightInd w:val="0"/>
        <w:snapToGrid w:val="0"/>
        <w:spacing w:line="288" w:lineRule="auto"/>
        <w:ind w:firstLine="448" w:firstLineChars="200"/>
        <w:rPr>
          <w:sz w:val="24"/>
          <w:highlight w:val="none"/>
        </w:rPr>
      </w:pPr>
      <w:r>
        <w:rPr>
          <w:rFonts w:hint="eastAsia"/>
          <w:sz w:val="24"/>
          <w:highlight w:val="none"/>
        </w:rPr>
        <w:t>检查风扇运行状态，测量箱内运行环境温度；</w:t>
      </w:r>
    </w:p>
    <w:p w14:paraId="3F6E52A8">
      <w:pPr>
        <w:adjustRightInd w:val="0"/>
        <w:snapToGrid w:val="0"/>
        <w:spacing w:line="288" w:lineRule="auto"/>
        <w:ind w:firstLine="448" w:firstLineChars="200"/>
        <w:rPr>
          <w:sz w:val="24"/>
          <w:highlight w:val="none"/>
        </w:rPr>
      </w:pPr>
      <w:r>
        <w:rPr>
          <w:rFonts w:hint="eastAsia"/>
          <w:sz w:val="24"/>
          <w:highlight w:val="none"/>
        </w:rPr>
        <w:t>测试设备外壳是否带电，检查输入输出电缆的电压是否正常，紧固接线端子；</w:t>
      </w:r>
    </w:p>
    <w:p w14:paraId="0665CE2D">
      <w:pPr>
        <w:adjustRightInd w:val="0"/>
        <w:snapToGrid w:val="0"/>
        <w:spacing w:line="288" w:lineRule="auto"/>
        <w:ind w:firstLine="448" w:firstLineChars="200"/>
        <w:rPr>
          <w:sz w:val="24"/>
          <w:highlight w:val="none"/>
        </w:rPr>
      </w:pPr>
      <w:r>
        <w:rPr>
          <w:rFonts w:hint="eastAsia"/>
          <w:sz w:val="24"/>
          <w:highlight w:val="none"/>
        </w:rPr>
        <w:t>检查避雷装置是否正常工作。</w:t>
      </w:r>
    </w:p>
    <w:p w14:paraId="0AA35158">
      <w:pPr>
        <w:adjustRightInd w:val="0"/>
        <w:snapToGrid w:val="0"/>
        <w:spacing w:line="288" w:lineRule="auto"/>
        <w:ind w:firstLine="448" w:firstLineChars="200"/>
        <w:rPr>
          <w:sz w:val="24"/>
          <w:highlight w:val="none"/>
        </w:rPr>
      </w:pPr>
      <w:r>
        <w:rPr>
          <w:rFonts w:hint="eastAsia"/>
          <w:sz w:val="24"/>
          <w:highlight w:val="none"/>
        </w:rPr>
        <w:t>巡检过程中发现上述问题，中标供应商需及时采取相应措施进行合理处置，并保证在48小时内修复。</w:t>
      </w:r>
    </w:p>
    <w:p w14:paraId="36744AE7">
      <w:pPr>
        <w:adjustRightInd w:val="0"/>
        <w:snapToGrid w:val="0"/>
        <w:spacing w:line="288" w:lineRule="auto"/>
        <w:ind w:firstLine="448" w:firstLineChars="200"/>
        <w:outlineLvl w:val="6"/>
        <w:rPr>
          <w:sz w:val="24"/>
          <w:highlight w:val="none"/>
        </w:rPr>
      </w:pPr>
      <w:r>
        <w:rPr>
          <w:rFonts w:hint="eastAsia"/>
          <w:sz w:val="24"/>
          <w:highlight w:val="none"/>
        </w:rPr>
        <w:t>（3）前端设备周边环境巡检</w:t>
      </w:r>
    </w:p>
    <w:p w14:paraId="266A40A8">
      <w:pPr>
        <w:adjustRightInd w:val="0"/>
        <w:snapToGrid w:val="0"/>
        <w:spacing w:line="288" w:lineRule="auto"/>
        <w:ind w:firstLine="448" w:firstLineChars="200"/>
        <w:rPr>
          <w:sz w:val="24"/>
          <w:highlight w:val="none"/>
        </w:rPr>
      </w:pPr>
      <w:r>
        <w:rPr>
          <w:rFonts w:hint="eastAsia"/>
          <w:sz w:val="24"/>
          <w:highlight w:val="none"/>
        </w:rPr>
        <w:t>巡检内容主要包括确认绿化遮掩、道路施工等是否影响路面视频监控设备的正常使用，如确有影响应立即上报。</w:t>
      </w:r>
    </w:p>
    <w:p w14:paraId="553F4479">
      <w:pPr>
        <w:adjustRightInd w:val="0"/>
        <w:snapToGrid w:val="0"/>
        <w:spacing w:line="288" w:lineRule="auto"/>
        <w:ind w:firstLine="448" w:firstLineChars="200"/>
        <w:rPr>
          <w:sz w:val="24"/>
          <w:highlight w:val="none"/>
        </w:rPr>
      </w:pPr>
      <w:r>
        <w:rPr>
          <w:rFonts w:hint="eastAsia"/>
          <w:sz w:val="24"/>
          <w:highlight w:val="none"/>
        </w:rPr>
        <w:t>通过视频图像质量分析结合现场巡查，巡视树木遮挡等是否对视频监控设备的拍摄造成影响，如有影响中标供应商协调交通主管部门或其他相关单位对遮挡点位的树木进行修剪。</w:t>
      </w:r>
    </w:p>
    <w:p w14:paraId="7732AED2">
      <w:pPr>
        <w:adjustRightInd w:val="0"/>
        <w:snapToGrid w:val="0"/>
        <w:spacing w:line="288" w:lineRule="auto"/>
        <w:ind w:firstLine="448" w:firstLineChars="200"/>
        <w:rPr>
          <w:sz w:val="24"/>
          <w:highlight w:val="none"/>
        </w:rPr>
      </w:pPr>
      <w:r>
        <w:rPr>
          <w:rFonts w:hint="eastAsia"/>
          <w:sz w:val="24"/>
          <w:highlight w:val="none"/>
        </w:rPr>
        <w:t>重点巡检有路面施工的路口，巡检的重点是检查路口机箱内部的供电和网络链路是否正常。</w:t>
      </w:r>
    </w:p>
    <w:p w14:paraId="6E699876">
      <w:pPr>
        <w:adjustRightInd w:val="0"/>
        <w:snapToGrid w:val="0"/>
        <w:spacing w:line="288" w:lineRule="auto"/>
        <w:ind w:firstLine="448" w:firstLineChars="200"/>
        <w:rPr>
          <w:sz w:val="24"/>
          <w:highlight w:val="none"/>
        </w:rPr>
      </w:pPr>
      <w:r>
        <w:rPr>
          <w:rFonts w:hint="eastAsia"/>
          <w:sz w:val="24"/>
          <w:highlight w:val="none"/>
        </w:rPr>
        <w:t>如果道路路面施工过程中需要对摄像机和杆体进行迁移，中标供应商需配合；如果电力线缆、通信链路或者前端设备遭到破坏，中标供应商即时将现场情况上报采购人，与道路路面施工单位进行协调，协商赔偿事宜。</w:t>
      </w:r>
    </w:p>
    <w:p w14:paraId="640ACF8A">
      <w:pPr>
        <w:adjustRightInd w:val="0"/>
        <w:snapToGrid w:val="0"/>
        <w:spacing w:line="288" w:lineRule="auto"/>
        <w:ind w:firstLine="448" w:firstLineChars="200"/>
        <w:outlineLvl w:val="6"/>
        <w:rPr>
          <w:sz w:val="24"/>
          <w:highlight w:val="none"/>
        </w:rPr>
      </w:pPr>
      <w:r>
        <w:rPr>
          <w:rFonts w:hint="eastAsia"/>
          <w:sz w:val="24"/>
          <w:highlight w:val="none"/>
        </w:rPr>
        <w:t>（4）通信及网络巡检</w:t>
      </w:r>
    </w:p>
    <w:p w14:paraId="0DC8D7E6">
      <w:pPr>
        <w:adjustRightInd w:val="0"/>
        <w:snapToGrid w:val="0"/>
        <w:spacing w:line="288" w:lineRule="auto"/>
        <w:ind w:firstLine="448" w:firstLineChars="200"/>
        <w:rPr>
          <w:sz w:val="24"/>
          <w:highlight w:val="none"/>
        </w:rPr>
      </w:pPr>
      <w:r>
        <w:rPr>
          <w:rFonts w:hint="eastAsia"/>
          <w:sz w:val="24"/>
          <w:highlight w:val="none"/>
        </w:rPr>
        <w:t>在不影响网络使用的情况下，须每3个月至少测试一次交换机、链路等相关技术指标。对存在的故障隐患、安全隐患、安装规范问题等立即或在8小时内进行处理。</w:t>
      </w:r>
    </w:p>
    <w:p w14:paraId="6D0F4235">
      <w:pPr>
        <w:adjustRightInd w:val="0"/>
        <w:snapToGrid w:val="0"/>
        <w:spacing w:line="288" w:lineRule="auto"/>
        <w:ind w:firstLine="448" w:firstLineChars="200"/>
        <w:rPr>
          <w:sz w:val="24"/>
          <w:highlight w:val="none"/>
        </w:rPr>
      </w:pPr>
      <w:r>
        <w:rPr>
          <w:rFonts w:hint="eastAsia"/>
          <w:sz w:val="24"/>
          <w:highlight w:val="none"/>
        </w:rPr>
        <w:t>每3个月要对本包视频监控网进行一次巡检，每逢重大节假日之前要进行一次系统巡检，巡检完毕后填写《通信及网络巡检报告》并统一上报给采购人。</w:t>
      </w:r>
    </w:p>
    <w:p w14:paraId="7D6BD92C">
      <w:pPr>
        <w:adjustRightInd w:val="0"/>
        <w:snapToGrid w:val="0"/>
        <w:spacing w:line="288" w:lineRule="auto"/>
        <w:ind w:firstLine="448" w:firstLineChars="200"/>
        <w:rPr>
          <w:sz w:val="24"/>
          <w:highlight w:val="none"/>
        </w:rPr>
      </w:pPr>
      <w:r>
        <w:rPr>
          <w:rFonts w:hint="eastAsia"/>
          <w:sz w:val="24"/>
          <w:highlight w:val="none"/>
        </w:rPr>
        <w:t>在网络租赁及运维期间，接入点位的空间位置发生变化，中标供应商应免费进行网络链路迁移；采购人因实际业务情况需对接入点网络链路带宽进行调整，网络租赁及中标供应商应免费调整。</w:t>
      </w:r>
    </w:p>
    <w:p w14:paraId="2D7758CF">
      <w:pPr>
        <w:adjustRightInd w:val="0"/>
        <w:snapToGrid w:val="0"/>
        <w:spacing w:line="288" w:lineRule="auto"/>
        <w:ind w:firstLine="448" w:firstLineChars="200"/>
        <w:outlineLvl w:val="6"/>
        <w:rPr>
          <w:sz w:val="24"/>
          <w:highlight w:val="none"/>
        </w:rPr>
      </w:pPr>
      <w:r>
        <w:rPr>
          <w:rFonts w:hint="eastAsia"/>
          <w:sz w:val="24"/>
          <w:highlight w:val="none"/>
        </w:rPr>
        <w:t>（5）后端设备巡检</w:t>
      </w:r>
    </w:p>
    <w:p w14:paraId="5696BF5C">
      <w:pPr>
        <w:adjustRightInd w:val="0"/>
        <w:snapToGrid w:val="0"/>
        <w:spacing w:line="288" w:lineRule="auto"/>
        <w:ind w:firstLine="448" w:firstLineChars="200"/>
        <w:rPr>
          <w:sz w:val="24"/>
          <w:highlight w:val="none"/>
        </w:rPr>
      </w:pPr>
      <w:r>
        <w:rPr>
          <w:rFonts w:hint="eastAsia"/>
          <w:sz w:val="24"/>
          <w:highlight w:val="none"/>
        </w:rPr>
        <w:t>中标供应商对部署在机房中的平台软硬件设备进行定期巡检，检查服务器、存储设备、网络设备等外观，确保无明显异常、损坏；查看设备指示灯、硬盘灯显示状态，判断设备、硬盘等是否正常运行；查看存储设备存储容量使用情况，确保满足视频监控系统数据存储和读取按要求；网络设备查看端口状态指示灯，确认端口连接正常，检查设备配置，确保IP地址等配置正确，检测设备吞吐量、丢包率等性能指标，保证网络传输稳定。</w:t>
      </w:r>
    </w:p>
    <w:p w14:paraId="7038152B">
      <w:pPr>
        <w:adjustRightInd w:val="0"/>
        <w:snapToGrid w:val="0"/>
        <w:spacing w:line="288" w:lineRule="auto"/>
        <w:ind w:firstLine="448" w:firstLineChars="200"/>
        <w:rPr>
          <w:sz w:val="24"/>
          <w:highlight w:val="none"/>
        </w:rPr>
      </w:pPr>
      <w:r>
        <w:rPr>
          <w:rFonts w:hint="eastAsia"/>
          <w:sz w:val="24"/>
          <w:highlight w:val="none"/>
        </w:rPr>
        <w:t>检查操作系统、视频监控系统平台、电子卡口处理系统平台等软件的运行状态，确保各项功能正常；更新、升级所需补丁，防止存在系统漏洞；检查系统日志，分析是否存在异常事件等。</w:t>
      </w:r>
    </w:p>
    <w:p w14:paraId="32911047">
      <w:pPr>
        <w:adjustRightInd w:val="0"/>
        <w:snapToGrid w:val="0"/>
        <w:spacing w:line="288" w:lineRule="auto"/>
        <w:ind w:firstLine="448" w:firstLineChars="200"/>
        <w:rPr>
          <w:sz w:val="24"/>
          <w:highlight w:val="none"/>
        </w:rPr>
      </w:pPr>
      <w:r>
        <w:rPr>
          <w:rFonts w:hint="eastAsia"/>
          <w:sz w:val="24"/>
          <w:highlight w:val="none"/>
        </w:rPr>
        <w:t>中标供应商应在运维服务期内对托管在存储机房中的设备进行不少于一次的设备内部不停机清洗除尘工作。</w:t>
      </w:r>
    </w:p>
    <w:p w14:paraId="022A3ECD">
      <w:pPr>
        <w:adjustRightInd w:val="0"/>
        <w:snapToGrid w:val="0"/>
        <w:spacing w:line="288" w:lineRule="auto"/>
        <w:ind w:firstLine="448" w:firstLineChars="200"/>
        <w:rPr>
          <w:sz w:val="24"/>
          <w:highlight w:val="none"/>
        </w:rPr>
      </w:pPr>
      <w:r>
        <w:rPr>
          <w:rFonts w:hint="eastAsia"/>
          <w:sz w:val="24"/>
          <w:highlight w:val="none"/>
        </w:rPr>
        <w:t>对于巡检中发现的问题，能现场解决的立即解决；无法现场解决的问题详细记录，及时上报采购人并制定解决方案。</w:t>
      </w:r>
    </w:p>
    <w:p w14:paraId="29B7EB22">
      <w:pPr>
        <w:adjustRightInd w:val="0"/>
        <w:snapToGrid w:val="0"/>
        <w:spacing w:line="288" w:lineRule="auto"/>
        <w:ind w:firstLine="448" w:firstLineChars="200"/>
        <w:rPr>
          <w:sz w:val="24"/>
          <w:highlight w:val="none"/>
        </w:rPr>
      </w:pPr>
      <w:r>
        <w:rPr>
          <w:rFonts w:hint="eastAsia"/>
          <w:sz w:val="24"/>
          <w:highlight w:val="none"/>
        </w:rPr>
        <w:t>巡检完成后整理巡检记录，编制巡检报告，包括巡检时间、巡检内容、设备型号、巡检结果、发现的问题及处理情况等，纳入运维文档中。。</w:t>
      </w:r>
    </w:p>
    <w:p w14:paraId="0FC434B9">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5、故障处理要求</w:t>
      </w:r>
    </w:p>
    <w:p w14:paraId="75275E9E">
      <w:pPr>
        <w:adjustRightInd w:val="0"/>
        <w:snapToGrid w:val="0"/>
        <w:spacing w:line="288" w:lineRule="auto"/>
        <w:ind w:firstLine="448" w:firstLineChars="200"/>
        <w:outlineLvl w:val="6"/>
        <w:rPr>
          <w:sz w:val="24"/>
          <w:highlight w:val="none"/>
        </w:rPr>
      </w:pPr>
      <w:r>
        <w:rPr>
          <w:rFonts w:hint="eastAsia"/>
          <w:sz w:val="24"/>
          <w:highlight w:val="none"/>
        </w:rPr>
        <w:t>（1）故障响应时间要求</w:t>
      </w:r>
    </w:p>
    <w:p w14:paraId="0265C332">
      <w:pPr>
        <w:adjustRightInd w:val="0"/>
        <w:snapToGrid w:val="0"/>
        <w:spacing w:line="288" w:lineRule="auto"/>
        <w:ind w:firstLine="448" w:firstLineChars="200"/>
        <w:rPr>
          <w:sz w:val="24"/>
          <w:highlight w:val="none"/>
        </w:rPr>
      </w:pPr>
      <w:r>
        <w:rPr>
          <w:rFonts w:hint="eastAsia"/>
          <w:sz w:val="24"/>
          <w:highlight w:val="none"/>
        </w:rPr>
        <w:t>所有故障必须在发生后的30分钟内做出响应，无法在线解决后，维修人员应在2小时内到达故障现场，开展全面的故障排查和初步维修工作。在此阶段，需优先采取临时解决方案，尽量减少对系统和用户的影响，并为全面修复奠定基础。</w:t>
      </w:r>
    </w:p>
    <w:p w14:paraId="14FE08F1">
      <w:pPr>
        <w:adjustRightInd w:val="0"/>
        <w:snapToGrid w:val="0"/>
        <w:spacing w:line="288" w:lineRule="auto"/>
        <w:ind w:firstLine="448" w:firstLineChars="200"/>
        <w:rPr>
          <w:sz w:val="24"/>
          <w:highlight w:val="none"/>
        </w:rPr>
      </w:pPr>
      <w:r>
        <w:rPr>
          <w:rFonts w:hint="eastAsia"/>
          <w:sz w:val="24"/>
          <w:highlight w:val="none"/>
        </w:rPr>
        <w:t>现场维修完成后，运维团队需继续进行系统监控和性能评估，确保故障得到彻底解决。所有故障在无特殊事件情况下，必须在48小时内完全修复，以恢复系统的正常功能和性能，由于中标供应商原因导致故障在72小时内无法全面修复的，采购人有权利安排第三方单位对该故障进行维修，</w:t>
      </w:r>
      <w:r>
        <w:rPr>
          <w:sz w:val="24"/>
          <w:highlight w:val="none"/>
        </w:rPr>
        <w:t>所产生维修费用由</w:t>
      </w:r>
      <w:r>
        <w:rPr>
          <w:rFonts w:hint="eastAsia"/>
          <w:sz w:val="24"/>
          <w:highlight w:val="none"/>
        </w:rPr>
        <w:t>中标供应商</w:t>
      </w:r>
      <w:r>
        <w:rPr>
          <w:sz w:val="24"/>
          <w:highlight w:val="none"/>
        </w:rPr>
        <w:t>直接支付给第三方单位且经</w:t>
      </w:r>
      <w:r>
        <w:rPr>
          <w:rFonts w:hint="eastAsia"/>
          <w:sz w:val="24"/>
          <w:highlight w:val="none"/>
        </w:rPr>
        <w:t>采购人</w:t>
      </w:r>
      <w:r>
        <w:rPr>
          <w:sz w:val="24"/>
          <w:highlight w:val="none"/>
        </w:rPr>
        <w:t>确认后，</w:t>
      </w:r>
      <w:r>
        <w:rPr>
          <w:rFonts w:hint="eastAsia"/>
          <w:sz w:val="24"/>
          <w:highlight w:val="none"/>
        </w:rPr>
        <w:t>采购人</w:t>
      </w:r>
      <w:r>
        <w:rPr>
          <w:sz w:val="24"/>
          <w:highlight w:val="none"/>
        </w:rPr>
        <w:t>方可继续支付下一期运维费用</w:t>
      </w:r>
      <w:r>
        <w:rPr>
          <w:rFonts w:hint="eastAsia"/>
          <w:sz w:val="24"/>
          <w:highlight w:val="none"/>
        </w:rPr>
        <w:t>。</w:t>
      </w:r>
    </w:p>
    <w:p w14:paraId="70A9CCBB">
      <w:pPr>
        <w:adjustRightInd w:val="0"/>
        <w:snapToGrid w:val="0"/>
        <w:spacing w:line="288" w:lineRule="auto"/>
        <w:ind w:firstLine="448" w:firstLineChars="200"/>
        <w:outlineLvl w:val="6"/>
        <w:rPr>
          <w:sz w:val="24"/>
          <w:highlight w:val="none"/>
        </w:rPr>
      </w:pPr>
      <w:r>
        <w:rPr>
          <w:rFonts w:hint="eastAsia"/>
          <w:sz w:val="24"/>
          <w:highlight w:val="none"/>
        </w:rPr>
        <w:t>（2）故障处理原则</w:t>
      </w:r>
    </w:p>
    <w:p w14:paraId="3D202835">
      <w:pPr>
        <w:adjustRightInd w:val="0"/>
        <w:snapToGrid w:val="0"/>
        <w:spacing w:line="288" w:lineRule="auto"/>
        <w:ind w:firstLine="448" w:firstLineChars="200"/>
        <w:rPr>
          <w:sz w:val="24"/>
          <w:highlight w:val="none"/>
        </w:rPr>
      </w:pPr>
      <w:r>
        <w:rPr>
          <w:rFonts w:hint="eastAsia"/>
          <w:sz w:val="24"/>
          <w:highlight w:val="none"/>
        </w:rPr>
        <w:t>故障处理必须严格遵循“先抢通、后修复”的原则，中标供应商应优先采取最快速有效的措施，以尽快恢复业务的正常运行。</w:t>
      </w:r>
    </w:p>
    <w:p w14:paraId="15B33FEA">
      <w:pPr>
        <w:adjustRightInd w:val="0"/>
        <w:snapToGrid w:val="0"/>
        <w:spacing w:line="288" w:lineRule="auto"/>
        <w:ind w:firstLine="448" w:firstLineChars="200"/>
        <w:outlineLvl w:val="6"/>
        <w:rPr>
          <w:sz w:val="24"/>
          <w:highlight w:val="none"/>
        </w:rPr>
      </w:pPr>
      <w:r>
        <w:rPr>
          <w:rFonts w:hint="eastAsia"/>
          <w:sz w:val="24"/>
          <w:highlight w:val="none"/>
        </w:rPr>
        <w:t>（3）故障处理流程</w:t>
      </w:r>
    </w:p>
    <w:p w14:paraId="18A7B280">
      <w:pPr>
        <w:adjustRightInd w:val="0"/>
        <w:snapToGrid w:val="0"/>
        <w:spacing w:line="288" w:lineRule="auto"/>
        <w:ind w:firstLine="448" w:firstLineChars="200"/>
        <w:rPr>
          <w:sz w:val="24"/>
          <w:highlight w:val="none"/>
        </w:rPr>
      </w:pPr>
      <w:r>
        <w:rPr>
          <w:rFonts w:hint="eastAsia"/>
          <w:sz w:val="24"/>
          <w:highlight w:val="none"/>
        </w:rPr>
        <w:t>故障处理应严格按照故障初步判断、故障申告、分析处理、总结及相关事宜的流程执行：</w:t>
      </w:r>
    </w:p>
    <w:p w14:paraId="74779EB4">
      <w:pPr>
        <w:adjustRightInd w:val="0"/>
        <w:snapToGrid w:val="0"/>
        <w:spacing w:line="288" w:lineRule="auto"/>
        <w:ind w:firstLine="448" w:firstLineChars="200"/>
        <w:outlineLvl w:val="7"/>
        <w:rPr>
          <w:sz w:val="24"/>
          <w:highlight w:val="none"/>
        </w:rPr>
      </w:pPr>
      <w:r>
        <w:rPr>
          <w:rFonts w:hint="eastAsia"/>
          <w:sz w:val="24"/>
          <w:highlight w:val="none"/>
        </w:rPr>
        <w:t>1）故障初步判断</w:t>
      </w:r>
    </w:p>
    <w:p w14:paraId="2C10672A">
      <w:pPr>
        <w:adjustRightInd w:val="0"/>
        <w:snapToGrid w:val="0"/>
        <w:spacing w:line="288" w:lineRule="auto"/>
        <w:ind w:firstLine="448" w:firstLineChars="200"/>
        <w:rPr>
          <w:sz w:val="24"/>
          <w:highlight w:val="none"/>
        </w:rPr>
      </w:pPr>
      <w:r>
        <w:rPr>
          <w:rFonts w:hint="eastAsia"/>
          <w:sz w:val="24"/>
          <w:highlight w:val="none"/>
        </w:rPr>
        <w:t>平台巡检人员主动发现故障或电话受理故障时，应识别故障位置，初步判断故障原因。</w:t>
      </w:r>
    </w:p>
    <w:p w14:paraId="0C526ED5">
      <w:pPr>
        <w:adjustRightInd w:val="0"/>
        <w:snapToGrid w:val="0"/>
        <w:spacing w:line="288" w:lineRule="auto"/>
        <w:ind w:firstLine="448" w:firstLineChars="200"/>
        <w:outlineLvl w:val="7"/>
        <w:rPr>
          <w:sz w:val="24"/>
          <w:highlight w:val="none"/>
        </w:rPr>
      </w:pPr>
      <w:r>
        <w:rPr>
          <w:rFonts w:hint="eastAsia"/>
          <w:sz w:val="24"/>
          <w:highlight w:val="none"/>
        </w:rPr>
        <w:t>2）故障申告</w:t>
      </w:r>
    </w:p>
    <w:p w14:paraId="51729A2C">
      <w:pPr>
        <w:adjustRightInd w:val="0"/>
        <w:snapToGrid w:val="0"/>
        <w:spacing w:line="288" w:lineRule="auto"/>
        <w:ind w:firstLine="448" w:firstLineChars="200"/>
        <w:rPr>
          <w:sz w:val="24"/>
          <w:highlight w:val="none"/>
        </w:rPr>
      </w:pPr>
      <w:r>
        <w:rPr>
          <w:rFonts w:hint="eastAsia"/>
          <w:sz w:val="24"/>
          <w:highlight w:val="none"/>
        </w:rPr>
        <w:t>平台巡检人员初步判断故障原因后，电话联系电话支持工程师，后者受理后详细记录并分析故障情况，填写故障派修单。</w:t>
      </w:r>
    </w:p>
    <w:p w14:paraId="34917E0D">
      <w:pPr>
        <w:adjustRightInd w:val="0"/>
        <w:snapToGrid w:val="0"/>
        <w:spacing w:line="288" w:lineRule="auto"/>
        <w:ind w:firstLine="448" w:firstLineChars="200"/>
        <w:outlineLvl w:val="7"/>
        <w:rPr>
          <w:sz w:val="24"/>
          <w:highlight w:val="none"/>
        </w:rPr>
      </w:pPr>
      <w:r>
        <w:rPr>
          <w:rFonts w:hint="eastAsia"/>
          <w:sz w:val="24"/>
          <w:highlight w:val="none"/>
        </w:rPr>
        <w:t>3）故障分析及解决</w:t>
      </w:r>
    </w:p>
    <w:p w14:paraId="4C9D7A0F">
      <w:pPr>
        <w:adjustRightInd w:val="0"/>
        <w:snapToGrid w:val="0"/>
        <w:spacing w:line="288" w:lineRule="auto"/>
        <w:ind w:firstLine="448" w:firstLineChars="200"/>
        <w:rPr>
          <w:sz w:val="24"/>
          <w:highlight w:val="none"/>
        </w:rPr>
      </w:pPr>
      <w:r>
        <w:rPr>
          <w:rFonts w:hint="eastAsia"/>
          <w:sz w:val="24"/>
          <w:highlight w:val="none"/>
        </w:rPr>
        <w:t>如该故障可以远程解决，电话支持工程师提出解决方案，远程指导平台巡检人员完成故障修复，排除故障。一旦问题得以解决，电话支持工程师应撰写详细的故障分析、解决方案以及总结报告，并归档备查。</w:t>
      </w:r>
    </w:p>
    <w:p w14:paraId="50607A46">
      <w:pPr>
        <w:adjustRightInd w:val="0"/>
        <w:snapToGrid w:val="0"/>
        <w:spacing w:line="288" w:lineRule="auto"/>
        <w:ind w:firstLine="448" w:firstLineChars="200"/>
        <w:rPr>
          <w:sz w:val="24"/>
          <w:highlight w:val="none"/>
        </w:rPr>
      </w:pPr>
      <w:r>
        <w:rPr>
          <w:rFonts w:hint="eastAsia"/>
          <w:sz w:val="24"/>
          <w:highlight w:val="none"/>
        </w:rPr>
        <w:t>如果该故障无法远程解决，电话支持工程师应以故障工单的形式转交技术支持工程师。技术支持工程师在接到故障工单后，进行深入故障分析与初步处理，提出解决方案。需要现场处理的，立即安排外场服务人员或与其一同出发，保证在2小时内到达故障现场。完成故障修复后，及时与平台巡检人员联系确认维修结果。优先使用备品备件进行更换，保证前端点位快速恢复。故障处理过程需记录详细，在任务结束后对工单进行归档。由于特殊事件导致故障无法即时解决的，及时上报采购人。</w:t>
      </w:r>
    </w:p>
    <w:p w14:paraId="203FADB1">
      <w:pPr>
        <w:adjustRightInd w:val="0"/>
        <w:snapToGrid w:val="0"/>
        <w:spacing w:line="288" w:lineRule="auto"/>
        <w:ind w:firstLine="448" w:firstLineChars="200"/>
        <w:rPr>
          <w:sz w:val="24"/>
          <w:highlight w:val="none"/>
        </w:rPr>
      </w:pPr>
      <w:r>
        <w:rPr>
          <w:rFonts w:hint="eastAsia"/>
          <w:sz w:val="24"/>
          <w:highlight w:val="none"/>
        </w:rPr>
        <w:t>维护和故障处理结束后，必须及时清理现场，保证环境恢复至原始状态。任何因操作失误导致的设备或其他物品损害，由中标供应商承担经济责任。在执行维护和故障排查期间，应确保不影响到非维护范围内的设施；如有任何损坏，同样由服务方负责赔偿。此外，维护过程中必须强调安全生产的重要性，定期对维护人员进行安全教育，并提供必要的安全防护装备。</w:t>
      </w:r>
    </w:p>
    <w:p w14:paraId="45F7261C">
      <w:pPr>
        <w:adjustRightInd w:val="0"/>
        <w:snapToGrid w:val="0"/>
        <w:spacing w:line="288" w:lineRule="auto"/>
        <w:ind w:firstLine="448" w:firstLineChars="200"/>
        <w:outlineLvl w:val="7"/>
        <w:rPr>
          <w:sz w:val="24"/>
          <w:highlight w:val="none"/>
        </w:rPr>
      </w:pPr>
      <w:r>
        <w:rPr>
          <w:rFonts w:hint="eastAsia"/>
          <w:sz w:val="24"/>
          <w:highlight w:val="none"/>
        </w:rPr>
        <w:t>4）故障总结</w:t>
      </w:r>
    </w:p>
    <w:p w14:paraId="357DCC9A">
      <w:pPr>
        <w:adjustRightInd w:val="0"/>
        <w:snapToGrid w:val="0"/>
        <w:spacing w:line="288" w:lineRule="auto"/>
        <w:ind w:firstLine="448" w:firstLineChars="200"/>
        <w:rPr>
          <w:sz w:val="24"/>
          <w:highlight w:val="none"/>
        </w:rPr>
      </w:pPr>
      <w:r>
        <w:rPr>
          <w:rFonts w:hint="eastAsia"/>
          <w:sz w:val="24"/>
          <w:highlight w:val="none"/>
        </w:rPr>
        <w:t>故障处理完成后，中标供应商必须立即进行故障处理情况的详细记录。</w:t>
      </w:r>
    </w:p>
    <w:p w14:paraId="361EEDE9">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6、重保期间运维服务</w:t>
      </w:r>
    </w:p>
    <w:p w14:paraId="5B99E5CD">
      <w:pPr>
        <w:adjustRightInd w:val="0"/>
        <w:snapToGrid w:val="0"/>
        <w:spacing w:line="288" w:lineRule="auto"/>
        <w:ind w:firstLine="448" w:firstLineChars="200"/>
        <w:rPr>
          <w:sz w:val="24"/>
          <w:highlight w:val="none"/>
        </w:rPr>
      </w:pPr>
      <w:r>
        <w:rPr>
          <w:rFonts w:hint="eastAsia"/>
          <w:sz w:val="24"/>
          <w:highlight w:val="none"/>
        </w:rPr>
        <w:t>重保期间运维指除日常维护工作外，在元旦、春节、国庆等重大安保节日，以及重大活动、突发紧急情况下，中标供应商必须加派人员和车辆，全面提升服务保障力度。中标供应商需提供全天候（7x24小时）的实时技术支持，并制定详尽的应急响应策略，以确保在各种紧急情况下能够迅速有效地应对和处理问题。</w:t>
      </w:r>
    </w:p>
    <w:p w14:paraId="3A11C15D">
      <w:pPr>
        <w:adjustRightInd w:val="0"/>
        <w:snapToGrid w:val="0"/>
        <w:spacing w:line="288" w:lineRule="auto"/>
        <w:ind w:firstLine="448" w:firstLineChars="200"/>
        <w:rPr>
          <w:sz w:val="24"/>
          <w:highlight w:val="none"/>
        </w:rPr>
      </w:pPr>
      <w:r>
        <w:rPr>
          <w:rFonts w:hint="eastAsia"/>
          <w:sz w:val="24"/>
          <w:highlight w:val="none"/>
        </w:rPr>
        <w:t>中标供应商应在项目启动前编制完善的运维应急预案。该预案需明确运维应急指挥和执行机构的成员名单、联系方式及职责分工，确保各方责任明确、协调高效；预案还需包括详细的应急响应流程和操作指南，以应对各种可能的突发情况。所有应急预案应提前向滨海分局报备，以便在重大节假日或突发事件发生时，方便进行统一指挥、调度和资源调配。</w:t>
      </w:r>
    </w:p>
    <w:p w14:paraId="5633E919">
      <w:pPr>
        <w:adjustRightInd w:val="0"/>
        <w:snapToGrid w:val="0"/>
        <w:spacing w:line="288" w:lineRule="auto"/>
        <w:ind w:firstLine="448" w:firstLineChars="200"/>
        <w:outlineLvl w:val="6"/>
        <w:rPr>
          <w:sz w:val="24"/>
          <w:highlight w:val="none"/>
        </w:rPr>
      </w:pPr>
      <w:r>
        <w:rPr>
          <w:rFonts w:hint="eastAsia"/>
          <w:sz w:val="24"/>
          <w:highlight w:val="none"/>
        </w:rPr>
        <w:t>（1）应急通信保障</w:t>
      </w:r>
    </w:p>
    <w:p w14:paraId="20823588">
      <w:pPr>
        <w:adjustRightInd w:val="0"/>
        <w:snapToGrid w:val="0"/>
        <w:spacing w:line="288" w:lineRule="auto"/>
        <w:ind w:firstLine="448" w:firstLineChars="200"/>
        <w:rPr>
          <w:sz w:val="24"/>
          <w:highlight w:val="none"/>
        </w:rPr>
      </w:pPr>
      <w:r>
        <w:rPr>
          <w:rFonts w:hint="eastAsia"/>
          <w:sz w:val="24"/>
          <w:highlight w:val="none"/>
        </w:rPr>
        <w:t>在重保期间，中标供应商的应急指挥和执行机构人员必须确保24小时电话畅通，确保所有通讯手段高效可靠，以便在紧急情况下能够迅速响应和处理突发事件。</w:t>
      </w:r>
    </w:p>
    <w:p w14:paraId="3E4C66E4">
      <w:pPr>
        <w:adjustRightInd w:val="0"/>
        <w:snapToGrid w:val="0"/>
        <w:spacing w:line="288" w:lineRule="auto"/>
        <w:ind w:firstLine="448" w:firstLineChars="200"/>
        <w:rPr>
          <w:sz w:val="24"/>
          <w:highlight w:val="none"/>
        </w:rPr>
      </w:pPr>
      <w:r>
        <w:rPr>
          <w:rFonts w:hint="eastAsia"/>
          <w:sz w:val="24"/>
          <w:highlight w:val="none"/>
        </w:rPr>
        <w:t>各部门之间应加强沟通，保持信息畅通，确保在遇到突发情况时能够快速反应、协同应对。建立备用通信方案，以应对可能出现的通信中断情况，确保信息传递不受影响。</w:t>
      </w:r>
    </w:p>
    <w:p w14:paraId="1414136B">
      <w:pPr>
        <w:adjustRightInd w:val="0"/>
        <w:snapToGrid w:val="0"/>
        <w:spacing w:line="288" w:lineRule="auto"/>
        <w:ind w:firstLine="448" w:firstLineChars="200"/>
        <w:outlineLvl w:val="6"/>
        <w:rPr>
          <w:sz w:val="24"/>
          <w:highlight w:val="none"/>
        </w:rPr>
      </w:pPr>
      <w:r>
        <w:rPr>
          <w:rFonts w:hint="eastAsia"/>
          <w:sz w:val="24"/>
          <w:highlight w:val="none"/>
        </w:rPr>
        <w:t>（2）应急资源、人员准备</w:t>
      </w:r>
    </w:p>
    <w:p w14:paraId="6139BA7F">
      <w:pPr>
        <w:adjustRightInd w:val="0"/>
        <w:snapToGrid w:val="0"/>
        <w:spacing w:line="288" w:lineRule="auto"/>
        <w:ind w:firstLine="448" w:firstLineChars="200"/>
        <w:rPr>
          <w:sz w:val="24"/>
          <w:highlight w:val="none"/>
        </w:rPr>
      </w:pPr>
      <w:r>
        <w:rPr>
          <w:rFonts w:hint="eastAsia"/>
          <w:sz w:val="24"/>
          <w:highlight w:val="none"/>
        </w:rPr>
        <w:t>在重保前夕，中标供应商应急指挥和执行机构的各级人员应当切实加强应急准备工作，确保在重保期间的各项工作顺利进行。</w:t>
      </w:r>
    </w:p>
    <w:p w14:paraId="7EB4970A">
      <w:pPr>
        <w:adjustRightInd w:val="0"/>
        <w:snapToGrid w:val="0"/>
        <w:spacing w:line="288" w:lineRule="auto"/>
        <w:ind w:firstLine="448" w:firstLineChars="200"/>
        <w:rPr>
          <w:sz w:val="24"/>
          <w:highlight w:val="none"/>
        </w:rPr>
      </w:pPr>
      <w:r>
        <w:rPr>
          <w:rFonts w:hint="eastAsia"/>
          <w:sz w:val="24"/>
          <w:highlight w:val="none"/>
        </w:rPr>
        <w:t>所有相关人员需提前准备并检查车辆、运维工具、应急设备等关键应急物资，确保其状态良好、功能齐全。适当增加物资储备，以应对突发事件的需求，提前领用必要的备品备件和相关辅材。</w:t>
      </w:r>
    </w:p>
    <w:p w14:paraId="711352F7">
      <w:pPr>
        <w:adjustRightInd w:val="0"/>
        <w:snapToGrid w:val="0"/>
        <w:spacing w:line="288" w:lineRule="auto"/>
        <w:ind w:firstLine="448" w:firstLineChars="200"/>
        <w:rPr>
          <w:sz w:val="24"/>
          <w:highlight w:val="none"/>
        </w:rPr>
      </w:pPr>
      <w:r>
        <w:rPr>
          <w:rFonts w:hint="eastAsia"/>
          <w:sz w:val="24"/>
          <w:highlight w:val="none"/>
        </w:rPr>
        <w:t>各岗位职责分工要明确，确保关键岗位人员24小时待命，随时应对可能发生的突发事件。针对重要点位和关键区域，要明确专人负责，并制定详细的巡检计划。</w:t>
      </w:r>
    </w:p>
    <w:p w14:paraId="0D62C326">
      <w:pPr>
        <w:adjustRightInd w:val="0"/>
        <w:snapToGrid w:val="0"/>
        <w:spacing w:line="288" w:lineRule="auto"/>
        <w:ind w:firstLine="448" w:firstLineChars="200"/>
        <w:outlineLvl w:val="6"/>
        <w:rPr>
          <w:sz w:val="24"/>
          <w:highlight w:val="none"/>
        </w:rPr>
      </w:pPr>
      <w:r>
        <w:rPr>
          <w:rFonts w:hint="eastAsia"/>
          <w:sz w:val="24"/>
          <w:highlight w:val="none"/>
        </w:rPr>
        <w:t>（3）加派人员及车辆协助</w:t>
      </w:r>
    </w:p>
    <w:p w14:paraId="20E52E32">
      <w:pPr>
        <w:adjustRightInd w:val="0"/>
        <w:snapToGrid w:val="0"/>
        <w:spacing w:line="288" w:lineRule="auto"/>
        <w:ind w:firstLine="448" w:firstLineChars="200"/>
        <w:rPr>
          <w:sz w:val="24"/>
          <w:highlight w:val="none"/>
        </w:rPr>
      </w:pPr>
      <w:r>
        <w:rPr>
          <w:rFonts w:hint="eastAsia"/>
          <w:sz w:val="24"/>
          <w:highlight w:val="none"/>
        </w:rPr>
        <w:t>在重保期间，应增加现场运维人员和车辆的配置，明确分工并随时待命，确保有足够的人力和物力资源支持各项应急任务。</w:t>
      </w:r>
    </w:p>
    <w:p w14:paraId="132A0025">
      <w:pPr>
        <w:adjustRightInd w:val="0"/>
        <w:snapToGrid w:val="0"/>
        <w:spacing w:line="288" w:lineRule="auto"/>
        <w:ind w:firstLine="448" w:firstLineChars="200"/>
        <w:rPr>
          <w:sz w:val="24"/>
          <w:highlight w:val="none"/>
        </w:rPr>
      </w:pPr>
      <w:r>
        <w:rPr>
          <w:rFonts w:hint="eastAsia"/>
          <w:sz w:val="24"/>
          <w:highlight w:val="none"/>
        </w:rPr>
        <w:t>从重保开始前三天起，应制订详尽的值班计划，确保一旦发生紧急情况，能够快速反应。确保重保期间每天24小时有人值守。</w:t>
      </w:r>
    </w:p>
    <w:p w14:paraId="4D5445F6">
      <w:pPr>
        <w:adjustRightInd w:val="0"/>
        <w:snapToGrid w:val="0"/>
        <w:spacing w:line="288" w:lineRule="auto"/>
        <w:ind w:firstLine="448" w:firstLineChars="200"/>
        <w:rPr>
          <w:sz w:val="24"/>
          <w:highlight w:val="none"/>
        </w:rPr>
      </w:pPr>
      <w:r>
        <w:rPr>
          <w:rFonts w:hint="eastAsia"/>
          <w:sz w:val="24"/>
          <w:highlight w:val="none"/>
        </w:rPr>
        <w:t>应急抢修人员在重保期间需保持24小时待命状态，提前做好抢修的准备工作。</w:t>
      </w:r>
    </w:p>
    <w:p w14:paraId="350CC2E3">
      <w:pPr>
        <w:adjustRightInd w:val="0"/>
        <w:snapToGrid w:val="0"/>
        <w:spacing w:line="288" w:lineRule="auto"/>
        <w:ind w:firstLine="448" w:firstLineChars="200"/>
        <w:rPr>
          <w:sz w:val="24"/>
          <w:highlight w:val="none"/>
        </w:rPr>
      </w:pPr>
      <w:r>
        <w:rPr>
          <w:rFonts w:hint="eastAsia"/>
          <w:sz w:val="24"/>
          <w:highlight w:val="none"/>
        </w:rPr>
        <w:t>抢修人员应在重保前加大日常巡线工作的频次和范围，全面排查可能存在的隐患，巡线过程中应重点检查线路的安全性和设备的运行状态。</w:t>
      </w:r>
    </w:p>
    <w:p w14:paraId="459D541C">
      <w:pPr>
        <w:adjustRightInd w:val="0"/>
        <w:snapToGrid w:val="0"/>
        <w:spacing w:line="288" w:lineRule="auto"/>
        <w:ind w:firstLine="448" w:firstLineChars="200"/>
        <w:outlineLvl w:val="6"/>
        <w:rPr>
          <w:sz w:val="24"/>
          <w:highlight w:val="none"/>
        </w:rPr>
      </w:pPr>
      <w:r>
        <w:rPr>
          <w:rFonts w:hint="eastAsia"/>
          <w:sz w:val="24"/>
          <w:highlight w:val="none"/>
        </w:rPr>
        <w:t>（4）加强监控和巡视</w:t>
      </w:r>
    </w:p>
    <w:p w14:paraId="3FB08140">
      <w:pPr>
        <w:adjustRightInd w:val="0"/>
        <w:snapToGrid w:val="0"/>
        <w:spacing w:line="288" w:lineRule="auto"/>
        <w:ind w:firstLine="448" w:firstLineChars="200"/>
        <w:rPr>
          <w:sz w:val="24"/>
          <w:highlight w:val="none"/>
        </w:rPr>
      </w:pPr>
      <w:r>
        <w:rPr>
          <w:rFonts w:hint="eastAsia"/>
          <w:sz w:val="24"/>
          <w:highlight w:val="none"/>
        </w:rPr>
        <w:t>针对恶劣天气、雨雪天气、重保期间等特殊情况，对运维范围内的系统、设备进行巡检，巡检完成后，将巡检结果存档，待采购人审查。并根据采购人要求把本次的巡检内容、时间、结果等巡检单以书面的形式汇报。</w:t>
      </w:r>
    </w:p>
    <w:p w14:paraId="715B4E3C">
      <w:pPr>
        <w:adjustRightInd w:val="0"/>
        <w:snapToGrid w:val="0"/>
        <w:spacing w:line="288" w:lineRule="auto"/>
        <w:ind w:firstLine="448" w:firstLineChars="200"/>
        <w:rPr>
          <w:sz w:val="24"/>
          <w:highlight w:val="none"/>
        </w:rPr>
      </w:pPr>
      <w:r>
        <w:rPr>
          <w:rFonts w:hint="eastAsia"/>
          <w:sz w:val="24"/>
          <w:highlight w:val="none"/>
        </w:rPr>
        <w:t>外场服务人员、项目经理、平台巡检人员24小时待命，确保随叫随到，遇有设备及系统出现问题导致离线等情况，尽快排除故障。</w:t>
      </w:r>
    </w:p>
    <w:p w14:paraId="56D559C5">
      <w:pPr>
        <w:adjustRightInd w:val="0"/>
        <w:snapToGrid w:val="0"/>
        <w:spacing w:line="288" w:lineRule="auto"/>
        <w:ind w:firstLine="448" w:firstLineChars="200"/>
        <w:outlineLvl w:val="6"/>
        <w:rPr>
          <w:sz w:val="24"/>
          <w:highlight w:val="none"/>
        </w:rPr>
      </w:pPr>
      <w:r>
        <w:rPr>
          <w:rFonts w:hint="eastAsia"/>
          <w:sz w:val="24"/>
          <w:highlight w:val="none"/>
        </w:rPr>
        <w:t>（5）突发事件处理要求</w:t>
      </w:r>
    </w:p>
    <w:p w14:paraId="51E1ABB7">
      <w:pPr>
        <w:adjustRightInd w:val="0"/>
        <w:snapToGrid w:val="0"/>
        <w:spacing w:line="288" w:lineRule="auto"/>
        <w:ind w:firstLine="448" w:firstLineChars="200"/>
        <w:rPr>
          <w:sz w:val="24"/>
          <w:highlight w:val="none"/>
        </w:rPr>
      </w:pPr>
      <w:r>
        <w:rPr>
          <w:rFonts w:hint="eastAsia"/>
          <w:sz w:val="24"/>
          <w:highlight w:val="none"/>
        </w:rPr>
        <w:t>在突发事件或自然灾害易发期（如山洪、台风、雷雨季节等），中标供应商应将其运维工作纳入滨海分局的抢险救灾和应急保障预案中。根据滨海分局的要求，中标供应商需配备相关资源，包括人员、设备和车辆，确保在紧急情况下能够提供充足的支持。</w:t>
      </w:r>
    </w:p>
    <w:p w14:paraId="59855A74">
      <w:pPr>
        <w:adjustRightInd w:val="0"/>
        <w:snapToGrid w:val="0"/>
        <w:spacing w:line="288" w:lineRule="auto"/>
        <w:ind w:firstLine="448" w:firstLineChars="200"/>
        <w:rPr>
          <w:sz w:val="24"/>
          <w:highlight w:val="none"/>
        </w:rPr>
      </w:pPr>
      <w:r>
        <w:rPr>
          <w:rFonts w:hint="eastAsia"/>
          <w:sz w:val="24"/>
          <w:highlight w:val="none"/>
        </w:rPr>
        <w:t>同时，应组织专门的抢险救灾和应急保障队伍到指定地点待命，严格服从滨海分局的统一指挥和调度，确保快速响应和高效处置各类突发事件。</w:t>
      </w:r>
    </w:p>
    <w:p w14:paraId="6BEBFF36">
      <w:pPr>
        <w:adjustRightInd w:val="0"/>
        <w:snapToGrid w:val="0"/>
        <w:spacing w:line="288" w:lineRule="auto"/>
        <w:ind w:firstLine="448" w:firstLineChars="200"/>
        <w:rPr>
          <w:sz w:val="24"/>
          <w:szCs w:val="24"/>
          <w:highlight w:val="none"/>
        </w:rPr>
      </w:pPr>
      <w:r>
        <w:rPr>
          <w:rFonts w:hint="eastAsia"/>
          <w:sz w:val="24"/>
          <w:highlight w:val="none"/>
        </w:rPr>
        <w:t>定期组织针对可能出现的突发事件的应急预案演练。演练内容应包括突发事件的发现、通报、响应、抢修及恢复的全过程，以检验和提高应急队伍的协同作战能力。</w:t>
      </w:r>
    </w:p>
    <w:p w14:paraId="57AAAA1C">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★7、运维保险与事故责任</w:t>
      </w:r>
    </w:p>
    <w:p w14:paraId="494CD8CD">
      <w:pPr>
        <w:adjustRightInd w:val="0"/>
        <w:snapToGrid w:val="0"/>
        <w:spacing w:line="288" w:lineRule="auto"/>
        <w:ind w:firstLine="448" w:firstLineChars="200"/>
        <w:rPr>
          <w:sz w:val="24"/>
          <w:highlight w:val="none"/>
        </w:rPr>
      </w:pPr>
      <w:r>
        <w:rPr>
          <w:rFonts w:hint="eastAsia"/>
          <w:sz w:val="24"/>
          <w:highlight w:val="none"/>
        </w:rPr>
        <w:t>本包运维服务对象，涉及监控杆体、强电设备、杆上设备等，运行维护工作存在高空作业、室外作业等有潜在风险的活动，存在特殊事件因素和人为因素造成事故的风险。事故发生时可能对运维人员、运维对象及其周边的车辆和人员造成生命财产损失。</w:t>
      </w:r>
    </w:p>
    <w:p w14:paraId="24260824">
      <w:pPr>
        <w:adjustRightInd w:val="0"/>
        <w:snapToGrid w:val="0"/>
        <w:spacing w:line="288" w:lineRule="auto"/>
        <w:ind w:firstLine="448" w:firstLineChars="200"/>
        <w:rPr>
          <w:sz w:val="24"/>
          <w:highlight w:val="none"/>
        </w:rPr>
      </w:pPr>
      <w:r>
        <w:rPr>
          <w:rFonts w:hint="eastAsia"/>
          <w:sz w:val="24"/>
          <w:highlight w:val="none"/>
        </w:rPr>
        <w:t>为确保运维工作顺利进行并最大限度地减少风险影响，中标的中标供应商在执行运维任务期间，须为所有参与运维的人员及本包的运维对象（包括但不限于设备设施等）购买相应的保险。这些保险应覆盖可能发生的各类意外事故，确保在事故发生时能够及时获得经济赔偿和支持。具体要求如下：</w:t>
      </w:r>
    </w:p>
    <w:p w14:paraId="6213147C">
      <w:pPr>
        <w:adjustRightInd w:val="0"/>
        <w:snapToGrid w:val="0"/>
        <w:spacing w:line="288" w:lineRule="auto"/>
        <w:ind w:firstLine="448" w:firstLineChars="200"/>
        <w:rPr>
          <w:sz w:val="24"/>
          <w:highlight w:val="none"/>
        </w:rPr>
      </w:pPr>
      <w:r>
        <w:rPr>
          <w:rFonts w:hint="eastAsia"/>
          <w:sz w:val="24"/>
          <w:highlight w:val="none"/>
        </w:rPr>
        <w:t>人员保险：中标供应商须为所有参与本包的运维人员购买足额的意外伤害保险及工伤保险，保障运维人员在工作期间因意外事故受伤或死亡时能够获得相应的赔偿和医疗费用。</w:t>
      </w:r>
    </w:p>
    <w:p w14:paraId="1105B6DC">
      <w:pPr>
        <w:adjustRightInd w:val="0"/>
        <w:snapToGrid w:val="0"/>
        <w:spacing w:line="288" w:lineRule="auto"/>
        <w:ind w:firstLine="448" w:firstLineChars="200"/>
        <w:rPr>
          <w:sz w:val="24"/>
          <w:highlight w:val="none"/>
        </w:rPr>
      </w:pPr>
      <w:r>
        <w:rPr>
          <w:rFonts w:hint="eastAsia"/>
          <w:sz w:val="24"/>
          <w:highlight w:val="none"/>
        </w:rPr>
        <w:t>设备保险：对于涉及本包的运维对象（包括但不限于设备设施等），中标供应商须投保运维对象损坏险和责任险，以保障在设备或设施发生故障、损坏甚至导致第三方损失时，能够提供足够的经济补偿。</w:t>
      </w:r>
    </w:p>
    <w:p w14:paraId="2344D949">
      <w:pPr>
        <w:adjustRightInd w:val="0"/>
        <w:snapToGrid w:val="0"/>
        <w:spacing w:line="288" w:lineRule="auto"/>
        <w:ind w:firstLine="448" w:firstLineChars="200"/>
        <w:rPr>
          <w:sz w:val="24"/>
          <w:highlight w:val="none"/>
        </w:rPr>
      </w:pPr>
      <w:r>
        <w:rPr>
          <w:rFonts w:hint="eastAsia"/>
          <w:sz w:val="24"/>
          <w:highlight w:val="none"/>
        </w:rPr>
        <w:t>责任豁免与责任承担：本包运维期间发生的任何与运维服务相关的事故，与采购人无关，中标供应商应自行承担全部责任，采购人保留追究事故相关责任以及罚款的权利。中标供应商应对事故发生后的所有后续处理工作负责，包括但不限于事故调查、责任认定、赔偿支付及后续整改等。</w:t>
      </w:r>
    </w:p>
    <w:p w14:paraId="23508450">
      <w:pPr>
        <w:adjustRightInd w:val="0"/>
        <w:snapToGrid w:val="0"/>
        <w:spacing w:line="288" w:lineRule="auto"/>
        <w:ind w:firstLine="448" w:firstLineChars="200"/>
        <w:rPr>
          <w:sz w:val="24"/>
          <w:highlight w:val="none"/>
        </w:rPr>
      </w:pPr>
      <w:r>
        <w:rPr>
          <w:rFonts w:hint="eastAsia"/>
          <w:b/>
          <w:bCs/>
          <w:sz w:val="24"/>
          <w:highlight w:val="none"/>
        </w:rPr>
        <w:t>投标人须提供人员保险、设备保险以及责任豁免与责任承担等承诺书。</w:t>
      </w:r>
    </w:p>
    <w:p w14:paraId="62F0ACC7">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8、备品备件</w:t>
      </w:r>
    </w:p>
    <w:p w14:paraId="46214594">
      <w:pPr>
        <w:adjustRightInd w:val="0"/>
        <w:snapToGrid w:val="0"/>
        <w:spacing w:line="288" w:lineRule="auto"/>
        <w:ind w:firstLine="448" w:firstLineChars="200"/>
        <w:rPr>
          <w:sz w:val="24"/>
          <w:highlight w:val="none"/>
        </w:rPr>
      </w:pPr>
      <w:r>
        <w:rPr>
          <w:rFonts w:hint="eastAsia"/>
          <w:sz w:val="24"/>
          <w:highlight w:val="none"/>
        </w:rPr>
        <w:t>当视频监控前端设备及后端设备出现故障时，为了快速排除故障并恢复系统的正常功能，本包需结合之前运维中发现的故障情况，常备部分关键设备的备品和备件，以确保在发生故障时能够迅速替换故障设备，减少系统的停机时间和对业务的影响。</w:t>
      </w:r>
    </w:p>
    <w:p w14:paraId="05771F34">
      <w:pPr>
        <w:adjustRightInd w:val="0"/>
        <w:snapToGrid w:val="0"/>
        <w:spacing w:line="288" w:lineRule="auto"/>
        <w:ind w:firstLine="448" w:firstLineChars="200"/>
        <w:rPr>
          <w:sz w:val="24"/>
          <w:highlight w:val="none"/>
        </w:rPr>
      </w:pPr>
      <w:r>
        <w:rPr>
          <w:rFonts w:hint="eastAsia"/>
          <w:sz w:val="24"/>
          <w:highlight w:val="none"/>
        </w:rPr>
        <w:t>故障处理过程中，中标供应商应严格遵循“先恢复、后修复”的原则，在故障发生时，运维团队应使用备品备件进行替换迅速维修故障。</w:t>
      </w:r>
    </w:p>
    <w:p w14:paraId="45F4B89A">
      <w:pPr>
        <w:adjustRightInd w:val="0"/>
        <w:snapToGrid w:val="0"/>
        <w:spacing w:line="288" w:lineRule="auto"/>
        <w:ind w:firstLine="448" w:firstLineChars="200"/>
        <w:rPr>
          <w:sz w:val="24"/>
          <w:highlight w:val="none"/>
        </w:rPr>
      </w:pPr>
      <w:r>
        <w:rPr>
          <w:rFonts w:hint="eastAsia"/>
          <w:sz w:val="24"/>
          <w:highlight w:val="none"/>
        </w:rPr>
        <w:t>前端设备备品备件，包括抱杆机箱、摄像机、防护罩、镜头、抱杆机箱、前端存储、存储硬盘、PDU电源插座、工业交换机，由采购人提供并管理。备品备件更换后，即时更新库存记录，对故障设备进行维修，修复完成后可重新纳入备品备件库。如该设备确认无法修复，交由采购人进行报废处理。</w:t>
      </w:r>
    </w:p>
    <w:p w14:paraId="585AB3F3">
      <w:pPr>
        <w:adjustRightInd w:val="0"/>
        <w:snapToGrid w:val="0"/>
        <w:spacing w:line="288" w:lineRule="auto"/>
        <w:ind w:firstLine="448" w:firstLineChars="200"/>
        <w:rPr>
          <w:sz w:val="24"/>
          <w:highlight w:val="none"/>
        </w:rPr>
      </w:pPr>
      <w:r>
        <w:rPr>
          <w:rFonts w:hint="eastAsia"/>
          <w:sz w:val="24"/>
          <w:highlight w:val="none"/>
        </w:rPr>
        <w:t>后端设备备品备件包括视频监控系统平台、电子卡口后台处理系统、服务器、软件功能模块、存储设备整体、存储硬盘、网络交换机、光模块等，由中标供应商无偿提供并更换（更换设备配置不得低于原设备），先恢复系统，再对故障设备进行维修，维修完成后可再次替换下备用设备；如故障设备无法修复则交由采购人进行报废处理，所更换备用设备做为采购人资产继续运维。</w:t>
      </w:r>
    </w:p>
    <w:p w14:paraId="2AB66079">
      <w:pPr>
        <w:adjustRightInd w:val="0"/>
        <w:snapToGrid w:val="0"/>
        <w:spacing w:line="288" w:lineRule="auto"/>
        <w:ind w:firstLine="448" w:firstLineChars="200"/>
        <w:rPr>
          <w:sz w:val="24"/>
          <w:highlight w:val="none"/>
        </w:rPr>
      </w:pPr>
      <w:r>
        <w:rPr>
          <w:rFonts w:hint="eastAsia"/>
          <w:sz w:val="24"/>
          <w:highlight w:val="none"/>
        </w:rPr>
        <w:t>前端点位、后端设备运维过程中涉及的网线、光纤、跳线、线缆、网络水晶头、光模块、抱箍、前端设备电源适配器等常用辅材由中标供应商无偿提供。</w:t>
      </w:r>
    </w:p>
    <w:p w14:paraId="319FCAB7">
      <w:pPr>
        <w:adjustRightInd w:val="0"/>
        <w:snapToGrid w:val="0"/>
        <w:spacing w:line="288" w:lineRule="auto"/>
        <w:ind w:firstLine="448" w:firstLineChars="200"/>
        <w:rPr>
          <w:sz w:val="24"/>
          <w:highlight w:val="none"/>
        </w:rPr>
      </w:pPr>
      <w:r>
        <w:rPr>
          <w:rFonts w:hint="eastAsia"/>
          <w:sz w:val="24"/>
          <w:highlight w:val="none"/>
        </w:rPr>
        <w:t>在备品备件申请、使用的过程中，应即时、定期整理备品备件清单，记录使用情况，并由采购人或采购人委托的第三方单位进行监督管理。</w:t>
      </w:r>
    </w:p>
    <w:p w14:paraId="5A309044">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9、运维专职队伍及车辆保障</w:t>
      </w:r>
    </w:p>
    <w:p w14:paraId="141B6CFA">
      <w:pPr>
        <w:adjustRightInd w:val="0"/>
        <w:snapToGrid w:val="0"/>
        <w:spacing w:line="288" w:lineRule="auto"/>
        <w:ind w:firstLine="448" w:firstLineChars="200"/>
        <w:rPr>
          <w:sz w:val="24"/>
          <w:highlight w:val="none"/>
        </w:rPr>
      </w:pPr>
      <w:r>
        <w:rPr>
          <w:rFonts w:hint="eastAsia"/>
          <w:sz w:val="24"/>
          <w:highlight w:val="none"/>
        </w:rPr>
        <w:t>中标供应商需组建一支高效、专业的运维专职队伍，并配备专用运维车辆，以确保各类运维任务的顺利完成。运维工作内容涵盖日常运维、定期巡检、故障处理，以及重大节假日和突发事件的应急响应，还包括运维文档的整理与归档等。</w:t>
      </w:r>
    </w:p>
    <w:p w14:paraId="7B30785A">
      <w:pPr>
        <w:adjustRightInd w:val="0"/>
        <w:snapToGrid w:val="0"/>
        <w:spacing w:line="288" w:lineRule="auto"/>
        <w:ind w:firstLine="448" w:firstLineChars="200"/>
        <w:rPr>
          <w:sz w:val="24"/>
          <w:highlight w:val="none"/>
        </w:rPr>
      </w:pPr>
      <w:r>
        <w:rPr>
          <w:rFonts w:hint="eastAsia"/>
          <w:sz w:val="24"/>
          <w:highlight w:val="none"/>
        </w:rPr>
        <w:t>运维专职队伍应由两大部分组成：一是专职运维队伍，二是机动保障队伍。其中，专职运维队伍包括运维项目经理、平台巡检人员、电话支持工程师、技术支持工程师、外场服务人员以及故障维修人员等。</w:t>
      </w:r>
    </w:p>
    <w:p w14:paraId="0D86041E">
      <w:pPr>
        <w:adjustRightInd w:val="0"/>
        <w:snapToGrid w:val="0"/>
        <w:spacing w:line="288" w:lineRule="auto"/>
        <w:ind w:firstLine="448" w:firstLineChars="200"/>
        <w:rPr>
          <w:sz w:val="24"/>
          <w:highlight w:val="none"/>
        </w:rPr>
      </w:pPr>
      <w:r>
        <w:rPr>
          <w:rFonts w:hint="eastAsia"/>
          <w:sz w:val="24"/>
          <w:highlight w:val="none"/>
        </w:rPr>
        <w:t>机动保障队伍则负责应对突发状况及特殊时期的运维需求。具体人员包括重大活动及节假日保障人员、画面遮挡处理人员等。</w:t>
      </w:r>
    </w:p>
    <w:p w14:paraId="6958AA45">
      <w:pPr>
        <w:adjustRightInd w:val="0"/>
        <w:snapToGrid w:val="0"/>
        <w:spacing w:line="288" w:lineRule="auto"/>
        <w:ind w:firstLine="448" w:firstLineChars="200"/>
        <w:rPr>
          <w:sz w:val="24"/>
          <w:highlight w:val="none"/>
        </w:rPr>
      </w:pPr>
      <w:r>
        <w:rPr>
          <w:rFonts w:hint="eastAsia"/>
          <w:sz w:val="24"/>
          <w:highlight w:val="none"/>
        </w:rPr>
        <w:t>运维单位需提供为本包专用的天津牌照运维车辆，且配备符合准驾车型的驾驶人。</w:t>
      </w:r>
    </w:p>
    <w:p w14:paraId="0988FBD3">
      <w:pPr>
        <w:spacing w:line="360" w:lineRule="auto"/>
        <w:jc w:val="center"/>
        <w:rPr>
          <w:b/>
          <w:bCs/>
          <w:sz w:val="24"/>
          <w:highlight w:val="none"/>
        </w:rPr>
      </w:pPr>
      <w:r>
        <w:rPr>
          <w:rFonts w:hint="eastAsia"/>
          <w:b/>
          <w:bCs/>
          <w:sz w:val="24"/>
          <w:highlight w:val="none"/>
        </w:rPr>
        <w:t>运维专职队伍及车辆保障一览表</w:t>
      </w:r>
    </w:p>
    <w:tbl>
      <w:tblPr>
        <w:tblStyle w:val="19"/>
        <w:tblW w:w="85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880"/>
        <w:gridCol w:w="6958"/>
      </w:tblGrid>
      <w:tr w14:paraId="28A2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98" w:type="dxa"/>
            <w:noWrap/>
            <w:vAlign w:val="center"/>
          </w:tcPr>
          <w:p w14:paraId="67319090">
            <w:pPr>
              <w:pStyle w:val="50"/>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序号</w:t>
            </w:r>
          </w:p>
        </w:tc>
        <w:tc>
          <w:tcPr>
            <w:tcW w:w="880" w:type="dxa"/>
            <w:noWrap/>
            <w:vAlign w:val="center"/>
          </w:tcPr>
          <w:p w14:paraId="7383C604">
            <w:pPr>
              <w:pStyle w:val="50"/>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人员</w:t>
            </w:r>
          </w:p>
        </w:tc>
        <w:tc>
          <w:tcPr>
            <w:tcW w:w="6958" w:type="dxa"/>
            <w:noWrap/>
            <w:vAlign w:val="center"/>
          </w:tcPr>
          <w:p w14:paraId="21508243">
            <w:pPr>
              <w:pStyle w:val="50"/>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运维职责</w:t>
            </w:r>
          </w:p>
        </w:tc>
      </w:tr>
      <w:tr w14:paraId="5E99D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ign w:val="center"/>
          </w:tcPr>
          <w:p w14:paraId="6CC32F85">
            <w:pPr>
              <w:pStyle w:val="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880" w:type="dxa"/>
            <w:vAlign w:val="center"/>
          </w:tcPr>
          <w:p w14:paraId="1702FD2D">
            <w:pPr>
              <w:pStyle w:val="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项目经理</w:t>
            </w:r>
          </w:p>
        </w:tc>
        <w:tc>
          <w:tcPr>
            <w:tcW w:w="6958" w:type="dxa"/>
            <w:vAlign w:val="center"/>
          </w:tcPr>
          <w:p w14:paraId="68B76490">
            <w:pPr>
              <w:pStyle w:val="5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名项目经理，负责项目协调沟通等。</w:t>
            </w:r>
          </w:p>
        </w:tc>
      </w:tr>
      <w:tr w14:paraId="05690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ign w:val="center"/>
          </w:tcPr>
          <w:p w14:paraId="4E076954">
            <w:pPr>
              <w:pStyle w:val="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880" w:type="dxa"/>
            <w:vAlign w:val="center"/>
          </w:tcPr>
          <w:p w14:paraId="0D609416">
            <w:pPr>
              <w:pStyle w:val="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平台巡检</w:t>
            </w:r>
          </w:p>
          <w:p w14:paraId="4D1DB7EE">
            <w:pPr>
              <w:pStyle w:val="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人员</w:t>
            </w:r>
          </w:p>
        </w:tc>
        <w:tc>
          <w:tcPr>
            <w:tcW w:w="6958" w:type="dxa"/>
            <w:vAlign w:val="center"/>
          </w:tcPr>
          <w:p w14:paraId="0825F82F">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安排2名专职平台巡检人员，在采购人认可安全可靠的物理、网络环境下，每天对平台进行巡检，并接受采购人考勤管理；巡检内容包括前端点位完好情况监测，主动发现问题，查看后端存储设备运行状态及性能，识别系统资源利用率、服务可用性及响应时间，检查系统数据完整性，识别系统故障及异常行为，记录巡检情况（问题、响应时间、解决时间等）；服从采购人管理，完成采购人安排的其他运维服务相关工作；</w:t>
            </w:r>
          </w:p>
          <w:p w14:paraId="33AEEAEE">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日常响应：</w:t>
            </w:r>
            <w:r>
              <w:rPr>
                <w:color w:val="000000" w:themeColor="text1"/>
                <w:highlight w:val="none"/>
                <w14:textFill>
                  <w14:solidFill>
                    <w14:schemeClr w14:val="tx1"/>
                  </w14:solidFill>
                </w14:textFill>
              </w:rPr>
              <w:t>7*8</w:t>
            </w:r>
            <w:r>
              <w:rPr>
                <w:rFonts w:hint="eastAsia"/>
                <w:color w:val="000000" w:themeColor="text1"/>
                <w:highlight w:val="none"/>
                <w14:textFill>
                  <w14:solidFill>
                    <w14:schemeClr w14:val="tx1"/>
                  </w14:solidFill>
                </w14:textFill>
              </w:rPr>
              <w:t>小时响应时间为电话立即响应，</w:t>
            </w:r>
            <w:r>
              <w:rPr>
                <w:color w:val="000000" w:themeColor="text1"/>
                <w:highlight w:val="none"/>
                <w14:textFill>
                  <w14:solidFill>
                    <w14:schemeClr w14:val="tx1"/>
                  </w14:solidFill>
                </w14:textFill>
              </w:rPr>
              <w:t>10</w:t>
            </w:r>
            <w:r>
              <w:rPr>
                <w:rFonts w:hint="eastAsia"/>
                <w:color w:val="000000" w:themeColor="text1"/>
                <w:highlight w:val="none"/>
                <w14:textFill>
                  <w14:solidFill>
                    <w14:schemeClr w14:val="tx1"/>
                  </w14:solidFill>
                </w14:textFill>
              </w:rPr>
              <w:t>分钟到场；其他时间电话</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分钟内响应，</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小时到场；</w:t>
            </w:r>
          </w:p>
          <w:p w14:paraId="58778DB7">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重保响应：</w:t>
            </w:r>
            <w:r>
              <w:rPr>
                <w:color w:val="000000" w:themeColor="text1"/>
                <w:highlight w:val="none"/>
                <w14:textFill>
                  <w14:solidFill>
                    <w14:schemeClr w14:val="tx1"/>
                  </w14:solidFill>
                </w14:textFill>
              </w:rPr>
              <w:t>7*24</w:t>
            </w:r>
            <w:r>
              <w:rPr>
                <w:rFonts w:hint="eastAsia"/>
                <w:color w:val="000000" w:themeColor="text1"/>
                <w:highlight w:val="none"/>
                <w14:textFill>
                  <w14:solidFill>
                    <w14:schemeClr w14:val="tx1"/>
                  </w14:solidFill>
                </w14:textFill>
              </w:rPr>
              <w:t>小时响应时间为电话立即响应，</w:t>
            </w:r>
            <w:r>
              <w:rPr>
                <w:color w:val="000000" w:themeColor="text1"/>
                <w:highlight w:val="none"/>
                <w14:textFill>
                  <w14:solidFill>
                    <w14:schemeClr w14:val="tx1"/>
                  </w14:solidFill>
                </w14:textFill>
              </w:rPr>
              <w:t>10</w:t>
            </w:r>
            <w:r>
              <w:rPr>
                <w:rFonts w:hint="eastAsia"/>
                <w:color w:val="000000" w:themeColor="text1"/>
                <w:highlight w:val="none"/>
                <w14:textFill>
                  <w14:solidFill>
                    <w14:schemeClr w14:val="tx1"/>
                  </w14:solidFill>
                </w14:textFill>
              </w:rPr>
              <w:t>分钟到场；</w:t>
            </w:r>
          </w:p>
          <w:p w14:paraId="7D849CD6">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采购人特殊任务响应：在“</w:t>
            </w:r>
            <w:r>
              <w:rPr>
                <w:color w:val="000000" w:themeColor="text1"/>
                <w:highlight w:val="none"/>
                <w14:textFill>
                  <w14:solidFill>
                    <w14:schemeClr w14:val="tx1"/>
                  </w14:solidFill>
                </w14:textFill>
              </w:rPr>
              <w:t>7*8</w:t>
            </w:r>
            <w:r>
              <w:rPr>
                <w:rFonts w:hint="eastAsia"/>
                <w:color w:val="000000" w:themeColor="text1"/>
                <w:highlight w:val="none"/>
                <w14:textFill>
                  <w14:solidFill>
                    <w14:schemeClr w14:val="tx1"/>
                  </w14:solidFill>
                </w14:textFill>
              </w:rPr>
              <w:t>小时响应时间为电话立即响应，</w:t>
            </w:r>
            <w:r>
              <w:rPr>
                <w:color w:val="000000" w:themeColor="text1"/>
                <w:highlight w:val="none"/>
                <w14:textFill>
                  <w14:solidFill>
                    <w14:schemeClr w14:val="tx1"/>
                  </w14:solidFill>
                </w14:textFill>
              </w:rPr>
              <w:t>10</w:t>
            </w:r>
            <w:r>
              <w:rPr>
                <w:rFonts w:hint="eastAsia"/>
                <w:color w:val="000000" w:themeColor="text1"/>
                <w:highlight w:val="none"/>
                <w14:textFill>
                  <w14:solidFill>
                    <w14:schemeClr w14:val="tx1"/>
                  </w14:solidFill>
                </w14:textFill>
              </w:rPr>
              <w:t>分钟到场”的基础上根据采购人具体要求执行；</w:t>
            </w:r>
          </w:p>
          <w:p w14:paraId="6381CB81">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平台巡检人员数量及工作时间需根据采购人工作进行调配，人员信息提前向采购人备案。</w:t>
            </w:r>
          </w:p>
        </w:tc>
      </w:tr>
      <w:tr w14:paraId="0BB7E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ign w:val="center"/>
          </w:tcPr>
          <w:p w14:paraId="29453818">
            <w:pPr>
              <w:pStyle w:val="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880" w:type="dxa"/>
            <w:vAlign w:val="center"/>
          </w:tcPr>
          <w:p w14:paraId="5F85B607">
            <w:pPr>
              <w:pStyle w:val="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外场服务人员</w:t>
            </w:r>
          </w:p>
        </w:tc>
        <w:tc>
          <w:tcPr>
            <w:tcW w:w="6958" w:type="dxa"/>
            <w:vAlign w:val="center"/>
          </w:tcPr>
          <w:p w14:paraId="27A5050F">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需每</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个月至少对全部前端设备设施进行一次定期巡检工作，巡检内容包括监控杆体等设施、杆上设备和前端设备周边环境。具有驾驶证（可驾驶巡检车辆驾驶证），可熟练驾驶巡检车辆。</w:t>
            </w:r>
            <w:r>
              <w:rPr>
                <w:color w:val="000000" w:themeColor="text1"/>
                <w:highlight w:val="none"/>
                <w14:textFill>
                  <w14:solidFill>
                    <w14:schemeClr w14:val="tx1"/>
                  </w14:solidFill>
                </w14:textFill>
              </w:rPr>
              <w:t>7*9</w:t>
            </w:r>
            <w:r>
              <w:rPr>
                <w:rFonts w:hint="eastAsia"/>
                <w:color w:val="000000" w:themeColor="text1"/>
                <w:highlight w:val="none"/>
                <w14:textFill>
                  <w14:solidFill>
                    <w14:schemeClr w14:val="tx1"/>
                  </w14:solidFill>
                </w14:textFill>
              </w:rPr>
              <w:t>小时工作时长。具体职责需按定期巡检方案执行；</w:t>
            </w:r>
          </w:p>
          <w:p w14:paraId="00BFD41D">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针对巡检过程发现故障和日常上报故障维修处理，对前端设施维修、供电故障维修；人员需具备电工证、高空作业证等；</w:t>
            </w:r>
          </w:p>
          <w:p w14:paraId="5A3910D5">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专职运维队伍</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队，每队</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人；</w:t>
            </w:r>
          </w:p>
          <w:p w14:paraId="5A47B357">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机动保障队伍根据项目实际情况进行配置及调整。</w:t>
            </w:r>
          </w:p>
        </w:tc>
      </w:tr>
      <w:tr w14:paraId="61AE1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ign w:val="center"/>
          </w:tcPr>
          <w:p w14:paraId="2A45221B">
            <w:pPr>
              <w:pStyle w:val="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880" w:type="dxa"/>
            <w:vAlign w:val="center"/>
          </w:tcPr>
          <w:p w14:paraId="393A207A">
            <w:pPr>
              <w:pStyle w:val="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巡检车辆</w:t>
            </w:r>
          </w:p>
        </w:tc>
        <w:tc>
          <w:tcPr>
            <w:tcW w:w="6958" w:type="dxa"/>
            <w:vAlign w:val="center"/>
          </w:tcPr>
          <w:p w14:paraId="05FCCAC8">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充分考虑天津市机动车限行制度的相关规定，提供可随时调用行驶的小车，为本包专用，保障项目的顺利实施；</w:t>
            </w:r>
          </w:p>
          <w:p w14:paraId="4DFC01B2">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普通车辆，用于巡检、日常维护、维修使用，费用包含维护期内车辆折旧、保养维修、油费、保险的费用；</w:t>
            </w:r>
          </w:p>
          <w:p w14:paraId="57D9D57E">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专职运维队伍每队</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辆；</w:t>
            </w:r>
          </w:p>
          <w:p w14:paraId="5AE015B8">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机动保障队伍按需配置。</w:t>
            </w:r>
          </w:p>
        </w:tc>
      </w:tr>
      <w:tr w14:paraId="6114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ign w:val="center"/>
          </w:tcPr>
          <w:p w14:paraId="6DBFDF33">
            <w:pPr>
              <w:pStyle w:val="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880" w:type="dxa"/>
            <w:vAlign w:val="center"/>
          </w:tcPr>
          <w:p w14:paraId="74E2A002">
            <w:pPr>
              <w:pStyle w:val="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高空作业车</w:t>
            </w:r>
          </w:p>
        </w:tc>
        <w:tc>
          <w:tcPr>
            <w:tcW w:w="6958" w:type="dxa"/>
            <w:vAlign w:val="center"/>
          </w:tcPr>
          <w:p w14:paraId="35216FED">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高空作业车（含司机），每月一次前端设备全量巡检及日常维护、清洁等工作，费用包含维护期内车辆折旧、保养、维修、油费、保险的费用；</w:t>
            </w:r>
            <w:r>
              <w:rPr>
                <w:color w:val="000000" w:themeColor="text1"/>
                <w:highlight w:val="none"/>
                <w14:textFill>
                  <w14:solidFill>
                    <w14:schemeClr w14:val="tx1"/>
                  </w14:solidFill>
                </w14:textFill>
              </w:rPr>
              <w:br w:type="textWrapping"/>
            </w:r>
            <w:r>
              <w:rPr>
                <w:rFonts w:hint="eastAsia"/>
                <w:color w:val="000000" w:themeColor="text1"/>
                <w:highlight w:val="none"/>
                <w14:textFill>
                  <w14:solidFill>
                    <w14:schemeClr w14:val="tx1"/>
                  </w14:solidFill>
                </w14:textFill>
              </w:rPr>
              <w:t>巡检及日常维护</w:t>
            </w:r>
            <w:r>
              <w:rPr>
                <w:color w:val="000000" w:themeColor="text1"/>
                <w:highlight w:val="none"/>
                <w14:textFill>
                  <w14:solidFill>
                    <w14:schemeClr w14:val="tx1"/>
                  </w14:solidFill>
                </w14:textFill>
              </w:rPr>
              <w:t>7*9</w:t>
            </w:r>
            <w:r>
              <w:rPr>
                <w:rFonts w:hint="eastAsia"/>
                <w:color w:val="000000" w:themeColor="text1"/>
                <w:highlight w:val="none"/>
                <w14:textFill>
                  <w14:solidFill>
                    <w14:schemeClr w14:val="tx1"/>
                  </w14:solidFill>
                </w14:textFill>
              </w:rPr>
              <w:t>小时工作时长，重点节假日保障</w:t>
            </w:r>
            <w:r>
              <w:rPr>
                <w:color w:val="000000" w:themeColor="text1"/>
                <w:highlight w:val="none"/>
                <w14:textFill>
                  <w14:solidFill>
                    <w14:schemeClr w14:val="tx1"/>
                  </w14:solidFill>
                </w14:textFill>
              </w:rPr>
              <w:t>24</w:t>
            </w:r>
            <w:r>
              <w:rPr>
                <w:rFonts w:hint="eastAsia"/>
                <w:color w:val="000000" w:themeColor="text1"/>
                <w:highlight w:val="none"/>
                <w14:textFill>
                  <w14:solidFill>
                    <w14:schemeClr w14:val="tx1"/>
                  </w14:solidFill>
                </w14:textFill>
              </w:rPr>
              <w:t>小时工作时长；</w:t>
            </w:r>
            <w:r>
              <w:rPr>
                <w:color w:val="000000" w:themeColor="text1"/>
                <w:highlight w:val="none"/>
                <w14:textFill>
                  <w14:solidFill>
                    <w14:schemeClr w14:val="tx1"/>
                  </w14:solidFill>
                </w14:textFill>
              </w:rPr>
              <w:br w:type="textWrapping"/>
            </w:r>
            <w:r>
              <w:rPr>
                <w:rFonts w:hint="eastAsia"/>
                <w:color w:val="000000" w:themeColor="text1"/>
                <w:highlight w:val="none"/>
                <w14:textFill>
                  <w14:solidFill>
                    <w14:schemeClr w14:val="tx1"/>
                  </w14:solidFill>
                </w14:textFill>
              </w:rPr>
              <w:t>每月巡检约</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天完成，再加</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天作为日常维护；重点节假日保障不少于</w:t>
            </w:r>
            <w:r>
              <w:rPr>
                <w:color w:val="000000" w:themeColor="text1"/>
                <w:highlight w:val="none"/>
                <w14:textFill>
                  <w14:solidFill>
                    <w14:schemeClr w14:val="tx1"/>
                  </w14:solidFill>
                </w14:textFill>
              </w:rPr>
              <w:t>50</w:t>
            </w:r>
            <w:r>
              <w:rPr>
                <w:rFonts w:hint="eastAsia"/>
                <w:color w:val="000000" w:themeColor="text1"/>
                <w:highlight w:val="none"/>
                <w14:textFill>
                  <w14:solidFill>
                    <w14:schemeClr w14:val="tx1"/>
                  </w14:solidFill>
                </w14:textFill>
              </w:rPr>
              <w:t>天；</w:t>
            </w:r>
          </w:p>
          <w:p w14:paraId="5ECFB308">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高空作业车根据实际需求进行增加调整。</w:t>
            </w:r>
          </w:p>
        </w:tc>
      </w:tr>
    </w:tbl>
    <w:p w14:paraId="5F4B3E40">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10、成果文档管理要求</w:t>
      </w:r>
    </w:p>
    <w:p w14:paraId="649FF5F7">
      <w:pPr>
        <w:adjustRightInd w:val="0"/>
        <w:snapToGrid w:val="0"/>
        <w:spacing w:line="288" w:lineRule="auto"/>
        <w:ind w:firstLine="448" w:firstLineChars="200"/>
        <w:rPr>
          <w:sz w:val="24"/>
          <w:highlight w:val="none"/>
        </w:rPr>
      </w:pPr>
      <w:r>
        <w:rPr>
          <w:rFonts w:hint="eastAsia"/>
          <w:sz w:val="24"/>
          <w:highlight w:val="none"/>
        </w:rPr>
        <w:t>中标供应商应按既定周期提供《运维值班日志》、《前端摄像机日完好率统计表》、《季度</w:t>
      </w:r>
      <w:r>
        <w:rPr>
          <w:sz w:val="24"/>
          <w:highlight w:val="none"/>
        </w:rPr>
        <w:t>运维报告</w:t>
      </w:r>
      <w:r>
        <w:rPr>
          <w:rFonts w:hint="eastAsia"/>
          <w:sz w:val="24"/>
          <w:highlight w:val="none"/>
        </w:rPr>
        <w:t>》、《巡检记录》、《故障派修单》、《故障维修总台账》、《视频监控一机一档资料》等表格以及相关照片和视频等巡检、维修、维护服务佐证材料，并报采购人留档。</w:t>
      </w:r>
    </w:p>
    <w:p w14:paraId="67ABE0F7">
      <w:pPr>
        <w:adjustRightInd w:val="0"/>
        <w:snapToGrid w:val="0"/>
        <w:spacing w:line="288" w:lineRule="auto"/>
        <w:ind w:firstLine="448" w:firstLineChars="200"/>
        <w:rPr>
          <w:sz w:val="24"/>
          <w:highlight w:val="none"/>
        </w:rPr>
      </w:pPr>
      <w:r>
        <w:rPr>
          <w:rFonts w:hint="eastAsia"/>
          <w:sz w:val="24"/>
          <w:highlight w:val="none"/>
        </w:rPr>
        <w:t>中标供应商在服务期满前1月内，应向滨海分局提交运维报告，报告包括但不限于运维期内的《运维基本情况总结》、《故障维修总结》《运维资产清单》等。中标供应商在运维期内应根据实际情况更新系统架构图、运维边界，以及采购人要求的相关运维资料，以便满足滨海分局随时调阅最新资料的工作需求。运维服务期满后，中标供应商根据服务期最后一天的实际情况，更新运维报告及运维资产清单，并在运维结束后与采购人完成资料移交工作。</w:t>
      </w:r>
    </w:p>
    <w:p w14:paraId="47E25493">
      <w:pPr>
        <w:keepNext/>
        <w:keepLines/>
        <w:adjustRightInd w:val="0"/>
        <w:snapToGrid w:val="0"/>
        <w:spacing w:line="288" w:lineRule="auto"/>
        <w:ind w:firstLine="448" w:firstLineChars="200"/>
        <w:outlineLvl w:val="3"/>
        <w:rPr>
          <w:rFonts w:ascii="等线 Light" w:hAnsi="等线 Light"/>
          <w:b/>
          <w:bCs/>
          <w:sz w:val="24"/>
          <w:szCs w:val="24"/>
          <w:highlight w:val="none"/>
        </w:rPr>
      </w:pPr>
      <w:r>
        <w:rPr>
          <w:rFonts w:ascii="等线 Light" w:hAnsi="等线 Light"/>
          <w:b/>
          <w:bCs/>
          <w:sz w:val="24"/>
          <w:szCs w:val="24"/>
          <w:highlight w:val="none"/>
        </w:rPr>
        <w:t>11、运维期满移交</w:t>
      </w:r>
    </w:p>
    <w:p w14:paraId="50D35402">
      <w:pPr>
        <w:keepNext/>
        <w:keepLines/>
        <w:adjustRightInd w:val="0"/>
        <w:snapToGrid w:val="0"/>
        <w:spacing w:line="288" w:lineRule="auto"/>
        <w:ind w:firstLine="448" w:firstLineChars="200"/>
        <w:outlineLvl w:val="3"/>
        <w:rPr>
          <w:rFonts w:ascii="等线 Light" w:hAnsi="等线 Light"/>
          <w:bCs/>
          <w:sz w:val="24"/>
          <w:szCs w:val="24"/>
          <w:highlight w:val="none"/>
        </w:rPr>
      </w:pPr>
      <w:r>
        <w:rPr>
          <w:rFonts w:hint="eastAsia" w:ascii="等线 Light" w:hAnsi="等线 Light"/>
          <w:bCs/>
          <w:sz w:val="24"/>
          <w:szCs w:val="24"/>
          <w:highlight w:val="none"/>
        </w:rPr>
        <w:t>在本次项目运维期满后，中标供应商就运维服务内容向采购人进行资产、成果文档移交工作，具体要求如下：</w:t>
      </w:r>
    </w:p>
    <w:p w14:paraId="564AAAF0">
      <w:pPr>
        <w:keepNext/>
        <w:keepLines/>
        <w:adjustRightInd w:val="0"/>
        <w:snapToGrid w:val="0"/>
        <w:spacing w:line="288" w:lineRule="auto"/>
        <w:ind w:firstLine="448" w:firstLineChars="200"/>
        <w:outlineLvl w:val="3"/>
        <w:rPr>
          <w:rFonts w:ascii="等线 Light" w:hAnsi="等线 Light"/>
          <w:bCs/>
          <w:sz w:val="24"/>
          <w:szCs w:val="24"/>
          <w:highlight w:val="none"/>
        </w:rPr>
      </w:pPr>
      <w:r>
        <w:rPr>
          <w:rFonts w:hint="eastAsia" w:ascii="等线 Light" w:hAnsi="等线 Light"/>
          <w:bCs/>
          <w:sz w:val="24"/>
          <w:szCs w:val="24"/>
          <w:highlight w:val="none"/>
        </w:rPr>
        <w:t>（</w:t>
      </w:r>
      <w:r>
        <w:rPr>
          <w:rFonts w:ascii="等线 Light" w:hAnsi="等线 Light"/>
          <w:bCs/>
          <w:sz w:val="24"/>
          <w:szCs w:val="24"/>
          <w:highlight w:val="none"/>
        </w:rPr>
        <w:t>1）移交范围</w:t>
      </w:r>
    </w:p>
    <w:p w14:paraId="098CADB4">
      <w:pPr>
        <w:keepNext/>
        <w:keepLines/>
        <w:adjustRightInd w:val="0"/>
        <w:snapToGrid w:val="0"/>
        <w:spacing w:line="288" w:lineRule="auto"/>
        <w:ind w:firstLine="448" w:firstLineChars="200"/>
        <w:outlineLvl w:val="3"/>
        <w:rPr>
          <w:rFonts w:ascii="等线 Light" w:hAnsi="等线 Light"/>
          <w:bCs/>
          <w:sz w:val="24"/>
          <w:szCs w:val="24"/>
          <w:highlight w:val="none"/>
        </w:rPr>
      </w:pPr>
      <w:r>
        <w:rPr>
          <w:rFonts w:hint="eastAsia" w:ascii="等线 Light" w:hAnsi="等线 Light"/>
          <w:bCs/>
          <w:sz w:val="24"/>
          <w:szCs w:val="24"/>
          <w:highlight w:val="none"/>
        </w:rPr>
        <w:t>移交范围以运维期最后一次更新且经采购人确认的《运维资产底册》为准，包含运维资产底册内全部软硬件设备，并涵盖运维过程中所有成果文档（含</w:t>
      </w:r>
      <w:r>
        <w:rPr>
          <w:rFonts w:ascii="等线 Light" w:hAnsi="等线 Light"/>
          <w:bCs/>
          <w:sz w:val="24"/>
          <w:szCs w:val="24"/>
          <w:highlight w:val="none"/>
        </w:rPr>
        <w:t>10、成果文档管理要求章节中要求文档）。</w:t>
      </w:r>
    </w:p>
    <w:p w14:paraId="74F0972C">
      <w:pPr>
        <w:keepNext/>
        <w:keepLines/>
        <w:adjustRightInd w:val="0"/>
        <w:snapToGrid w:val="0"/>
        <w:spacing w:line="288" w:lineRule="auto"/>
        <w:ind w:firstLine="448" w:firstLineChars="200"/>
        <w:outlineLvl w:val="3"/>
        <w:rPr>
          <w:rFonts w:ascii="等线 Light" w:hAnsi="等线 Light"/>
          <w:bCs/>
          <w:sz w:val="24"/>
          <w:szCs w:val="24"/>
          <w:highlight w:val="none"/>
        </w:rPr>
      </w:pPr>
      <w:r>
        <w:rPr>
          <w:rFonts w:hint="eastAsia" w:ascii="等线 Light" w:hAnsi="等线 Light"/>
          <w:bCs/>
          <w:sz w:val="24"/>
          <w:szCs w:val="24"/>
          <w:highlight w:val="none"/>
        </w:rPr>
        <w:t>（</w:t>
      </w:r>
      <w:r>
        <w:rPr>
          <w:rFonts w:ascii="等线 Light" w:hAnsi="等线 Light"/>
          <w:bCs/>
          <w:sz w:val="24"/>
          <w:szCs w:val="24"/>
          <w:highlight w:val="none"/>
        </w:rPr>
        <w:t>2）移交原则</w:t>
      </w:r>
    </w:p>
    <w:p w14:paraId="4CE46972">
      <w:pPr>
        <w:keepNext/>
        <w:keepLines/>
        <w:adjustRightInd w:val="0"/>
        <w:snapToGrid w:val="0"/>
        <w:spacing w:line="288" w:lineRule="auto"/>
        <w:ind w:firstLine="448" w:firstLineChars="200"/>
        <w:outlineLvl w:val="3"/>
        <w:rPr>
          <w:rFonts w:ascii="等线 Light" w:hAnsi="等线 Light"/>
          <w:bCs/>
          <w:sz w:val="24"/>
          <w:szCs w:val="24"/>
          <w:highlight w:val="none"/>
        </w:rPr>
      </w:pPr>
      <w:r>
        <w:rPr>
          <w:rFonts w:hint="eastAsia" w:ascii="等线 Light" w:hAnsi="等线 Light"/>
          <w:bCs/>
          <w:sz w:val="24"/>
          <w:szCs w:val="24"/>
          <w:highlight w:val="none"/>
        </w:rPr>
        <w:t>移交时，所有资产须处于稳定、可用的运行状态。</w:t>
      </w:r>
    </w:p>
    <w:p w14:paraId="71AE1AFE">
      <w:pPr>
        <w:keepNext/>
        <w:keepLines/>
        <w:adjustRightInd w:val="0"/>
        <w:snapToGrid w:val="0"/>
        <w:spacing w:line="288" w:lineRule="auto"/>
        <w:ind w:firstLine="448" w:firstLineChars="200"/>
        <w:outlineLvl w:val="3"/>
        <w:rPr>
          <w:rFonts w:ascii="等线 Light" w:hAnsi="等线 Light"/>
          <w:bCs/>
          <w:sz w:val="24"/>
          <w:szCs w:val="24"/>
          <w:highlight w:val="none"/>
        </w:rPr>
      </w:pPr>
      <w:r>
        <w:rPr>
          <w:rFonts w:hint="eastAsia" w:ascii="等线 Light" w:hAnsi="等线 Light"/>
          <w:bCs/>
          <w:sz w:val="24"/>
          <w:szCs w:val="24"/>
          <w:highlight w:val="none"/>
        </w:rPr>
        <w:t>（</w:t>
      </w:r>
      <w:r>
        <w:rPr>
          <w:rFonts w:ascii="等线 Light" w:hAnsi="等线 Light"/>
          <w:bCs/>
          <w:sz w:val="24"/>
          <w:szCs w:val="24"/>
          <w:highlight w:val="none"/>
        </w:rPr>
        <w:t>3）移交时间</w:t>
      </w:r>
    </w:p>
    <w:p w14:paraId="3F4E87A5">
      <w:pPr>
        <w:keepNext/>
        <w:keepLines/>
        <w:adjustRightInd w:val="0"/>
        <w:snapToGrid w:val="0"/>
        <w:spacing w:line="288" w:lineRule="auto"/>
        <w:ind w:firstLine="448" w:firstLineChars="200"/>
        <w:outlineLvl w:val="3"/>
        <w:rPr>
          <w:rFonts w:ascii="等线 Light" w:hAnsi="等线 Light"/>
          <w:bCs/>
          <w:sz w:val="24"/>
          <w:szCs w:val="24"/>
          <w:highlight w:val="none"/>
        </w:rPr>
      </w:pPr>
      <w:r>
        <w:rPr>
          <w:rFonts w:hint="eastAsia" w:ascii="等线 Light" w:hAnsi="等线 Light"/>
          <w:bCs/>
          <w:sz w:val="24"/>
          <w:szCs w:val="24"/>
          <w:highlight w:val="none"/>
        </w:rPr>
        <w:t>中标供应商在运维期最后一个月启动移交准备工作，须在运维期满后</w:t>
      </w:r>
      <w:r>
        <w:rPr>
          <w:rFonts w:ascii="等线 Light" w:hAnsi="等线 Light"/>
          <w:bCs/>
          <w:sz w:val="24"/>
          <w:szCs w:val="24"/>
          <w:highlight w:val="none"/>
        </w:rPr>
        <w:t>1个月内完成全部移交工作，包括资产、成果文档移交等，移交完成后双方签署《移交清单确认书》。完成移交工作后方可组织项目验收工作。</w:t>
      </w:r>
    </w:p>
    <w:p w14:paraId="42B6AB12">
      <w:pPr>
        <w:keepNext/>
        <w:keepLines/>
        <w:adjustRightInd w:val="0"/>
        <w:snapToGrid w:val="0"/>
        <w:spacing w:line="288" w:lineRule="auto"/>
        <w:ind w:firstLine="448" w:firstLineChars="200"/>
        <w:outlineLvl w:val="3"/>
        <w:rPr>
          <w:rFonts w:ascii="等线 Light" w:hAnsi="等线 Light"/>
          <w:b/>
          <w:bCs/>
          <w:sz w:val="24"/>
          <w:szCs w:val="24"/>
          <w:highlight w:val="none"/>
        </w:rPr>
      </w:pPr>
      <w:r>
        <w:rPr>
          <w:rFonts w:ascii="等线 Light" w:hAnsi="等线 Light"/>
          <w:b/>
          <w:bCs/>
          <w:sz w:val="24"/>
          <w:szCs w:val="24"/>
          <w:highlight w:val="none"/>
        </w:rPr>
        <w:t>12、运维工作监督管理</w:t>
      </w:r>
    </w:p>
    <w:p w14:paraId="74CD9B1E">
      <w:pPr>
        <w:keepNext/>
        <w:keepLines/>
        <w:adjustRightInd w:val="0"/>
        <w:snapToGrid w:val="0"/>
        <w:spacing w:line="288" w:lineRule="auto"/>
        <w:ind w:firstLine="448" w:firstLineChars="200"/>
        <w:outlineLvl w:val="3"/>
        <w:rPr>
          <w:rFonts w:ascii="等线 Light" w:hAnsi="等线 Light"/>
          <w:bCs/>
          <w:sz w:val="24"/>
          <w:szCs w:val="24"/>
          <w:highlight w:val="none"/>
        </w:rPr>
      </w:pPr>
      <w:r>
        <w:rPr>
          <w:rFonts w:hint="eastAsia" w:ascii="等线 Light" w:hAnsi="等线 Light"/>
          <w:bCs/>
          <w:sz w:val="24"/>
          <w:szCs w:val="24"/>
          <w:highlight w:val="none"/>
        </w:rPr>
        <w:t>采购人委托第三方监理公司对本包的运维工作进行全面的监督管理，监理公司将依据运维设计方案、招投标文件、运维合同，以及运维工作过程中项目的实际情况，对中标供应商的各项工作进行系统化监督与管理。中标供应商必须配合第三方监理公司的监督管理。</w:t>
      </w:r>
    </w:p>
    <w:p w14:paraId="0EC4B5FA">
      <w:pPr>
        <w:keepNext/>
        <w:keepLines/>
        <w:adjustRightInd w:val="0"/>
        <w:snapToGrid w:val="0"/>
        <w:spacing w:line="288" w:lineRule="auto"/>
        <w:ind w:firstLine="448" w:firstLineChars="200"/>
        <w:outlineLvl w:val="3"/>
        <w:rPr>
          <w:rFonts w:ascii="Cambria" w:hAnsi="Cambria"/>
          <w:bCs/>
          <w:sz w:val="24"/>
          <w:szCs w:val="28"/>
          <w:highlight w:val="none"/>
        </w:rPr>
      </w:pPr>
      <w:r>
        <w:rPr>
          <w:rFonts w:hint="eastAsia" w:ascii="等线 Light" w:hAnsi="等线 Light"/>
          <w:bCs/>
          <w:sz w:val="24"/>
          <w:szCs w:val="24"/>
          <w:highlight w:val="none"/>
        </w:rPr>
        <w:t>中标供应商提交的运维成果报告，应接受第三方监理公司的审核。</w:t>
      </w:r>
      <w:r>
        <w:rPr>
          <w:rFonts w:hint="eastAsia" w:ascii="Cambria" w:hAnsi="Cambria"/>
          <w:bCs/>
          <w:sz w:val="24"/>
          <w:szCs w:val="28"/>
          <w:highlight w:val="none"/>
        </w:rPr>
        <w:t>三、运维服务考核要求</w:t>
      </w:r>
    </w:p>
    <w:p w14:paraId="2B85F6D6">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（一）考核总则</w:t>
      </w:r>
    </w:p>
    <w:p w14:paraId="4D5B405D">
      <w:pPr>
        <w:adjustRightInd w:val="0"/>
        <w:snapToGrid w:val="0"/>
        <w:spacing w:line="288" w:lineRule="auto"/>
        <w:ind w:firstLine="448" w:firstLineChars="200"/>
        <w:rPr>
          <w:sz w:val="24"/>
          <w:highlight w:val="none"/>
        </w:rPr>
      </w:pPr>
      <w:r>
        <w:rPr>
          <w:rFonts w:hint="eastAsia"/>
          <w:sz w:val="24"/>
          <w:highlight w:val="none"/>
        </w:rPr>
        <w:t>平台巡检人员每日统计运维服务工作完成情况，运维服务工作及运维成果文档需做到日清月结，采购人或采购人委托第三方监督单位对视频监控和网络链路的运维工作进行监督管理，对运维情况进行考核，每月进行一次考核，考核得分将作为后期付款依据。</w:t>
      </w:r>
    </w:p>
    <w:p w14:paraId="40C11AB5">
      <w:pPr>
        <w:adjustRightInd w:val="0"/>
        <w:snapToGrid w:val="0"/>
        <w:spacing w:line="288" w:lineRule="auto"/>
        <w:ind w:firstLine="448" w:firstLineChars="200"/>
        <w:rPr>
          <w:sz w:val="24"/>
          <w:highlight w:val="none"/>
        </w:rPr>
      </w:pPr>
      <w:r>
        <w:rPr>
          <w:sz w:val="24"/>
          <w:highlight w:val="none"/>
        </w:rPr>
        <w:t>考核评分工作以一个月为周期，考核标准为前端监控点位月均完好率，直接影响该月运维费用支付比例。当月月均完好率低于90%，</w:t>
      </w:r>
      <w:r>
        <w:rPr>
          <w:rFonts w:hint="eastAsia"/>
          <w:sz w:val="24"/>
          <w:highlight w:val="none"/>
        </w:rPr>
        <w:t>中标供应商</w:t>
      </w:r>
      <w:r>
        <w:rPr>
          <w:sz w:val="24"/>
          <w:highlight w:val="none"/>
        </w:rPr>
        <w:t>无权要求</w:t>
      </w:r>
      <w:r>
        <w:rPr>
          <w:rFonts w:hint="eastAsia"/>
          <w:sz w:val="24"/>
          <w:highlight w:val="none"/>
        </w:rPr>
        <w:t>采购人</w:t>
      </w:r>
      <w:r>
        <w:rPr>
          <w:sz w:val="24"/>
          <w:highlight w:val="none"/>
        </w:rPr>
        <w:t>支付任何费用，造成</w:t>
      </w:r>
      <w:r>
        <w:rPr>
          <w:rFonts w:hint="eastAsia"/>
          <w:sz w:val="24"/>
          <w:highlight w:val="none"/>
        </w:rPr>
        <w:t>采购人</w:t>
      </w:r>
      <w:r>
        <w:rPr>
          <w:sz w:val="24"/>
          <w:highlight w:val="none"/>
        </w:rPr>
        <w:t>损失的应按照损失情况赔偿。若任意连续4个月内累计有3个月月均完好率低于90%，即认定为运维服务严重不到位，视为</w:t>
      </w:r>
      <w:r>
        <w:rPr>
          <w:rFonts w:hint="eastAsia"/>
          <w:sz w:val="24"/>
          <w:highlight w:val="none"/>
        </w:rPr>
        <w:t>中标供应商</w:t>
      </w:r>
      <w:r>
        <w:rPr>
          <w:sz w:val="24"/>
          <w:highlight w:val="none"/>
        </w:rPr>
        <w:t>违约，</w:t>
      </w:r>
      <w:r>
        <w:rPr>
          <w:rFonts w:hint="eastAsia"/>
          <w:sz w:val="24"/>
          <w:highlight w:val="none"/>
        </w:rPr>
        <w:t>采购人</w:t>
      </w:r>
      <w:r>
        <w:rPr>
          <w:sz w:val="24"/>
          <w:highlight w:val="none"/>
        </w:rPr>
        <w:t>有权单方解除运维服务合同，</w:t>
      </w:r>
      <w:r>
        <w:rPr>
          <w:rFonts w:hint="eastAsia"/>
          <w:sz w:val="24"/>
          <w:highlight w:val="none"/>
        </w:rPr>
        <w:t>中标供应商</w:t>
      </w:r>
      <w:r>
        <w:rPr>
          <w:sz w:val="24"/>
          <w:highlight w:val="none"/>
        </w:rPr>
        <w:t>须承担相应法律责任及由此给</w:t>
      </w:r>
      <w:r>
        <w:rPr>
          <w:rFonts w:hint="eastAsia"/>
          <w:sz w:val="24"/>
          <w:highlight w:val="none"/>
        </w:rPr>
        <w:t>采购人</w:t>
      </w:r>
      <w:r>
        <w:rPr>
          <w:sz w:val="24"/>
          <w:highlight w:val="none"/>
        </w:rPr>
        <w:t>造成的全部损失。</w:t>
      </w:r>
      <w:r>
        <w:rPr>
          <w:rFonts w:hint="eastAsia"/>
          <w:sz w:val="24"/>
          <w:highlight w:val="none"/>
        </w:rPr>
        <w:t>运维考核结果以采购人指定的平台和算法为准。</w:t>
      </w:r>
    </w:p>
    <w:p w14:paraId="4B2A734F">
      <w:pPr>
        <w:adjustRightInd w:val="0"/>
        <w:snapToGrid w:val="0"/>
        <w:spacing w:line="288" w:lineRule="auto"/>
        <w:ind w:firstLine="448" w:firstLineChars="200"/>
        <w:rPr>
          <w:sz w:val="24"/>
          <w:highlight w:val="none"/>
        </w:rPr>
      </w:pPr>
      <w:r>
        <w:rPr>
          <w:rFonts w:hint="eastAsia"/>
          <w:sz w:val="24"/>
          <w:highlight w:val="none"/>
        </w:rPr>
        <w:t>运维考核结果以采购人指定的平台和算法为准，并由监理单位人工进行复核、判定，最终由采购人认定。</w:t>
      </w:r>
    </w:p>
    <w:p w14:paraId="36968A92">
      <w:pPr>
        <w:adjustRightInd w:val="0"/>
        <w:snapToGrid w:val="0"/>
        <w:spacing w:line="288" w:lineRule="auto"/>
        <w:ind w:firstLine="448" w:firstLineChars="200"/>
        <w:rPr>
          <w:sz w:val="24"/>
          <w:highlight w:val="none"/>
        </w:rPr>
      </w:pPr>
      <w:r>
        <w:rPr>
          <w:rFonts w:hint="eastAsia"/>
          <w:sz w:val="24"/>
          <w:highlight w:val="none"/>
        </w:rPr>
        <w:t>中标供应商签订运维合同生效后即进入运维服务期，第1个月属于资产交接调试阶段，不参加运维考核，完好率按照97%计算。运维费用付款方式以采购人确定为准。</w:t>
      </w:r>
    </w:p>
    <w:p w14:paraId="484ED9F5">
      <w:pPr>
        <w:adjustRightInd w:val="0"/>
        <w:snapToGrid w:val="0"/>
        <w:spacing w:line="288" w:lineRule="auto"/>
        <w:ind w:firstLine="448" w:firstLineChars="200"/>
        <w:rPr>
          <w:sz w:val="24"/>
          <w:highlight w:val="none"/>
        </w:rPr>
      </w:pPr>
      <w:r>
        <w:rPr>
          <w:rFonts w:hint="eastAsia"/>
          <w:sz w:val="24"/>
          <w:highlight w:val="none"/>
        </w:rPr>
        <w:t>每次请款前，中标供应商应向监理单位提交付款申请及相关材料，监理单位核查中标供应商请款材料是否齐全无误、是否满足付款条件，并审核运维费用无误后，由监理单位提交采购人审核，履行付款手续。</w:t>
      </w:r>
    </w:p>
    <w:p w14:paraId="140C5A75">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（二）摄像机完好率考核</w:t>
      </w:r>
    </w:p>
    <w:p w14:paraId="38F6F4CD">
      <w:pPr>
        <w:adjustRightInd w:val="0"/>
        <w:snapToGrid w:val="0"/>
        <w:spacing w:line="288" w:lineRule="auto"/>
        <w:ind w:firstLine="448" w:firstLineChars="200"/>
        <w:rPr>
          <w:sz w:val="24"/>
          <w:highlight w:val="none"/>
        </w:rPr>
      </w:pPr>
      <w:r>
        <w:rPr>
          <w:rFonts w:hint="eastAsia"/>
          <w:sz w:val="24"/>
          <w:highlight w:val="none"/>
        </w:rPr>
        <w:t>中标供应商平台巡检人员需每日对摄像机完好率进行统计记录，每月月末统计月均完好率，月均完好率为当月每日完好率的平均值。</w:t>
      </w:r>
    </w:p>
    <w:p w14:paraId="751A1C15">
      <w:pPr>
        <w:adjustRightInd w:val="0"/>
        <w:snapToGrid w:val="0"/>
        <w:spacing w:line="288" w:lineRule="auto"/>
        <w:ind w:firstLine="448" w:firstLineChars="200"/>
        <w:rPr>
          <w:sz w:val="24"/>
          <w:highlight w:val="none"/>
        </w:rPr>
      </w:pPr>
      <w:r>
        <w:rPr>
          <w:rFonts w:hint="eastAsia"/>
          <w:sz w:val="24"/>
          <w:highlight w:val="none"/>
        </w:rPr>
        <w:t>如因</w:t>
      </w:r>
      <w:r>
        <w:rPr>
          <w:sz w:val="24"/>
          <w:highlight w:val="none"/>
        </w:rPr>
        <w:t>考核</w:t>
      </w:r>
      <w:r>
        <w:rPr>
          <w:rFonts w:hint="eastAsia"/>
          <w:sz w:val="24"/>
          <w:highlight w:val="none"/>
        </w:rPr>
        <w:t>平台</w:t>
      </w:r>
      <w:r>
        <w:rPr>
          <w:sz w:val="24"/>
          <w:highlight w:val="none"/>
        </w:rPr>
        <w:t>原因，导致当日完好率数据未能</w:t>
      </w:r>
      <w:r>
        <w:rPr>
          <w:rFonts w:hint="eastAsia"/>
          <w:sz w:val="24"/>
          <w:highlight w:val="none"/>
        </w:rPr>
        <w:t>正确</w:t>
      </w:r>
      <w:r>
        <w:rPr>
          <w:sz w:val="24"/>
          <w:highlight w:val="none"/>
        </w:rPr>
        <w:t>记录，则当日完好率不计入统计。</w:t>
      </w:r>
    </w:p>
    <w:p w14:paraId="05B45A01">
      <w:pPr>
        <w:adjustRightInd w:val="0"/>
        <w:snapToGrid w:val="0"/>
        <w:spacing w:line="288" w:lineRule="auto"/>
        <w:ind w:firstLine="448" w:firstLineChars="200"/>
        <w:rPr>
          <w:sz w:val="24"/>
          <w:highlight w:val="none"/>
        </w:rPr>
      </w:pPr>
      <w:r>
        <w:rPr>
          <w:rFonts w:hint="eastAsia"/>
          <w:sz w:val="24"/>
          <w:highlight w:val="none"/>
        </w:rPr>
        <w:t>视频监控设备完好：</w:t>
      </w:r>
      <w:r>
        <w:rPr>
          <w:sz w:val="24"/>
          <w:highlight w:val="none"/>
        </w:rPr>
        <w:t>该设备在线，可以在视频管理平台观看实时视频画面与录像视频，视频图像质量良好，能够正常存储</w:t>
      </w:r>
      <w:r>
        <w:rPr>
          <w:rFonts w:hint="eastAsia"/>
          <w:sz w:val="24"/>
          <w:highlight w:val="none"/>
        </w:rPr>
        <w:t>（前端</w:t>
      </w:r>
      <w:r>
        <w:rPr>
          <w:sz w:val="24"/>
          <w:highlight w:val="none"/>
        </w:rPr>
        <w:t>存储不少于</w:t>
      </w:r>
      <w:r>
        <w:rPr>
          <w:rFonts w:hint="eastAsia"/>
          <w:sz w:val="24"/>
          <w:highlight w:val="none"/>
        </w:rPr>
        <w:t>7天、后台集中存储</w:t>
      </w:r>
      <w:r>
        <w:rPr>
          <w:sz w:val="24"/>
          <w:highlight w:val="none"/>
        </w:rPr>
        <w:t>不少于</w:t>
      </w:r>
      <w:r>
        <w:rPr>
          <w:rFonts w:hint="eastAsia"/>
          <w:sz w:val="24"/>
          <w:highlight w:val="none"/>
        </w:rPr>
        <w:t>30天）</w:t>
      </w:r>
      <w:r>
        <w:rPr>
          <w:sz w:val="24"/>
          <w:highlight w:val="none"/>
        </w:rPr>
        <w:t>，设备可以被远程控制</w:t>
      </w:r>
      <w:r>
        <w:rPr>
          <w:rFonts w:hint="eastAsia"/>
          <w:sz w:val="24"/>
          <w:highlight w:val="none"/>
        </w:rPr>
        <w:t>（云台</w:t>
      </w:r>
      <w:r>
        <w:rPr>
          <w:sz w:val="24"/>
          <w:highlight w:val="none"/>
        </w:rPr>
        <w:t>、变焦可控</w:t>
      </w:r>
      <w:r>
        <w:rPr>
          <w:rFonts w:hint="eastAsia"/>
          <w:sz w:val="24"/>
          <w:highlight w:val="none"/>
        </w:rPr>
        <w:t>）</w:t>
      </w:r>
      <w:r>
        <w:rPr>
          <w:sz w:val="24"/>
          <w:highlight w:val="none"/>
        </w:rPr>
        <w:t>，并符合《公安视频图像显示信息叠加规范》（GA/T 751-2024）要求视为设备完好（具体检测内容由建设单位根据工作需要</w:t>
      </w:r>
      <w:r>
        <w:rPr>
          <w:rFonts w:hint="eastAsia"/>
          <w:sz w:val="24"/>
          <w:highlight w:val="none"/>
        </w:rPr>
        <w:t>设</w:t>
      </w:r>
      <w:r>
        <w:rPr>
          <w:sz w:val="24"/>
          <w:highlight w:val="none"/>
        </w:rPr>
        <w:t>定）。</w:t>
      </w:r>
    </w:p>
    <w:p w14:paraId="72ED7BF4">
      <w:pPr>
        <w:adjustRightInd w:val="0"/>
        <w:snapToGrid w:val="0"/>
        <w:spacing w:line="288" w:lineRule="auto"/>
        <w:ind w:firstLine="448" w:firstLineChars="200"/>
        <w:rPr>
          <w:sz w:val="24"/>
          <w:highlight w:val="none"/>
        </w:rPr>
      </w:pPr>
      <w:r>
        <w:rPr>
          <w:sz w:val="24"/>
          <w:highlight w:val="none"/>
        </w:rPr>
        <w:t>监控点位不在线、点位在线但图像质量较差（无画面、画面有雪花、图像抖动、干扰严重、护罩污损、故意遮挡）、无法正常存储、无法观看录像、违反《公安视频图像显示信息叠加规范》（GA/T 751-2024）要求（具体检测内容由建设单位根据工作需要</w:t>
      </w:r>
      <w:r>
        <w:rPr>
          <w:rFonts w:hint="eastAsia"/>
          <w:sz w:val="24"/>
          <w:highlight w:val="none"/>
        </w:rPr>
        <w:t>设</w:t>
      </w:r>
      <w:r>
        <w:rPr>
          <w:sz w:val="24"/>
          <w:highlight w:val="none"/>
        </w:rPr>
        <w:t>定），视为设备不能正常使用，不能满足公安相关业务要求，属于设备不完好</w:t>
      </w:r>
      <w:r>
        <w:rPr>
          <w:rFonts w:hint="eastAsia"/>
          <w:sz w:val="24"/>
          <w:highlight w:val="none"/>
        </w:rPr>
        <w:t>。</w:t>
      </w:r>
    </w:p>
    <w:p w14:paraId="1BB92432">
      <w:pPr>
        <w:adjustRightInd w:val="0"/>
        <w:snapToGrid w:val="0"/>
        <w:spacing w:line="288" w:lineRule="auto"/>
        <w:ind w:firstLine="448" w:firstLineChars="200"/>
        <w:rPr>
          <w:sz w:val="24"/>
          <w:highlight w:val="none"/>
        </w:rPr>
      </w:pPr>
      <w:r>
        <w:rPr>
          <w:rFonts w:hint="eastAsia"/>
          <w:sz w:val="24"/>
          <w:highlight w:val="none"/>
        </w:rPr>
        <w:t>前端摄像机日完好率=1－当日不完好的摄像机数量/当日参与考核的摄像机数量×100%。</w:t>
      </w:r>
    </w:p>
    <w:p w14:paraId="28AE6303">
      <w:pPr>
        <w:adjustRightInd w:val="0"/>
        <w:snapToGrid w:val="0"/>
        <w:spacing w:line="288" w:lineRule="auto"/>
        <w:ind w:firstLine="448" w:firstLineChars="200"/>
        <w:rPr>
          <w:sz w:val="24"/>
          <w:highlight w:val="none"/>
        </w:rPr>
      </w:pPr>
      <w:r>
        <w:rPr>
          <w:rFonts w:hint="eastAsia"/>
          <w:sz w:val="24"/>
          <w:highlight w:val="none"/>
        </w:rPr>
        <w:t>当日参与考核的摄像机数量=运维合同中的摄像机数量－当日不参与考核的摄像机数量。</w:t>
      </w:r>
    </w:p>
    <w:p w14:paraId="4519438E">
      <w:pPr>
        <w:adjustRightInd w:val="0"/>
        <w:snapToGrid w:val="0"/>
        <w:spacing w:line="288" w:lineRule="auto"/>
        <w:ind w:firstLine="448" w:firstLineChars="200"/>
        <w:rPr>
          <w:sz w:val="24"/>
          <w:highlight w:val="none"/>
        </w:rPr>
      </w:pPr>
      <w:r>
        <w:rPr>
          <w:sz w:val="24"/>
          <w:highlight w:val="none"/>
        </w:rPr>
        <w:t>当日不参与考核摄像机数量是当日因特殊事件造成故障而不列入运维考核的摄像机数量（详见</w:t>
      </w:r>
      <w:r>
        <w:rPr>
          <w:rFonts w:hint="eastAsia"/>
          <w:sz w:val="24"/>
          <w:highlight w:val="none"/>
        </w:rPr>
        <w:t>（四）</w:t>
      </w:r>
      <w:r>
        <w:rPr>
          <w:sz w:val="24"/>
          <w:highlight w:val="none"/>
        </w:rPr>
        <w:t>特殊事件处置）。</w:t>
      </w:r>
    </w:p>
    <w:p w14:paraId="754173C7">
      <w:pPr>
        <w:adjustRightInd w:val="0"/>
        <w:snapToGrid w:val="0"/>
        <w:spacing w:line="288" w:lineRule="auto"/>
        <w:ind w:firstLine="448" w:firstLineChars="200"/>
        <w:rPr>
          <w:sz w:val="24"/>
          <w:highlight w:val="none"/>
        </w:rPr>
      </w:pPr>
      <w:r>
        <w:rPr>
          <w:rFonts w:hint="eastAsia"/>
          <w:sz w:val="24"/>
          <w:highlight w:val="none"/>
        </w:rPr>
        <w:t>前端摄像机月均完好率=当月每日完好率总和/当月考核总天数。</w:t>
      </w:r>
    </w:p>
    <w:p w14:paraId="6B038749">
      <w:pPr>
        <w:adjustRightInd w:val="0"/>
        <w:snapToGrid w:val="0"/>
        <w:spacing w:line="288" w:lineRule="auto"/>
        <w:ind w:firstLine="448" w:firstLineChars="200"/>
        <w:rPr>
          <w:sz w:val="24"/>
          <w:szCs w:val="24"/>
          <w:highlight w:val="none"/>
        </w:rPr>
      </w:pPr>
      <w:r>
        <w:rPr>
          <w:rFonts w:hint="eastAsia"/>
          <w:sz w:val="24"/>
          <w:highlight w:val="none"/>
        </w:rPr>
        <w:t>前端摄像机月均完好率＜97%视为不合格。</w:t>
      </w:r>
    </w:p>
    <w:p w14:paraId="0169EE3D">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（三）运维服务费用计算</w:t>
      </w:r>
    </w:p>
    <w:p w14:paraId="57E5513B">
      <w:pPr>
        <w:pStyle w:val="30"/>
        <w:numPr>
          <w:ilvl w:val="0"/>
          <w:numId w:val="2"/>
        </w:numPr>
        <w:adjustRightInd w:val="0"/>
        <w:snapToGrid w:val="0"/>
        <w:spacing w:line="288" w:lineRule="auto"/>
        <w:ind w:firstLine="446"/>
        <w:rPr>
          <w:sz w:val="24"/>
          <w:highlight w:val="none"/>
        </w:rPr>
      </w:pPr>
      <w:r>
        <w:rPr>
          <w:rFonts w:hint="eastAsia"/>
          <w:sz w:val="24"/>
          <w:highlight w:val="none"/>
        </w:rPr>
        <w:t>运维服务费用包含3个部分，分别是月度考核运维费用、月度扣罚费用、年度扣罚费用。当月应支付运维服务费用=月度考核运维费用-月度扣罚费用，具体分为以下两种情况：</w:t>
      </w:r>
    </w:p>
    <w:p w14:paraId="136A31AF">
      <w:pPr>
        <w:pStyle w:val="30"/>
        <w:numPr>
          <w:ilvl w:val="0"/>
          <w:numId w:val="2"/>
        </w:numPr>
        <w:adjustRightInd w:val="0"/>
        <w:snapToGrid w:val="0"/>
        <w:spacing w:line="288" w:lineRule="auto"/>
        <w:ind w:firstLine="446"/>
        <w:rPr>
          <w:sz w:val="24"/>
          <w:highlight w:val="none"/>
        </w:rPr>
      </w:pPr>
      <w:r>
        <w:rPr>
          <w:sz w:val="24"/>
          <w:highlight w:val="none"/>
        </w:rPr>
        <w:t>按照上述公式计算当月应支付运维费用≥0元时，月度扣罚费用从当月月度考核运维费用中扣除；</w:t>
      </w:r>
    </w:p>
    <w:p w14:paraId="6C00BF11">
      <w:pPr>
        <w:pStyle w:val="30"/>
        <w:numPr>
          <w:ilvl w:val="0"/>
          <w:numId w:val="2"/>
        </w:numPr>
        <w:adjustRightInd w:val="0"/>
        <w:snapToGrid w:val="0"/>
        <w:spacing w:line="288" w:lineRule="auto"/>
        <w:ind w:firstLine="446"/>
        <w:rPr>
          <w:sz w:val="24"/>
          <w:highlight w:val="none"/>
        </w:rPr>
      </w:pPr>
      <w:r>
        <w:rPr>
          <w:sz w:val="24"/>
          <w:highlight w:val="none"/>
        </w:rPr>
        <w:t>按照上述公式计算当月应支付运维费用＜0元时，当月月度考核运维费用全部用于抵扣月度扣罚费用；未抵扣完毕的剩余扣罚费用顺延至后续首个满足“应支付运维费用≥0元”的月份，从该月应支付运维费用中继续扣除。</w:t>
      </w:r>
    </w:p>
    <w:p w14:paraId="73AEEDBA">
      <w:pPr>
        <w:adjustRightInd w:val="0"/>
        <w:snapToGrid w:val="0"/>
        <w:spacing w:line="288" w:lineRule="auto"/>
        <w:ind w:firstLine="448" w:firstLineChars="200"/>
        <w:rPr>
          <w:sz w:val="24"/>
          <w:highlight w:val="none"/>
        </w:rPr>
      </w:pPr>
      <w:r>
        <w:rPr>
          <w:rFonts w:hint="eastAsia"/>
          <w:sz w:val="24"/>
          <w:highlight w:val="none"/>
        </w:rPr>
        <w:t>1.月度考核运维费用计算</w:t>
      </w:r>
    </w:p>
    <w:p w14:paraId="18E2F0D5">
      <w:pPr>
        <w:adjustRightInd w:val="0"/>
        <w:snapToGrid w:val="0"/>
        <w:spacing w:line="288" w:lineRule="auto"/>
        <w:ind w:firstLine="448" w:firstLineChars="200"/>
        <w:rPr>
          <w:sz w:val="24"/>
          <w:highlight w:val="none"/>
        </w:rPr>
      </w:pPr>
      <w:r>
        <w:rPr>
          <w:rFonts w:hint="eastAsia"/>
          <w:sz w:val="24"/>
          <w:highlight w:val="none"/>
        </w:rPr>
        <w:t>月度考核运维费用以当月月均完好率作为计算标准：</w:t>
      </w:r>
    </w:p>
    <w:p w14:paraId="553DE362">
      <w:pPr>
        <w:adjustRightInd w:val="0"/>
        <w:snapToGrid w:val="0"/>
        <w:spacing w:line="288" w:lineRule="auto"/>
        <w:ind w:firstLine="448" w:firstLineChars="200"/>
        <w:rPr>
          <w:sz w:val="24"/>
          <w:highlight w:val="none"/>
        </w:rPr>
      </w:pPr>
      <w:r>
        <w:rPr>
          <w:rFonts w:hint="eastAsia"/>
          <w:sz w:val="24"/>
          <w:highlight w:val="none"/>
        </w:rPr>
        <w:t>（1）月均完好率≥97%时，月度考核运维费用=运维合同总额/12。</w:t>
      </w:r>
    </w:p>
    <w:p w14:paraId="424915CC">
      <w:pPr>
        <w:adjustRightInd w:val="0"/>
        <w:snapToGrid w:val="0"/>
        <w:spacing w:line="288" w:lineRule="auto"/>
        <w:ind w:firstLine="448" w:firstLineChars="200"/>
        <w:rPr>
          <w:sz w:val="24"/>
          <w:highlight w:val="none"/>
        </w:rPr>
      </w:pPr>
      <w:r>
        <w:rPr>
          <w:rFonts w:hint="eastAsia"/>
          <w:sz w:val="24"/>
          <w:highlight w:val="none"/>
        </w:rPr>
        <w:t>（2）月均完好率＜97%且≥90%时，月度考核运维费用=当月完好率*运维合同总额/12。</w:t>
      </w:r>
    </w:p>
    <w:p w14:paraId="08D5FBDE">
      <w:pPr>
        <w:adjustRightInd w:val="0"/>
        <w:snapToGrid w:val="0"/>
        <w:spacing w:line="288" w:lineRule="auto"/>
        <w:ind w:firstLine="448" w:firstLineChars="200"/>
        <w:rPr>
          <w:sz w:val="24"/>
          <w:highlight w:val="none"/>
        </w:rPr>
      </w:pPr>
      <w:r>
        <w:rPr>
          <w:rFonts w:hint="eastAsia"/>
          <w:sz w:val="24"/>
          <w:highlight w:val="none"/>
        </w:rPr>
        <w:t>（3）月均完好率＜90%时，则该考核周期内运维服务方无权要求建设单位支付任何费用，造成建设单位及相关维护单位损失的应按照损失情况赔偿。</w:t>
      </w:r>
    </w:p>
    <w:p w14:paraId="142C3570">
      <w:pPr>
        <w:adjustRightInd w:val="0"/>
        <w:snapToGrid w:val="0"/>
        <w:spacing w:line="288" w:lineRule="auto"/>
        <w:ind w:firstLine="448" w:firstLineChars="200"/>
        <w:rPr>
          <w:sz w:val="24"/>
          <w:highlight w:val="none"/>
        </w:rPr>
      </w:pPr>
      <w:r>
        <w:rPr>
          <w:rFonts w:hint="eastAsia"/>
          <w:sz w:val="24"/>
          <w:highlight w:val="none"/>
        </w:rPr>
        <w:t>2.月度扣罚费用计算</w:t>
      </w:r>
    </w:p>
    <w:p w14:paraId="7F0ACF98">
      <w:pPr>
        <w:adjustRightInd w:val="0"/>
        <w:snapToGrid w:val="0"/>
        <w:spacing w:line="288" w:lineRule="auto"/>
        <w:ind w:firstLine="448" w:firstLineChars="200"/>
        <w:rPr>
          <w:sz w:val="24"/>
          <w:highlight w:val="none"/>
        </w:rPr>
      </w:pPr>
      <w:r>
        <w:rPr>
          <w:rFonts w:hint="eastAsia"/>
          <w:sz w:val="24"/>
          <w:highlight w:val="none"/>
        </w:rPr>
        <w:t>当月运维服务工作出现违规情况的，对运维服务方进行扣罚，扣罚金额=运维合同总额/12*扣罚百分比，具体违规事项及扣罚比例如下：</w:t>
      </w:r>
    </w:p>
    <w:p w14:paraId="5CCAE61D">
      <w:pPr>
        <w:adjustRightInd w:val="0"/>
        <w:snapToGrid w:val="0"/>
        <w:spacing w:line="288" w:lineRule="auto"/>
        <w:ind w:firstLine="448" w:firstLineChars="200"/>
        <w:rPr>
          <w:sz w:val="24"/>
          <w:highlight w:val="none"/>
        </w:rPr>
      </w:pPr>
      <w:r>
        <w:rPr>
          <w:rFonts w:hint="eastAsia"/>
          <w:sz w:val="24"/>
          <w:highlight w:val="none"/>
        </w:rPr>
        <w:t>（1）运维服务方接到故障信息半小时内未响应的，出现一次扣罚0.1%。</w:t>
      </w:r>
    </w:p>
    <w:p w14:paraId="6EEAD5F3">
      <w:pPr>
        <w:adjustRightInd w:val="0"/>
        <w:snapToGrid w:val="0"/>
        <w:spacing w:line="288" w:lineRule="auto"/>
        <w:ind w:firstLine="448" w:firstLineChars="200"/>
        <w:rPr>
          <w:sz w:val="24"/>
          <w:highlight w:val="none"/>
        </w:rPr>
      </w:pPr>
      <w:r>
        <w:rPr>
          <w:rFonts w:hint="eastAsia"/>
          <w:sz w:val="24"/>
          <w:highlight w:val="none"/>
        </w:rPr>
        <w:t>（2）运维服务方确认无法在线解决后，2小时内未到达现场的，出现一次扣罚0.</w:t>
      </w:r>
      <w:r>
        <w:rPr>
          <w:sz w:val="24"/>
          <w:highlight w:val="none"/>
        </w:rPr>
        <w:t>2</w:t>
      </w:r>
      <w:r>
        <w:rPr>
          <w:rFonts w:hint="eastAsia"/>
          <w:sz w:val="24"/>
          <w:highlight w:val="none"/>
        </w:rPr>
        <w:t>%。</w:t>
      </w:r>
    </w:p>
    <w:p w14:paraId="421ECF4D">
      <w:pPr>
        <w:adjustRightInd w:val="0"/>
        <w:snapToGrid w:val="0"/>
        <w:spacing w:line="288" w:lineRule="auto"/>
        <w:ind w:firstLine="448" w:firstLineChars="200"/>
        <w:rPr>
          <w:sz w:val="24"/>
          <w:highlight w:val="none"/>
        </w:rPr>
      </w:pPr>
      <w:r>
        <w:rPr>
          <w:rFonts w:hint="eastAsia"/>
          <w:sz w:val="24"/>
          <w:highlight w:val="none"/>
        </w:rPr>
        <w:t>（3）所有故障在无特殊事件情况下，48小时内未全面修复的，建设单位或建设单位委托第三方监理单位下发《维修督办通知单》，出现一次扣罚</w:t>
      </w:r>
      <w:r>
        <w:rPr>
          <w:sz w:val="24"/>
          <w:highlight w:val="none"/>
        </w:rPr>
        <w:t>0.2</w:t>
      </w:r>
      <w:r>
        <w:rPr>
          <w:rFonts w:hint="eastAsia"/>
          <w:sz w:val="24"/>
          <w:highlight w:val="none"/>
        </w:rPr>
        <w:t>%。</w:t>
      </w:r>
    </w:p>
    <w:p w14:paraId="330398E9">
      <w:pPr>
        <w:adjustRightInd w:val="0"/>
        <w:snapToGrid w:val="0"/>
        <w:spacing w:line="288" w:lineRule="auto"/>
        <w:ind w:firstLine="448" w:firstLineChars="200"/>
        <w:rPr>
          <w:sz w:val="24"/>
          <w:highlight w:val="none"/>
        </w:rPr>
      </w:pPr>
      <w:r>
        <w:rPr>
          <w:rFonts w:hint="eastAsia"/>
          <w:sz w:val="24"/>
          <w:highlight w:val="none"/>
        </w:rPr>
        <w:t>（4）因运维服务方自身原因导致前端监控点位存储的数据丢失（包含人脸/车辆等结构化数据、视频/图片等非结构化数据等），直接影响甲方视频/图片检索分析、证据调取、执法办案等业务，一经甲方发现，一次扣罚</w:t>
      </w:r>
      <w:r>
        <w:rPr>
          <w:sz w:val="24"/>
          <w:highlight w:val="none"/>
        </w:rPr>
        <w:t>0.3</w:t>
      </w:r>
      <w:r>
        <w:rPr>
          <w:rFonts w:hint="eastAsia"/>
          <w:sz w:val="24"/>
          <w:highlight w:val="none"/>
        </w:rPr>
        <w:t>%。</w:t>
      </w:r>
    </w:p>
    <w:p w14:paraId="2C0DF79D">
      <w:pPr>
        <w:adjustRightInd w:val="0"/>
        <w:snapToGrid w:val="0"/>
        <w:spacing w:line="288" w:lineRule="auto"/>
        <w:ind w:firstLine="448" w:firstLineChars="200"/>
        <w:rPr>
          <w:sz w:val="24"/>
          <w:highlight w:val="none"/>
        </w:rPr>
      </w:pPr>
      <w:r>
        <w:rPr>
          <w:rFonts w:hint="eastAsia"/>
          <w:sz w:val="24"/>
          <w:highlight w:val="none"/>
        </w:rPr>
        <w:t>（5）运维服务方未及时编制、更新完成运维文档（详见成果文档管理），每次扣罚0.1%；造成维护文档永久缺失的，每次扣罚1%。</w:t>
      </w:r>
    </w:p>
    <w:p w14:paraId="2EE11B20">
      <w:pPr>
        <w:adjustRightInd w:val="0"/>
        <w:snapToGrid w:val="0"/>
        <w:spacing w:line="288" w:lineRule="auto"/>
        <w:ind w:firstLine="448" w:firstLineChars="200"/>
        <w:rPr>
          <w:sz w:val="24"/>
          <w:highlight w:val="none"/>
        </w:rPr>
      </w:pPr>
      <w:r>
        <w:rPr>
          <w:rFonts w:hint="eastAsia"/>
          <w:sz w:val="24"/>
          <w:highlight w:val="none"/>
        </w:rPr>
        <w:t>（6）“一机一档”表格月均匹配率＜95%的，每下降1%，扣罚0.1%。“一机一档”表格月均匹配率是当月每日匹配率的平均值。</w:t>
      </w:r>
    </w:p>
    <w:p w14:paraId="0CDA7358">
      <w:pPr>
        <w:adjustRightInd w:val="0"/>
        <w:snapToGrid w:val="0"/>
        <w:spacing w:line="288" w:lineRule="auto"/>
        <w:ind w:firstLine="448" w:firstLineChars="200"/>
        <w:rPr>
          <w:sz w:val="24"/>
          <w:highlight w:val="none"/>
        </w:rPr>
      </w:pPr>
      <w:r>
        <w:rPr>
          <w:rFonts w:hint="eastAsia"/>
          <w:sz w:val="24"/>
          <w:highlight w:val="none"/>
        </w:rPr>
        <w:t>“一机一档”表格当天匹配率=当天“一机一档”表格中与现场实际情况相符的摄像机数量/当天参与考核的摄像机数量；</w:t>
      </w:r>
    </w:p>
    <w:p w14:paraId="3387ACD8">
      <w:pPr>
        <w:adjustRightInd w:val="0"/>
        <w:snapToGrid w:val="0"/>
        <w:spacing w:line="288" w:lineRule="auto"/>
        <w:ind w:firstLine="448" w:firstLineChars="200"/>
        <w:rPr>
          <w:sz w:val="24"/>
          <w:highlight w:val="none"/>
        </w:rPr>
      </w:pPr>
      <w:r>
        <w:rPr>
          <w:rFonts w:hint="eastAsia"/>
          <w:sz w:val="24"/>
          <w:highlight w:val="none"/>
        </w:rPr>
        <w:t>“一机一档”表格月均匹配率=当月每日匹配率总和/当月考核总天数。</w:t>
      </w:r>
    </w:p>
    <w:p w14:paraId="76FEA4F2">
      <w:pPr>
        <w:adjustRightInd w:val="0"/>
        <w:snapToGrid w:val="0"/>
        <w:spacing w:line="288" w:lineRule="auto"/>
        <w:ind w:firstLine="448" w:firstLineChars="200"/>
        <w:rPr>
          <w:sz w:val="24"/>
          <w:highlight w:val="none"/>
        </w:rPr>
      </w:pPr>
      <w:r>
        <w:rPr>
          <w:rFonts w:hint="eastAsia"/>
          <w:sz w:val="24"/>
          <w:highlight w:val="none"/>
        </w:rPr>
        <w:t>（7）运维服务方平台巡检人员无故脱岗，每次扣罚0.1%；在重要时间段无故脱岗，每次扣罚0.2%；同时，对当月脱岗时间进行累计扣罚，脱岗时间每达到0.5小时，扣罚0.1%。</w:t>
      </w:r>
    </w:p>
    <w:p w14:paraId="220AC6E3">
      <w:pPr>
        <w:adjustRightInd w:val="0"/>
        <w:snapToGrid w:val="0"/>
        <w:spacing w:line="288" w:lineRule="auto"/>
        <w:ind w:firstLine="448" w:firstLineChars="200"/>
        <w:rPr>
          <w:sz w:val="24"/>
          <w:highlight w:val="none"/>
        </w:rPr>
      </w:pPr>
      <w:r>
        <w:rPr>
          <w:rFonts w:hint="eastAsia"/>
          <w:sz w:val="24"/>
          <w:highlight w:val="none"/>
        </w:rPr>
        <w:t>（8）建设单位及其内部处室和下辖单位收到公安系统内部或外部下发的通报（包含建设单位及内部处室对运维服务方的通报），通报内容与运维服务方的运维服务直接或间接相关，建设单位将按公安系统内部通报和外部通报两类情况对运维服务方进行扣罚，扣罚比例如下：</w:t>
      </w:r>
    </w:p>
    <w:p w14:paraId="127CA665">
      <w:pPr>
        <w:pStyle w:val="30"/>
        <w:numPr>
          <w:ilvl w:val="0"/>
          <w:numId w:val="3"/>
        </w:numPr>
        <w:adjustRightInd w:val="0"/>
        <w:snapToGrid w:val="0"/>
        <w:spacing w:line="288" w:lineRule="auto"/>
        <w:ind w:firstLine="446"/>
        <w:rPr>
          <w:sz w:val="24"/>
          <w:highlight w:val="none"/>
        </w:rPr>
      </w:pPr>
      <w:r>
        <w:rPr>
          <w:sz w:val="24"/>
          <w:highlight w:val="none"/>
        </w:rPr>
        <w:t>公安系统内部通报：公安系统内部包括公安部、天津市公安局滨海分局及内部处室和下辖各基层单位。当通报来源为公安部时，每次扣罚10%；当通报来源为天津市公安局时，每次扣罚5%；当通报来源为天津市公安局滨海分局及内部处室和下辖各基层单位时，每次扣罚2%。</w:t>
      </w:r>
    </w:p>
    <w:p w14:paraId="53081F72">
      <w:pPr>
        <w:pStyle w:val="30"/>
        <w:numPr>
          <w:ilvl w:val="0"/>
          <w:numId w:val="3"/>
        </w:numPr>
        <w:adjustRightInd w:val="0"/>
        <w:snapToGrid w:val="0"/>
        <w:spacing w:line="288" w:lineRule="auto"/>
        <w:ind w:firstLine="446"/>
        <w:rPr>
          <w:sz w:val="24"/>
          <w:highlight w:val="none"/>
        </w:rPr>
      </w:pPr>
      <w:r>
        <w:rPr>
          <w:sz w:val="24"/>
          <w:highlight w:val="none"/>
        </w:rPr>
        <w:t>公安系统外部通报，包括除公安系统之外的市级单位、区级单位下发的通报。市级单位包括但不限于天津市委、市政府等单位；区级单位包括但不限于滨海新区区委、区政府等单位。当通报来源为市级单位时，每次扣罚8%；当通报来源为区级单位时，每次扣罚5%。</w:t>
      </w:r>
    </w:p>
    <w:p w14:paraId="79AB3F70">
      <w:pPr>
        <w:adjustRightInd w:val="0"/>
        <w:snapToGrid w:val="0"/>
        <w:spacing w:line="288" w:lineRule="auto"/>
        <w:ind w:firstLine="448" w:firstLineChars="200"/>
        <w:rPr>
          <w:sz w:val="24"/>
          <w:highlight w:val="none"/>
        </w:rPr>
      </w:pPr>
      <w:r>
        <w:rPr>
          <w:rFonts w:hint="eastAsia"/>
          <w:sz w:val="24"/>
          <w:highlight w:val="none"/>
        </w:rPr>
        <w:t>在公安系统内部、外部通报扣罚的基础上，建设单位综合考虑通报产生的负面影响后果严重程度和影响范围，有权对运维服务方当月运维费用进行加扣，加扣金额的幅度为0-10%。</w:t>
      </w:r>
    </w:p>
    <w:p w14:paraId="39ADA286">
      <w:pPr>
        <w:adjustRightInd w:val="0"/>
        <w:snapToGrid w:val="0"/>
        <w:spacing w:line="288" w:lineRule="auto"/>
        <w:ind w:firstLine="448" w:firstLineChars="200"/>
        <w:rPr>
          <w:sz w:val="24"/>
          <w:highlight w:val="none"/>
        </w:rPr>
      </w:pPr>
      <w:r>
        <w:rPr>
          <w:rFonts w:hint="eastAsia"/>
          <w:sz w:val="24"/>
          <w:highlight w:val="none"/>
        </w:rPr>
        <w:t>运维服务方须在接到通报后24小时内向建设单位提交书面报告，说明原因、影响范围及后续整改措施，运维服务方须承担全部法律责任及因此给建设单位造成的一切损失。</w:t>
      </w:r>
    </w:p>
    <w:p w14:paraId="5540CBD1">
      <w:pPr>
        <w:adjustRightInd w:val="0"/>
        <w:snapToGrid w:val="0"/>
        <w:spacing w:line="288" w:lineRule="auto"/>
        <w:ind w:firstLine="448" w:firstLineChars="200"/>
        <w:rPr>
          <w:sz w:val="24"/>
          <w:highlight w:val="none"/>
        </w:rPr>
      </w:pPr>
      <w:r>
        <w:rPr>
          <w:rFonts w:hint="eastAsia"/>
          <w:sz w:val="24"/>
          <w:highlight w:val="none"/>
        </w:rPr>
        <w:t>（9）建设单位及其内部处室和下辖单位收到公安系统内部或外部的投诉（包含建设单位及内部处室对运维服务方的投诉），投诉内容与运维服务方的运维服务直接或间接相关，建设单位将按公安系统内部投诉和外部投诉两类情况对运维服务方进行扣罚，扣罚比例如下：</w:t>
      </w:r>
    </w:p>
    <w:p w14:paraId="31D7E24D">
      <w:pPr>
        <w:pStyle w:val="30"/>
        <w:numPr>
          <w:ilvl w:val="0"/>
          <w:numId w:val="4"/>
        </w:numPr>
        <w:adjustRightInd w:val="0"/>
        <w:snapToGrid w:val="0"/>
        <w:spacing w:line="288" w:lineRule="auto"/>
        <w:ind w:firstLine="446"/>
        <w:rPr>
          <w:sz w:val="24"/>
          <w:highlight w:val="none"/>
        </w:rPr>
      </w:pPr>
      <w:r>
        <w:rPr>
          <w:sz w:val="24"/>
          <w:highlight w:val="none"/>
        </w:rPr>
        <w:t>公安系统内部投诉：当投诉来源为天津市公安局滨海分局内各处室、支队、下辖基层单位时，每次扣罚1%。</w:t>
      </w:r>
    </w:p>
    <w:p w14:paraId="4211617D">
      <w:pPr>
        <w:pStyle w:val="30"/>
        <w:numPr>
          <w:ilvl w:val="0"/>
          <w:numId w:val="4"/>
        </w:numPr>
        <w:adjustRightInd w:val="0"/>
        <w:snapToGrid w:val="0"/>
        <w:spacing w:line="288" w:lineRule="auto"/>
        <w:ind w:firstLine="446"/>
        <w:rPr>
          <w:sz w:val="24"/>
          <w:highlight w:val="none"/>
        </w:rPr>
      </w:pPr>
      <w:r>
        <w:rPr>
          <w:sz w:val="24"/>
          <w:highlight w:val="none"/>
        </w:rPr>
        <w:t>公安系统外部投诉，指来自外部其他单位、社会公众的投诉事件。外部其他单位包括但不限于滨海新区区委各部门、各委办局、群团组织、企事业单位、各街道办事处等单位；社会公众投诉指由社会公众通过12345政务服务便民热线、110报警服务台、官方信访渠道、媒体、网络等渠道，向采购人提交的与本次项目相关的投诉。当投诉来源为外部其他单位时，每次扣罚0.5%；当投诉来源为社会公众时，每次扣罚0.5%。</w:t>
      </w:r>
    </w:p>
    <w:p w14:paraId="2FD5D71F">
      <w:pPr>
        <w:adjustRightInd w:val="0"/>
        <w:snapToGrid w:val="0"/>
        <w:spacing w:line="288" w:lineRule="auto"/>
        <w:ind w:firstLine="448" w:firstLineChars="200"/>
        <w:rPr>
          <w:sz w:val="24"/>
          <w:highlight w:val="none"/>
        </w:rPr>
      </w:pPr>
      <w:r>
        <w:rPr>
          <w:rFonts w:hint="eastAsia"/>
          <w:sz w:val="24"/>
          <w:highlight w:val="none"/>
        </w:rPr>
        <w:t>在公安系统内部、外部投诉扣罚的基础上，建设单位综合考虑投诉产生的负面影响后果严重程度和影响范围，有权对运维服务方当月运维费用进行加扣，加扣金额的幅度为0-3%。</w:t>
      </w:r>
    </w:p>
    <w:p w14:paraId="39AA8A84">
      <w:pPr>
        <w:adjustRightInd w:val="0"/>
        <w:snapToGrid w:val="0"/>
        <w:spacing w:line="288" w:lineRule="auto"/>
        <w:ind w:firstLine="448" w:firstLineChars="200"/>
        <w:rPr>
          <w:sz w:val="24"/>
          <w:highlight w:val="none"/>
        </w:rPr>
      </w:pPr>
      <w:r>
        <w:rPr>
          <w:rFonts w:hint="eastAsia"/>
          <w:sz w:val="24"/>
          <w:highlight w:val="none"/>
        </w:rPr>
        <w:t>运维服务方须在接到投诉后24小时内向建设单位提交书面报告，说明原因、影响范围及后续整改措施，运维服务方须承担全部法律责任及因此给建设单位造成的一切损失。</w:t>
      </w:r>
    </w:p>
    <w:p w14:paraId="5E90C404">
      <w:pPr>
        <w:adjustRightInd w:val="0"/>
        <w:snapToGrid w:val="0"/>
        <w:spacing w:line="288" w:lineRule="auto"/>
        <w:ind w:firstLine="448" w:firstLineChars="200"/>
        <w:rPr>
          <w:sz w:val="24"/>
          <w:highlight w:val="none"/>
        </w:rPr>
      </w:pPr>
      <w:r>
        <w:rPr>
          <w:rFonts w:hint="eastAsia"/>
          <w:sz w:val="24"/>
          <w:highlight w:val="none"/>
        </w:rPr>
        <w:t>（10）运维服务方项目经理应参加当月每次运维监理例会，项目经理不得无故缺席，</w:t>
      </w:r>
      <w:r>
        <w:rPr>
          <w:sz w:val="24"/>
          <w:highlight w:val="none"/>
        </w:rPr>
        <w:t>每出现一次</w:t>
      </w:r>
      <w:r>
        <w:rPr>
          <w:rFonts w:hint="eastAsia"/>
          <w:sz w:val="24"/>
          <w:highlight w:val="none"/>
        </w:rPr>
        <w:t>无故缺席，扣罚</w:t>
      </w:r>
      <w:r>
        <w:rPr>
          <w:sz w:val="24"/>
          <w:highlight w:val="none"/>
        </w:rPr>
        <w:t>1</w:t>
      </w:r>
      <w:r>
        <w:rPr>
          <w:rFonts w:hint="eastAsia"/>
          <w:sz w:val="24"/>
          <w:highlight w:val="none"/>
        </w:rPr>
        <w:t>%。</w:t>
      </w:r>
    </w:p>
    <w:p w14:paraId="72BCB407">
      <w:pPr>
        <w:adjustRightInd w:val="0"/>
        <w:snapToGrid w:val="0"/>
        <w:spacing w:line="288" w:lineRule="auto"/>
        <w:ind w:firstLine="448" w:firstLineChars="200"/>
        <w:rPr>
          <w:sz w:val="24"/>
          <w:highlight w:val="none"/>
        </w:rPr>
      </w:pPr>
      <w:r>
        <w:rPr>
          <w:rFonts w:hint="eastAsia"/>
          <w:sz w:val="24"/>
          <w:highlight w:val="none"/>
        </w:rPr>
        <w:t>（11）上述第（二）条</w:t>
      </w:r>
      <w:r>
        <w:rPr>
          <w:sz w:val="24"/>
          <w:highlight w:val="none"/>
        </w:rPr>
        <w:t>，</w:t>
      </w:r>
      <w:r>
        <w:rPr>
          <w:rFonts w:hint="eastAsia"/>
          <w:sz w:val="24"/>
          <w:highlight w:val="none"/>
        </w:rPr>
        <w:t>摄像机完好率考核-</w:t>
      </w:r>
      <w:r>
        <w:rPr>
          <w:sz w:val="24"/>
          <w:highlight w:val="none"/>
        </w:rPr>
        <w:t>--</w:t>
      </w:r>
      <w:r>
        <w:rPr>
          <w:rFonts w:hint="eastAsia"/>
          <w:sz w:val="24"/>
          <w:highlight w:val="none"/>
        </w:rPr>
        <w:t>视频监控设备完好中</w:t>
      </w:r>
      <w:r>
        <w:rPr>
          <w:sz w:val="24"/>
          <w:highlight w:val="none"/>
        </w:rPr>
        <w:t>所列的内容中，</w:t>
      </w:r>
      <w:r>
        <w:rPr>
          <w:rFonts w:hint="eastAsia"/>
          <w:sz w:val="24"/>
          <w:highlight w:val="none"/>
        </w:rPr>
        <w:t>除考核平台主动检测并计入视频质量完好率考核的，发现一次不合格的情况，扣罚</w:t>
      </w:r>
      <w:r>
        <w:rPr>
          <w:sz w:val="24"/>
          <w:highlight w:val="none"/>
        </w:rPr>
        <w:t>200元。</w:t>
      </w:r>
    </w:p>
    <w:p w14:paraId="4C5363EF">
      <w:pPr>
        <w:adjustRightInd w:val="0"/>
        <w:snapToGrid w:val="0"/>
        <w:spacing w:line="288" w:lineRule="auto"/>
        <w:ind w:firstLine="448" w:firstLineChars="200"/>
        <w:rPr>
          <w:sz w:val="24"/>
          <w:highlight w:val="none"/>
        </w:rPr>
      </w:pPr>
      <w:r>
        <w:rPr>
          <w:rFonts w:hint="eastAsia"/>
          <w:sz w:val="24"/>
          <w:highlight w:val="none"/>
        </w:rPr>
        <w:t>3.年度扣罚费用计算</w:t>
      </w:r>
    </w:p>
    <w:p w14:paraId="362D972D">
      <w:pPr>
        <w:adjustRightInd w:val="0"/>
        <w:snapToGrid w:val="0"/>
        <w:spacing w:line="288" w:lineRule="auto"/>
        <w:ind w:firstLine="448" w:firstLineChars="200"/>
        <w:rPr>
          <w:sz w:val="24"/>
          <w:highlight w:val="none"/>
        </w:rPr>
      </w:pPr>
      <w:r>
        <w:rPr>
          <w:rFonts w:hint="eastAsia"/>
          <w:sz w:val="24"/>
          <w:highlight w:val="none"/>
        </w:rPr>
        <w:t>运维期满后，对中标供应商资产、成果文档移交工作进行考核，由于中标供应商自身原因导致移交工作逾期完成的，对运维服务费进行扣罚：</w:t>
      </w:r>
    </w:p>
    <w:p w14:paraId="0E0D5A8A">
      <w:pPr>
        <w:adjustRightInd w:val="0"/>
        <w:snapToGrid w:val="0"/>
        <w:spacing w:line="288" w:lineRule="auto"/>
        <w:ind w:firstLine="448" w:firstLineChars="200"/>
        <w:rPr>
          <w:sz w:val="24"/>
          <w:highlight w:val="none"/>
        </w:rPr>
      </w:pPr>
      <w:r>
        <w:rPr>
          <w:rFonts w:hint="eastAsia"/>
          <w:sz w:val="24"/>
          <w:highlight w:val="none"/>
        </w:rPr>
        <w:t>1个月内完成全部资产、成果文档移交工作，不进行扣罚；</w:t>
      </w:r>
    </w:p>
    <w:p w14:paraId="315714A9">
      <w:pPr>
        <w:adjustRightInd w:val="0"/>
        <w:snapToGrid w:val="0"/>
        <w:spacing w:line="288" w:lineRule="auto"/>
        <w:ind w:firstLine="448" w:firstLineChars="200"/>
        <w:rPr>
          <w:sz w:val="24"/>
          <w:highlight w:val="none"/>
        </w:rPr>
      </w:pPr>
      <w:r>
        <w:rPr>
          <w:rFonts w:hint="eastAsia"/>
          <w:sz w:val="24"/>
          <w:highlight w:val="none"/>
        </w:rPr>
        <w:t>逾期1-10天完成全部移交工作，扣罚运维合同总额的0.5%；</w:t>
      </w:r>
    </w:p>
    <w:p w14:paraId="74C05788">
      <w:pPr>
        <w:adjustRightInd w:val="0"/>
        <w:snapToGrid w:val="0"/>
        <w:spacing w:line="288" w:lineRule="auto"/>
        <w:ind w:firstLine="448" w:firstLineChars="200"/>
        <w:rPr>
          <w:sz w:val="24"/>
          <w:highlight w:val="none"/>
        </w:rPr>
      </w:pPr>
      <w:r>
        <w:rPr>
          <w:rFonts w:hint="eastAsia"/>
          <w:sz w:val="24"/>
          <w:highlight w:val="none"/>
        </w:rPr>
        <w:t>逾期11-20天完成全部移交工作，扣罚运维合同总额的1%；</w:t>
      </w:r>
    </w:p>
    <w:p w14:paraId="11EAE8D5">
      <w:pPr>
        <w:adjustRightInd w:val="0"/>
        <w:snapToGrid w:val="0"/>
        <w:spacing w:line="288" w:lineRule="auto"/>
        <w:ind w:firstLine="448" w:firstLineChars="200"/>
        <w:rPr>
          <w:sz w:val="24"/>
          <w:highlight w:val="none"/>
        </w:rPr>
      </w:pPr>
      <w:r>
        <w:rPr>
          <w:rFonts w:hint="eastAsia"/>
          <w:sz w:val="24"/>
          <w:highlight w:val="none"/>
        </w:rPr>
        <w:t>逾期21-30天完成全部移交工作，扣罚运维合同总额的3%；</w:t>
      </w:r>
    </w:p>
    <w:p w14:paraId="7BF2E08F">
      <w:pPr>
        <w:adjustRightInd w:val="0"/>
        <w:snapToGrid w:val="0"/>
        <w:spacing w:line="288" w:lineRule="auto"/>
        <w:ind w:firstLine="448" w:firstLineChars="200"/>
        <w:rPr>
          <w:sz w:val="24"/>
          <w:highlight w:val="none"/>
        </w:rPr>
      </w:pPr>
      <w:r>
        <w:rPr>
          <w:rFonts w:hint="eastAsia"/>
          <w:sz w:val="24"/>
          <w:highlight w:val="none"/>
        </w:rPr>
        <w:t>逾期31-40天完成全部移交工作，扣罚运维合同总额的5%；</w:t>
      </w:r>
    </w:p>
    <w:p w14:paraId="2F9DBC18">
      <w:pPr>
        <w:adjustRightInd w:val="0"/>
        <w:snapToGrid w:val="0"/>
        <w:spacing w:line="288" w:lineRule="auto"/>
        <w:ind w:firstLine="448" w:firstLineChars="200"/>
        <w:rPr>
          <w:sz w:val="24"/>
          <w:highlight w:val="none"/>
        </w:rPr>
      </w:pPr>
      <w:r>
        <w:rPr>
          <w:rFonts w:hint="eastAsia"/>
          <w:sz w:val="24"/>
          <w:highlight w:val="none"/>
        </w:rPr>
        <w:t>以上扣罚，需由采购人确认后执行，扣罚费用从最后一笔运维服务费付款中扣除。</w:t>
      </w:r>
    </w:p>
    <w:p w14:paraId="5145BF28">
      <w:pPr>
        <w:adjustRightInd w:val="0"/>
        <w:snapToGrid w:val="0"/>
        <w:spacing w:line="288" w:lineRule="auto"/>
        <w:ind w:firstLine="448" w:firstLineChars="200"/>
        <w:rPr>
          <w:sz w:val="24"/>
          <w:highlight w:val="none"/>
        </w:rPr>
      </w:pPr>
      <w:r>
        <w:rPr>
          <w:sz w:val="24"/>
          <w:highlight w:val="none"/>
        </w:rPr>
        <w:t>移交工作逾期期间产生的前端设备电费、链路租赁费、机柜租赁费等费用，由</w:t>
      </w:r>
      <w:r>
        <w:rPr>
          <w:rFonts w:hint="eastAsia"/>
          <w:sz w:val="24"/>
          <w:highlight w:val="none"/>
        </w:rPr>
        <w:t>中标供应商</w:t>
      </w:r>
      <w:r>
        <w:rPr>
          <w:sz w:val="24"/>
          <w:highlight w:val="none"/>
        </w:rPr>
        <w:t>承担</w:t>
      </w:r>
      <w:r>
        <w:rPr>
          <w:rFonts w:hint="eastAsia"/>
          <w:sz w:val="24"/>
          <w:highlight w:val="none"/>
        </w:rPr>
        <w:t>。</w:t>
      </w:r>
    </w:p>
    <w:p w14:paraId="7BC34495">
      <w:pPr>
        <w:adjustRightInd w:val="0"/>
        <w:snapToGrid w:val="0"/>
        <w:spacing w:line="288" w:lineRule="auto"/>
        <w:ind w:firstLine="448" w:firstLineChars="200"/>
        <w:rPr>
          <w:sz w:val="24"/>
          <w:highlight w:val="none"/>
        </w:rPr>
      </w:pPr>
      <w:r>
        <w:rPr>
          <w:rFonts w:hint="eastAsia"/>
          <w:sz w:val="24"/>
          <w:highlight w:val="none"/>
        </w:rPr>
        <w:t>如逾期超过40天后仍未完成移交工作，除扣罚合同总额5%以外，采购人有权委托第三方单位接管资产移交工作，产生费用由中标供应商直接支付给第三方单位且经采购人确认后，采购人方可继续支付最后一笔运维服务费。</w:t>
      </w:r>
    </w:p>
    <w:p w14:paraId="0D2B0D48">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（四）特殊事件处置</w:t>
      </w:r>
    </w:p>
    <w:p w14:paraId="47A92E17">
      <w:pPr>
        <w:adjustRightInd w:val="0"/>
        <w:snapToGrid w:val="0"/>
        <w:spacing w:line="288" w:lineRule="auto"/>
        <w:ind w:firstLine="448" w:firstLineChars="200"/>
        <w:rPr>
          <w:sz w:val="24"/>
          <w:highlight w:val="none"/>
        </w:rPr>
      </w:pPr>
      <w:r>
        <w:rPr>
          <w:rFonts w:hint="eastAsia"/>
          <w:sz w:val="24"/>
          <w:highlight w:val="none"/>
        </w:rPr>
        <w:t>特殊事件是指合同订立时不能预见、不能避免并不能克服的客观情况。包括自然灾害，如极端恶劣天气、台风、地震、洪水、冰雹等；政府行为，如道路修建、拆迁、地铁施工等导致网络中断或监控点位需要迁移等；社会异常事件，如罢工、骚乱等；运维单位在以上特殊事件发生导致故障时，及时上报滨海分局。</w:t>
      </w:r>
    </w:p>
    <w:p w14:paraId="405A0544">
      <w:pPr>
        <w:adjustRightInd w:val="0"/>
        <w:snapToGrid w:val="0"/>
        <w:spacing w:line="288" w:lineRule="auto"/>
        <w:ind w:firstLine="448" w:firstLineChars="200"/>
        <w:rPr>
          <w:sz w:val="24"/>
          <w:highlight w:val="none"/>
        </w:rPr>
      </w:pPr>
      <w:r>
        <w:rPr>
          <w:rFonts w:hint="eastAsia"/>
          <w:sz w:val="24"/>
          <w:highlight w:val="none"/>
        </w:rPr>
        <w:t>在特殊事件发生期间，且由于特殊事件原因造成运维服务无法履行，则服务内容将在妨碍或影响持续存在期间予以暂停；当导致服务暂停的特殊事件原因消失后，按运维服务考核办法执行。</w:t>
      </w:r>
    </w:p>
    <w:p w14:paraId="5888E488">
      <w:pPr>
        <w:adjustRightInd w:val="0"/>
        <w:snapToGrid w:val="0"/>
        <w:spacing w:line="288" w:lineRule="auto"/>
        <w:ind w:firstLine="448" w:firstLineChars="200"/>
        <w:rPr>
          <w:sz w:val="24"/>
          <w:highlight w:val="none"/>
        </w:rPr>
      </w:pPr>
      <w:r>
        <w:rPr>
          <w:rFonts w:hint="eastAsia"/>
          <w:sz w:val="24"/>
          <w:highlight w:val="none"/>
        </w:rPr>
        <w:t>以上所有因恶劣天气、特殊事件等因素导致监控设备设施故障的，或因设备拆改等长期停用的监控点位，经滨海分局主管部门确认批准后可以列入不参与考核的摄像机清单中。</w:t>
      </w:r>
    </w:p>
    <w:p w14:paraId="16B425A7">
      <w:pPr>
        <w:keepNext/>
        <w:keepLines/>
        <w:adjustRightInd w:val="0"/>
        <w:snapToGrid w:val="0"/>
        <w:spacing w:line="288" w:lineRule="auto"/>
        <w:ind w:firstLine="448" w:firstLineChars="200"/>
        <w:outlineLvl w:val="3"/>
        <w:rPr>
          <w:rFonts w:ascii="Cambria" w:hAnsi="Cambria"/>
          <w:b/>
          <w:bCs/>
          <w:sz w:val="24"/>
          <w:szCs w:val="28"/>
          <w:highlight w:val="none"/>
        </w:rPr>
      </w:pPr>
      <w:r>
        <w:rPr>
          <w:rFonts w:hint="eastAsia" w:ascii="Cambria" w:hAnsi="Cambria"/>
          <w:b/>
          <w:bCs/>
          <w:sz w:val="24"/>
          <w:szCs w:val="28"/>
          <w:highlight w:val="none"/>
        </w:rPr>
        <w:t>四</w:t>
      </w:r>
      <w:r>
        <w:rPr>
          <w:rFonts w:ascii="Cambria" w:hAnsi="Cambria"/>
          <w:b/>
          <w:bCs/>
          <w:sz w:val="24"/>
          <w:szCs w:val="28"/>
          <w:highlight w:val="none"/>
        </w:rPr>
        <w:t>、</w:t>
      </w:r>
      <w:r>
        <w:rPr>
          <w:rFonts w:hint="eastAsia" w:ascii="Cambria" w:hAnsi="Cambria"/>
          <w:b/>
          <w:bCs/>
          <w:sz w:val="24"/>
          <w:szCs w:val="28"/>
          <w:highlight w:val="none"/>
        </w:rPr>
        <w:t>运维工程量清单</w:t>
      </w:r>
    </w:p>
    <w:p w14:paraId="18152EE5">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（一）软硬件设备运维服务清单</w:t>
      </w:r>
    </w:p>
    <w:p w14:paraId="7FB4B5A5">
      <w:pPr>
        <w:keepNext/>
        <w:keepLines/>
        <w:adjustRightInd w:val="0"/>
        <w:snapToGrid w:val="0"/>
        <w:spacing w:line="288" w:lineRule="auto"/>
        <w:ind w:firstLine="448" w:firstLineChars="200"/>
        <w:outlineLvl w:val="5"/>
        <w:rPr>
          <w:b/>
          <w:bCs/>
          <w:sz w:val="24"/>
          <w:szCs w:val="28"/>
          <w:highlight w:val="none"/>
        </w:rPr>
      </w:pPr>
      <w:r>
        <w:rPr>
          <w:rFonts w:hint="eastAsia"/>
          <w:b/>
          <w:bCs/>
          <w:sz w:val="24"/>
          <w:szCs w:val="28"/>
          <w:highlight w:val="none"/>
        </w:rPr>
        <w:t>1.第6包软硬件设备运维服务清单</w:t>
      </w:r>
    </w:p>
    <w:tbl>
      <w:tblPr>
        <w:tblStyle w:val="19"/>
        <w:tblW w:w="0" w:type="auto"/>
        <w:tblInd w:w="0" w:type="dxa"/>
        <w:tblLayout w:type="autofit"/>
        <w:tblCellMar>
          <w:top w:w="0" w:type="dxa"/>
          <w:left w:w="57" w:type="dxa"/>
          <w:bottom w:w="0" w:type="dxa"/>
          <w:right w:w="57" w:type="dxa"/>
        </w:tblCellMar>
      </w:tblPr>
      <w:tblGrid>
        <w:gridCol w:w="779"/>
        <w:gridCol w:w="1626"/>
        <w:gridCol w:w="1843"/>
        <w:gridCol w:w="2739"/>
        <w:gridCol w:w="746"/>
        <w:gridCol w:w="563"/>
      </w:tblGrid>
      <w:tr w14:paraId="0B2DBFF8">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noWrap/>
            <w:vAlign w:val="center"/>
          </w:tcPr>
          <w:p w14:paraId="52A96C75">
            <w:pPr>
              <w:widowControl/>
              <w:jc w:val="center"/>
              <w:rPr>
                <w:b/>
                <w:bCs/>
                <w:color w:val="000000"/>
                <w:kern w:val="0"/>
                <w:sz w:val="22"/>
                <w:highlight w:val="none"/>
              </w:rPr>
            </w:pPr>
            <w:r>
              <w:rPr>
                <w:b/>
                <w:bCs/>
                <w:color w:val="000000"/>
                <w:kern w:val="0"/>
                <w:sz w:val="22"/>
                <w:highlight w:val="none"/>
              </w:rPr>
              <w:t>序号</w:t>
            </w:r>
          </w:p>
        </w:tc>
        <w:tc>
          <w:tcPr>
            <w:tcW w:w="3469" w:type="dxa"/>
            <w:gridSpan w:val="2"/>
            <w:tcBorders>
              <w:top w:val="single" w:color="auto" w:sz="4" w:space="0"/>
              <w:left w:val="nil"/>
              <w:bottom w:val="single" w:color="auto" w:sz="4" w:space="0"/>
              <w:right w:val="single" w:color="auto" w:sz="4" w:space="0"/>
            </w:tcBorders>
            <w:noWrap/>
            <w:vAlign w:val="center"/>
          </w:tcPr>
          <w:p w14:paraId="48B2A589">
            <w:pPr>
              <w:widowControl/>
              <w:jc w:val="center"/>
              <w:rPr>
                <w:b/>
                <w:bCs/>
                <w:color w:val="000000"/>
                <w:kern w:val="0"/>
                <w:sz w:val="22"/>
                <w:highlight w:val="none"/>
              </w:rPr>
            </w:pPr>
            <w:r>
              <w:rPr>
                <w:b/>
                <w:bCs/>
                <w:color w:val="000000"/>
                <w:kern w:val="0"/>
                <w:sz w:val="22"/>
                <w:highlight w:val="none"/>
              </w:rPr>
              <w:t>货物名称</w:t>
            </w:r>
          </w:p>
        </w:tc>
        <w:tc>
          <w:tcPr>
            <w:tcW w:w="2739" w:type="dxa"/>
            <w:tcBorders>
              <w:top w:val="single" w:color="auto" w:sz="4" w:space="0"/>
              <w:left w:val="nil"/>
              <w:bottom w:val="single" w:color="auto" w:sz="4" w:space="0"/>
              <w:right w:val="single" w:color="auto" w:sz="4" w:space="0"/>
            </w:tcBorders>
            <w:noWrap/>
            <w:vAlign w:val="center"/>
          </w:tcPr>
          <w:p w14:paraId="08855B3B">
            <w:pPr>
              <w:widowControl/>
              <w:jc w:val="center"/>
              <w:rPr>
                <w:b/>
                <w:bCs/>
                <w:color w:val="000000"/>
                <w:kern w:val="0"/>
                <w:sz w:val="22"/>
                <w:highlight w:val="none"/>
              </w:rPr>
            </w:pPr>
            <w:r>
              <w:rPr>
                <w:b/>
                <w:bCs/>
                <w:color w:val="000000"/>
                <w:kern w:val="0"/>
                <w:sz w:val="22"/>
                <w:highlight w:val="none"/>
              </w:rPr>
              <w:t>规格型号</w:t>
            </w:r>
          </w:p>
        </w:tc>
        <w:tc>
          <w:tcPr>
            <w:tcW w:w="746" w:type="dxa"/>
            <w:tcBorders>
              <w:top w:val="single" w:color="auto" w:sz="4" w:space="0"/>
              <w:left w:val="nil"/>
              <w:bottom w:val="single" w:color="auto" w:sz="4" w:space="0"/>
              <w:right w:val="single" w:color="auto" w:sz="4" w:space="0"/>
            </w:tcBorders>
            <w:noWrap/>
            <w:vAlign w:val="center"/>
          </w:tcPr>
          <w:p w14:paraId="7F098D78">
            <w:pPr>
              <w:widowControl/>
              <w:jc w:val="center"/>
              <w:rPr>
                <w:b/>
                <w:bCs/>
                <w:color w:val="000000"/>
                <w:kern w:val="0"/>
                <w:sz w:val="22"/>
                <w:highlight w:val="none"/>
              </w:rPr>
            </w:pPr>
            <w:r>
              <w:rPr>
                <w:b/>
                <w:bCs/>
                <w:color w:val="000000"/>
                <w:kern w:val="0"/>
                <w:sz w:val="22"/>
                <w:highlight w:val="none"/>
              </w:rPr>
              <w:t>单位</w:t>
            </w:r>
          </w:p>
        </w:tc>
        <w:tc>
          <w:tcPr>
            <w:tcW w:w="563" w:type="dxa"/>
            <w:tcBorders>
              <w:top w:val="single" w:color="auto" w:sz="4" w:space="0"/>
              <w:left w:val="nil"/>
              <w:bottom w:val="single" w:color="auto" w:sz="4" w:space="0"/>
              <w:right w:val="single" w:color="auto" w:sz="4" w:space="0"/>
            </w:tcBorders>
            <w:noWrap/>
            <w:vAlign w:val="center"/>
          </w:tcPr>
          <w:p w14:paraId="2C8526C9">
            <w:pPr>
              <w:widowControl/>
              <w:jc w:val="center"/>
              <w:rPr>
                <w:b/>
                <w:bCs/>
                <w:color w:val="000000"/>
                <w:kern w:val="0"/>
                <w:sz w:val="22"/>
                <w:highlight w:val="none"/>
              </w:rPr>
            </w:pPr>
            <w:r>
              <w:rPr>
                <w:b/>
                <w:bCs/>
                <w:color w:val="000000"/>
                <w:kern w:val="0"/>
                <w:sz w:val="22"/>
                <w:highlight w:val="none"/>
              </w:rPr>
              <w:t>数量</w:t>
            </w:r>
          </w:p>
        </w:tc>
      </w:tr>
      <w:tr w14:paraId="59552B51">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noWrap/>
            <w:vAlign w:val="center"/>
          </w:tcPr>
          <w:p w14:paraId="752A437D">
            <w:pPr>
              <w:widowControl/>
              <w:jc w:val="center"/>
              <w:rPr>
                <w:b/>
                <w:bCs/>
                <w:color w:val="000000"/>
                <w:kern w:val="0"/>
                <w:sz w:val="22"/>
                <w:highlight w:val="none"/>
              </w:rPr>
            </w:pPr>
            <w:r>
              <w:rPr>
                <w:b/>
                <w:bCs/>
                <w:color w:val="000000"/>
                <w:kern w:val="0"/>
                <w:sz w:val="22"/>
                <w:highlight w:val="none"/>
              </w:rPr>
              <w:t>一</w:t>
            </w:r>
          </w:p>
        </w:tc>
        <w:tc>
          <w:tcPr>
            <w:tcW w:w="7517" w:type="dxa"/>
            <w:gridSpan w:val="5"/>
            <w:tcBorders>
              <w:top w:val="single" w:color="auto" w:sz="4" w:space="0"/>
              <w:left w:val="nil"/>
              <w:bottom w:val="single" w:color="auto" w:sz="4" w:space="0"/>
              <w:right w:val="single" w:color="auto" w:sz="4" w:space="0"/>
            </w:tcBorders>
            <w:noWrap/>
            <w:vAlign w:val="center"/>
          </w:tcPr>
          <w:p w14:paraId="716C0DAA">
            <w:pPr>
              <w:widowControl/>
              <w:jc w:val="left"/>
              <w:rPr>
                <w:b/>
                <w:bCs/>
                <w:color w:val="000000"/>
                <w:kern w:val="0"/>
                <w:sz w:val="22"/>
                <w:highlight w:val="none"/>
              </w:rPr>
            </w:pPr>
            <w:r>
              <w:rPr>
                <w:b/>
                <w:bCs/>
                <w:color w:val="000000"/>
                <w:kern w:val="0"/>
                <w:sz w:val="22"/>
                <w:highlight w:val="none"/>
              </w:rPr>
              <w:t>前端设备运维</w:t>
            </w:r>
          </w:p>
        </w:tc>
      </w:tr>
      <w:tr w14:paraId="5E7C956B">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noWrap/>
            <w:vAlign w:val="center"/>
          </w:tcPr>
          <w:p w14:paraId="336BA64E">
            <w:pPr>
              <w:widowControl/>
              <w:jc w:val="center"/>
              <w:rPr>
                <w:b/>
                <w:bCs/>
                <w:color w:val="000000"/>
                <w:kern w:val="0"/>
                <w:sz w:val="22"/>
                <w:highlight w:val="none"/>
              </w:rPr>
            </w:pPr>
            <w:r>
              <w:rPr>
                <w:b/>
                <w:bCs/>
                <w:color w:val="000000"/>
                <w:kern w:val="0"/>
                <w:sz w:val="22"/>
                <w:highlight w:val="none"/>
              </w:rPr>
              <w:t>（一）</w:t>
            </w:r>
          </w:p>
        </w:tc>
        <w:tc>
          <w:tcPr>
            <w:tcW w:w="3469" w:type="dxa"/>
            <w:gridSpan w:val="2"/>
            <w:tcBorders>
              <w:top w:val="single" w:color="auto" w:sz="4" w:space="0"/>
              <w:left w:val="single" w:color="auto" w:sz="4" w:space="0"/>
              <w:bottom w:val="single" w:color="auto" w:sz="4" w:space="0"/>
              <w:right w:val="single" w:color="auto" w:sz="4" w:space="0"/>
            </w:tcBorders>
            <w:noWrap/>
            <w:vAlign w:val="center"/>
          </w:tcPr>
          <w:p w14:paraId="43D7DD0C">
            <w:pPr>
              <w:widowControl/>
              <w:jc w:val="left"/>
              <w:rPr>
                <w:b/>
                <w:bCs/>
                <w:color w:val="000000"/>
                <w:kern w:val="0"/>
                <w:sz w:val="22"/>
                <w:highlight w:val="none"/>
              </w:rPr>
            </w:pPr>
            <w:r>
              <w:rPr>
                <w:b/>
                <w:bCs/>
                <w:color w:val="000000"/>
                <w:kern w:val="0"/>
                <w:sz w:val="22"/>
                <w:highlight w:val="none"/>
              </w:rPr>
              <w:t>视频监控系统运维</w:t>
            </w:r>
          </w:p>
        </w:tc>
        <w:tc>
          <w:tcPr>
            <w:tcW w:w="2739" w:type="dxa"/>
            <w:tcBorders>
              <w:top w:val="single" w:color="auto" w:sz="4" w:space="0"/>
              <w:left w:val="single" w:color="auto" w:sz="4" w:space="0"/>
              <w:bottom w:val="single" w:color="auto" w:sz="4" w:space="0"/>
              <w:right w:val="single" w:color="auto" w:sz="4" w:space="0"/>
            </w:tcBorders>
            <w:noWrap/>
            <w:vAlign w:val="center"/>
          </w:tcPr>
          <w:p w14:paraId="4B47DF9D">
            <w:pPr>
              <w:widowControl/>
              <w:jc w:val="left"/>
              <w:rPr>
                <w:b/>
                <w:bCs/>
                <w:color w:val="000000"/>
                <w:kern w:val="0"/>
                <w:sz w:val="22"/>
                <w:highlight w:val="none"/>
              </w:rPr>
            </w:pPr>
            <w:r>
              <w:rPr>
                <w:b/>
                <w:bCs/>
                <w:color w:val="000000"/>
                <w:kern w:val="0"/>
                <w:sz w:val="22"/>
                <w:highlight w:val="none"/>
              </w:rPr>
              <w:t>　</w:t>
            </w:r>
          </w:p>
        </w:tc>
        <w:tc>
          <w:tcPr>
            <w:tcW w:w="746" w:type="dxa"/>
            <w:tcBorders>
              <w:top w:val="single" w:color="auto" w:sz="4" w:space="0"/>
              <w:left w:val="single" w:color="auto" w:sz="4" w:space="0"/>
              <w:bottom w:val="single" w:color="auto" w:sz="4" w:space="0"/>
              <w:right w:val="single" w:color="auto" w:sz="4" w:space="0"/>
            </w:tcBorders>
            <w:noWrap/>
            <w:vAlign w:val="center"/>
          </w:tcPr>
          <w:p w14:paraId="1F5A641A">
            <w:pPr>
              <w:widowControl/>
              <w:jc w:val="left"/>
              <w:rPr>
                <w:b/>
                <w:bCs/>
                <w:color w:val="000000"/>
                <w:kern w:val="0"/>
                <w:sz w:val="22"/>
                <w:highlight w:val="none"/>
              </w:rPr>
            </w:pPr>
            <w:r>
              <w:rPr>
                <w:b/>
                <w:bCs/>
                <w:color w:val="000000"/>
                <w:kern w:val="0"/>
                <w:sz w:val="22"/>
                <w:highlight w:val="none"/>
              </w:rPr>
              <w:t>　</w:t>
            </w:r>
          </w:p>
        </w:tc>
        <w:tc>
          <w:tcPr>
            <w:tcW w:w="563" w:type="dxa"/>
            <w:tcBorders>
              <w:top w:val="single" w:color="auto" w:sz="4" w:space="0"/>
              <w:left w:val="single" w:color="auto" w:sz="4" w:space="0"/>
              <w:bottom w:val="single" w:color="auto" w:sz="4" w:space="0"/>
              <w:right w:val="single" w:color="auto" w:sz="4" w:space="0"/>
            </w:tcBorders>
            <w:noWrap/>
            <w:vAlign w:val="center"/>
          </w:tcPr>
          <w:p w14:paraId="69BEF9A8">
            <w:pPr>
              <w:widowControl/>
              <w:jc w:val="left"/>
              <w:rPr>
                <w:b/>
                <w:bCs/>
                <w:color w:val="000000"/>
                <w:kern w:val="0"/>
                <w:sz w:val="22"/>
                <w:highlight w:val="none"/>
              </w:rPr>
            </w:pPr>
            <w:r>
              <w:rPr>
                <w:b/>
                <w:bCs/>
                <w:color w:val="000000"/>
                <w:kern w:val="0"/>
                <w:sz w:val="22"/>
                <w:highlight w:val="none"/>
              </w:rPr>
              <w:t>　</w:t>
            </w:r>
          </w:p>
        </w:tc>
      </w:tr>
      <w:tr w14:paraId="60D5B43F">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noWrap/>
            <w:vAlign w:val="center"/>
          </w:tcPr>
          <w:p w14:paraId="6C7D1F95">
            <w:pPr>
              <w:widowControl/>
              <w:jc w:val="center"/>
              <w:rPr>
                <w:b/>
                <w:bCs/>
                <w:color w:val="000000"/>
                <w:kern w:val="0"/>
                <w:sz w:val="22"/>
                <w:highlight w:val="none"/>
              </w:rPr>
            </w:pPr>
            <w:r>
              <w:rPr>
                <w:b/>
                <w:bCs/>
                <w:color w:val="000000"/>
                <w:kern w:val="0"/>
                <w:sz w:val="22"/>
                <w:highlight w:val="none"/>
              </w:rPr>
              <w:t>1</w:t>
            </w:r>
          </w:p>
        </w:tc>
        <w:tc>
          <w:tcPr>
            <w:tcW w:w="7517" w:type="dxa"/>
            <w:gridSpan w:val="5"/>
            <w:tcBorders>
              <w:top w:val="single" w:color="auto" w:sz="4" w:space="0"/>
              <w:left w:val="nil"/>
              <w:bottom w:val="single" w:color="auto" w:sz="4" w:space="0"/>
              <w:right w:val="single" w:color="auto" w:sz="4" w:space="0"/>
            </w:tcBorders>
            <w:noWrap/>
            <w:vAlign w:val="center"/>
          </w:tcPr>
          <w:p w14:paraId="17317EAF">
            <w:pPr>
              <w:widowControl/>
              <w:jc w:val="left"/>
              <w:rPr>
                <w:b/>
                <w:bCs/>
                <w:color w:val="000000"/>
                <w:kern w:val="0"/>
                <w:sz w:val="22"/>
                <w:highlight w:val="none"/>
              </w:rPr>
            </w:pPr>
            <w:r>
              <w:rPr>
                <w:b/>
                <w:bCs/>
                <w:color w:val="000000"/>
                <w:kern w:val="0"/>
                <w:sz w:val="22"/>
                <w:highlight w:val="none"/>
              </w:rPr>
              <w:t>监控杆体</w:t>
            </w:r>
          </w:p>
        </w:tc>
      </w:tr>
      <w:tr w14:paraId="3D4E6042">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noWrap/>
            <w:vAlign w:val="center"/>
          </w:tcPr>
          <w:p w14:paraId="0170C954">
            <w:pPr>
              <w:widowControl/>
              <w:jc w:val="center"/>
              <w:rPr>
                <w:color w:val="000000"/>
                <w:kern w:val="0"/>
                <w:sz w:val="22"/>
                <w:highlight w:val="none"/>
              </w:rPr>
            </w:pPr>
            <w:r>
              <w:rPr>
                <w:color w:val="000000"/>
                <w:kern w:val="0"/>
                <w:sz w:val="22"/>
                <w:highlight w:val="none"/>
              </w:rPr>
              <w:t>1.1</w:t>
            </w:r>
          </w:p>
        </w:tc>
        <w:tc>
          <w:tcPr>
            <w:tcW w:w="3469" w:type="dxa"/>
            <w:gridSpan w:val="2"/>
            <w:tcBorders>
              <w:top w:val="single" w:color="auto" w:sz="4" w:space="0"/>
              <w:left w:val="nil"/>
              <w:bottom w:val="single" w:color="auto" w:sz="4" w:space="0"/>
              <w:right w:val="single" w:color="auto" w:sz="4" w:space="0"/>
            </w:tcBorders>
            <w:noWrap/>
            <w:vAlign w:val="center"/>
          </w:tcPr>
          <w:p w14:paraId="5EE85954">
            <w:pPr>
              <w:widowControl/>
              <w:jc w:val="left"/>
              <w:rPr>
                <w:color w:val="000000"/>
                <w:kern w:val="0"/>
                <w:sz w:val="22"/>
                <w:highlight w:val="none"/>
              </w:rPr>
            </w:pPr>
            <w:r>
              <w:rPr>
                <w:color w:val="000000"/>
                <w:kern w:val="0"/>
                <w:sz w:val="22"/>
                <w:highlight w:val="none"/>
              </w:rPr>
              <w:t>视频监控杆体(路口6.6米，一杆三头类型)</w:t>
            </w:r>
          </w:p>
        </w:tc>
        <w:tc>
          <w:tcPr>
            <w:tcW w:w="2739" w:type="dxa"/>
            <w:tcBorders>
              <w:top w:val="single" w:color="auto" w:sz="4" w:space="0"/>
              <w:left w:val="nil"/>
              <w:bottom w:val="single" w:color="auto" w:sz="4" w:space="0"/>
              <w:right w:val="single" w:color="auto" w:sz="4" w:space="0"/>
            </w:tcBorders>
            <w:noWrap/>
            <w:vAlign w:val="center"/>
          </w:tcPr>
          <w:p w14:paraId="12B7E61A">
            <w:pPr>
              <w:widowControl/>
              <w:jc w:val="left"/>
              <w:rPr>
                <w:color w:val="000000"/>
                <w:kern w:val="0"/>
                <w:sz w:val="22"/>
                <w:highlight w:val="none"/>
              </w:rPr>
            </w:pPr>
            <w:r>
              <w:rPr>
                <w:color w:val="000000"/>
                <w:kern w:val="0"/>
                <w:sz w:val="22"/>
                <w:highlight w:val="none"/>
              </w:rPr>
              <w:t>杆体高度：6600mm,一杆三头</w:t>
            </w:r>
          </w:p>
        </w:tc>
        <w:tc>
          <w:tcPr>
            <w:tcW w:w="746" w:type="dxa"/>
            <w:tcBorders>
              <w:top w:val="single" w:color="auto" w:sz="4" w:space="0"/>
              <w:left w:val="nil"/>
              <w:bottom w:val="single" w:color="auto" w:sz="4" w:space="0"/>
              <w:right w:val="single" w:color="auto" w:sz="4" w:space="0"/>
            </w:tcBorders>
            <w:noWrap/>
            <w:vAlign w:val="center"/>
          </w:tcPr>
          <w:p w14:paraId="340338AE">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noWrap/>
            <w:vAlign w:val="center"/>
          </w:tcPr>
          <w:p w14:paraId="7AA23EC1">
            <w:pPr>
              <w:widowControl/>
              <w:jc w:val="center"/>
              <w:rPr>
                <w:color w:val="000000"/>
                <w:kern w:val="0"/>
                <w:sz w:val="22"/>
                <w:highlight w:val="none"/>
              </w:rPr>
            </w:pPr>
            <w:r>
              <w:rPr>
                <w:color w:val="000000"/>
                <w:kern w:val="0"/>
                <w:sz w:val="22"/>
                <w:highlight w:val="none"/>
              </w:rPr>
              <w:t>116</w:t>
            </w:r>
          </w:p>
        </w:tc>
      </w:tr>
      <w:tr w14:paraId="46279F2E">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noWrap/>
            <w:vAlign w:val="center"/>
          </w:tcPr>
          <w:p w14:paraId="02CF9E6B">
            <w:pPr>
              <w:widowControl/>
              <w:jc w:val="center"/>
              <w:rPr>
                <w:color w:val="000000"/>
                <w:kern w:val="0"/>
                <w:sz w:val="22"/>
                <w:highlight w:val="none"/>
              </w:rPr>
            </w:pPr>
            <w:r>
              <w:rPr>
                <w:color w:val="000000"/>
                <w:kern w:val="0"/>
                <w:sz w:val="22"/>
                <w:highlight w:val="none"/>
              </w:rPr>
              <w:t>1.2</w:t>
            </w:r>
          </w:p>
        </w:tc>
        <w:tc>
          <w:tcPr>
            <w:tcW w:w="3469" w:type="dxa"/>
            <w:gridSpan w:val="2"/>
            <w:tcBorders>
              <w:top w:val="single" w:color="auto" w:sz="4" w:space="0"/>
              <w:left w:val="nil"/>
              <w:bottom w:val="single" w:color="auto" w:sz="4" w:space="0"/>
              <w:right w:val="single" w:color="auto" w:sz="4" w:space="0"/>
            </w:tcBorders>
            <w:noWrap/>
            <w:vAlign w:val="center"/>
          </w:tcPr>
          <w:p w14:paraId="71FD2B8F">
            <w:pPr>
              <w:widowControl/>
              <w:jc w:val="left"/>
              <w:rPr>
                <w:color w:val="000000"/>
                <w:kern w:val="0"/>
                <w:sz w:val="22"/>
                <w:highlight w:val="none"/>
              </w:rPr>
            </w:pPr>
            <w:r>
              <w:rPr>
                <w:color w:val="000000"/>
                <w:kern w:val="0"/>
                <w:sz w:val="22"/>
                <w:highlight w:val="none"/>
              </w:rPr>
              <w:t>视频监控杆体(路口一杆两头类型)6.3米90度双横臂</w:t>
            </w:r>
          </w:p>
        </w:tc>
        <w:tc>
          <w:tcPr>
            <w:tcW w:w="2739" w:type="dxa"/>
            <w:tcBorders>
              <w:top w:val="single" w:color="auto" w:sz="4" w:space="0"/>
              <w:left w:val="nil"/>
              <w:bottom w:val="single" w:color="auto" w:sz="4" w:space="0"/>
              <w:right w:val="single" w:color="auto" w:sz="4" w:space="0"/>
            </w:tcBorders>
            <w:noWrap/>
            <w:vAlign w:val="center"/>
          </w:tcPr>
          <w:p w14:paraId="187D121A">
            <w:pPr>
              <w:widowControl/>
              <w:jc w:val="left"/>
              <w:rPr>
                <w:color w:val="000000"/>
                <w:kern w:val="0"/>
                <w:sz w:val="22"/>
                <w:highlight w:val="none"/>
              </w:rPr>
            </w:pPr>
            <w:r>
              <w:rPr>
                <w:color w:val="000000"/>
                <w:kern w:val="0"/>
                <w:sz w:val="22"/>
                <w:highlight w:val="none"/>
              </w:rPr>
              <w:t>杆体高度：6300mm,一杆两头</w:t>
            </w:r>
          </w:p>
        </w:tc>
        <w:tc>
          <w:tcPr>
            <w:tcW w:w="746" w:type="dxa"/>
            <w:tcBorders>
              <w:top w:val="single" w:color="auto" w:sz="4" w:space="0"/>
              <w:left w:val="nil"/>
              <w:bottom w:val="single" w:color="auto" w:sz="4" w:space="0"/>
              <w:right w:val="single" w:color="auto" w:sz="4" w:space="0"/>
            </w:tcBorders>
            <w:noWrap/>
            <w:vAlign w:val="center"/>
          </w:tcPr>
          <w:p w14:paraId="112C314F">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noWrap/>
            <w:vAlign w:val="center"/>
          </w:tcPr>
          <w:p w14:paraId="676C7093">
            <w:pPr>
              <w:widowControl/>
              <w:jc w:val="center"/>
              <w:rPr>
                <w:color w:val="000000"/>
                <w:kern w:val="0"/>
                <w:sz w:val="22"/>
                <w:highlight w:val="none"/>
              </w:rPr>
            </w:pPr>
            <w:r>
              <w:rPr>
                <w:color w:val="000000"/>
                <w:kern w:val="0"/>
                <w:sz w:val="22"/>
                <w:highlight w:val="none"/>
              </w:rPr>
              <w:t>128</w:t>
            </w:r>
          </w:p>
        </w:tc>
      </w:tr>
      <w:tr w14:paraId="7948843B">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noWrap/>
            <w:vAlign w:val="center"/>
          </w:tcPr>
          <w:p w14:paraId="79127123">
            <w:pPr>
              <w:widowControl/>
              <w:jc w:val="center"/>
              <w:rPr>
                <w:color w:val="000000"/>
                <w:kern w:val="0"/>
                <w:sz w:val="22"/>
                <w:highlight w:val="none"/>
              </w:rPr>
            </w:pPr>
            <w:r>
              <w:rPr>
                <w:color w:val="000000"/>
                <w:kern w:val="0"/>
                <w:sz w:val="22"/>
                <w:highlight w:val="none"/>
              </w:rPr>
              <w:t>1.3</w:t>
            </w:r>
          </w:p>
        </w:tc>
        <w:tc>
          <w:tcPr>
            <w:tcW w:w="3469" w:type="dxa"/>
            <w:gridSpan w:val="2"/>
            <w:tcBorders>
              <w:top w:val="single" w:color="auto" w:sz="4" w:space="0"/>
              <w:left w:val="nil"/>
              <w:bottom w:val="single" w:color="auto" w:sz="4" w:space="0"/>
              <w:right w:val="single" w:color="auto" w:sz="4" w:space="0"/>
            </w:tcBorders>
            <w:noWrap/>
            <w:vAlign w:val="center"/>
          </w:tcPr>
          <w:p w14:paraId="538B4C37">
            <w:pPr>
              <w:widowControl/>
              <w:jc w:val="left"/>
              <w:rPr>
                <w:color w:val="000000"/>
                <w:kern w:val="0"/>
                <w:sz w:val="22"/>
                <w:highlight w:val="none"/>
              </w:rPr>
            </w:pPr>
            <w:r>
              <w:rPr>
                <w:color w:val="000000"/>
                <w:kern w:val="0"/>
                <w:sz w:val="22"/>
                <w:highlight w:val="none"/>
              </w:rPr>
              <w:t>视频监控杆体6.3米单横臂</w:t>
            </w:r>
          </w:p>
        </w:tc>
        <w:tc>
          <w:tcPr>
            <w:tcW w:w="2739" w:type="dxa"/>
            <w:tcBorders>
              <w:top w:val="single" w:color="auto" w:sz="4" w:space="0"/>
              <w:left w:val="nil"/>
              <w:bottom w:val="single" w:color="auto" w:sz="4" w:space="0"/>
              <w:right w:val="single" w:color="auto" w:sz="4" w:space="0"/>
            </w:tcBorders>
            <w:noWrap/>
            <w:vAlign w:val="center"/>
          </w:tcPr>
          <w:p w14:paraId="21F7C79A">
            <w:pPr>
              <w:widowControl/>
              <w:jc w:val="left"/>
              <w:rPr>
                <w:color w:val="000000"/>
                <w:kern w:val="0"/>
                <w:sz w:val="22"/>
                <w:highlight w:val="none"/>
              </w:rPr>
            </w:pPr>
            <w:r>
              <w:rPr>
                <w:color w:val="000000"/>
                <w:kern w:val="0"/>
                <w:sz w:val="22"/>
                <w:highlight w:val="none"/>
              </w:rPr>
              <w:t>杆体高度：6300mm,单横臂</w:t>
            </w:r>
          </w:p>
        </w:tc>
        <w:tc>
          <w:tcPr>
            <w:tcW w:w="746" w:type="dxa"/>
            <w:tcBorders>
              <w:top w:val="single" w:color="auto" w:sz="4" w:space="0"/>
              <w:left w:val="nil"/>
              <w:bottom w:val="single" w:color="auto" w:sz="4" w:space="0"/>
              <w:right w:val="single" w:color="auto" w:sz="4" w:space="0"/>
            </w:tcBorders>
            <w:noWrap/>
            <w:vAlign w:val="center"/>
          </w:tcPr>
          <w:p w14:paraId="39B12ED2">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noWrap/>
            <w:vAlign w:val="center"/>
          </w:tcPr>
          <w:p w14:paraId="5D5DF9E4">
            <w:pPr>
              <w:widowControl/>
              <w:jc w:val="center"/>
              <w:rPr>
                <w:color w:val="000000"/>
                <w:kern w:val="0"/>
                <w:sz w:val="22"/>
                <w:highlight w:val="none"/>
              </w:rPr>
            </w:pPr>
            <w:r>
              <w:rPr>
                <w:color w:val="000000"/>
                <w:kern w:val="0"/>
                <w:sz w:val="22"/>
                <w:highlight w:val="none"/>
              </w:rPr>
              <w:t>3</w:t>
            </w:r>
          </w:p>
        </w:tc>
      </w:tr>
      <w:tr w14:paraId="233D2122">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noWrap/>
            <w:vAlign w:val="center"/>
          </w:tcPr>
          <w:p w14:paraId="6E05B48E">
            <w:pPr>
              <w:widowControl/>
              <w:jc w:val="center"/>
              <w:rPr>
                <w:color w:val="000000"/>
                <w:kern w:val="0"/>
                <w:sz w:val="22"/>
                <w:highlight w:val="none"/>
              </w:rPr>
            </w:pPr>
            <w:r>
              <w:rPr>
                <w:color w:val="000000"/>
                <w:kern w:val="0"/>
                <w:sz w:val="22"/>
                <w:highlight w:val="none"/>
              </w:rPr>
              <w:t>1.4</w:t>
            </w:r>
          </w:p>
        </w:tc>
        <w:tc>
          <w:tcPr>
            <w:tcW w:w="3469" w:type="dxa"/>
            <w:gridSpan w:val="2"/>
            <w:tcBorders>
              <w:top w:val="single" w:color="auto" w:sz="4" w:space="0"/>
              <w:left w:val="nil"/>
              <w:bottom w:val="single" w:color="auto" w:sz="4" w:space="0"/>
              <w:right w:val="single" w:color="auto" w:sz="4" w:space="0"/>
            </w:tcBorders>
            <w:noWrap/>
            <w:vAlign w:val="center"/>
          </w:tcPr>
          <w:p w14:paraId="6BECA5CB">
            <w:pPr>
              <w:widowControl/>
              <w:jc w:val="left"/>
              <w:rPr>
                <w:color w:val="000000"/>
                <w:kern w:val="0"/>
                <w:sz w:val="22"/>
                <w:highlight w:val="none"/>
              </w:rPr>
            </w:pPr>
            <w:r>
              <w:rPr>
                <w:color w:val="000000"/>
                <w:kern w:val="0"/>
                <w:sz w:val="22"/>
                <w:highlight w:val="none"/>
              </w:rPr>
              <w:t>5米视频监控杆体(路段类型)180度</w:t>
            </w:r>
          </w:p>
        </w:tc>
        <w:tc>
          <w:tcPr>
            <w:tcW w:w="2739" w:type="dxa"/>
            <w:tcBorders>
              <w:top w:val="single" w:color="auto" w:sz="4" w:space="0"/>
              <w:left w:val="nil"/>
              <w:bottom w:val="single" w:color="auto" w:sz="4" w:space="0"/>
              <w:right w:val="single" w:color="auto" w:sz="4" w:space="0"/>
            </w:tcBorders>
            <w:noWrap/>
            <w:vAlign w:val="center"/>
          </w:tcPr>
          <w:p w14:paraId="70A14079">
            <w:pPr>
              <w:widowControl/>
              <w:jc w:val="left"/>
              <w:rPr>
                <w:color w:val="000000"/>
                <w:kern w:val="0"/>
                <w:sz w:val="22"/>
                <w:highlight w:val="none"/>
              </w:rPr>
            </w:pPr>
            <w:r>
              <w:rPr>
                <w:color w:val="000000"/>
                <w:kern w:val="0"/>
                <w:sz w:val="22"/>
                <w:highlight w:val="none"/>
              </w:rPr>
              <w:t>杆体高度：5000mm,一杆两头180度</w:t>
            </w:r>
          </w:p>
        </w:tc>
        <w:tc>
          <w:tcPr>
            <w:tcW w:w="746" w:type="dxa"/>
            <w:tcBorders>
              <w:top w:val="single" w:color="auto" w:sz="4" w:space="0"/>
              <w:left w:val="nil"/>
              <w:bottom w:val="single" w:color="auto" w:sz="4" w:space="0"/>
              <w:right w:val="single" w:color="auto" w:sz="4" w:space="0"/>
            </w:tcBorders>
            <w:noWrap/>
            <w:vAlign w:val="center"/>
          </w:tcPr>
          <w:p w14:paraId="7533592A">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noWrap/>
            <w:vAlign w:val="center"/>
          </w:tcPr>
          <w:p w14:paraId="4DF0A029">
            <w:pPr>
              <w:widowControl/>
              <w:jc w:val="center"/>
              <w:rPr>
                <w:color w:val="000000"/>
                <w:kern w:val="0"/>
                <w:sz w:val="22"/>
                <w:highlight w:val="none"/>
              </w:rPr>
            </w:pPr>
            <w:r>
              <w:rPr>
                <w:color w:val="000000"/>
                <w:kern w:val="0"/>
                <w:sz w:val="22"/>
                <w:highlight w:val="none"/>
              </w:rPr>
              <w:t>2</w:t>
            </w:r>
          </w:p>
        </w:tc>
      </w:tr>
      <w:tr w14:paraId="73541DBF">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noWrap/>
            <w:vAlign w:val="center"/>
          </w:tcPr>
          <w:p w14:paraId="7B2CDFD4">
            <w:pPr>
              <w:widowControl/>
              <w:jc w:val="center"/>
              <w:rPr>
                <w:color w:val="000000"/>
                <w:kern w:val="0"/>
                <w:sz w:val="22"/>
                <w:highlight w:val="none"/>
              </w:rPr>
            </w:pPr>
            <w:r>
              <w:rPr>
                <w:color w:val="000000"/>
                <w:kern w:val="0"/>
                <w:sz w:val="22"/>
                <w:highlight w:val="none"/>
              </w:rPr>
              <w:t>1.5</w:t>
            </w:r>
          </w:p>
        </w:tc>
        <w:tc>
          <w:tcPr>
            <w:tcW w:w="3469" w:type="dxa"/>
            <w:gridSpan w:val="2"/>
            <w:tcBorders>
              <w:top w:val="single" w:color="auto" w:sz="4" w:space="0"/>
              <w:left w:val="nil"/>
              <w:bottom w:val="single" w:color="auto" w:sz="4" w:space="0"/>
              <w:right w:val="single" w:color="auto" w:sz="4" w:space="0"/>
            </w:tcBorders>
            <w:noWrap/>
            <w:vAlign w:val="center"/>
          </w:tcPr>
          <w:p w14:paraId="0393B6FD">
            <w:pPr>
              <w:widowControl/>
              <w:jc w:val="left"/>
              <w:rPr>
                <w:color w:val="000000"/>
                <w:kern w:val="0"/>
                <w:sz w:val="22"/>
                <w:highlight w:val="none"/>
              </w:rPr>
            </w:pPr>
            <w:r>
              <w:rPr>
                <w:color w:val="000000"/>
                <w:kern w:val="0"/>
                <w:sz w:val="22"/>
                <w:highlight w:val="none"/>
              </w:rPr>
              <w:t>5米视频监控杆体(路段类型)90度</w:t>
            </w:r>
          </w:p>
        </w:tc>
        <w:tc>
          <w:tcPr>
            <w:tcW w:w="2739" w:type="dxa"/>
            <w:tcBorders>
              <w:top w:val="single" w:color="auto" w:sz="4" w:space="0"/>
              <w:left w:val="nil"/>
              <w:bottom w:val="single" w:color="auto" w:sz="4" w:space="0"/>
              <w:right w:val="single" w:color="auto" w:sz="4" w:space="0"/>
            </w:tcBorders>
            <w:noWrap/>
            <w:vAlign w:val="center"/>
          </w:tcPr>
          <w:p w14:paraId="54DFBBD6">
            <w:pPr>
              <w:widowControl/>
              <w:jc w:val="left"/>
              <w:rPr>
                <w:color w:val="000000"/>
                <w:kern w:val="0"/>
                <w:sz w:val="22"/>
                <w:highlight w:val="none"/>
              </w:rPr>
            </w:pPr>
            <w:r>
              <w:rPr>
                <w:color w:val="000000"/>
                <w:kern w:val="0"/>
                <w:sz w:val="22"/>
                <w:highlight w:val="none"/>
              </w:rPr>
              <w:t>杆体高度：5000mm,一杆两头90度</w:t>
            </w:r>
          </w:p>
        </w:tc>
        <w:tc>
          <w:tcPr>
            <w:tcW w:w="746" w:type="dxa"/>
            <w:tcBorders>
              <w:top w:val="single" w:color="auto" w:sz="4" w:space="0"/>
              <w:left w:val="nil"/>
              <w:bottom w:val="single" w:color="auto" w:sz="4" w:space="0"/>
              <w:right w:val="single" w:color="auto" w:sz="4" w:space="0"/>
            </w:tcBorders>
            <w:noWrap/>
            <w:vAlign w:val="center"/>
          </w:tcPr>
          <w:p w14:paraId="2635D5DD">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noWrap/>
            <w:vAlign w:val="center"/>
          </w:tcPr>
          <w:p w14:paraId="7A5A3FF2">
            <w:pPr>
              <w:widowControl/>
              <w:jc w:val="center"/>
              <w:rPr>
                <w:color w:val="000000"/>
                <w:kern w:val="0"/>
                <w:sz w:val="22"/>
                <w:highlight w:val="none"/>
              </w:rPr>
            </w:pPr>
            <w:r>
              <w:rPr>
                <w:color w:val="000000"/>
                <w:kern w:val="0"/>
                <w:sz w:val="22"/>
                <w:highlight w:val="none"/>
              </w:rPr>
              <w:t>8</w:t>
            </w:r>
          </w:p>
        </w:tc>
      </w:tr>
      <w:tr w14:paraId="46BF2044">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7D062BE2">
            <w:pPr>
              <w:widowControl/>
              <w:jc w:val="center"/>
              <w:rPr>
                <w:b/>
                <w:bCs/>
                <w:color w:val="000000"/>
                <w:kern w:val="0"/>
                <w:sz w:val="22"/>
                <w:highlight w:val="none"/>
              </w:rPr>
            </w:pPr>
            <w:r>
              <w:rPr>
                <w:b/>
                <w:bCs/>
                <w:color w:val="000000"/>
                <w:kern w:val="0"/>
                <w:sz w:val="22"/>
                <w:highlight w:val="none"/>
              </w:rPr>
              <w:t>2</w:t>
            </w:r>
          </w:p>
        </w:tc>
        <w:tc>
          <w:tcPr>
            <w:tcW w:w="1626" w:type="dxa"/>
            <w:tcBorders>
              <w:top w:val="single" w:color="auto" w:sz="4" w:space="0"/>
              <w:left w:val="nil"/>
              <w:bottom w:val="single" w:color="auto" w:sz="4" w:space="0"/>
              <w:right w:val="single" w:color="auto" w:sz="4" w:space="0"/>
            </w:tcBorders>
            <w:vAlign w:val="center"/>
          </w:tcPr>
          <w:p w14:paraId="70CE74E9">
            <w:pPr>
              <w:widowControl/>
              <w:jc w:val="left"/>
              <w:rPr>
                <w:b/>
                <w:bCs/>
                <w:color w:val="000000"/>
                <w:kern w:val="0"/>
                <w:sz w:val="22"/>
                <w:highlight w:val="none"/>
              </w:rPr>
            </w:pPr>
            <w:r>
              <w:rPr>
                <w:b/>
                <w:bCs/>
                <w:color w:val="000000"/>
                <w:kern w:val="0"/>
                <w:sz w:val="22"/>
                <w:highlight w:val="none"/>
              </w:rPr>
              <w:t>摄像机</w:t>
            </w:r>
          </w:p>
        </w:tc>
        <w:tc>
          <w:tcPr>
            <w:tcW w:w="1843" w:type="dxa"/>
            <w:tcBorders>
              <w:top w:val="single" w:color="auto" w:sz="4" w:space="0"/>
              <w:left w:val="nil"/>
              <w:bottom w:val="single" w:color="auto" w:sz="4" w:space="0"/>
              <w:right w:val="single" w:color="auto" w:sz="4" w:space="0"/>
            </w:tcBorders>
            <w:vAlign w:val="center"/>
          </w:tcPr>
          <w:p w14:paraId="3B67F991">
            <w:pPr>
              <w:widowControl/>
              <w:jc w:val="left"/>
              <w:rPr>
                <w:b/>
                <w:bCs/>
                <w:color w:val="000000"/>
                <w:kern w:val="0"/>
                <w:sz w:val="22"/>
                <w:highlight w:val="none"/>
              </w:rPr>
            </w:pPr>
            <w:r>
              <w:rPr>
                <w:b/>
                <w:bCs/>
                <w:color w:val="000000"/>
                <w:kern w:val="0"/>
                <w:sz w:val="22"/>
                <w:highlight w:val="none"/>
              </w:rPr>
              <w:t>　</w:t>
            </w:r>
          </w:p>
        </w:tc>
        <w:tc>
          <w:tcPr>
            <w:tcW w:w="2739" w:type="dxa"/>
            <w:tcBorders>
              <w:top w:val="single" w:color="auto" w:sz="4" w:space="0"/>
              <w:left w:val="nil"/>
              <w:bottom w:val="single" w:color="auto" w:sz="4" w:space="0"/>
              <w:right w:val="single" w:color="auto" w:sz="4" w:space="0"/>
            </w:tcBorders>
            <w:vAlign w:val="center"/>
          </w:tcPr>
          <w:p w14:paraId="1EDE114F">
            <w:pPr>
              <w:widowControl/>
              <w:jc w:val="left"/>
              <w:rPr>
                <w:b/>
                <w:bCs/>
                <w:color w:val="000000"/>
                <w:kern w:val="0"/>
                <w:sz w:val="22"/>
                <w:highlight w:val="none"/>
              </w:rPr>
            </w:pPr>
            <w:r>
              <w:rPr>
                <w:b/>
                <w:bCs/>
                <w:color w:val="000000"/>
                <w:kern w:val="0"/>
                <w:sz w:val="22"/>
                <w:highlight w:val="none"/>
              </w:rPr>
              <w:t>　</w:t>
            </w:r>
          </w:p>
        </w:tc>
        <w:tc>
          <w:tcPr>
            <w:tcW w:w="746" w:type="dxa"/>
            <w:tcBorders>
              <w:top w:val="single" w:color="auto" w:sz="4" w:space="0"/>
              <w:left w:val="nil"/>
              <w:bottom w:val="single" w:color="auto" w:sz="4" w:space="0"/>
              <w:right w:val="single" w:color="auto" w:sz="4" w:space="0"/>
            </w:tcBorders>
            <w:vAlign w:val="center"/>
          </w:tcPr>
          <w:p w14:paraId="484AD12D">
            <w:pPr>
              <w:widowControl/>
              <w:jc w:val="left"/>
              <w:rPr>
                <w:b/>
                <w:bCs/>
                <w:color w:val="000000"/>
                <w:kern w:val="0"/>
                <w:sz w:val="22"/>
                <w:highlight w:val="none"/>
              </w:rPr>
            </w:pPr>
            <w:r>
              <w:rPr>
                <w:b/>
                <w:bCs/>
                <w:color w:val="000000"/>
                <w:kern w:val="0"/>
                <w:sz w:val="22"/>
                <w:highlight w:val="none"/>
              </w:rPr>
              <w:t>　</w:t>
            </w:r>
          </w:p>
        </w:tc>
        <w:tc>
          <w:tcPr>
            <w:tcW w:w="563" w:type="dxa"/>
            <w:tcBorders>
              <w:top w:val="single" w:color="auto" w:sz="4" w:space="0"/>
              <w:left w:val="nil"/>
              <w:bottom w:val="single" w:color="auto" w:sz="4" w:space="0"/>
              <w:right w:val="single" w:color="auto" w:sz="4" w:space="0"/>
            </w:tcBorders>
            <w:vAlign w:val="center"/>
          </w:tcPr>
          <w:p w14:paraId="79477E24">
            <w:pPr>
              <w:widowControl/>
              <w:jc w:val="left"/>
              <w:rPr>
                <w:b/>
                <w:bCs/>
                <w:color w:val="000000"/>
                <w:kern w:val="0"/>
                <w:sz w:val="22"/>
                <w:highlight w:val="none"/>
              </w:rPr>
            </w:pPr>
            <w:r>
              <w:rPr>
                <w:b/>
                <w:bCs/>
                <w:color w:val="000000"/>
                <w:kern w:val="0"/>
                <w:sz w:val="22"/>
                <w:highlight w:val="none"/>
              </w:rPr>
              <w:t>　</w:t>
            </w:r>
          </w:p>
        </w:tc>
      </w:tr>
      <w:tr w14:paraId="37F9A69E">
        <w:tblPrEx>
          <w:tblCellMar>
            <w:top w:w="0" w:type="dxa"/>
            <w:left w:w="57" w:type="dxa"/>
            <w:bottom w:w="0" w:type="dxa"/>
            <w:right w:w="57" w:type="dxa"/>
          </w:tblCellMar>
        </w:tblPrEx>
        <w:tc>
          <w:tcPr>
            <w:tcW w:w="779" w:type="dxa"/>
            <w:vMerge w:val="restart"/>
            <w:tcBorders>
              <w:top w:val="single" w:color="auto" w:sz="4" w:space="0"/>
              <w:left w:val="single" w:color="auto" w:sz="4" w:space="0"/>
              <w:bottom w:val="single" w:color="auto" w:sz="4" w:space="0"/>
              <w:right w:val="single" w:color="auto" w:sz="4" w:space="0"/>
            </w:tcBorders>
            <w:vAlign w:val="center"/>
          </w:tcPr>
          <w:p w14:paraId="2D45ADD7">
            <w:pPr>
              <w:widowControl/>
              <w:jc w:val="center"/>
              <w:rPr>
                <w:color w:val="000000"/>
                <w:kern w:val="0"/>
                <w:sz w:val="22"/>
                <w:highlight w:val="none"/>
              </w:rPr>
            </w:pPr>
            <w:r>
              <w:rPr>
                <w:color w:val="000000"/>
                <w:kern w:val="0"/>
                <w:sz w:val="22"/>
                <w:highlight w:val="none"/>
              </w:rPr>
              <w:t>2.1</w:t>
            </w:r>
          </w:p>
        </w:tc>
        <w:tc>
          <w:tcPr>
            <w:tcW w:w="1626" w:type="dxa"/>
            <w:vMerge w:val="restart"/>
            <w:tcBorders>
              <w:top w:val="single" w:color="auto" w:sz="4" w:space="0"/>
              <w:left w:val="single" w:color="auto" w:sz="4" w:space="0"/>
              <w:bottom w:val="single" w:color="auto" w:sz="4" w:space="0"/>
              <w:right w:val="single" w:color="auto" w:sz="4" w:space="0"/>
            </w:tcBorders>
            <w:vAlign w:val="center"/>
          </w:tcPr>
          <w:p w14:paraId="652AE27A">
            <w:pPr>
              <w:widowControl/>
              <w:jc w:val="left"/>
              <w:rPr>
                <w:color w:val="000000"/>
                <w:kern w:val="0"/>
                <w:sz w:val="22"/>
                <w:highlight w:val="none"/>
              </w:rPr>
            </w:pPr>
            <w:r>
              <w:rPr>
                <w:color w:val="000000"/>
                <w:kern w:val="0"/>
                <w:sz w:val="22"/>
                <w:highlight w:val="none"/>
              </w:rPr>
              <w:t>高清网络摄像机(用于枪式防护罩)</w:t>
            </w:r>
          </w:p>
        </w:tc>
        <w:tc>
          <w:tcPr>
            <w:tcW w:w="1843" w:type="dxa"/>
            <w:tcBorders>
              <w:top w:val="single" w:color="auto" w:sz="4" w:space="0"/>
              <w:left w:val="nil"/>
              <w:bottom w:val="single" w:color="auto" w:sz="4" w:space="0"/>
              <w:right w:val="single" w:color="auto" w:sz="4" w:space="0"/>
            </w:tcBorders>
            <w:vAlign w:val="center"/>
          </w:tcPr>
          <w:p w14:paraId="393F4633">
            <w:pPr>
              <w:widowControl/>
              <w:jc w:val="left"/>
              <w:rPr>
                <w:color w:val="000000"/>
                <w:kern w:val="0"/>
                <w:sz w:val="22"/>
                <w:highlight w:val="none"/>
              </w:rPr>
            </w:pPr>
            <w:r>
              <w:rPr>
                <w:color w:val="000000"/>
                <w:kern w:val="0"/>
                <w:sz w:val="22"/>
                <w:highlight w:val="none"/>
              </w:rPr>
              <w:t>UNV 1080P超低照度智能交通全高清枪型SFP光电口网络摄像机</w:t>
            </w:r>
          </w:p>
        </w:tc>
        <w:tc>
          <w:tcPr>
            <w:tcW w:w="2739" w:type="dxa"/>
            <w:tcBorders>
              <w:top w:val="single" w:color="auto" w:sz="4" w:space="0"/>
              <w:left w:val="nil"/>
              <w:bottom w:val="single" w:color="auto" w:sz="4" w:space="0"/>
              <w:right w:val="single" w:color="auto" w:sz="4" w:space="0"/>
            </w:tcBorders>
            <w:vAlign w:val="center"/>
          </w:tcPr>
          <w:p w14:paraId="4B74F13D">
            <w:pPr>
              <w:widowControl/>
              <w:jc w:val="left"/>
              <w:rPr>
                <w:color w:val="000000"/>
                <w:kern w:val="0"/>
                <w:sz w:val="22"/>
                <w:highlight w:val="none"/>
              </w:rPr>
            </w:pPr>
            <w:r>
              <w:rPr>
                <w:color w:val="000000"/>
                <w:kern w:val="0"/>
                <w:sz w:val="22"/>
                <w:highlight w:val="none"/>
              </w:rPr>
              <w:t>IPC-HIC5621-UV</w:t>
            </w:r>
          </w:p>
        </w:tc>
        <w:tc>
          <w:tcPr>
            <w:tcW w:w="746" w:type="dxa"/>
            <w:tcBorders>
              <w:top w:val="single" w:color="auto" w:sz="4" w:space="0"/>
              <w:left w:val="nil"/>
              <w:bottom w:val="single" w:color="auto" w:sz="4" w:space="0"/>
              <w:right w:val="single" w:color="auto" w:sz="4" w:space="0"/>
            </w:tcBorders>
            <w:vAlign w:val="center"/>
          </w:tcPr>
          <w:p w14:paraId="60577B6A">
            <w:pPr>
              <w:widowControl/>
              <w:jc w:val="center"/>
              <w:rPr>
                <w:color w:val="000000"/>
                <w:kern w:val="0"/>
                <w:sz w:val="22"/>
                <w:highlight w:val="none"/>
              </w:rPr>
            </w:pPr>
            <w:r>
              <w:rPr>
                <w:color w:val="000000"/>
                <w:kern w:val="0"/>
                <w:sz w:val="22"/>
                <w:highlight w:val="none"/>
              </w:rPr>
              <w:t>个</w:t>
            </w:r>
          </w:p>
        </w:tc>
        <w:tc>
          <w:tcPr>
            <w:tcW w:w="563" w:type="dxa"/>
            <w:tcBorders>
              <w:top w:val="single" w:color="auto" w:sz="4" w:space="0"/>
              <w:left w:val="nil"/>
              <w:bottom w:val="single" w:color="auto" w:sz="4" w:space="0"/>
              <w:right w:val="single" w:color="auto" w:sz="4" w:space="0"/>
            </w:tcBorders>
            <w:vAlign w:val="center"/>
          </w:tcPr>
          <w:p w14:paraId="17266B93">
            <w:pPr>
              <w:widowControl/>
              <w:jc w:val="center"/>
              <w:rPr>
                <w:color w:val="000000"/>
                <w:kern w:val="0"/>
                <w:sz w:val="22"/>
                <w:highlight w:val="none"/>
              </w:rPr>
            </w:pPr>
            <w:r>
              <w:rPr>
                <w:color w:val="000000"/>
                <w:kern w:val="0"/>
                <w:sz w:val="22"/>
                <w:highlight w:val="none"/>
              </w:rPr>
              <w:t>590</w:t>
            </w:r>
          </w:p>
        </w:tc>
      </w:tr>
      <w:tr w14:paraId="42058220">
        <w:tblPrEx>
          <w:tblCellMar>
            <w:top w:w="0" w:type="dxa"/>
            <w:left w:w="57" w:type="dxa"/>
            <w:bottom w:w="0" w:type="dxa"/>
            <w:right w:w="57" w:type="dxa"/>
          </w:tblCellMar>
        </w:tblPrEx>
        <w:tc>
          <w:tcPr>
            <w:tcW w:w="779" w:type="dxa"/>
            <w:vMerge w:val="continue"/>
            <w:tcBorders>
              <w:top w:val="single" w:color="auto" w:sz="4" w:space="0"/>
              <w:left w:val="single" w:color="auto" w:sz="4" w:space="0"/>
              <w:bottom w:val="single" w:color="auto" w:sz="4" w:space="0"/>
              <w:right w:val="single" w:color="auto" w:sz="4" w:space="0"/>
            </w:tcBorders>
            <w:vAlign w:val="center"/>
          </w:tcPr>
          <w:p w14:paraId="7F79C86C">
            <w:pPr>
              <w:widowControl/>
              <w:jc w:val="left"/>
              <w:rPr>
                <w:color w:val="000000"/>
                <w:kern w:val="0"/>
                <w:sz w:val="22"/>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7E0ACCF1">
            <w:pPr>
              <w:widowControl/>
              <w:jc w:val="left"/>
              <w:rPr>
                <w:color w:val="000000"/>
                <w:kern w:val="0"/>
                <w:sz w:val="22"/>
                <w:highlight w:val="none"/>
              </w:rPr>
            </w:pPr>
          </w:p>
        </w:tc>
        <w:tc>
          <w:tcPr>
            <w:tcW w:w="1843" w:type="dxa"/>
            <w:tcBorders>
              <w:top w:val="single" w:color="auto" w:sz="4" w:space="0"/>
              <w:left w:val="nil"/>
              <w:bottom w:val="single" w:color="auto" w:sz="4" w:space="0"/>
              <w:right w:val="single" w:color="auto" w:sz="4" w:space="0"/>
            </w:tcBorders>
            <w:vAlign w:val="center"/>
          </w:tcPr>
          <w:p w14:paraId="7F654789">
            <w:pPr>
              <w:widowControl/>
              <w:jc w:val="left"/>
              <w:rPr>
                <w:color w:val="000000"/>
                <w:kern w:val="0"/>
                <w:sz w:val="22"/>
                <w:highlight w:val="none"/>
              </w:rPr>
            </w:pPr>
            <w:r>
              <w:rPr>
                <w:color w:val="000000"/>
                <w:kern w:val="0"/>
                <w:sz w:val="22"/>
                <w:highlight w:val="none"/>
              </w:rPr>
              <w:t>72W交流24V电源适配器</w:t>
            </w:r>
          </w:p>
        </w:tc>
        <w:tc>
          <w:tcPr>
            <w:tcW w:w="2739" w:type="dxa"/>
            <w:tcBorders>
              <w:top w:val="single" w:color="auto" w:sz="4" w:space="0"/>
              <w:left w:val="nil"/>
              <w:bottom w:val="single" w:color="auto" w:sz="4" w:space="0"/>
              <w:right w:val="single" w:color="auto" w:sz="4" w:space="0"/>
            </w:tcBorders>
            <w:vAlign w:val="center"/>
          </w:tcPr>
          <w:p w14:paraId="6B765B10">
            <w:pPr>
              <w:widowControl/>
              <w:jc w:val="left"/>
              <w:rPr>
                <w:color w:val="000000"/>
                <w:kern w:val="0"/>
                <w:sz w:val="22"/>
                <w:highlight w:val="none"/>
              </w:rPr>
            </w:pPr>
            <w:r>
              <w:rPr>
                <w:color w:val="000000"/>
                <w:kern w:val="0"/>
                <w:sz w:val="22"/>
                <w:highlight w:val="none"/>
              </w:rPr>
              <w:t>PWR-AC2403-A-NB</w:t>
            </w:r>
          </w:p>
        </w:tc>
        <w:tc>
          <w:tcPr>
            <w:tcW w:w="746" w:type="dxa"/>
            <w:tcBorders>
              <w:top w:val="single" w:color="auto" w:sz="4" w:space="0"/>
              <w:left w:val="nil"/>
              <w:bottom w:val="single" w:color="auto" w:sz="4" w:space="0"/>
              <w:right w:val="single" w:color="auto" w:sz="4" w:space="0"/>
            </w:tcBorders>
            <w:vAlign w:val="center"/>
          </w:tcPr>
          <w:p w14:paraId="36905E3D">
            <w:pPr>
              <w:widowControl/>
              <w:jc w:val="center"/>
              <w:rPr>
                <w:color w:val="000000"/>
                <w:kern w:val="0"/>
                <w:sz w:val="22"/>
                <w:highlight w:val="none"/>
              </w:rPr>
            </w:pPr>
            <w:r>
              <w:rPr>
                <w:color w:val="000000"/>
                <w:kern w:val="0"/>
                <w:sz w:val="22"/>
                <w:highlight w:val="none"/>
              </w:rPr>
              <w:t>个</w:t>
            </w:r>
          </w:p>
        </w:tc>
        <w:tc>
          <w:tcPr>
            <w:tcW w:w="563" w:type="dxa"/>
            <w:tcBorders>
              <w:top w:val="single" w:color="auto" w:sz="4" w:space="0"/>
              <w:left w:val="nil"/>
              <w:bottom w:val="single" w:color="auto" w:sz="4" w:space="0"/>
              <w:right w:val="single" w:color="auto" w:sz="4" w:space="0"/>
            </w:tcBorders>
            <w:vAlign w:val="center"/>
          </w:tcPr>
          <w:p w14:paraId="5B7C1383">
            <w:pPr>
              <w:widowControl/>
              <w:jc w:val="center"/>
              <w:rPr>
                <w:color w:val="000000"/>
                <w:kern w:val="0"/>
                <w:sz w:val="22"/>
                <w:highlight w:val="none"/>
              </w:rPr>
            </w:pPr>
            <w:r>
              <w:rPr>
                <w:color w:val="000000"/>
                <w:kern w:val="0"/>
                <w:sz w:val="22"/>
                <w:highlight w:val="none"/>
              </w:rPr>
              <w:t>590</w:t>
            </w:r>
          </w:p>
        </w:tc>
      </w:tr>
      <w:tr w14:paraId="4CF9FCD8">
        <w:tblPrEx>
          <w:tblCellMar>
            <w:top w:w="0" w:type="dxa"/>
            <w:left w:w="57" w:type="dxa"/>
            <w:bottom w:w="0" w:type="dxa"/>
            <w:right w:w="57" w:type="dxa"/>
          </w:tblCellMar>
        </w:tblPrEx>
        <w:tc>
          <w:tcPr>
            <w:tcW w:w="779" w:type="dxa"/>
            <w:vMerge w:val="continue"/>
            <w:tcBorders>
              <w:top w:val="single" w:color="auto" w:sz="4" w:space="0"/>
              <w:left w:val="single" w:color="auto" w:sz="4" w:space="0"/>
              <w:bottom w:val="single" w:color="auto" w:sz="4" w:space="0"/>
              <w:right w:val="single" w:color="auto" w:sz="4" w:space="0"/>
            </w:tcBorders>
            <w:vAlign w:val="center"/>
          </w:tcPr>
          <w:p w14:paraId="685DD0ED">
            <w:pPr>
              <w:widowControl/>
              <w:jc w:val="left"/>
              <w:rPr>
                <w:color w:val="000000"/>
                <w:kern w:val="0"/>
                <w:sz w:val="22"/>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722502FD">
            <w:pPr>
              <w:widowControl/>
              <w:jc w:val="left"/>
              <w:rPr>
                <w:color w:val="000000"/>
                <w:kern w:val="0"/>
                <w:sz w:val="22"/>
                <w:highlight w:val="none"/>
              </w:rPr>
            </w:pPr>
          </w:p>
        </w:tc>
        <w:tc>
          <w:tcPr>
            <w:tcW w:w="1843" w:type="dxa"/>
            <w:tcBorders>
              <w:top w:val="single" w:color="auto" w:sz="4" w:space="0"/>
              <w:left w:val="nil"/>
              <w:bottom w:val="single" w:color="auto" w:sz="4" w:space="0"/>
              <w:right w:val="single" w:color="auto" w:sz="4" w:space="0"/>
            </w:tcBorders>
            <w:vAlign w:val="center"/>
          </w:tcPr>
          <w:p w14:paraId="10F09D86">
            <w:pPr>
              <w:widowControl/>
              <w:jc w:val="left"/>
              <w:rPr>
                <w:color w:val="000000"/>
                <w:kern w:val="0"/>
                <w:sz w:val="22"/>
                <w:highlight w:val="none"/>
              </w:rPr>
            </w:pPr>
            <w:r>
              <w:rPr>
                <w:color w:val="000000"/>
                <w:kern w:val="0"/>
                <w:sz w:val="22"/>
                <w:highlight w:val="none"/>
              </w:rPr>
              <w:t>支架</w:t>
            </w:r>
          </w:p>
        </w:tc>
        <w:tc>
          <w:tcPr>
            <w:tcW w:w="2739" w:type="dxa"/>
            <w:tcBorders>
              <w:top w:val="single" w:color="auto" w:sz="4" w:space="0"/>
              <w:left w:val="nil"/>
              <w:bottom w:val="single" w:color="auto" w:sz="4" w:space="0"/>
              <w:right w:val="single" w:color="auto" w:sz="4" w:space="0"/>
            </w:tcBorders>
            <w:vAlign w:val="center"/>
          </w:tcPr>
          <w:p w14:paraId="79D7C9A9">
            <w:pPr>
              <w:widowControl/>
              <w:jc w:val="left"/>
              <w:rPr>
                <w:color w:val="000000"/>
                <w:kern w:val="0"/>
                <w:sz w:val="22"/>
                <w:highlight w:val="none"/>
              </w:rPr>
            </w:pPr>
            <w:r>
              <w:rPr>
                <w:color w:val="000000"/>
                <w:kern w:val="0"/>
                <w:sz w:val="22"/>
                <w:highlight w:val="none"/>
              </w:rPr>
              <w:t>AE-TR-UVO6-A</w:t>
            </w:r>
          </w:p>
        </w:tc>
        <w:tc>
          <w:tcPr>
            <w:tcW w:w="746" w:type="dxa"/>
            <w:tcBorders>
              <w:top w:val="single" w:color="auto" w:sz="4" w:space="0"/>
              <w:left w:val="nil"/>
              <w:bottom w:val="single" w:color="auto" w:sz="4" w:space="0"/>
              <w:right w:val="single" w:color="auto" w:sz="4" w:space="0"/>
            </w:tcBorders>
            <w:vAlign w:val="center"/>
          </w:tcPr>
          <w:p w14:paraId="66604A22">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1708F05E">
            <w:pPr>
              <w:widowControl/>
              <w:jc w:val="center"/>
              <w:rPr>
                <w:color w:val="000000"/>
                <w:kern w:val="0"/>
                <w:sz w:val="22"/>
                <w:highlight w:val="none"/>
              </w:rPr>
            </w:pPr>
            <w:r>
              <w:rPr>
                <w:color w:val="000000"/>
                <w:kern w:val="0"/>
                <w:sz w:val="22"/>
                <w:highlight w:val="none"/>
              </w:rPr>
              <w:t>590</w:t>
            </w:r>
          </w:p>
        </w:tc>
      </w:tr>
      <w:tr w14:paraId="36A8E702">
        <w:tblPrEx>
          <w:tblCellMar>
            <w:top w:w="0" w:type="dxa"/>
            <w:left w:w="57" w:type="dxa"/>
            <w:bottom w:w="0" w:type="dxa"/>
            <w:right w:w="57" w:type="dxa"/>
          </w:tblCellMar>
        </w:tblPrEx>
        <w:tc>
          <w:tcPr>
            <w:tcW w:w="779" w:type="dxa"/>
            <w:vMerge w:val="restart"/>
            <w:tcBorders>
              <w:top w:val="single" w:color="auto" w:sz="4" w:space="0"/>
              <w:left w:val="single" w:color="auto" w:sz="4" w:space="0"/>
              <w:bottom w:val="single" w:color="auto" w:sz="4" w:space="0"/>
              <w:right w:val="single" w:color="auto" w:sz="4" w:space="0"/>
            </w:tcBorders>
            <w:vAlign w:val="center"/>
          </w:tcPr>
          <w:p w14:paraId="2D65DB3D">
            <w:pPr>
              <w:widowControl/>
              <w:jc w:val="center"/>
              <w:rPr>
                <w:color w:val="000000"/>
                <w:kern w:val="0"/>
                <w:sz w:val="22"/>
                <w:highlight w:val="none"/>
              </w:rPr>
            </w:pPr>
            <w:r>
              <w:rPr>
                <w:color w:val="000000"/>
                <w:kern w:val="0"/>
                <w:sz w:val="22"/>
                <w:highlight w:val="none"/>
              </w:rPr>
              <w:t>2.2</w:t>
            </w:r>
          </w:p>
        </w:tc>
        <w:tc>
          <w:tcPr>
            <w:tcW w:w="1626" w:type="dxa"/>
            <w:vMerge w:val="restart"/>
            <w:tcBorders>
              <w:top w:val="single" w:color="auto" w:sz="4" w:space="0"/>
              <w:left w:val="single" w:color="auto" w:sz="4" w:space="0"/>
              <w:bottom w:val="single" w:color="auto" w:sz="4" w:space="0"/>
              <w:right w:val="single" w:color="auto" w:sz="4" w:space="0"/>
            </w:tcBorders>
            <w:vAlign w:val="center"/>
          </w:tcPr>
          <w:p w14:paraId="379874CC">
            <w:pPr>
              <w:widowControl/>
              <w:jc w:val="left"/>
              <w:rPr>
                <w:color w:val="000000"/>
                <w:kern w:val="0"/>
                <w:sz w:val="22"/>
                <w:highlight w:val="none"/>
              </w:rPr>
            </w:pPr>
            <w:r>
              <w:rPr>
                <w:color w:val="000000"/>
                <w:kern w:val="0"/>
                <w:sz w:val="22"/>
                <w:highlight w:val="none"/>
              </w:rPr>
              <w:t>高清网络摄像机(用于球形防护罩)</w:t>
            </w:r>
          </w:p>
        </w:tc>
        <w:tc>
          <w:tcPr>
            <w:tcW w:w="1843" w:type="dxa"/>
            <w:tcBorders>
              <w:top w:val="single" w:color="auto" w:sz="4" w:space="0"/>
              <w:left w:val="nil"/>
              <w:bottom w:val="single" w:color="auto" w:sz="4" w:space="0"/>
              <w:right w:val="single" w:color="auto" w:sz="4" w:space="0"/>
            </w:tcBorders>
            <w:vAlign w:val="center"/>
          </w:tcPr>
          <w:p w14:paraId="6EC59471">
            <w:pPr>
              <w:widowControl/>
              <w:jc w:val="left"/>
              <w:rPr>
                <w:color w:val="000000"/>
                <w:kern w:val="0"/>
                <w:sz w:val="22"/>
                <w:highlight w:val="none"/>
              </w:rPr>
            </w:pPr>
            <w:r>
              <w:rPr>
                <w:color w:val="000000"/>
                <w:kern w:val="0"/>
                <w:sz w:val="22"/>
                <w:highlight w:val="none"/>
              </w:rPr>
              <w:t>UNV 1080P超低照度H265全高清枪型SFP光电口网络摄像机</w:t>
            </w:r>
          </w:p>
        </w:tc>
        <w:tc>
          <w:tcPr>
            <w:tcW w:w="2739" w:type="dxa"/>
            <w:tcBorders>
              <w:top w:val="single" w:color="auto" w:sz="4" w:space="0"/>
              <w:left w:val="nil"/>
              <w:bottom w:val="single" w:color="auto" w:sz="4" w:space="0"/>
              <w:right w:val="single" w:color="auto" w:sz="4" w:space="0"/>
            </w:tcBorders>
            <w:vAlign w:val="center"/>
          </w:tcPr>
          <w:p w14:paraId="2CDCA731">
            <w:pPr>
              <w:widowControl/>
              <w:jc w:val="left"/>
              <w:rPr>
                <w:color w:val="000000"/>
                <w:kern w:val="0"/>
                <w:sz w:val="22"/>
                <w:highlight w:val="none"/>
              </w:rPr>
            </w:pPr>
            <w:r>
              <w:rPr>
                <w:color w:val="000000"/>
                <w:kern w:val="0"/>
                <w:sz w:val="22"/>
                <w:highlight w:val="none"/>
              </w:rPr>
              <w:t>IPC-HIC5621E-TJ-UV</w:t>
            </w:r>
          </w:p>
        </w:tc>
        <w:tc>
          <w:tcPr>
            <w:tcW w:w="746" w:type="dxa"/>
            <w:tcBorders>
              <w:top w:val="single" w:color="auto" w:sz="4" w:space="0"/>
              <w:left w:val="nil"/>
              <w:bottom w:val="single" w:color="auto" w:sz="4" w:space="0"/>
              <w:right w:val="single" w:color="auto" w:sz="4" w:space="0"/>
            </w:tcBorders>
            <w:vAlign w:val="center"/>
          </w:tcPr>
          <w:p w14:paraId="2806CB42">
            <w:pPr>
              <w:widowControl/>
              <w:jc w:val="center"/>
              <w:rPr>
                <w:color w:val="000000"/>
                <w:kern w:val="0"/>
                <w:sz w:val="22"/>
                <w:highlight w:val="none"/>
              </w:rPr>
            </w:pPr>
            <w:r>
              <w:rPr>
                <w:color w:val="000000"/>
                <w:kern w:val="0"/>
                <w:sz w:val="22"/>
                <w:highlight w:val="none"/>
              </w:rPr>
              <w:t>个</w:t>
            </w:r>
          </w:p>
        </w:tc>
        <w:tc>
          <w:tcPr>
            <w:tcW w:w="563" w:type="dxa"/>
            <w:tcBorders>
              <w:top w:val="single" w:color="auto" w:sz="4" w:space="0"/>
              <w:left w:val="nil"/>
              <w:bottom w:val="single" w:color="auto" w:sz="4" w:space="0"/>
              <w:right w:val="single" w:color="auto" w:sz="4" w:space="0"/>
            </w:tcBorders>
            <w:vAlign w:val="center"/>
          </w:tcPr>
          <w:p w14:paraId="27B06F41">
            <w:pPr>
              <w:widowControl/>
              <w:jc w:val="center"/>
              <w:rPr>
                <w:color w:val="000000"/>
                <w:kern w:val="0"/>
                <w:sz w:val="22"/>
                <w:highlight w:val="none"/>
              </w:rPr>
            </w:pPr>
            <w:r>
              <w:rPr>
                <w:color w:val="000000"/>
                <w:kern w:val="0"/>
                <w:sz w:val="22"/>
                <w:highlight w:val="none"/>
              </w:rPr>
              <w:t>168</w:t>
            </w:r>
          </w:p>
        </w:tc>
      </w:tr>
      <w:tr w14:paraId="359D6C39">
        <w:tblPrEx>
          <w:tblCellMar>
            <w:top w:w="0" w:type="dxa"/>
            <w:left w:w="57" w:type="dxa"/>
            <w:bottom w:w="0" w:type="dxa"/>
            <w:right w:w="57" w:type="dxa"/>
          </w:tblCellMar>
        </w:tblPrEx>
        <w:tc>
          <w:tcPr>
            <w:tcW w:w="779" w:type="dxa"/>
            <w:vMerge w:val="continue"/>
            <w:tcBorders>
              <w:top w:val="single" w:color="auto" w:sz="4" w:space="0"/>
              <w:left w:val="single" w:color="auto" w:sz="4" w:space="0"/>
              <w:bottom w:val="single" w:color="auto" w:sz="4" w:space="0"/>
              <w:right w:val="single" w:color="auto" w:sz="4" w:space="0"/>
            </w:tcBorders>
            <w:vAlign w:val="center"/>
          </w:tcPr>
          <w:p w14:paraId="08B2FBC4">
            <w:pPr>
              <w:widowControl/>
              <w:jc w:val="left"/>
              <w:rPr>
                <w:color w:val="000000"/>
                <w:kern w:val="0"/>
                <w:sz w:val="22"/>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55713EFB">
            <w:pPr>
              <w:widowControl/>
              <w:jc w:val="left"/>
              <w:rPr>
                <w:color w:val="000000"/>
                <w:kern w:val="0"/>
                <w:sz w:val="22"/>
                <w:highlight w:val="none"/>
              </w:rPr>
            </w:pPr>
          </w:p>
        </w:tc>
        <w:tc>
          <w:tcPr>
            <w:tcW w:w="1843" w:type="dxa"/>
            <w:tcBorders>
              <w:top w:val="single" w:color="auto" w:sz="4" w:space="0"/>
              <w:left w:val="nil"/>
              <w:bottom w:val="single" w:color="auto" w:sz="4" w:space="0"/>
              <w:right w:val="single" w:color="auto" w:sz="4" w:space="0"/>
            </w:tcBorders>
            <w:vAlign w:val="center"/>
          </w:tcPr>
          <w:p w14:paraId="748A0689">
            <w:pPr>
              <w:widowControl/>
              <w:jc w:val="left"/>
              <w:rPr>
                <w:color w:val="000000"/>
                <w:kern w:val="0"/>
                <w:sz w:val="22"/>
                <w:highlight w:val="none"/>
              </w:rPr>
            </w:pPr>
            <w:r>
              <w:rPr>
                <w:color w:val="000000"/>
                <w:kern w:val="0"/>
                <w:sz w:val="22"/>
                <w:highlight w:val="none"/>
              </w:rPr>
              <w:t>72W交流24V电源适配器</w:t>
            </w:r>
          </w:p>
        </w:tc>
        <w:tc>
          <w:tcPr>
            <w:tcW w:w="2739" w:type="dxa"/>
            <w:tcBorders>
              <w:top w:val="single" w:color="auto" w:sz="4" w:space="0"/>
              <w:left w:val="nil"/>
              <w:bottom w:val="single" w:color="auto" w:sz="4" w:space="0"/>
              <w:right w:val="single" w:color="auto" w:sz="4" w:space="0"/>
            </w:tcBorders>
            <w:vAlign w:val="center"/>
          </w:tcPr>
          <w:p w14:paraId="6E29B06D">
            <w:pPr>
              <w:widowControl/>
              <w:jc w:val="left"/>
              <w:rPr>
                <w:color w:val="000000"/>
                <w:kern w:val="0"/>
                <w:sz w:val="22"/>
                <w:highlight w:val="none"/>
              </w:rPr>
            </w:pPr>
            <w:r>
              <w:rPr>
                <w:color w:val="000000"/>
                <w:kern w:val="0"/>
                <w:sz w:val="22"/>
                <w:highlight w:val="none"/>
              </w:rPr>
              <w:t>PWR-AC2403-A-NB</w:t>
            </w:r>
          </w:p>
        </w:tc>
        <w:tc>
          <w:tcPr>
            <w:tcW w:w="746" w:type="dxa"/>
            <w:tcBorders>
              <w:top w:val="single" w:color="auto" w:sz="4" w:space="0"/>
              <w:left w:val="nil"/>
              <w:bottom w:val="single" w:color="auto" w:sz="4" w:space="0"/>
              <w:right w:val="single" w:color="auto" w:sz="4" w:space="0"/>
            </w:tcBorders>
            <w:vAlign w:val="center"/>
          </w:tcPr>
          <w:p w14:paraId="50622CC6">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vAlign w:val="center"/>
          </w:tcPr>
          <w:p w14:paraId="615C866A">
            <w:pPr>
              <w:widowControl/>
              <w:jc w:val="center"/>
              <w:rPr>
                <w:color w:val="000000"/>
                <w:kern w:val="0"/>
                <w:sz w:val="22"/>
                <w:highlight w:val="none"/>
              </w:rPr>
            </w:pPr>
            <w:r>
              <w:rPr>
                <w:color w:val="000000"/>
                <w:kern w:val="0"/>
                <w:sz w:val="22"/>
                <w:highlight w:val="none"/>
              </w:rPr>
              <w:t>168</w:t>
            </w:r>
          </w:p>
        </w:tc>
      </w:tr>
      <w:tr w14:paraId="089E9366">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734D86C5">
            <w:pPr>
              <w:widowControl/>
              <w:jc w:val="center"/>
              <w:rPr>
                <w:color w:val="000000"/>
                <w:kern w:val="0"/>
                <w:sz w:val="22"/>
                <w:highlight w:val="none"/>
              </w:rPr>
            </w:pPr>
            <w:r>
              <w:rPr>
                <w:color w:val="000000"/>
                <w:kern w:val="0"/>
                <w:sz w:val="22"/>
                <w:highlight w:val="none"/>
              </w:rPr>
              <w:t>2.3</w:t>
            </w:r>
          </w:p>
        </w:tc>
        <w:tc>
          <w:tcPr>
            <w:tcW w:w="3469" w:type="dxa"/>
            <w:gridSpan w:val="2"/>
            <w:tcBorders>
              <w:top w:val="single" w:color="auto" w:sz="4" w:space="0"/>
              <w:left w:val="single" w:color="auto" w:sz="4" w:space="0"/>
              <w:bottom w:val="single" w:color="auto" w:sz="4" w:space="0"/>
              <w:right w:val="single" w:color="auto" w:sz="4" w:space="0"/>
            </w:tcBorders>
            <w:vAlign w:val="center"/>
          </w:tcPr>
          <w:p w14:paraId="00381906">
            <w:pPr>
              <w:widowControl/>
              <w:jc w:val="left"/>
              <w:rPr>
                <w:color w:val="000000"/>
                <w:kern w:val="0"/>
                <w:sz w:val="22"/>
                <w:highlight w:val="none"/>
              </w:rPr>
            </w:pPr>
            <w:r>
              <w:rPr>
                <w:color w:val="000000"/>
                <w:kern w:val="0"/>
                <w:sz w:val="22"/>
                <w:highlight w:val="none"/>
              </w:rPr>
              <w:t>高清网络摄像机</w:t>
            </w:r>
          </w:p>
        </w:tc>
        <w:tc>
          <w:tcPr>
            <w:tcW w:w="2739" w:type="dxa"/>
            <w:tcBorders>
              <w:top w:val="single" w:color="auto" w:sz="4" w:space="0"/>
              <w:left w:val="single" w:color="auto" w:sz="4" w:space="0"/>
              <w:bottom w:val="single" w:color="auto" w:sz="4" w:space="0"/>
              <w:right w:val="single" w:color="auto" w:sz="4" w:space="0"/>
            </w:tcBorders>
            <w:vAlign w:val="center"/>
          </w:tcPr>
          <w:p w14:paraId="0324AC90">
            <w:pPr>
              <w:widowControl/>
              <w:jc w:val="left"/>
              <w:rPr>
                <w:color w:val="000000"/>
                <w:kern w:val="0"/>
                <w:sz w:val="22"/>
                <w:highlight w:val="none"/>
              </w:rPr>
            </w:pPr>
            <w:r>
              <w:rPr>
                <w:color w:val="000000"/>
                <w:kern w:val="0"/>
                <w:sz w:val="22"/>
                <w:highlight w:val="none"/>
              </w:rPr>
              <w:t>HIC5621-L-U</w:t>
            </w:r>
          </w:p>
        </w:tc>
        <w:tc>
          <w:tcPr>
            <w:tcW w:w="746" w:type="dxa"/>
            <w:tcBorders>
              <w:top w:val="single" w:color="auto" w:sz="4" w:space="0"/>
              <w:left w:val="single" w:color="auto" w:sz="4" w:space="0"/>
              <w:bottom w:val="single" w:color="auto" w:sz="4" w:space="0"/>
              <w:right w:val="single" w:color="auto" w:sz="4" w:space="0"/>
            </w:tcBorders>
            <w:vAlign w:val="center"/>
          </w:tcPr>
          <w:p w14:paraId="30FCB854">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single" w:color="auto" w:sz="4" w:space="0"/>
              <w:bottom w:val="single" w:color="auto" w:sz="4" w:space="0"/>
              <w:right w:val="single" w:color="auto" w:sz="4" w:space="0"/>
            </w:tcBorders>
            <w:vAlign w:val="center"/>
          </w:tcPr>
          <w:p w14:paraId="6A383037">
            <w:pPr>
              <w:widowControl/>
              <w:jc w:val="center"/>
              <w:rPr>
                <w:color w:val="000000"/>
                <w:kern w:val="0"/>
                <w:sz w:val="22"/>
                <w:highlight w:val="none"/>
              </w:rPr>
            </w:pPr>
            <w:r>
              <w:rPr>
                <w:color w:val="000000"/>
                <w:kern w:val="0"/>
                <w:sz w:val="22"/>
                <w:highlight w:val="none"/>
              </w:rPr>
              <w:t>4</w:t>
            </w:r>
          </w:p>
        </w:tc>
      </w:tr>
      <w:tr w14:paraId="55469C2C">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468970F1">
            <w:pPr>
              <w:widowControl/>
              <w:jc w:val="center"/>
              <w:rPr>
                <w:b/>
                <w:bCs/>
                <w:color w:val="000000"/>
                <w:kern w:val="0"/>
                <w:sz w:val="22"/>
                <w:highlight w:val="none"/>
              </w:rPr>
            </w:pPr>
            <w:r>
              <w:rPr>
                <w:b/>
                <w:bCs/>
                <w:color w:val="000000"/>
                <w:kern w:val="0"/>
                <w:sz w:val="22"/>
                <w:highlight w:val="none"/>
              </w:rPr>
              <w:t>3</w:t>
            </w:r>
          </w:p>
        </w:tc>
        <w:tc>
          <w:tcPr>
            <w:tcW w:w="1626" w:type="dxa"/>
            <w:tcBorders>
              <w:top w:val="single" w:color="auto" w:sz="4" w:space="0"/>
              <w:left w:val="nil"/>
              <w:bottom w:val="single" w:color="auto" w:sz="4" w:space="0"/>
              <w:right w:val="single" w:color="auto" w:sz="4" w:space="0"/>
            </w:tcBorders>
            <w:vAlign w:val="center"/>
          </w:tcPr>
          <w:p w14:paraId="21BEB2EE">
            <w:pPr>
              <w:widowControl/>
              <w:jc w:val="left"/>
              <w:rPr>
                <w:b/>
                <w:bCs/>
                <w:color w:val="000000"/>
                <w:kern w:val="0"/>
                <w:sz w:val="22"/>
                <w:highlight w:val="none"/>
              </w:rPr>
            </w:pPr>
            <w:r>
              <w:rPr>
                <w:b/>
                <w:bCs/>
                <w:color w:val="000000"/>
                <w:kern w:val="0"/>
                <w:sz w:val="22"/>
                <w:highlight w:val="none"/>
              </w:rPr>
              <w:t>摄像机镜头</w:t>
            </w:r>
          </w:p>
        </w:tc>
        <w:tc>
          <w:tcPr>
            <w:tcW w:w="1843" w:type="dxa"/>
            <w:tcBorders>
              <w:top w:val="single" w:color="auto" w:sz="4" w:space="0"/>
              <w:left w:val="nil"/>
              <w:bottom w:val="single" w:color="auto" w:sz="4" w:space="0"/>
              <w:right w:val="single" w:color="auto" w:sz="4" w:space="0"/>
            </w:tcBorders>
            <w:vAlign w:val="center"/>
          </w:tcPr>
          <w:p w14:paraId="2BE32516">
            <w:pPr>
              <w:widowControl/>
              <w:jc w:val="left"/>
              <w:rPr>
                <w:b/>
                <w:bCs/>
                <w:color w:val="000000"/>
                <w:kern w:val="0"/>
                <w:sz w:val="22"/>
                <w:highlight w:val="none"/>
              </w:rPr>
            </w:pPr>
            <w:r>
              <w:rPr>
                <w:b/>
                <w:bCs/>
                <w:color w:val="000000"/>
                <w:kern w:val="0"/>
                <w:sz w:val="22"/>
                <w:highlight w:val="none"/>
              </w:rPr>
              <w:t>　</w:t>
            </w:r>
          </w:p>
        </w:tc>
        <w:tc>
          <w:tcPr>
            <w:tcW w:w="2739" w:type="dxa"/>
            <w:tcBorders>
              <w:top w:val="single" w:color="auto" w:sz="4" w:space="0"/>
              <w:left w:val="nil"/>
              <w:bottom w:val="single" w:color="auto" w:sz="4" w:space="0"/>
              <w:right w:val="single" w:color="auto" w:sz="4" w:space="0"/>
            </w:tcBorders>
            <w:vAlign w:val="center"/>
          </w:tcPr>
          <w:p w14:paraId="4412818D">
            <w:pPr>
              <w:widowControl/>
              <w:jc w:val="left"/>
              <w:rPr>
                <w:b/>
                <w:bCs/>
                <w:color w:val="000000"/>
                <w:kern w:val="0"/>
                <w:sz w:val="22"/>
                <w:highlight w:val="none"/>
              </w:rPr>
            </w:pPr>
            <w:r>
              <w:rPr>
                <w:b/>
                <w:bCs/>
                <w:color w:val="000000"/>
                <w:kern w:val="0"/>
                <w:sz w:val="22"/>
                <w:highlight w:val="none"/>
              </w:rPr>
              <w:t>　</w:t>
            </w:r>
          </w:p>
        </w:tc>
        <w:tc>
          <w:tcPr>
            <w:tcW w:w="746" w:type="dxa"/>
            <w:tcBorders>
              <w:top w:val="single" w:color="auto" w:sz="4" w:space="0"/>
              <w:left w:val="nil"/>
              <w:bottom w:val="single" w:color="auto" w:sz="4" w:space="0"/>
              <w:right w:val="single" w:color="auto" w:sz="4" w:space="0"/>
            </w:tcBorders>
            <w:vAlign w:val="center"/>
          </w:tcPr>
          <w:p w14:paraId="1500DFC8">
            <w:pPr>
              <w:widowControl/>
              <w:jc w:val="left"/>
              <w:rPr>
                <w:b/>
                <w:bCs/>
                <w:color w:val="000000"/>
                <w:kern w:val="0"/>
                <w:sz w:val="22"/>
                <w:highlight w:val="none"/>
              </w:rPr>
            </w:pPr>
            <w:r>
              <w:rPr>
                <w:b/>
                <w:bCs/>
                <w:color w:val="000000"/>
                <w:kern w:val="0"/>
                <w:sz w:val="22"/>
                <w:highlight w:val="none"/>
              </w:rPr>
              <w:t>　</w:t>
            </w:r>
          </w:p>
        </w:tc>
        <w:tc>
          <w:tcPr>
            <w:tcW w:w="563" w:type="dxa"/>
            <w:tcBorders>
              <w:top w:val="single" w:color="auto" w:sz="4" w:space="0"/>
              <w:left w:val="nil"/>
              <w:bottom w:val="single" w:color="auto" w:sz="4" w:space="0"/>
              <w:right w:val="single" w:color="auto" w:sz="4" w:space="0"/>
            </w:tcBorders>
            <w:vAlign w:val="center"/>
          </w:tcPr>
          <w:p w14:paraId="5D95C22A">
            <w:pPr>
              <w:widowControl/>
              <w:jc w:val="left"/>
              <w:rPr>
                <w:b/>
                <w:bCs/>
                <w:color w:val="000000"/>
                <w:kern w:val="0"/>
                <w:sz w:val="22"/>
                <w:highlight w:val="none"/>
              </w:rPr>
            </w:pPr>
            <w:r>
              <w:rPr>
                <w:b/>
                <w:bCs/>
                <w:color w:val="000000"/>
                <w:kern w:val="0"/>
                <w:sz w:val="22"/>
                <w:highlight w:val="none"/>
              </w:rPr>
              <w:t>　</w:t>
            </w:r>
          </w:p>
        </w:tc>
      </w:tr>
      <w:tr w14:paraId="34D09BBD">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10E238CD">
            <w:pPr>
              <w:widowControl/>
              <w:jc w:val="center"/>
              <w:rPr>
                <w:color w:val="000000"/>
                <w:kern w:val="0"/>
                <w:sz w:val="22"/>
                <w:highlight w:val="none"/>
              </w:rPr>
            </w:pPr>
            <w:r>
              <w:rPr>
                <w:color w:val="000000"/>
                <w:kern w:val="0"/>
                <w:sz w:val="22"/>
                <w:highlight w:val="none"/>
              </w:rPr>
              <w:t>3.1</w:t>
            </w:r>
          </w:p>
        </w:tc>
        <w:tc>
          <w:tcPr>
            <w:tcW w:w="3469" w:type="dxa"/>
            <w:gridSpan w:val="2"/>
            <w:tcBorders>
              <w:top w:val="single" w:color="auto" w:sz="4" w:space="0"/>
              <w:left w:val="nil"/>
              <w:bottom w:val="single" w:color="auto" w:sz="4" w:space="0"/>
              <w:right w:val="single" w:color="auto" w:sz="4" w:space="0"/>
            </w:tcBorders>
            <w:vAlign w:val="center"/>
          </w:tcPr>
          <w:p w14:paraId="51A9CAC4">
            <w:pPr>
              <w:widowControl/>
              <w:jc w:val="left"/>
              <w:rPr>
                <w:color w:val="000000"/>
                <w:kern w:val="0"/>
                <w:sz w:val="22"/>
                <w:highlight w:val="none"/>
              </w:rPr>
            </w:pPr>
            <w:r>
              <w:rPr>
                <w:color w:val="000000"/>
                <w:kern w:val="0"/>
                <w:sz w:val="22"/>
                <w:highlight w:val="none"/>
              </w:rPr>
              <w:t>高清手动变焦镜头(用于微卡口摄像机)</w:t>
            </w:r>
          </w:p>
        </w:tc>
        <w:tc>
          <w:tcPr>
            <w:tcW w:w="2739" w:type="dxa"/>
            <w:tcBorders>
              <w:top w:val="single" w:color="auto" w:sz="4" w:space="0"/>
              <w:left w:val="nil"/>
              <w:bottom w:val="single" w:color="auto" w:sz="4" w:space="0"/>
              <w:right w:val="single" w:color="auto" w:sz="4" w:space="0"/>
            </w:tcBorders>
            <w:vAlign w:val="center"/>
          </w:tcPr>
          <w:p w14:paraId="79D4A72D">
            <w:pPr>
              <w:widowControl/>
              <w:jc w:val="left"/>
              <w:rPr>
                <w:color w:val="000000"/>
                <w:kern w:val="0"/>
                <w:sz w:val="22"/>
                <w:highlight w:val="none"/>
              </w:rPr>
            </w:pPr>
            <w:r>
              <w:rPr>
                <w:color w:val="000000"/>
                <w:kern w:val="0"/>
                <w:sz w:val="22"/>
                <w:highlight w:val="none"/>
              </w:rPr>
              <w:t>JV1216MPHD</w:t>
            </w:r>
          </w:p>
        </w:tc>
        <w:tc>
          <w:tcPr>
            <w:tcW w:w="746" w:type="dxa"/>
            <w:tcBorders>
              <w:top w:val="single" w:color="auto" w:sz="4" w:space="0"/>
              <w:left w:val="nil"/>
              <w:bottom w:val="single" w:color="auto" w:sz="4" w:space="0"/>
              <w:right w:val="single" w:color="auto" w:sz="4" w:space="0"/>
            </w:tcBorders>
            <w:vAlign w:val="center"/>
          </w:tcPr>
          <w:p w14:paraId="6E1E71B7">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20FD69CD">
            <w:pPr>
              <w:widowControl/>
              <w:jc w:val="center"/>
              <w:rPr>
                <w:color w:val="000000"/>
                <w:kern w:val="0"/>
                <w:sz w:val="22"/>
                <w:highlight w:val="none"/>
              </w:rPr>
            </w:pPr>
            <w:r>
              <w:rPr>
                <w:color w:val="000000"/>
                <w:kern w:val="0"/>
                <w:sz w:val="22"/>
                <w:highlight w:val="none"/>
              </w:rPr>
              <w:t>524</w:t>
            </w:r>
          </w:p>
        </w:tc>
      </w:tr>
      <w:tr w14:paraId="77E1B637">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41F37954">
            <w:pPr>
              <w:widowControl/>
              <w:jc w:val="center"/>
              <w:rPr>
                <w:color w:val="000000"/>
                <w:kern w:val="0"/>
                <w:sz w:val="22"/>
                <w:highlight w:val="none"/>
              </w:rPr>
            </w:pPr>
            <w:r>
              <w:rPr>
                <w:color w:val="000000"/>
                <w:kern w:val="0"/>
                <w:sz w:val="22"/>
                <w:highlight w:val="none"/>
              </w:rPr>
              <w:t>3.2</w:t>
            </w:r>
          </w:p>
        </w:tc>
        <w:tc>
          <w:tcPr>
            <w:tcW w:w="3469" w:type="dxa"/>
            <w:gridSpan w:val="2"/>
            <w:tcBorders>
              <w:top w:val="single" w:color="auto" w:sz="4" w:space="0"/>
              <w:left w:val="nil"/>
              <w:bottom w:val="single" w:color="auto" w:sz="4" w:space="0"/>
              <w:right w:val="single" w:color="auto" w:sz="4" w:space="0"/>
            </w:tcBorders>
            <w:vAlign w:val="center"/>
          </w:tcPr>
          <w:p w14:paraId="348252EC">
            <w:pPr>
              <w:widowControl/>
              <w:jc w:val="left"/>
              <w:rPr>
                <w:color w:val="000000"/>
                <w:kern w:val="0"/>
                <w:sz w:val="22"/>
                <w:highlight w:val="none"/>
              </w:rPr>
            </w:pPr>
            <w:r>
              <w:rPr>
                <w:color w:val="000000"/>
                <w:kern w:val="0"/>
                <w:sz w:val="22"/>
                <w:highlight w:val="none"/>
              </w:rPr>
              <w:t>高清手动变焦镜头(用于路段非微卡口摄像机)</w:t>
            </w:r>
          </w:p>
        </w:tc>
        <w:tc>
          <w:tcPr>
            <w:tcW w:w="2739" w:type="dxa"/>
            <w:tcBorders>
              <w:top w:val="single" w:color="auto" w:sz="4" w:space="0"/>
              <w:left w:val="nil"/>
              <w:bottom w:val="single" w:color="auto" w:sz="4" w:space="0"/>
              <w:right w:val="single" w:color="auto" w:sz="4" w:space="0"/>
            </w:tcBorders>
            <w:vAlign w:val="center"/>
          </w:tcPr>
          <w:p w14:paraId="06B4058C">
            <w:pPr>
              <w:widowControl/>
              <w:jc w:val="left"/>
              <w:rPr>
                <w:color w:val="000000"/>
                <w:kern w:val="0"/>
                <w:sz w:val="22"/>
                <w:highlight w:val="none"/>
              </w:rPr>
            </w:pPr>
            <w:r>
              <w:rPr>
                <w:color w:val="000000"/>
                <w:kern w:val="0"/>
                <w:sz w:val="22"/>
                <w:highlight w:val="none"/>
              </w:rPr>
              <w:t>HV3816MPH D</w:t>
            </w:r>
          </w:p>
        </w:tc>
        <w:tc>
          <w:tcPr>
            <w:tcW w:w="746" w:type="dxa"/>
            <w:tcBorders>
              <w:top w:val="single" w:color="auto" w:sz="4" w:space="0"/>
              <w:left w:val="nil"/>
              <w:bottom w:val="single" w:color="auto" w:sz="4" w:space="0"/>
              <w:right w:val="single" w:color="auto" w:sz="4" w:space="0"/>
            </w:tcBorders>
            <w:vAlign w:val="center"/>
          </w:tcPr>
          <w:p w14:paraId="43458F38">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5E943C7F">
            <w:pPr>
              <w:widowControl/>
              <w:jc w:val="center"/>
              <w:rPr>
                <w:color w:val="000000"/>
                <w:kern w:val="0"/>
                <w:sz w:val="22"/>
                <w:highlight w:val="none"/>
              </w:rPr>
            </w:pPr>
            <w:r>
              <w:rPr>
                <w:color w:val="000000"/>
                <w:kern w:val="0"/>
                <w:sz w:val="22"/>
                <w:highlight w:val="none"/>
              </w:rPr>
              <w:t>114</w:t>
            </w:r>
          </w:p>
        </w:tc>
      </w:tr>
      <w:tr w14:paraId="3C04B6A7">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29185345">
            <w:pPr>
              <w:widowControl/>
              <w:jc w:val="center"/>
              <w:rPr>
                <w:color w:val="000000"/>
                <w:kern w:val="0"/>
                <w:sz w:val="22"/>
                <w:highlight w:val="none"/>
              </w:rPr>
            </w:pPr>
            <w:r>
              <w:rPr>
                <w:color w:val="000000"/>
                <w:kern w:val="0"/>
                <w:sz w:val="22"/>
                <w:highlight w:val="none"/>
              </w:rPr>
              <w:t>3.3</w:t>
            </w:r>
          </w:p>
        </w:tc>
        <w:tc>
          <w:tcPr>
            <w:tcW w:w="3469" w:type="dxa"/>
            <w:gridSpan w:val="2"/>
            <w:tcBorders>
              <w:top w:val="single" w:color="auto" w:sz="4" w:space="0"/>
              <w:left w:val="nil"/>
              <w:bottom w:val="single" w:color="auto" w:sz="4" w:space="0"/>
              <w:right w:val="single" w:color="auto" w:sz="4" w:space="0"/>
            </w:tcBorders>
            <w:vAlign w:val="center"/>
          </w:tcPr>
          <w:p w14:paraId="253F3823">
            <w:pPr>
              <w:widowControl/>
              <w:jc w:val="left"/>
              <w:rPr>
                <w:color w:val="000000"/>
                <w:kern w:val="0"/>
                <w:sz w:val="22"/>
                <w:highlight w:val="none"/>
              </w:rPr>
            </w:pPr>
            <w:r>
              <w:rPr>
                <w:color w:val="000000"/>
                <w:kern w:val="0"/>
                <w:sz w:val="22"/>
                <w:highlight w:val="none"/>
              </w:rPr>
              <w:t>高清电动变焦镜头</w:t>
            </w:r>
          </w:p>
        </w:tc>
        <w:tc>
          <w:tcPr>
            <w:tcW w:w="2739" w:type="dxa"/>
            <w:tcBorders>
              <w:top w:val="single" w:color="auto" w:sz="4" w:space="0"/>
              <w:left w:val="nil"/>
              <w:bottom w:val="single" w:color="auto" w:sz="4" w:space="0"/>
              <w:right w:val="single" w:color="auto" w:sz="4" w:space="0"/>
            </w:tcBorders>
            <w:vAlign w:val="center"/>
          </w:tcPr>
          <w:p w14:paraId="055967CB">
            <w:pPr>
              <w:widowControl/>
              <w:jc w:val="left"/>
              <w:rPr>
                <w:color w:val="000000"/>
                <w:kern w:val="0"/>
                <w:sz w:val="22"/>
                <w:highlight w:val="none"/>
              </w:rPr>
            </w:pPr>
            <w:r>
              <w:rPr>
                <w:color w:val="000000"/>
                <w:kern w:val="0"/>
                <w:sz w:val="22"/>
                <w:highlight w:val="none"/>
              </w:rPr>
              <w:t>PH16x8RG PZF</w:t>
            </w:r>
          </w:p>
        </w:tc>
        <w:tc>
          <w:tcPr>
            <w:tcW w:w="746" w:type="dxa"/>
            <w:tcBorders>
              <w:top w:val="single" w:color="auto" w:sz="4" w:space="0"/>
              <w:left w:val="nil"/>
              <w:bottom w:val="single" w:color="auto" w:sz="4" w:space="0"/>
              <w:right w:val="single" w:color="auto" w:sz="4" w:space="0"/>
            </w:tcBorders>
            <w:vAlign w:val="center"/>
          </w:tcPr>
          <w:p w14:paraId="51EF7863">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6AEA5D28">
            <w:pPr>
              <w:widowControl/>
              <w:jc w:val="center"/>
              <w:rPr>
                <w:color w:val="000000"/>
                <w:kern w:val="0"/>
                <w:sz w:val="22"/>
                <w:highlight w:val="none"/>
              </w:rPr>
            </w:pPr>
            <w:r>
              <w:rPr>
                <w:color w:val="000000"/>
                <w:kern w:val="0"/>
                <w:sz w:val="22"/>
                <w:highlight w:val="none"/>
              </w:rPr>
              <w:t>120</w:t>
            </w:r>
          </w:p>
        </w:tc>
      </w:tr>
      <w:tr w14:paraId="5E62A1CA">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1BDFE688">
            <w:pPr>
              <w:widowControl/>
              <w:jc w:val="center"/>
              <w:rPr>
                <w:b/>
                <w:bCs/>
                <w:color w:val="000000"/>
                <w:kern w:val="0"/>
                <w:sz w:val="22"/>
                <w:highlight w:val="none"/>
              </w:rPr>
            </w:pPr>
            <w:r>
              <w:rPr>
                <w:b/>
                <w:bCs/>
                <w:color w:val="000000"/>
                <w:kern w:val="0"/>
                <w:sz w:val="22"/>
                <w:highlight w:val="none"/>
              </w:rPr>
              <w:t>4</w:t>
            </w:r>
          </w:p>
        </w:tc>
        <w:tc>
          <w:tcPr>
            <w:tcW w:w="1626" w:type="dxa"/>
            <w:tcBorders>
              <w:top w:val="single" w:color="auto" w:sz="4" w:space="0"/>
              <w:left w:val="nil"/>
              <w:bottom w:val="single" w:color="auto" w:sz="4" w:space="0"/>
              <w:right w:val="single" w:color="auto" w:sz="4" w:space="0"/>
            </w:tcBorders>
            <w:vAlign w:val="center"/>
          </w:tcPr>
          <w:p w14:paraId="779BBC48">
            <w:pPr>
              <w:widowControl/>
              <w:jc w:val="left"/>
              <w:rPr>
                <w:b/>
                <w:bCs/>
                <w:color w:val="000000"/>
                <w:kern w:val="0"/>
                <w:sz w:val="22"/>
                <w:highlight w:val="none"/>
              </w:rPr>
            </w:pPr>
            <w:r>
              <w:rPr>
                <w:b/>
                <w:bCs/>
                <w:color w:val="000000"/>
                <w:kern w:val="0"/>
                <w:sz w:val="22"/>
                <w:highlight w:val="none"/>
              </w:rPr>
              <w:t>摄像机防护罩</w:t>
            </w:r>
          </w:p>
        </w:tc>
        <w:tc>
          <w:tcPr>
            <w:tcW w:w="1843" w:type="dxa"/>
            <w:tcBorders>
              <w:top w:val="single" w:color="auto" w:sz="4" w:space="0"/>
              <w:left w:val="nil"/>
              <w:bottom w:val="single" w:color="auto" w:sz="4" w:space="0"/>
              <w:right w:val="single" w:color="auto" w:sz="4" w:space="0"/>
            </w:tcBorders>
            <w:vAlign w:val="center"/>
          </w:tcPr>
          <w:p w14:paraId="2C92FDEF">
            <w:pPr>
              <w:widowControl/>
              <w:jc w:val="left"/>
              <w:rPr>
                <w:b/>
                <w:bCs/>
                <w:color w:val="000000"/>
                <w:kern w:val="0"/>
                <w:sz w:val="22"/>
                <w:highlight w:val="none"/>
              </w:rPr>
            </w:pPr>
            <w:r>
              <w:rPr>
                <w:b/>
                <w:bCs/>
                <w:color w:val="000000"/>
                <w:kern w:val="0"/>
                <w:sz w:val="22"/>
                <w:highlight w:val="none"/>
              </w:rPr>
              <w:t>　</w:t>
            </w:r>
          </w:p>
        </w:tc>
        <w:tc>
          <w:tcPr>
            <w:tcW w:w="2739" w:type="dxa"/>
            <w:tcBorders>
              <w:top w:val="single" w:color="auto" w:sz="4" w:space="0"/>
              <w:left w:val="nil"/>
              <w:bottom w:val="single" w:color="auto" w:sz="4" w:space="0"/>
              <w:right w:val="single" w:color="auto" w:sz="4" w:space="0"/>
            </w:tcBorders>
            <w:vAlign w:val="center"/>
          </w:tcPr>
          <w:p w14:paraId="1E248355">
            <w:pPr>
              <w:widowControl/>
              <w:jc w:val="left"/>
              <w:rPr>
                <w:b/>
                <w:bCs/>
                <w:color w:val="000000"/>
                <w:kern w:val="0"/>
                <w:sz w:val="22"/>
                <w:highlight w:val="none"/>
              </w:rPr>
            </w:pPr>
            <w:r>
              <w:rPr>
                <w:b/>
                <w:bCs/>
                <w:color w:val="000000"/>
                <w:kern w:val="0"/>
                <w:sz w:val="22"/>
                <w:highlight w:val="none"/>
              </w:rPr>
              <w:t>　</w:t>
            </w:r>
          </w:p>
        </w:tc>
        <w:tc>
          <w:tcPr>
            <w:tcW w:w="746" w:type="dxa"/>
            <w:tcBorders>
              <w:top w:val="single" w:color="auto" w:sz="4" w:space="0"/>
              <w:left w:val="nil"/>
              <w:bottom w:val="single" w:color="auto" w:sz="4" w:space="0"/>
              <w:right w:val="single" w:color="auto" w:sz="4" w:space="0"/>
            </w:tcBorders>
            <w:vAlign w:val="center"/>
          </w:tcPr>
          <w:p w14:paraId="79CF0E9F">
            <w:pPr>
              <w:widowControl/>
              <w:jc w:val="left"/>
              <w:rPr>
                <w:b/>
                <w:bCs/>
                <w:color w:val="000000"/>
                <w:kern w:val="0"/>
                <w:sz w:val="22"/>
                <w:highlight w:val="none"/>
              </w:rPr>
            </w:pPr>
            <w:r>
              <w:rPr>
                <w:b/>
                <w:bCs/>
                <w:color w:val="000000"/>
                <w:kern w:val="0"/>
                <w:sz w:val="22"/>
                <w:highlight w:val="none"/>
              </w:rPr>
              <w:t>　</w:t>
            </w:r>
          </w:p>
        </w:tc>
        <w:tc>
          <w:tcPr>
            <w:tcW w:w="563" w:type="dxa"/>
            <w:tcBorders>
              <w:top w:val="single" w:color="auto" w:sz="4" w:space="0"/>
              <w:left w:val="nil"/>
              <w:bottom w:val="single" w:color="auto" w:sz="4" w:space="0"/>
              <w:right w:val="single" w:color="auto" w:sz="4" w:space="0"/>
            </w:tcBorders>
            <w:vAlign w:val="center"/>
          </w:tcPr>
          <w:p w14:paraId="1770D330">
            <w:pPr>
              <w:widowControl/>
              <w:jc w:val="left"/>
              <w:rPr>
                <w:b/>
                <w:bCs/>
                <w:color w:val="000000"/>
                <w:kern w:val="0"/>
                <w:sz w:val="22"/>
                <w:highlight w:val="none"/>
              </w:rPr>
            </w:pPr>
            <w:r>
              <w:rPr>
                <w:b/>
                <w:bCs/>
                <w:color w:val="000000"/>
                <w:kern w:val="0"/>
                <w:sz w:val="22"/>
                <w:highlight w:val="none"/>
              </w:rPr>
              <w:t>　</w:t>
            </w:r>
          </w:p>
        </w:tc>
      </w:tr>
      <w:tr w14:paraId="015DFF34">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08E5BBEC">
            <w:pPr>
              <w:widowControl/>
              <w:jc w:val="center"/>
              <w:rPr>
                <w:color w:val="000000"/>
                <w:kern w:val="0"/>
                <w:sz w:val="22"/>
                <w:highlight w:val="none"/>
              </w:rPr>
            </w:pPr>
            <w:r>
              <w:rPr>
                <w:color w:val="000000"/>
                <w:kern w:val="0"/>
                <w:sz w:val="22"/>
                <w:highlight w:val="none"/>
              </w:rPr>
              <w:t>4.1</w:t>
            </w:r>
          </w:p>
        </w:tc>
        <w:tc>
          <w:tcPr>
            <w:tcW w:w="3469" w:type="dxa"/>
            <w:gridSpan w:val="2"/>
            <w:tcBorders>
              <w:top w:val="single" w:color="auto" w:sz="4" w:space="0"/>
              <w:left w:val="nil"/>
              <w:bottom w:val="single" w:color="auto" w:sz="4" w:space="0"/>
              <w:right w:val="single" w:color="auto" w:sz="4" w:space="0"/>
            </w:tcBorders>
            <w:vAlign w:val="center"/>
          </w:tcPr>
          <w:p w14:paraId="7066F1AC">
            <w:pPr>
              <w:widowControl/>
              <w:jc w:val="left"/>
              <w:rPr>
                <w:color w:val="000000"/>
                <w:kern w:val="0"/>
                <w:sz w:val="22"/>
                <w:highlight w:val="none"/>
              </w:rPr>
            </w:pPr>
            <w:r>
              <w:rPr>
                <w:color w:val="000000"/>
                <w:kern w:val="0"/>
                <w:sz w:val="22"/>
                <w:highlight w:val="none"/>
              </w:rPr>
              <w:t>枪式防护罩(用于微卡口摄像机和丁字路口动点摄像机)</w:t>
            </w:r>
          </w:p>
        </w:tc>
        <w:tc>
          <w:tcPr>
            <w:tcW w:w="2739" w:type="dxa"/>
            <w:tcBorders>
              <w:top w:val="single" w:color="auto" w:sz="4" w:space="0"/>
              <w:left w:val="nil"/>
              <w:bottom w:val="single" w:color="auto" w:sz="4" w:space="0"/>
              <w:right w:val="single" w:color="auto" w:sz="4" w:space="0"/>
            </w:tcBorders>
            <w:vAlign w:val="center"/>
          </w:tcPr>
          <w:p w14:paraId="38524261">
            <w:pPr>
              <w:widowControl/>
              <w:jc w:val="left"/>
              <w:rPr>
                <w:color w:val="000000"/>
                <w:kern w:val="0"/>
                <w:sz w:val="22"/>
                <w:highlight w:val="none"/>
              </w:rPr>
            </w:pPr>
            <w:r>
              <w:rPr>
                <w:color w:val="000000"/>
                <w:kern w:val="0"/>
                <w:sz w:val="22"/>
                <w:highlight w:val="none"/>
              </w:rPr>
              <w:t>ZH118SHKW\F</w:t>
            </w:r>
          </w:p>
        </w:tc>
        <w:tc>
          <w:tcPr>
            <w:tcW w:w="746" w:type="dxa"/>
            <w:tcBorders>
              <w:top w:val="single" w:color="auto" w:sz="4" w:space="0"/>
              <w:left w:val="nil"/>
              <w:bottom w:val="single" w:color="auto" w:sz="4" w:space="0"/>
              <w:right w:val="single" w:color="auto" w:sz="4" w:space="0"/>
            </w:tcBorders>
            <w:vAlign w:val="center"/>
          </w:tcPr>
          <w:p w14:paraId="46C9567C">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vAlign w:val="center"/>
          </w:tcPr>
          <w:p w14:paraId="3507A552">
            <w:pPr>
              <w:widowControl/>
              <w:jc w:val="center"/>
              <w:rPr>
                <w:color w:val="000000"/>
                <w:kern w:val="0"/>
                <w:sz w:val="22"/>
                <w:highlight w:val="none"/>
              </w:rPr>
            </w:pPr>
            <w:r>
              <w:rPr>
                <w:color w:val="000000"/>
                <w:kern w:val="0"/>
                <w:sz w:val="22"/>
                <w:highlight w:val="none"/>
              </w:rPr>
              <w:t>590</w:t>
            </w:r>
          </w:p>
        </w:tc>
      </w:tr>
      <w:tr w14:paraId="7B7FB6DA">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0E141B27">
            <w:pPr>
              <w:widowControl/>
              <w:jc w:val="center"/>
              <w:rPr>
                <w:color w:val="000000"/>
                <w:kern w:val="0"/>
                <w:sz w:val="22"/>
                <w:highlight w:val="none"/>
              </w:rPr>
            </w:pPr>
            <w:r>
              <w:rPr>
                <w:color w:val="000000"/>
                <w:kern w:val="0"/>
                <w:sz w:val="22"/>
                <w:highlight w:val="none"/>
              </w:rPr>
              <w:t>4.2</w:t>
            </w:r>
          </w:p>
        </w:tc>
        <w:tc>
          <w:tcPr>
            <w:tcW w:w="3469" w:type="dxa"/>
            <w:gridSpan w:val="2"/>
            <w:tcBorders>
              <w:top w:val="single" w:color="auto" w:sz="4" w:space="0"/>
              <w:left w:val="nil"/>
              <w:bottom w:val="single" w:color="auto" w:sz="4" w:space="0"/>
              <w:right w:val="single" w:color="auto" w:sz="4" w:space="0"/>
            </w:tcBorders>
            <w:vAlign w:val="center"/>
          </w:tcPr>
          <w:p w14:paraId="34624F8E">
            <w:pPr>
              <w:widowControl/>
              <w:jc w:val="left"/>
              <w:rPr>
                <w:color w:val="000000"/>
                <w:kern w:val="0"/>
                <w:sz w:val="22"/>
                <w:highlight w:val="none"/>
              </w:rPr>
            </w:pPr>
            <w:r>
              <w:rPr>
                <w:color w:val="000000"/>
                <w:kern w:val="0"/>
                <w:sz w:val="22"/>
                <w:highlight w:val="none"/>
              </w:rPr>
              <w:t>7寸球形防护罩(用于路段非微卡口摄像机)</w:t>
            </w:r>
          </w:p>
        </w:tc>
        <w:tc>
          <w:tcPr>
            <w:tcW w:w="2739" w:type="dxa"/>
            <w:tcBorders>
              <w:top w:val="single" w:color="auto" w:sz="4" w:space="0"/>
              <w:left w:val="nil"/>
              <w:bottom w:val="single" w:color="auto" w:sz="4" w:space="0"/>
              <w:right w:val="single" w:color="auto" w:sz="4" w:space="0"/>
            </w:tcBorders>
            <w:vAlign w:val="center"/>
          </w:tcPr>
          <w:p w14:paraId="3A92DC41">
            <w:pPr>
              <w:widowControl/>
              <w:jc w:val="left"/>
              <w:rPr>
                <w:color w:val="000000"/>
                <w:kern w:val="0"/>
                <w:sz w:val="22"/>
                <w:highlight w:val="none"/>
              </w:rPr>
            </w:pPr>
            <w:r>
              <w:rPr>
                <w:color w:val="000000"/>
                <w:kern w:val="0"/>
                <w:sz w:val="22"/>
                <w:highlight w:val="none"/>
              </w:rPr>
              <w:t>ZQ507E</w:t>
            </w:r>
          </w:p>
        </w:tc>
        <w:tc>
          <w:tcPr>
            <w:tcW w:w="746" w:type="dxa"/>
            <w:tcBorders>
              <w:top w:val="single" w:color="auto" w:sz="4" w:space="0"/>
              <w:left w:val="nil"/>
              <w:bottom w:val="single" w:color="auto" w:sz="4" w:space="0"/>
              <w:right w:val="single" w:color="auto" w:sz="4" w:space="0"/>
            </w:tcBorders>
            <w:vAlign w:val="center"/>
          </w:tcPr>
          <w:p w14:paraId="2F188DC2">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vAlign w:val="center"/>
          </w:tcPr>
          <w:p w14:paraId="5C030911">
            <w:pPr>
              <w:widowControl/>
              <w:jc w:val="center"/>
              <w:rPr>
                <w:color w:val="000000"/>
                <w:kern w:val="0"/>
                <w:sz w:val="22"/>
                <w:highlight w:val="none"/>
              </w:rPr>
            </w:pPr>
            <w:r>
              <w:rPr>
                <w:color w:val="000000"/>
                <w:kern w:val="0"/>
                <w:sz w:val="22"/>
                <w:highlight w:val="none"/>
              </w:rPr>
              <w:t>114</w:t>
            </w:r>
          </w:p>
        </w:tc>
      </w:tr>
      <w:tr w14:paraId="796CE43D">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6D96B5B0">
            <w:pPr>
              <w:widowControl/>
              <w:jc w:val="center"/>
              <w:rPr>
                <w:color w:val="000000"/>
                <w:kern w:val="0"/>
                <w:sz w:val="22"/>
                <w:highlight w:val="none"/>
              </w:rPr>
            </w:pPr>
            <w:r>
              <w:rPr>
                <w:color w:val="000000"/>
                <w:kern w:val="0"/>
                <w:sz w:val="22"/>
                <w:highlight w:val="none"/>
              </w:rPr>
              <w:t>4.3</w:t>
            </w:r>
          </w:p>
        </w:tc>
        <w:tc>
          <w:tcPr>
            <w:tcW w:w="3469" w:type="dxa"/>
            <w:gridSpan w:val="2"/>
            <w:tcBorders>
              <w:top w:val="single" w:color="auto" w:sz="4" w:space="0"/>
              <w:left w:val="nil"/>
              <w:bottom w:val="single" w:color="auto" w:sz="4" w:space="0"/>
              <w:right w:val="single" w:color="auto" w:sz="4" w:space="0"/>
            </w:tcBorders>
            <w:vAlign w:val="center"/>
          </w:tcPr>
          <w:p w14:paraId="49C521BD">
            <w:pPr>
              <w:widowControl/>
              <w:jc w:val="left"/>
              <w:rPr>
                <w:color w:val="000000"/>
                <w:kern w:val="0"/>
                <w:sz w:val="22"/>
                <w:highlight w:val="none"/>
              </w:rPr>
            </w:pPr>
            <w:r>
              <w:rPr>
                <w:color w:val="000000"/>
                <w:kern w:val="0"/>
                <w:sz w:val="22"/>
                <w:highlight w:val="none"/>
              </w:rPr>
              <w:t>定制球形防护罩(用于路口杆体顶端)</w:t>
            </w:r>
          </w:p>
        </w:tc>
        <w:tc>
          <w:tcPr>
            <w:tcW w:w="2739" w:type="dxa"/>
            <w:tcBorders>
              <w:top w:val="single" w:color="auto" w:sz="4" w:space="0"/>
              <w:left w:val="nil"/>
              <w:bottom w:val="single" w:color="auto" w:sz="4" w:space="0"/>
              <w:right w:val="single" w:color="auto" w:sz="4" w:space="0"/>
            </w:tcBorders>
            <w:vAlign w:val="center"/>
          </w:tcPr>
          <w:p w14:paraId="2AAC32CB">
            <w:pPr>
              <w:widowControl/>
              <w:jc w:val="left"/>
              <w:rPr>
                <w:color w:val="000000"/>
                <w:kern w:val="0"/>
                <w:sz w:val="22"/>
                <w:highlight w:val="none"/>
              </w:rPr>
            </w:pPr>
            <w:r>
              <w:rPr>
                <w:color w:val="000000"/>
                <w:kern w:val="0"/>
                <w:sz w:val="22"/>
                <w:highlight w:val="none"/>
              </w:rPr>
              <w:t>ZQ150</w:t>
            </w:r>
          </w:p>
        </w:tc>
        <w:tc>
          <w:tcPr>
            <w:tcW w:w="746" w:type="dxa"/>
            <w:tcBorders>
              <w:top w:val="single" w:color="auto" w:sz="4" w:space="0"/>
              <w:left w:val="nil"/>
              <w:bottom w:val="single" w:color="auto" w:sz="4" w:space="0"/>
              <w:right w:val="single" w:color="auto" w:sz="4" w:space="0"/>
            </w:tcBorders>
            <w:vAlign w:val="center"/>
          </w:tcPr>
          <w:p w14:paraId="2B255523">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vAlign w:val="center"/>
          </w:tcPr>
          <w:p w14:paraId="523FECD1">
            <w:pPr>
              <w:widowControl/>
              <w:jc w:val="center"/>
              <w:rPr>
                <w:color w:val="000000"/>
                <w:kern w:val="0"/>
                <w:sz w:val="22"/>
                <w:highlight w:val="none"/>
              </w:rPr>
            </w:pPr>
            <w:r>
              <w:rPr>
                <w:color w:val="000000"/>
                <w:kern w:val="0"/>
                <w:sz w:val="22"/>
                <w:highlight w:val="none"/>
              </w:rPr>
              <w:t>54</w:t>
            </w:r>
          </w:p>
        </w:tc>
      </w:tr>
      <w:tr w14:paraId="31EA3001">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617D01F4">
            <w:pPr>
              <w:widowControl/>
              <w:jc w:val="center"/>
              <w:rPr>
                <w:b/>
                <w:bCs/>
                <w:color w:val="000000"/>
                <w:kern w:val="0"/>
                <w:sz w:val="22"/>
                <w:highlight w:val="none"/>
              </w:rPr>
            </w:pPr>
            <w:r>
              <w:rPr>
                <w:b/>
                <w:bCs/>
                <w:color w:val="000000"/>
                <w:kern w:val="0"/>
                <w:sz w:val="22"/>
                <w:highlight w:val="none"/>
              </w:rPr>
              <w:t>5</w:t>
            </w:r>
          </w:p>
        </w:tc>
        <w:tc>
          <w:tcPr>
            <w:tcW w:w="1626" w:type="dxa"/>
            <w:tcBorders>
              <w:top w:val="single" w:color="auto" w:sz="4" w:space="0"/>
              <w:left w:val="nil"/>
              <w:bottom w:val="single" w:color="auto" w:sz="4" w:space="0"/>
              <w:right w:val="single" w:color="auto" w:sz="4" w:space="0"/>
            </w:tcBorders>
            <w:vAlign w:val="center"/>
          </w:tcPr>
          <w:p w14:paraId="13C0C8FB">
            <w:pPr>
              <w:widowControl/>
              <w:jc w:val="left"/>
              <w:rPr>
                <w:b/>
                <w:bCs/>
                <w:color w:val="000000"/>
                <w:kern w:val="0"/>
                <w:sz w:val="22"/>
                <w:highlight w:val="none"/>
              </w:rPr>
            </w:pPr>
            <w:r>
              <w:rPr>
                <w:b/>
                <w:bCs/>
                <w:color w:val="000000"/>
                <w:kern w:val="0"/>
                <w:sz w:val="22"/>
                <w:highlight w:val="none"/>
              </w:rPr>
              <w:t>摄像机云台</w:t>
            </w:r>
          </w:p>
        </w:tc>
        <w:tc>
          <w:tcPr>
            <w:tcW w:w="1843" w:type="dxa"/>
            <w:tcBorders>
              <w:top w:val="single" w:color="auto" w:sz="4" w:space="0"/>
              <w:left w:val="nil"/>
              <w:bottom w:val="single" w:color="auto" w:sz="4" w:space="0"/>
              <w:right w:val="single" w:color="auto" w:sz="4" w:space="0"/>
            </w:tcBorders>
            <w:vAlign w:val="center"/>
          </w:tcPr>
          <w:p w14:paraId="65EB08C4">
            <w:pPr>
              <w:widowControl/>
              <w:jc w:val="left"/>
              <w:rPr>
                <w:b/>
                <w:bCs/>
                <w:color w:val="000000"/>
                <w:kern w:val="0"/>
                <w:sz w:val="22"/>
                <w:highlight w:val="none"/>
              </w:rPr>
            </w:pPr>
            <w:r>
              <w:rPr>
                <w:b/>
                <w:bCs/>
                <w:color w:val="000000"/>
                <w:kern w:val="0"/>
                <w:sz w:val="22"/>
                <w:highlight w:val="none"/>
              </w:rPr>
              <w:t>　</w:t>
            </w:r>
          </w:p>
        </w:tc>
        <w:tc>
          <w:tcPr>
            <w:tcW w:w="2739" w:type="dxa"/>
            <w:tcBorders>
              <w:top w:val="single" w:color="auto" w:sz="4" w:space="0"/>
              <w:left w:val="nil"/>
              <w:bottom w:val="single" w:color="auto" w:sz="4" w:space="0"/>
              <w:right w:val="single" w:color="auto" w:sz="4" w:space="0"/>
            </w:tcBorders>
            <w:vAlign w:val="center"/>
          </w:tcPr>
          <w:p w14:paraId="04BC4144">
            <w:pPr>
              <w:widowControl/>
              <w:jc w:val="left"/>
              <w:rPr>
                <w:b/>
                <w:bCs/>
                <w:color w:val="000000"/>
                <w:kern w:val="0"/>
                <w:sz w:val="22"/>
                <w:highlight w:val="none"/>
              </w:rPr>
            </w:pPr>
            <w:r>
              <w:rPr>
                <w:b/>
                <w:bCs/>
                <w:color w:val="000000"/>
                <w:kern w:val="0"/>
                <w:sz w:val="22"/>
                <w:highlight w:val="none"/>
              </w:rPr>
              <w:t>　</w:t>
            </w:r>
          </w:p>
        </w:tc>
        <w:tc>
          <w:tcPr>
            <w:tcW w:w="746" w:type="dxa"/>
            <w:tcBorders>
              <w:top w:val="single" w:color="auto" w:sz="4" w:space="0"/>
              <w:left w:val="nil"/>
              <w:bottom w:val="single" w:color="auto" w:sz="4" w:space="0"/>
              <w:right w:val="single" w:color="auto" w:sz="4" w:space="0"/>
            </w:tcBorders>
            <w:vAlign w:val="center"/>
          </w:tcPr>
          <w:p w14:paraId="45207D0F">
            <w:pPr>
              <w:widowControl/>
              <w:jc w:val="left"/>
              <w:rPr>
                <w:b/>
                <w:bCs/>
                <w:color w:val="000000"/>
                <w:kern w:val="0"/>
                <w:sz w:val="22"/>
                <w:highlight w:val="none"/>
              </w:rPr>
            </w:pPr>
            <w:r>
              <w:rPr>
                <w:b/>
                <w:bCs/>
                <w:color w:val="000000"/>
                <w:kern w:val="0"/>
                <w:sz w:val="22"/>
                <w:highlight w:val="none"/>
              </w:rPr>
              <w:t>　</w:t>
            </w:r>
          </w:p>
        </w:tc>
        <w:tc>
          <w:tcPr>
            <w:tcW w:w="563" w:type="dxa"/>
            <w:tcBorders>
              <w:top w:val="single" w:color="auto" w:sz="4" w:space="0"/>
              <w:left w:val="nil"/>
              <w:bottom w:val="single" w:color="auto" w:sz="4" w:space="0"/>
              <w:right w:val="single" w:color="auto" w:sz="4" w:space="0"/>
            </w:tcBorders>
            <w:vAlign w:val="center"/>
          </w:tcPr>
          <w:p w14:paraId="0A6A7A80">
            <w:pPr>
              <w:widowControl/>
              <w:jc w:val="left"/>
              <w:rPr>
                <w:b/>
                <w:bCs/>
                <w:color w:val="000000"/>
                <w:kern w:val="0"/>
                <w:sz w:val="22"/>
                <w:highlight w:val="none"/>
              </w:rPr>
            </w:pPr>
            <w:r>
              <w:rPr>
                <w:b/>
                <w:bCs/>
                <w:color w:val="000000"/>
                <w:kern w:val="0"/>
                <w:sz w:val="22"/>
                <w:highlight w:val="none"/>
              </w:rPr>
              <w:t>　</w:t>
            </w:r>
          </w:p>
        </w:tc>
      </w:tr>
      <w:tr w14:paraId="4852DE7B">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0040765A">
            <w:pPr>
              <w:widowControl/>
              <w:jc w:val="center"/>
              <w:rPr>
                <w:color w:val="000000"/>
                <w:kern w:val="0"/>
                <w:sz w:val="22"/>
                <w:highlight w:val="none"/>
              </w:rPr>
            </w:pPr>
            <w:r>
              <w:rPr>
                <w:color w:val="000000"/>
                <w:kern w:val="0"/>
                <w:sz w:val="22"/>
                <w:highlight w:val="none"/>
              </w:rPr>
              <w:t>5.1</w:t>
            </w:r>
          </w:p>
        </w:tc>
        <w:tc>
          <w:tcPr>
            <w:tcW w:w="3469" w:type="dxa"/>
            <w:gridSpan w:val="2"/>
            <w:tcBorders>
              <w:top w:val="single" w:color="auto" w:sz="4" w:space="0"/>
              <w:left w:val="nil"/>
              <w:bottom w:val="single" w:color="auto" w:sz="4" w:space="0"/>
              <w:right w:val="single" w:color="auto" w:sz="4" w:space="0"/>
            </w:tcBorders>
            <w:vAlign w:val="center"/>
          </w:tcPr>
          <w:p w14:paraId="440901F5">
            <w:pPr>
              <w:widowControl/>
              <w:jc w:val="left"/>
              <w:rPr>
                <w:color w:val="000000"/>
                <w:kern w:val="0"/>
                <w:sz w:val="22"/>
                <w:highlight w:val="none"/>
              </w:rPr>
            </w:pPr>
            <w:r>
              <w:rPr>
                <w:color w:val="000000"/>
                <w:kern w:val="0"/>
                <w:sz w:val="22"/>
                <w:highlight w:val="none"/>
              </w:rPr>
              <w:t>高速顶载云台(用于路口杆体顶端)</w:t>
            </w:r>
          </w:p>
        </w:tc>
        <w:tc>
          <w:tcPr>
            <w:tcW w:w="2739" w:type="dxa"/>
            <w:tcBorders>
              <w:top w:val="single" w:color="auto" w:sz="4" w:space="0"/>
              <w:left w:val="nil"/>
              <w:bottom w:val="single" w:color="auto" w:sz="4" w:space="0"/>
              <w:right w:val="single" w:color="auto" w:sz="4" w:space="0"/>
            </w:tcBorders>
            <w:vAlign w:val="center"/>
          </w:tcPr>
          <w:p w14:paraId="289CF4BD">
            <w:pPr>
              <w:widowControl/>
              <w:jc w:val="left"/>
              <w:rPr>
                <w:color w:val="000000"/>
                <w:kern w:val="0"/>
                <w:sz w:val="22"/>
                <w:highlight w:val="none"/>
              </w:rPr>
            </w:pPr>
            <w:r>
              <w:rPr>
                <w:color w:val="000000"/>
                <w:kern w:val="0"/>
                <w:sz w:val="22"/>
                <w:highlight w:val="none"/>
              </w:rPr>
              <w:t>ZY151</w:t>
            </w:r>
          </w:p>
        </w:tc>
        <w:tc>
          <w:tcPr>
            <w:tcW w:w="746" w:type="dxa"/>
            <w:tcBorders>
              <w:top w:val="single" w:color="auto" w:sz="4" w:space="0"/>
              <w:left w:val="nil"/>
              <w:bottom w:val="single" w:color="auto" w:sz="4" w:space="0"/>
              <w:right w:val="single" w:color="auto" w:sz="4" w:space="0"/>
            </w:tcBorders>
            <w:vAlign w:val="center"/>
          </w:tcPr>
          <w:p w14:paraId="2865CBA1">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6441B893">
            <w:pPr>
              <w:widowControl/>
              <w:jc w:val="center"/>
              <w:rPr>
                <w:color w:val="000000"/>
                <w:kern w:val="0"/>
                <w:sz w:val="22"/>
                <w:highlight w:val="none"/>
              </w:rPr>
            </w:pPr>
            <w:r>
              <w:rPr>
                <w:color w:val="000000"/>
                <w:kern w:val="0"/>
                <w:sz w:val="22"/>
                <w:highlight w:val="none"/>
              </w:rPr>
              <w:t>53</w:t>
            </w:r>
          </w:p>
        </w:tc>
      </w:tr>
      <w:tr w14:paraId="0AE88C12">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2E2DF0EC">
            <w:pPr>
              <w:widowControl/>
              <w:jc w:val="center"/>
              <w:rPr>
                <w:color w:val="000000"/>
                <w:kern w:val="0"/>
                <w:sz w:val="22"/>
                <w:highlight w:val="none"/>
              </w:rPr>
            </w:pPr>
            <w:r>
              <w:rPr>
                <w:color w:val="000000"/>
                <w:kern w:val="0"/>
                <w:sz w:val="22"/>
                <w:highlight w:val="none"/>
              </w:rPr>
              <w:t>5.2</w:t>
            </w:r>
          </w:p>
        </w:tc>
        <w:tc>
          <w:tcPr>
            <w:tcW w:w="3469" w:type="dxa"/>
            <w:gridSpan w:val="2"/>
            <w:tcBorders>
              <w:top w:val="single" w:color="auto" w:sz="4" w:space="0"/>
              <w:left w:val="nil"/>
              <w:bottom w:val="single" w:color="auto" w:sz="4" w:space="0"/>
              <w:right w:val="single" w:color="auto" w:sz="4" w:space="0"/>
            </w:tcBorders>
            <w:vAlign w:val="center"/>
          </w:tcPr>
          <w:p w14:paraId="33805837">
            <w:pPr>
              <w:widowControl/>
              <w:jc w:val="left"/>
              <w:rPr>
                <w:color w:val="000000"/>
                <w:kern w:val="0"/>
                <w:sz w:val="22"/>
                <w:highlight w:val="none"/>
              </w:rPr>
            </w:pPr>
            <w:r>
              <w:rPr>
                <w:color w:val="000000"/>
                <w:kern w:val="0"/>
                <w:sz w:val="22"/>
                <w:highlight w:val="none"/>
              </w:rPr>
              <w:t>高速顶载云台(用于路口杆臂)</w:t>
            </w:r>
          </w:p>
        </w:tc>
        <w:tc>
          <w:tcPr>
            <w:tcW w:w="2739" w:type="dxa"/>
            <w:tcBorders>
              <w:top w:val="single" w:color="auto" w:sz="4" w:space="0"/>
              <w:left w:val="nil"/>
              <w:bottom w:val="single" w:color="auto" w:sz="4" w:space="0"/>
              <w:right w:val="single" w:color="auto" w:sz="4" w:space="0"/>
            </w:tcBorders>
            <w:vAlign w:val="center"/>
          </w:tcPr>
          <w:p w14:paraId="5DC4FE96">
            <w:pPr>
              <w:widowControl/>
              <w:jc w:val="left"/>
              <w:rPr>
                <w:color w:val="000000"/>
                <w:kern w:val="0"/>
                <w:sz w:val="22"/>
                <w:highlight w:val="none"/>
              </w:rPr>
            </w:pPr>
            <w:r>
              <w:rPr>
                <w:color w:val="000000"/>
                <w:kern w:val="0"/>
                <w:sz w:val="22"/>
                <w:highlight w:val="none"/>
              </w:rPr>
              <w:t>HZY520M\ZY520M</w:t>
            </w:r>
          </w:p>
        </w:tc>
        <w:tc>
          <w:tcPr>
            <w:tcW w:w="746" w:type="dxa"/>
            <w:tcBorders>
              <w:top w:val="single" w:color="auto" w:sz="4" w:space="0"/>
              <w:left w:val="nil"/>
              <w:bottom w:val="single" w:color="auto" w:sz="4" w:space="0"/>
              <w:right w:val="single" w:color="auto" w:sz="4" w:space="0"/>
            </w:tcBorders>
            <w:vAlign w:val="center"/>
          </w:tcPr>
          <w:p w14:paraId="69679AB4">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46A6DFE7">
            <w:pPr>
              <w:widowControl/>
              <w:jc w:val="center"/>
              <w:rPr>
                <w:color w:val="000000"/>
                <w:kern w:val="0"/>
                <w:sz w:val="22"/>
                <w:highlight w:val="none"/>
              </w:rPr>
            </w:pPr>
            <w:r>
              <w:rPr>
                <w:color w:val="000000"/>
                <w:kern w:val="0"/>
                <w:sz w:val="22"/>
                <w:highlight w:val="none"/>
              </w:rPr>
              <w:t>67</w:t>
            </w:r>
          </w:p>
        </w:tc>
      </w:tr>
      <w:tr w14:paraId="1C9EC086">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16523847">
            <w:pPr>
              <w:widowControl/>
              <w:jc w:val="center"/>
              <w:rPr>
                <w:b/>
                <w:bCs/>
                <w:color w:val="000000"/>
                <w:kern w:val="0"/>
                <w:sz w:val="22"/>
                <w:highlight w:val="none"/>
              </w:rPr>
            </w:pPr>
            <w:r>
              <w:rPr>
                <w:b/>
                <w:bCs/>
                <w:color w:val="000000"/>
                <w:kern w:val="0"/>
                <w:sz w:val="22"/>
                <w:highlight w:val="none"/>
              </w:rPr>
              <w:t>6</w:t>
            </w:r>
          </w:p>
        </w:tc>
        <w:tc>
          <w:tcPr>
            <w:tcW w:w="1626" w:type="dxa"/>
            <w:tcBorders>
              <w:top w:val="single" w:color="auto" w:sz="4" w:space="0"/>
              <w:left w:val="nil"/>
              <w:bottom w:val="single" w:color="auto" w:sz="4" w:space="0"/>
              <w:right w:val="single" w:color="auto" w:sz="4" w:space="0"/>
            </w:tcBorders>
            <w:vAlign w:val="center"/>
          </w:tcPr>
          <w:p w14:paraId="6B45B5EF">
            <w:pPr>
              <w:widowControl/>
              <w:jc w:val="left"/>
              <w:rPr>
                <w:b/>
                <w:bCs/>
                <w:color w:val="000000"/>
                <w:kern w:val="0"/>
                <w:sz w:val="22"/>
                <w:highlight w:val="none"/>
              </w:rPr>
            </w:pPr>
            <w:r>
              <w:rPr>
                <w:b/>
                <w:bCs/>
                <w:color w:val="000000"/>
                <w:kern w:val="0"/>
                <w:sz w:val="22"/>
                <w:highlight w:val="none"/>
              </w:rPr>
              <w:t>抱杆机箱及配件</w:t>
            </w:r>
          </w:p>
        </w:tc>
        <w:tc>
          <w:tcPr>
            <w:tcW w:w="1843" w:type="dxa"/>
            <w:tcBorders>
              <w:top w:val="single" w:color="auto" w:sz="4" w:space="0"/>
              <w:left w:val="nil"/>
              <w:bottom w:val="single" w:color="auto" w:sz="4" w:space="0"/>
              <w:right w:val="single" w:color="auto" w:sz="4" w:space="0"/>
            </w:tcBorders>
            <w:vAlign w:val="center"/>
          </w:tcPr>
          <w:p w14:paraId="6C61903A">
            <w:pPr>
              <w:widowControl/>
              <w:jc w:val="left"/>
              <w:rPr>
                <w:b/>
                <w:bCs/>
                <w:color w:val="000000"/>
                <w:kern w:val="0"/>
                <w:sz w:val="22"/>
                <w:highlight w:val="none"/>
              </w:rPr>
            </w:pPr>
            <w:r>
              <w:rPr>
                <w:b/>
                <w:bCs/>
                <w:color w:val="000000"/>
                <w:kern w:val="0"/>
                <w:sz w:val="22"/>
                <w:highlight w:val="none"/>
              </w:rPr>
              <w:t>　</w:t>
            </w:r>
          </w:p>
        </w:tc>
        <w:tc>
          <w:tcPr>
            <w:tcW w:w="2739" w:type="dxa"/>
            <w:tcBorders>
              <w:top w:val="single" w:color="auto" w:sz="4" w:space="0"/>
              <w:left w:val="nil"/>
              <w:bottom w:val="single" w:color="auto" w:sz="4" w:space="0"/>
              <w:right w:val="single" w:color="auto" w:sz="4" w:space="0"/>
            </w:tcBorders>
            <w:vAlign w:val="center"/>
          </w:tcPr>
          <w:p w14:paraId="75E6EB64">
            <w:pPr>
              <w:widowControl/>
              <w:jc w:val="left"/>
              <w:rPr>
                <w:b/>
                <w:bCs/>
                <w:color w:val="000000"/>
                <w:kern w:val="0"/>
                <w:sz w:val="22"/>
                <w:highlight w:val="none"/>
              </w:rPr>
            </w:pPr>
            <w:r>
              <w:rPr>
                <w:b/>
                <w:bCs/>
                <w:color w:val="000000"/>
                <w:kern w:val="0"/>
                <w:sz w:val="22"/>
                <w:highlight w:val="none"/>
              </w:rPr>
              <w:t>　</w:t>
            </w:r>
          </w:p>
        </w:tc>
        <w:tc>
          <w:tcPr>
            <w:tcW w:w="746" w:type="dxa"/>
            <w:tcBorders>
              <w:top w:val="single" w:color="auto" w:sz="4" w:space="0"/>
              <w:left w:val="nil"/>
              <w:bottom w:val="single" w:color="auto" w:sz="4" w:space="0"/>
              <w:right w:val="single" w:color="auto" w:sz="4" w:space="0"/>
            </w:tcBorders>
            <w:vAlign w:val="center"/>
          </w:tcPr>
          <w:p w14:paraId="36E151F1">
            <w:pPr>
              <w:widowControl/>
              <w:jc w:val="left"/>
              <w:rPr>
                <w:b/>
                <w:bCs/>
                <w:color w:val="000000"/>
                <w:kern w:val="0"/>
                <w:sz w:val="22"/>
                <w:highlight w:val="none"/>
              </w:rPr>
            </w:pPr>
            <w:r>
              <w:rPr>
                <w:b/>
                <w:bCs/>
                <w:color w:val="000000"/>
                <w:kern w:val="0"/>
                <w:sz w:val="22"/>
                <w:highlight w:val="none"/>
              </w:rPr>
              <w:t>　</w:t>
            </w:r>
          </w:p>
        </w:tc>
        <w:tc>
          <w:tcPr>
            <w:tcW w:w="563" w:type="dxa"/>
            <w:tcBorders>
              <w:top w:val="single" w:color="auto" w:sz="4" w:space="0"/>
              <w:left w:val="nil"/>
              <w:bottom w:val="single" w:color="auto" w:sz="4" w:space="0"/>
              <w:right w:val="single" w:color="auto" w:sz="4" w:space="0"/>
            </w:tcBorders>
            <w:vAlign w:val="center"/>
          </w:tcPr>
          <w:p w14:paraId="7D1152B4">
            <w:pPr>
              <w:widowControl/>
              <w:jc w:val="left"/>
              <w:rPr>
                <w:b/>
                <w:bCs/>
                <w:color w:val="000000"/>
                <w:kern w:val="0"/>
                <w:sz w:val="22"/>
                <w:highlight w:val="none"/>
              </w:rPr>
            </w:pPr>
            <w:r>
              <w:rPr>
                <w:b/>
                <w:bCs/>
                <w:color w:val="000000"/>
                <w:kern w:val="0"/>
                <w:sz w:val="22"/>
                <w:highlight w:val="none"/>
              </w:rPr>
              <w:t>　</w:t>
            </w:r>
          </w:p>
        </w:tc>
      </w:tr>
      <w:tr w14:paraId="0EB16193">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114C9559">
            <w:pPr>
              <w:widowControl/>
              <w:jc w:val="center"/>
              <w:rPr>
                <w:color w:val="000000"/>
                <w:kern w:val="0"/>
                <w:sz w:val="22"/>
                <w:highlight w:val="none"/>
              </w:rPr>
            </w:pPr>
            <w:r>
              <w:rPr>
                <w:color w:val="000000"/>
                <w:kern w:val="0"/>
                <w:sz w:val="22"/>
                <w:highlight w:val="none"/>
              </w:rPr>
              <w:t>6.1</w:t>
            </w:r>
          </w:p>
        </w:tc>
        <w:tc>
          <w:tcPr>
            <w:tcW w:w="3469" w:type="dxa"/>
            <w:gridSpan w:val="2"/>
            <w:tcBorders>
              <w:top w:val="single" w:color="auto" w:sz="4" w:space="0"/>
              <w:left w:val="nil"/>
              <w:bottom w:val="single" w:color="auto" w:sz="4" w:space="0"/>
              <w:right w:val="single" w:color="auto" w:sz="4" w:space="0"/>
            </w:tcBorders>
            <w:vAlign w:val="center"/>
          </w:tcPr>
          <w:p w14:paraId="420A2171">
            <w:pPr>
              <w:widowControl/>
              <w:jc w:val="left"/>
              <w:rPr>
                <w:color w:val="000000"/>
                <w:kern w:val="0"/>
                <w:sz w:val="22"/>
                <w:highlight w:val="none"/>
              </w:rPr>
            </w:pPr>
            <w:r>
              <w:rPr>
                <w:color w:val="000000"/>
                <w:kern w:val="0"/>
                <w:sz w:val="22"/>
                <w:highlight w:val="none"/>
              </w:rPr>
              <w:t>室外分线箱</w:t>
            </w:r>
          </w:p>
        </w:tc>
        <w:tc>
          <w:tcPr>
            <w:tcW w:w="2739" w:type="dxa"/>
            <w:tcBorders>
              <w:top w:val="single" w:color="auto" w:sz="4" w:space="0"/>
              <w:left w:val="nil"/>
              <w:bottom w:val="single" w:color="auto" w:sz="4" w:space="0"/>
              <w:right w:val="single" w:color="auto" w:sz="4" w:space="0"/>
            </w:tcBorders>
            <w:vAlign w:val="center"/>
          </w:tcPr>
          <w:p w14:paraId="19B1C90A">
            <w:pPr>
              <w:widowControl/>
              <w:jc w:val="left"/>
              <w:rPr>
                <w:color w:val="000000"/>
                <w:kern w:val="0"/>
                <w:sz w:val="22"/>
                <w:highlight w:val="none"/>
              </w:rPr>
            </w:pPr>
            <w:r>
              <w:rPr>
                <w:color w:val="000000"/>
                <w:kern w:val="0"/>
                <w:sz w:val="22"/>
                <w:highlight w:val="none"/>
              </w:rPr>
              <w:t>800mm×350mm×180mm</w:t>
            </w:r>
          </w:p>
        </w:tc>
        <w:tc>
          <w:tcPr>
            <w:tcW w:w="746" w:type="dxa"/>
            <w:tcBorders>
              <w:top w:val="single" w:color="auto" w:sz="4" w:space="0"/>
              <w:left w:val="nil"/>
              <w:bottom w:val="single" w:color="auto" w:sz="4" w:space="0"/>
              <w:right w:val="single" w:color="auto" w:sz="4" w:space="0"/>
            </w:tcBorders>
            <w:vAlign w:val="center"/>
          </w:tcPr>
          <w:p w14:paraId="547A4811">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vAlign w:val="center"/>
          </w:tcPr>
          <w:p w14:paraId="722BA04B">
            <w:pPr>
              <w:widowControl/>
              <w:jc w:val="center"/>
              <w:rPr>
                <w:color w:val="000000"/>
                <w:kern w:val="0"/>
                <w:sz w:val="22"/>
                <w:highlight w:val="none"/>
              </w:rPr>
            </w:pPr>
            <w:r>
              <w:rPr>
                <w:color w:val="000000"/>
                <w:kern w:val="0"/>
                <w:sz w:val="22"/>
                <w:highlight w:val="none"/>
              </w:rPr>
              <w:t>257</w:t>
            </w:r>
          </w:p>
        </w:tc>
      </w:tr>
      <w:tr w14:paraId="5859D0AC">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45F8EF7C">
            <w:pPr>
              <w:widowControl/>
              <w:jc w:val="center"/>
              <w:rPr>
                <w:color w:val="000000"/>
                <w:kern w:val="0"/>
                <w:sz w:val="22"/>
                <w:highlight w:val="none"/>
              </w:rPr>
            </w:pPr>
            <w:r>
              <w:rPr>
                <w:color w:val="000000"/>
                <w:kern w:val="0"/>
                <w:sz w:val="22"/>
                <w:highlight w:val="none"/>
              </w:rPr>
              <w:t>6.2</w:t>
            </w:r>
          </w:p>
        </w:tc>
        <w:tc>
          <w:tcPr>
            <w:tcW w:w="3469" w:type="dxa"/>
            <w:gridSpan w:val="2"/>
            <w:tcBorders>
              <w:top w:val="single" w:color="auto" w:sz="4" w:space="0"/>
              <w:left w:val="nil"/>
              <w:bottom w:val="single" w:color="auto" w:sz="4" w:space="0"/>
              <w:right w:val="single" w:color="auto" w:sz="4" w:space="0"/>
            </w:tcBorders>
            <w:vAlign w:val="center"/>
          </w:tcPr>
          <w:p w14:paraId="7A0852E4">
            <w:pPr>
              <w:widowControl/>
              <w:jc w:val="left"/>
              <w:rPr>
                <w:color w:val="000000"/>
                <w:kern w:val="0"/>
                <w:sz w:val="22"/>
                <w:highlight w:val="none"/>
              </w:rPr>
            </w:pPr>
            <w:r>
              <w:rPr>
                <w:color w:val="000000"/>
                <w:kern w:val="0"/>
                <w:sz w:val="22"/>
                <w:highlight w:val="none"/>
              </w:rPr>
              <w:t>PDU电源插座(放于室外分线箱内)</w:t>
            </w:r>
          </w:p>
        </w:tc>
        <w:tc>
          <w:tcPr>
            <w:tcW w:w="2739" w:type="dxa"/>
            <w:tcBorders>
              <w:top w:val="single" w:color="auto" w:sz="4" w:space="0"/>
              <w:left w:val="nil"/>
              <w:bottom w:val="single" w:color="auto" w:sz="4" w:space="0"/>
              <w:right w:val="single" w:color="auto" w:sz="4" w:space="0"/>
            </w:tcBorders>
            <w:vAlign w:val="center"/>
          </w:tcPr>
          <w:p w14:paraId="2C60F5C8">
            <w:pPr>
              <w:widowControl/>
              <w:jc w:val="left"/>
              <w:rPr>
                <w:color w:val="000000"/>
                <w:kern w:val="0"/>
                <w:sz w:val="22"/>
                <w:highlight w:val="none"/>
              </w:rPr>
            </w:pPr>
            <w:r>
              <w:rPr>
                <w:color w:val="000000"/>
                <w:kern w:val="0"/>
                <w:sz w:val="22"/>
                <w:highlight w:val="none"/>
              </w:rPr>
              <w:t>H-PDU-0610G</w:t>
            </w:r>
          </w:p>
        </w:tc>
        <w:tc>
          <w:tcPr>
            <w:tcW w:w="746" w:type="dxa"/>
            <w:tcBorders>
              <w:top w:val="single" w:color="auto" w:sz="4" w:space="0"/>
              <w:left w:val="nil"/>
              <w:bottom w:val="single" w:color="auto" w:sz="4" w:space="0"/>
              <w:right w:val="single" w:color="auto" w:sz="4" w:space="0"/>
            </w:tcBorders>
            <w:vAlign w:val="center"/>
          </w:tcPr>
          <w:p w14:paraId="1EC1C45D">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0A96DAF0">
            <w:pPr>
              <w:widowControl/>
              <w:jc w:val="center"/>
              <w:rPr>
                <w:color w:val="000000"/>
                <w:kern w:val="0"/>
                <w:sz w:val="22"/>
                <w:highlight w:val="none"/>
              </w:rPr>
            </w:pPr>
            <w:r>
              <w:rPr>
                <w:color w:val="000000"/>
                <w:kern w:val="0"/>
                <w:sz w:val="22"/>
                <w:highlight w:val="none"/>
              </w:rPr>
              <w:t>257</w:t>
            </w:r>
          </w:p>
        </w:tc>
      </w:tr>
      <w:tr w14:paraId="7F3D9C21">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08A74C20">
            <w:pPr>
              <w:widowControl/>
              <w:jc w:val="center"/>
              <w:rPr>
                <w:color w:val="000000"/>
                <w:kern w:val="0"/>
                <w:sz w:val="22"/>
                <w:highlight w:val="none"/>
              </w:rPr>
            </w:pPr>
            <w:r>
              <w:rPr>
                <w:color w:val="000000"/>
                <w:kern w:val="0"/>
                <w:sz w:val="22"/>
                <w:highlight w:val="none"/>
              </w:rPr>
              <w:t>6.3</w:t>
            </w:r>
          </w:p>
        </w:tc>
        <w:tc>
          <w:tcPr>
            <w:tcW w:w="3469" w:type="dxa"/>
            <w:gridSpan w:val="2"/>
            <w:tcBorders>
              <w:top w:val="single" w:color="auto" w:sz="4" w:space="0"/>
              <w:left w:val="nil"/>
              <w:bottom w:val="single" w:color="auto" w:sz="4" w:space="0"/>
              <w:right w:val="single" w:color="auto" w:sz="4" w:space="0"/>
            </w:tcBorders>
            <w:vAlign w:val="center"/>
          </w:tcPr>
          <w:p w14:paraId="152021D9">
            <w:pPr>
              <w:widowControl/>
              <w:jc w:val="left"/>
              <w:rPr>
                <w:color w:val="000000"/>
                <w:kern w:val="0"/>
                <w:sz w:val="22"/>
                <w:highlight w:val="none"/>
              </w:rPr>
            </w:pPr>
            <w:r>
              <w:rPr>
                <w:color w:val="000000"/>
                <w:kern w:val="0"/>
                <w:sz w:val="22"/>
                <w:highlight w:val="none"/>
              </w:rPr>
              <w:t>电源防雷</w:t>
            </w:r>
          </w:p>
        </w:tc>
        <w:tc>
          <w:tcPr>
            <w:tcW w:w="2739" w:type="dxa"/>
            <w:tcBorders>
              <w:top w:val="single" w:color="auto" w:sz="4" w:space="0"/>
              <w:left w:val="nil"/>
              <w:bottom w:val="single" w:color="auto" w:sz="4" w:space="0"/>
              <w:right w:val="single" w:color="auto" w:sz="4" w:space="0"/>
            </w:tcBorders>
            <w:vAlign w:val="center"/>
          </w:tcPr>
          <w:p w14:paraId="0CBF3A7B">
            <w:pPr>
              <w:widowControl/>
              <w:jc w:val="left"/>
              <w:rPr>
                <w:color w:val="000000"/>
                <w:kern w:val="0"/>
                <w:sz w:val="22"/>
                <w:highlight w:val="none"/>
              </w:rPr>
            </w:pPr>
            <w:r>
              <w:rPr>
                <w:color w:val="000000"/>
                <w:kern w:val="0"/>
                <w:sz w:val="22"/>
                <w:highlight w:val="none"/>
              </w:rPr>
              <w:t>VD10 275 TNS/2</w:t>
            </w:r>
          </w:p>
        </w:tc>
        <w:tc>
          <w:tcPr>
            <w:tcW w:w="746" w:type="dxa"/>
            <w:tcBorders>
              <w:top w:val="single" w:color="auto" w:sz="4" w:space="0"/>
              <w:left w:val="nil"/>
              <w:bottom w:val="single" w:color="auto" w:sz="4" w:space="0"/>
              <w:right w:val="single" w:color="auto" w:sz="4" w:space="0"/>
            </w:tcBorders>
            <w:vAlign w:val="center"/>
          </w:tcPr>
          <w:p w14:paraId="1F334073">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vAlign w:val="center"/>
          </w:tcPr>
          <w:p w14:paraId="0C3C455C">
            <w:pPr>
              <w:widowControl/>
              <w:jc w:val="center"/>
              <w:rPr>
                <w:color w:val="000000"/>
                <w:kern w:val="0"/>
                <w:sz w:val="22"/>
                <w:highlight w:val="none"/>
              </w:rPr>
            </w:pPr>
            <w:r>
              <w:rPr>
                <w:color w:val="000000"/>
                <w:kern w:val="0"/>
                <w:sz w:val="22"/>
                <w:highlight w:val="none"/>
              </w:rPr>
              <w:t>257</w:t>
            </w:r>
          </w:p>
        </w:tc>
      </w:tr>
      <w:tr w14:paraId="4E0CD9E7">
        <w:tblPrEx>
          <w:tblCellMar>
            <w:top w:w="0" w:type="dxa"/>
            <w:left w:w="57" w:type="dxa"/>
            <w:bottom w:w="0" w:type="dxa"/>
            <w:right w:w="57" w:type="dxa"/>
          </w:tblCellMar>
        </w:tblPrEx>
        <w:tc>
          <w:tcPr>
            <w:tcW w:w="779" w:type="dxa"/>
            <w:vMerge w:val="restart"/>
            <w:tcBorders>
              <w:top w:val="single" w:color="auto" w:sz="4" w:space="0"/>
              <w:left w:val="single" w:color="auto" w:sz="4" w:space="0"/>
              <w:bottom w:val="single" w:color="auto" w:sz="4" w:space="0"/>
              <w:right w:val="single" w:color="auto" w:sz="4" w:space="0"/>
            </w:tcBorders>
            <w:vAlign w:val="center"/>
          </w:tcPr>
          <w:p w14:paraId="799BA9A7">
            <w:pPr>
              <w:widowControl/>
              <w:jc w:val="center"/>
              <w:rPr>
                <w:color w:val="000000"/>
                <w:kern w:val="0"/>
                <w:sz w:val="22"/>
                <w:highlight w:val="none"/>
              </w:rPr>
            </w:pPr>
            <w:r>
              <w:rPr>
                <w:color w:val="000000"/>
                <w:kern w:val="0"/>
                <w:sz w:val="22"/>
                <w:highlight w:val="none"/>
              </w:rPr>
              <w:t>6.4</w:t>
            </w:r>
          </w:p>
        </w:tc>
        <w:tc>
          <w:tcPr>
            <w:tcW w:w="1626" w:type="dxa"/>
            <w:vMerge w:val="restart"/>
            <w:tcBorders>
              <w:top w:val="single" w:color="auto" w:sz="4" w:space="0"/>
              <w:left w:val="single" w:color="auto" w:sz="4" w:space="0"/>
              <w:bottom w:val="single" w:color="auto" w:sz="4" w:space="0"/>
              <w:right w:val="single" w:color="auto" w:sz="4" w:space="0"/>
            </w:tcBorders>
            <w:vAlign w:val="center"/>
          </w:tcPr>
          <w:p w14:paraId="63C85BAF">
            <w:pPr>
              <w:widowControl/>
              <w:jc w:val="left"/>
              <w:rPr>
                <w:color w:val="000000"/>
                <w:kern w:val="0"/>
                <w:sz w:val="22"/>
                <w:highlight w:val="none"/>
              </w:rPr>
            </w:pPr>
            <w:r>
              <w:rPr>
                <w:color w:val="000000"/>
                <w:kern w:val="0"/>
                <w:sz w:val="22"/>
                <w:highlight w:val="none"/>
              </w:rPr>
              <w:t>前端存储</w:t>
            </w:r>
          </w:p>
        </w:tc>
        <w:tc>
          <w:tcPr>
            <w:tcW w:w="1843" w:type="dxa"/>
            <w:tcBorders>
              <w:top w:val="single" w:color="auto" w:sz="4" w:space="0"/>
              <w:left w:val="nil"/>
              <w:bottom w:val="single" w:color="auto" w:sz="4" w:space="0"/>
              <w:right w:val="single" w:color="auto" w:sz="4" w:space="0"/>
            </w:tcBorders>
            <w:vAlign w:val="center"/>
          </w:tcPr>
          <w:p w14:paraId="187237B2">
            <w:pPr>
              <w:widowControl/>
              <w:jc w:val="left"/>
              <w:rPr>
                <w:color w:val="000000"/>
                <w:kern w:val="0"/>
                <w:sz w:val="22"/>
                <w:highlight w:val="none"/>
              </w:rPr>
            </w:pPr>
            <w:r>
              <w:rPr>
                <w:color w:val="000000"/>
                <w:kern w:val="0"/>
                <w:sz w:val="22"/>
                <w:highlight w:val="none"/>
              </w:rPr>
              <w:t>UNV ISC2500-S网络视频录像机</w:t>
            </w:r>
          </w:p>
        </w:tc>
        <w:tc>
          <w:tcPr>
            <w:tcW w:w="2739" w:type="dxa"/>
            <w:tcBorders>
              <w:top w:val="single" w:color="auto" w:sz="4" w:space="0"/>
              <w:left w:val="nil"/>
              <w:bottom w:val="single" w:color="auto" w:sz="4" w:space="0"/>
              <w:right w:val="single" w:color="auto" w:sz="4" w:space="0"/>
            </w:tcBorders>
            <w:vAlign w:val="center"/>
          </w:tcPr>
          <w:p w14:paraId="70CF6973">
            <w:pPr>
              <w:widowControl/>
              <w:jc w:val="left"/>
              <w:rPr>
                <w:color w:val="000000"/>
                <w:kern w:val="0"/>
                <w:sz w:val="22"/>
                <w:highlight w:val="none"/>
              </w:rPr>
            </w:pPr>
            <w:r>
              <w:rPr>
                <w:color w:val="000000"/>
                <w:kern w:val="0"/>
                <w:sz w:val="22"/>
                <w:highlight w:val="none"/>
              </w:rPr>
              <w:t>ISC2500-S</w:t>
            </w:r>
          </w:p>
        </w:tc>
        <w:tc>
          <w:tcPr>
            <w:tcW w:w="746" w:type="dxa"/>
            <w:tcBorders>
              <w:top w:val="single" w:color="auto" w:sz="4" w:space="0"/>
              <w:left w:val="nil"/>
              <w:bottom w:val="single" w:color="auto" w:sz="4" w:space="0"/>
              <w:right w:val="single" w:color="auto" w:sz="4" w:space="0"/>
            </w:tcBorders>
            <w:vAlign w:val="center"/>
          </w:tcPr>
          <w:p w14:paraId="600D4D0C">
            <w:pPr>
              <w:widowControl/>
              <w:jc w:val="center"/>
              <w:rPr>
                <w:color w:val="000000"/>
                <w:kern w:val="0"/>
                <w:sz w:val="22"/>
                <w:highlight w:val="none"/>
              </w:rPr>
            </w:pPr>
            <w:r>
              <w:rPr>
                <w:color w:val="000000"/>
                <w:kern w:val="0"/>
                <w:sz w:val="22"/>
                <w:highlight w:val="none"/>
              </w:rPr>
              <w:t>块</w:t>
            </w:r>
          </w:p>
        </w:tc>
        <w:tc>
          <w:tcPr>
            <w:tcW w:w="563" w:type="dxa"/>
            <w:tcBorders>
              <w:top w:val="single" w:color="auto" w:sz="4" w:space="0"/>
              <w:left w:val="nil"/>
              <w:bottom w:val="single" w:color="auto" w:sz="4" w:space="0"/>
              <w:right w:val="single" w:color="auto" w:sz="4" w:space="0"/>
            </w:tcBorders>
            <w:vAlign w:val="center"/>
          </w:tcPr>
          <w:p w14:paraId="7951B154">
            <w:pPr>
              <w:widowControl/>
              <w:jc w:val="center"/>
              <w:rPr>
                <w:color w:val="000000"/>
                <w:kern w:val="0"/>
                <w:sz w:val="22"/>
                <w:highlight w:val="none"/>
              </w:rPr>
            </w:pPr>
            <w:r>
              <w:rPr>
                <w:color w:val="000000"/>
                <w:kern w:val="0"/>
                <w:sz w:val="22"/>
                <w:highlight w:val="none"/>
              </w:rPr>
              <w:t>257</w:t>
            </w:r>
          </w:p>
        </w:tc>
      </w:tr>
      <w:tr w14:paraId="263F2693">
        <w:tblPrEx>
          <w:tblCellMar>
            <w:top w:w="0" w:type="dxa"/>
            <w:left w:w="57" w:type="dxa"/>
            <w:bottom w:w="0" w:type="dxa"/>
            <w:right w:w="57" w:type="dxa"/>
          </w:tblCellMar>
        </w:tblPrEx>
        <w:tc>
          <w:tcPr>
            <w:tcW w:w="779" w:type="dxa"/>
            <w:vMerge w:val="continue"/>
            <w:tcBorders>
              <w:top w:val="single" w:color="auto" w:sz="4" w:space="0"/>
              <w:left w:val="single" w:color="auto" w:sz="4" w:space="0"/>
              <w:bottom w:val="single" w:color="auto" w:sz="4" w:space="0"/>
              <w:right w:val="single" w:color="auto" w:sz="4" w:space="0"/>
            </w:tcBorders>
            <w:vAlign w:val="center"/>
          </w:tcPr>
          <w:p w14:paraId="5E104C75">
            <w:pPr>
              <w:widowControl/>
              <w:jc w:val="left"/>
              <w:rPr>
                <w:color w:val="000000"/>
                <w:kern w:val="0"/>
                <w:sz w:val="22"/>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325200AB">
            <w:pPr>
              <w:widowControl/>
              <w:jc w:val="left"/>
              <w:rPr>
                <w:color w:val="000000"/>
                <w:kern w:val="0"/>
                <w:sz w:val="22"/>
                <w:highlight w:val="none"/>
              </w:rPr>
            </w:pPr>
          </w:p>
        </w:tc>
        <w:tc>
          <w:tcPr>
            <w:tcW w:w="1843" w:type="dxa"/>
            <w:tcBorders>
              <w:top w:val="single" w:color="auto" w:sz="4" w:space="0"/>
              <w:left w:val="nil"/>
              <w:bottom w:val="single" w:color="auto" w:sz="4" w:space="0"/>
              <w:right w:val="single" w:color="auto" w:sz="4" w:space="0"/>
            </w:tcBorders>
            <w:vAlign w:val="center"/>
          </w:tcPr>
          <w:p w14:paraId="0EF063A3">
            <w:pPr>
              <w:widowControl/>
              <w:jc w:val="left"/>
              <w:rPr>
                <w:color w:val="000000"/>
                <w:kern w:val="0"/>
                <w:sz w:val="22"/>
                <w:highlight w:val="none"/>
              </w:rPr>
            </w:pPr>
            <w:r>
              <w:rPr>
                <w:color w:val="000000"/>
                <w:kern w:val="0"/>
                <w:sz w:val="22"/>
                <w:highlight w:val="none"/>
              </w:rPr>
              <w:t>2T硬盘</w:t>
            </w:r>
          </w:p>
        </w:tc>
        <w:tc>
          <w:tcPr>
            <w:tcW w:w="2739" w:type="dxa"/>
            <w:tcBorders>
              <w:top w:val="single" w:color="auto" w:sz="4" w:space="0"/>
              <w:left w:val="nil"/>
              <w:bottom w:val="single" w:color="auto" w:sz="4" w:space="0"/>
              <w:right w:val="single" w:color="auto" w:sz="4" w:space="0"/>
            </w:tcBorders>
            <w:vAlign w:val="center"/>
          </w:tcPr>
          <w:p w14:paraId="372B0A94">
            <w:pPr>
              <w:widowControl/>
              <w:jc w:val="left"/>
              <w:rPr>
                <w:color w:val="000000"/>
                <w:kern w:val="0"/>
                <w:sz w:val="22"/>
                <w:highlight w:val="none"/>
              </w:rPr>
            </w:pPr>
            <w:r>
              <w:rPr>
                <w:color w:val="000000"/>
                <w:kern w:val="0"/>
                <w:sz w:val="22"/>
                <w:highlight w:val="none"/>
              </w:rPr>
              <w:t>VS-HD2000V-NVR-UV</w:t>
            </w:r>
          </w:p>
        </w:tc>
        <w:tc>
          <w:tcPr>
            <w:tcW w:w="746" w:type="dxa"/>
            <w:tcBorders>
              <w:top w:val="single" w:color="auto" w:sz="4" w:space="0"/>
              <w:left w:val="nil"/>
              <w:bottom w:val="single" w:color="auto" w:sz="4" w:space="0"/>
              <w:right w:val="single" w:color="auto" w:sz="4" w:space="0"/>
            </w:tcBorders>
            <w:vAlign w:val="center"/>
          </w:tcPr>
          <w:p w14:paraId="0941A99C">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371470FB">
            <w:pPr>
              <w:widowControl/>
              <w:jc w:val="center"/>
              <w:rPr>
                <w:color w:val="000000"/>
                <w:kern w:val="0"/>
                <w:sz w:val="22"/>
                <w:highlight w:val="none"/>
              </w:rPr>
            </w:pPr>
            <w:r>
              <w:rPr>
                <w:color w:val="000000"/>
                <w:kern w:val="0"/>
                <w:sz w:val="22"/>
                <w:highlight w:val="none"/>
              </w:rPr>
              <w:t>257</w:t>
            </w:r>
          </w:p>
        </w:tc>
      </w:tr>
      <w:tr w14:paraId="635436E7">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5FB7A3A0">
            <w:pPr>
              <w:widowControl/>
              <w:jc w:val="center"/>
              <w:rPr>
                <w:color w:val="000000"/>
                <w:kern w:val="0"/>
                <w:sz w:val="22"/>
                <w:highlight w:val="none"/>
              </w:rPr>
            </w:pPr>
            <w:r>
              <w:rPr>
                <w:color w:val="000000"/>
                <w:kern w:val="0"/>
                <w:sz w:val="22"/>
                <w:highlight w:val="none"/>
              </w:rPr>
              <w:t>6.5</w:t>
            </w:r>
          </w:p>
        </w:tc>
        <w:tc>
          <w:tcPr>
            <w:tcW w:w="3469" w:type="dxa"/>
            <w:gridSpan w:val="2"/>
            <w:tcBorders>
              <w:top w:val="single" w:color="auto" w:sz="4" w:space="0"/>
              <w:left w:val="nil"/>
              <w:bottom w:val="single" w:color="auto" w:sz="4" w:space="0"/>
              <w:right w:val="single" w:color="auto" w:sz="4" w:space="0"/>
            </w:tcBorders>
            <w:vAlign w:val="center"/>
          </w:tcPr>
          <w:p w14:paraId="230D233E">
            <w:pPr>
              <w:widowControl/>
              <w:jc w:val="left"/>
              <w:rPr>
                <w:color w:val="000000"/>
                <w:kern w:val="0"/>
                <w:sz w:val="22"/>
                <w:highlight w:val="none"/>
              </w:rPr>
            </w:pPr>
            <w:r>
              <w:rPr>
                <w:color w:val="000000"/>
                <w:kern w:val="0"/>
                <w:sz w:val="22"/>
                <w:highlight w:val="none"/>
              </w:rPr>
              <w:t>工业交换机</w:t>
            </w:r>
          </w:p>
        </w:tc>
        <w:tc>
          <w:tcPr>
            <w:tcW w:w="2739" w:type="dxa"/>
            <w:tcBorders>
              <w:top w:val="single" w:color="auto" w:sz="4" w:space="0"/>
              <w:left w:val="nil"/>
              <w:bottom w:val="single" w:color="auto" w:sz="4" w:space="0"/>
              <w:right w:val="single" w:color="auto" w:sz="4" w:space="0"/>
            </w:tcBorders>
            <w:vAlign w:val="center"/>
          </w:tcPr>
          <w:p w14:paraId="4A0DCD80">
            <w:pPr>
              <w:widowControl/>
              <w:jc w:val="left"/>
              <w:rPr>
                <w:color w:val="000000"/>
                <w:kern w:val="0"/>
                <w:sz w:val="22"/>
                <w:highlight w:val="none"/>
              </w:rPr>
            </w:pPr>
            <w:r>
              <w:rPr>
                <w:color w:val="000000"/>
                <w:kern w:val="0"/>
                <w:sz w:val="22"/>
                <w:highlight w:val="none"/>
              </w:rPr>
              <w:t>IS2000-0802CCDCR</w:t>
            </w:r>
          </w:p>
        </w:tc>
        <w:tc>
          <w:tcPr>
            <w:tcW w:w="746" w:type="dxa"/>
            <w:tcBorders>
              <w:top w:val="single" w:color="auto" w:sz="4" w:space="0"/>
              <w:left w:val="nil"/>
              <w:bottom w:val="single" w:color="auto" w:sz="4" w:space="0"/>
              <w:right w:val="single" w:color="auto" w:sz="4" w:space="0"/>
            </w:tcBorders>
            <w:vAlign w:val="center"/>
          </w:tcPr>
          <w:p w14:paraId="0E918863">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0029EC20">
            <w:pPr>
              <w:widowControl/>
              <w:jc w:val="center"/>
              <w:rPr>
                <w:color w:val="000000"/>
                <w:kern w:val="0"/>
                <w:sz w:val="22"/>
                <w:highlight w:val="none"/>
              </w:rPr>
            </w:pPr>
            <w:r>
              <w:rPr>
                <w:color w:val="000000"/>
                <w:kern w:val="0"/>
                <w:sz w:val="22"/>
                <w:highlight w:val="none"/>
              </w:rPr>
              <w:t>127</w:t>
            </w:r>
          </w:p>
        </w:tc>
      </w:tr>
      <w:tr w14:paraId="47AB6BFB">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30CB2D5D">
            <w:pPr>
              <w:widowControl/>
              <w:jc w:val="center"/>
              <w:rPr>
                <w:color w:val="000000"/>
                <w:kern w:val="0"/>
                <w:sz w:val="22"/>
                <w:highlight w:val="none"/>
              </w:rPr>
            </w:pPr>
            <w:r>
              <w:rPr>
                <w:color w:val="000000"/>
                <w:kern w:val="0"/>
                <w:sz w:val="22"/>
                <w:highlight w:val="none"/>
              </w:rPr>
              <w:t>6.6</w:t>
            </w:r>
          </w:p>
        </w:tc>
        <w:tc>
          <w:tcPr>
            <w:tcW w:w="3469" w:type="dxa"/>
            <w:gridSpan w:val="2"/>
            <w:tcBorders>
              <w:top w:val="single" w:color="auto" w:sz="4" w:space="0"/>
              <w:left w:val="nil"/>
              <w:bottom w:val="single" w:color="auto" w:sz="4" w:space="0"/>
              <w:right w:val="single" w:color="auto" w:sz="4" w:space="0"/>
            </w:tcBorders>
            <w:vAlign w:val="center"/>
          </w:tcPr>
          <w:p w14:paraId="7D980ACB">
            <w:pPr>
              <w:widowControl/>
              <w:jc w:val="left"/>
              <w:rPr>
                <w:color w:val="000000"/>
                <w:kern w:val="0"/>
                <w:sz w:val="22"/>
                <w:highlight w:val="none"/>
              </w:rPr>
            </w:pPr>
            <w:r>
              <w:rPr>
                <w:color w:val="000000"/>
                <w:kern w:val="0"/>
                <w:sz w:val="22"/>
                <w:highlight w:val="none"/>
              </w:rPr>
              <w:t>监控标识牌</w:t>
            </w:r>
          </w:p>
        </w:tc>
        <w:tc>
          <w:tcPr>
            <w:tcW w:w="2739" w:type="dxa"/>
            <w:tcBorders>
              <w:top w:val="single" w:color="auto" w:sz="4" w:space="0"/>
              <w:left w:val="nil"/>
              <w:bottom w:val="single" w:color="auto" w:sz="4" w:space="0"/>
              <w:right w:val="single" w:color="auto" w:sz="4" w:space="0"/>
            </w:tcBorders>
            <w:vAlign w:val="center"/>
          </w:tcPr>
          <w:p w14:paraId="4CE30EEC">
            <w:pPr>
              <w:widowControl/>
              <w:jc w:val="left"/>
              <w:rPr>
                <w:color w:val="000000"/>
                <w:kern w:val="0"/>
                <w:sz w:val="22"/>
                <w:highlight w:val="none"/>
              </w:rPr>
            </w:pPr>
            <w:r>
              <w:rPr>
                <w:color w:val="000000"/>
                <w:kern w:val="0"/>
                <w:sz w:val="22"/>
                <w:highlight w:val="none"/>
              </w:rPr>
              <w:t>定制</w:t>
            </w:r>
          </w:p>
        </w:tc>
        <w:tc>
          <w:tcPr>
            <w:tcW w:w="746" w:type="dxa"/>
            <w:tcBorders>
              <w:top w:val="single" w:color="auto" w:sz="4" w:space="0"/>
              <w:left w:val="nil"/>
              <w:bottom w:val="single" w:color="auto" w:sz="4" w:space="0"/>
              <w:right w:val="single" w:color="auto" w:sz="4" w:space="0"/>
            </w:tcBorders>
            <w:vAlign w:val="center"/>
          </w:tcPr>
          <w:p w14:paraId="3DC05345">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vAlign w:val="center"/>
          </w:tcPr>
          <w:p w14:paraId="16474840">
            <w:pPr>
              <w:widowControl/>
              <w:jc w:val="center"/>
              <w:rPr>
                <w:color w:val="000000"/>
                <w:kern w:val="0"/>
                <w:sz w:val="22"/>
                <w:highlight w:val="none"/>
              </w:rPr>
            </w:pPr>
            <w:r>
              <w:rPr>
                <w:color w:val="000000"/>
                <w:kern w:val="0"/>
                <w:sz w:val="22"/>
                <w:highlight w:val="none"/>
              </w:rPr>
              <w:t>257</w:t>
            </w:r>
          </w:p>
        </w:tc>
      </w:tr>
      <w:tr w14:paraId="061ECE83">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165A66E2">
            <w:pPr>
              <w:widowControl/>
              <w:jc w:val="center"/>
              <w:rPr>
                <w:b/>
                <w:bCs/>
                <w:color w:val="000000"/>
                <w:kern w:val="0"/>
                <w:sz w:val="22"/>
                <w:highlight w:val="none"/>
              </w:rPr>
            </w:pPr>
            <w:r>
              <w:rPr>
                <w:b/>
                <w:bCs/>
                <w:color w:val="000000"/>
                <w:kern w:val="0"/>
                <w:sz w:val="22"/>
                <w:highlight w:val="none"/>
              </w:rPr>
              <w:t>（二）</w:t>
            </w:r>
          </w:p>
        </w:tc>
        <w:tc>
          <w:tcPr>
            <w:tcW w:w="3469" w:type="dxa"/>
            <w:gridSpan w:val="2"/>
            <w:tcBorders>
              <w:top w:val="single" w:color="auto" w:sz="4" w:space="0"/>
              <w:left w:val="nil"/>
              <w:bottom w:val="single" w:color="auto" w:sz="4" w:space="0"/>
              <w:right w:val="single" w:color="auto" w:sz="4" w:space="0"/>
            </w:tcBorders>
            <w:vAlign w:val="center"/>
          </w:tcPr>
          <w:p w14:paraId="2529B8C1">
            <w:pPr>
              <w:widowControl/>
              <w:jc w:val="left"/>
              <w:rPr>
                <w:b/>
                <w:bCs/>
                <w:color w:val="000000"/>
                <w:kern w:val="0"/>
                <w:sz w:val="22"/>
                <w:highlight w:val="none"/>
              </w:rPr>
            </w:pPr>
            <w:r>
              <w:rPr>
                <w:b/>
                <w:bCs/>
                <w:color w:val="000000"/>
                <w:kern w:val="0"/>
                <w:sz w:val="22"/>
                <w:highlight w:val="none"/>
              </w:rPr>
              <w:t>智能摄像机维护</w:t>
            </w:r>
          </w:p>
        </w:tc>
        <w:tc>
          <w:tcPr>
            <w:tcW w:w="2739" w:type="dxa"/>
            <w:tcBorders>
              <w:top w:val="single" w:color="auto" w:sz="4" w:space="0"/>
              <w:left w:val="nil"/>
              <w:bottom w:val="single" w:color="auto" w:sz="4" w:space="0"/>
              <w:right w:val="single" w:color="auto" w:sz="4" w:space="0"/>
            </w:tcBorders>
            <w:vAlign w:val="center"/>
          </w:tcPr>
          <w:p w14:paraId="4CA196FC">
            <w:pPr>
              <w:widowControl/>
              <w:jc w:val="left"/>
              <w:rPr>
                <w:b/>
                <w:bCs/>
                <w:color w:val="000000"/>
                <w:kern w:val="0"/>
                <w:sz w:val="22"/>
                <w:highlight w:val="none"/>
              </w:rPr>
            </w:pPr>
            <w:r>
              <w:rPr>
                <w:b/>
                <w:bCs/>
                <w:color w:val="000000"/>
                <w:kern w:val="0"/>
                <w:sz w:val="22"/>
                <w:highlight w:val="none"/>
              </w:rPr>
              <w:t>/</w:t>
            </w:r>
          </w:p>
        </w:tc>
        <w:tc>
          <w:tcPr>
            <w:tcW w:w="746" w:type="dxa"/>
            <w:tcBorders>
              <w:top w:val="single" w:color="auto" w:sz="4" w:space="0"/>
              <w:left w:val="nil"/>
              <w:bottom w:val="single" w:color="auto" w:sz="4" w:space="0"/>
              <w:right w:val="single" w:color="auto" w:sz="4" w:space="0"/>
            </w:tcBorders>
            <w:vAlign w:val="center"/>
          </w:tcPr>
          <w:p w14:paraId="6E2A1756">
            <w:pPr>
              <w:widowControl/>
              <w:jc w:val="center"/>
              <w:rPr>
                <w:b/>
                <w:bCs/>
                <w:color w:val="000000"/>
                <w:kern w:val="0"/>
                <w:sz w:val="22"/>
                <w:highlight w:val="none"/>
              </w:rPr>
            </w:pPr>
            <w:r>
              <w:rPr>
                <w:b/>
                <w:bCs/>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5FCE3D9E">
            <w:pPr>
              <w:widowControl/>
              <w:jc w:val="center"/>
              <w:rPr>
                <w:b/>
                <w:bCs/>
                <w:color w:val="000000"/>
                <w:kern w:val="0"/>
                <w:sz w:val="22"/>
                <w:highlight w:val="none"/>
              </w:rPr>
            </w:pPr>
            <w:r>
              <w:rPr>
                <w:b/>
                <w:bCs/>
                <w:color w:val="000000"/>
                <w:kern w:val="0"/>
                <w:sz w:val="22"/>
                <w:highlight w:val="none"/>
              </w:rPr>
              <w:t>256</w:t>
            </w:r>
          </w:p>
        </w:tc>
      </w:tr>
      <w:tr w14:paraId="1FE684E7">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66E53195">
            <w:pPr>
              <w:widowControl/>
              <w:jc w:val="center"/>
              <w:rPr>
                <w:b/>
                <w:bCs/>
                <w:color w:val="000000"/>
                <w:kern w:val="0"/>
                <w:sz w:val="22"/>
                <w:highlight w:val="none"/>
              </w:rPr>
            </w:pPr>
            <w:r>
              <w:rPr>
                <w:b/>
                <w:bCs/>
                <w:color w:val="000000"/>
                <w:kern w:val="0"/>
                <w:sz w:val="22"/>
                <w:highlight w:val="none"/>
              </w:rPr>
              <w:t>（三）</w:t>
            </w:r>
          </w:p>
        </w:tc>
        <w:tc>
          <w:tcPr>
            <w:tcW w:w="3469" w:type="dxa"/>
            <w:gridSpan w:val="2"/>
            <w:tcBorders>
              <w:top w:val="single" w:color="auto" w:sz="4" w:space="0"/>
              <w:left w:val="single" w:color="auto" w:sz="4" w:space="0"/>
              <w:bottom w:val="single" w:color="auto" w:sz="4" w:space="0"/>
              <w:right w:val="single" w:color="auto" w:sz="4" w:space="0"/>
            </w:tcBorders>
            <w:vAlign w:val="center"/>
          </w:tcPr>
          <w:p w14:paraId="01AC119A">
            <w:pPr>
              <w:widowControl/>
              <w:jc w:val="left"/>
              <w:rPr>
                <w:b/>
                <w:bCs/>
                <w:color w:val="000000"/>
                <w:kern w:val="0"/>
                <w:sz w:val="22"/>
                <w:highlight w:val="none"/>
              </w:rPr>
            </w:pPr>
            <w:r>
              <w:rPr>
                <w:b/>
                <w:bCs/>
                <w:color w:val="000000"/>
                <w:kern w:val="0"/>
                <w:sz w:val="22"/>
                <w:highlight w:val="none"/>
              </w:rPr>
              <w:t>杆体迁移监控设备运维</w:t>
            </w:r>
          </w:p>
        </w:tc>
        <w:tc>
          <w:tcPr>
            <w:tcW w:w="2739" w:type="dxa"/>
            <w:tcBorders>
              <w:top w:val="single" w:color="auto" w:sz="4" w:space="0"/>
              <w:left w:val="single" w:color="auto" w:sz="4" w:space="0"/>
              <w:bottom w:val="single" w:color="auto" w:sz="4" w:space="0"/>
              <w:right w:val="single" w:color="auto" w:sz="4" w:space="0"/>
            </w:tcBorders>
            <w:vAlign w:val="center"/>
          </w:tcPr>
          <w:p w14:paraId="412BE6B6">
            <w:pPr>
              <w:widowControl/>
              <w:jc w:val="left"/>
              <w:rPr>
                <w:b/>
                <w:bCs/>
                <w:color w:val="000000"/>
                <w:kern w:val="0"/>
                <w:sz w:val="22"/>
                <w:highlight w:val="none"/>
              </w:rPr>
            </w:pPr>
            <w:r>
              <w:rPr>
                <w:b/>
                <w:bCs/>
                <w:color w:val="000000"/>
                <w:kern w:val="0"/>
                <w:sz w:val="22"/>
                <w:highlight w:val="none"/>
              </w:rPr>
              <w:t>　</w:t>
            </w:r>
          </w:p>
        </w:tc>
        <w:tc>
          <w:tcPr>
            <w:tcW w:w="746" w:type="dxa"/>
            <w:tcBorders>
              <w:top w:val="single" w:color="auto" w:sz="4" w:space="0"/>
              <w:left w:val="single" w:color="auto" w:sz="4" w:space="0"/>
              <w:bottom w:val="single" w:color="auto" w:sz="4" w:space="0"/>
              <w:right w:val="single" w:color="auto" w:sz="4" w:space="0"/>
            </w:tcBorders>
            <w:vAlign w:val="center"/>
          </w:tcPr>
          <w:p w14:paraId="4C3E9C93">
            <w:pPr>
              <w:widowControl/>
              <w:jc w:val="center"/>
              <w:rPr>
                <w:b/>
                <w:bCs/>
                <w:color w:val="000000"/>
                <w:kern w:val="0"/>
                <w:sz w:val="22"/>
                <w:highlight w:val="none"/>
              </w:rPr>
            </w:pPr>
            <w:r>
              <w:rPr>
                <w:b/>
                <w:bCs/>
                <w:color w:val="000000"/>
                <w:kern w:val="0"/>
                <w:sz w:val="22"/>
                <w:highlight w:val="none"/>
              </w:rPr>
              <w:t>　</w:t>
            </w:r>
          </w:p>
        </w:tc>
        <w:tc>
          <w:tcPr>
            <w:tcW w:w="563" w:type="dxa"/>
            <w:tcBorders>
              <w:top w:val="single" w:color="auto" w:sz="4" w:space="0"/>
              <w:left w:val="single" w:color="auto" w:sz="4" w:space="0"/>
              <w:bottom w:val="single" w:color="auto" w:sz="4" w:space="0"/>
              <w:right w:val="single" w:color="auto" w:sz="4" w:space="0"/>
            </w:tcBorders>
            <w:vAlign w:val="center"/>
          </w:tcPr>
          <w:p w14:paraId="190996AF">
            <w:pPr>
              <w:widowControl/>
              <w:jc w:val="center"/>
              <w:rPr>
                <w:b/>
                <w:bCs/>
                <w:color w:val="000000"/>
                <w:kern w:val="0"/>
                <w:sz w:val="22"/>
                <w:highlight w:val="none"/>
              </w:rPr>
            </w:pPr>
            <w:r>
              <w:rPr>
                <w:b/>
                <w:bCs/>
                <w:color w:val="000000"/>
                <w:kern w:val="0"/>
                <w:sz w:val="22"/>
                <w:highlight w:val="none"/>
              </w:rPr>
              <w:t>　</w:t>
            </w:r>
          </w:p>
        </w:tc>
      </w:tr>
      <w:tr w14:paraId="42DE90CF">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noWrap/>
            <w:vAlign w:val="center"/>
          </w:tcPr>
          <w:p w14:paraId="698556C6">
            <w:pPr>
              <w:widowControl/>
              <w:jc w:val="center"/>
              <w:rPr>
                <w:b/>
                <w:bCs/>
                <w:color w:val="000000"/>
                <w:kern w:val="0"/>
                <w:sz w:val="22"/>
                <w:highlight w:val="none"/>
              </w:rPr>
            </w:pPr>
            <w:r>
              <w:rPr>
                <w:b/>
                <w:bCs/>
                <w:color w:val="000000"/>
                <w:kern w:val="0"/>
                <w:sz w:val="22"/>
                <w:highlight w:val="none"/>
              </w:rPr>
              <w:t>1</w:t>
            </w:r>
          </w:p>
        </w:tc>
        <w:tc>
          <w:tcPr>
            <w:tcW w:w="7517" w:type="dxa"/>
            <w:gridSpan w:val="5"/>
            <w:tcBorders>
              <w:top w:val="single" w:color="auto" w:sz="4" w:space="0"/>
              <w:left w:val="nil"/>
              <w:bottom w:val="single" w:color="auto" w:sz="4" w:space="0"/>
              <w:right w:val="single" w:color="auto" w:sz="4" w:space="0"/>
            </w:tcBorders>
            <w:noWrap/>
            <w:vAlign w:val="center"/>
          </w:tcPr>
          <w:p w14:paraId="3B5EE75C">
            <w:pPr>
              <w:widowControl/>
              <w:jc w:val="left"/>
              <w:rPr>
                <w:b/>
                <w:bCs/>
                <w:color w:val="000000"/>
                <w:kern w:val="0"/>
                <w:sz w:val="22"/>
                <w:highlight w:val="none"/>
              </w:rPr>
            </w:pPr>
            <w:r>
              <w:rPr>
                <w:b/>
                <w:bCs/>
                <w:color w:val="000000"/>
                <w:kern w:val="0"/>
                <w:sz w:val="22"/>
                <w:highlight w:val="none"/>
              </w:rPr>
              <w:t>监控杆体</w:t>
            </w:r>
          </w:p>
        </w:tc>
      </w:tr>
      <w:tr w14:paraId="3002323E">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noWrap/>
            <w:vAlign w:val="center"/>
          </w:tcPr>
          <w:p w14:paraId="6F662D9D">
            <w:pPr>
              <w:widowControl/>
              <w:jc w:val="center"/>
              <w:rPr>
                <w:color w:val="000000"/>
                <w:kern w:val="0"/>
                <w:sz w:val="22"/>
                <w:highlight w:val="none"/>
              </w:rPr>
            </w:pPr>
            <w:r>
              <w:rPr>
                <w:color w:val="000000"/>
                <w:kern w:val="0"/>
                <w:sz w:val="22"/>
                <w:highlight w:val="none"/>
              </w:rPr>
              <w:t>1.1</w:t>
            </w:r>
          </w:p>
        </w:tc>
        <w:tc>
          <w:tcPr>
            <w:tcW w:w="3469" w:type="dxa"/>
            <w:gridSpan w:val="2"/>
            <w:tcBorders>
              <w:top w:val="single" w:color="auto" w:sz="4" w:space="0"/>
              <w:left w:val="nil"/>
              <w:bottom w:val="single" w:color="auto" w:sz="4" w:space="0"/>
              <w:right w:val="single" w:color="auto" w:sz="4" w:space="0"/>
            </w:tcBorders>
            <w:noWrap/>
            <w:vAlign w:val="center"/>
          </w:tcPr>
          <w:p w14:paraId="3DF0C6C3">
            <w:pPr>
              <w:widowControl/>
              <w:jc w:val="left"/>
              <w:rPr>
                <w:color w:val="000000"/>
                <w:kern w:val="0"/>
                <w:sz w:val="22"/>
                <w:highlight w:val="none"/>
              </w:rPr>
            </w:pPr>
            <w:r>
              <w:rPr>
                <w:color w:val="000000"/>
                <w:kern w:val="0"/>
                <w:sz w:val="22"/>
                <w:highlight w:val="none"/>
              </w:rPr>
              <w:t>5米视频监控杆体(路段类型)180度</w:t>
            </w:r>
          </w:p>
        </w:tc>
        <w:tc>
          <w:tcPr>
            <w:tcW w:w="2739" w:type="dxa"/>
            <w:tcBorders>
              <w:top w:val="single" w:color="auto" w:sz="4" w:space="0"/>
              <w:left w:val="nil"/>
              <w:bottom w:val="single" w:color="auto" w:sz="4" w:space="0"/>
              <w:right w:val="single" w:color="auto" w:sz="4" w:space="0"/>
            </w:tcBorders>
            <w:noWrap/>
            <w:vAlign w:val="center"/>
          </w:tcPr>
          <w:p w14:paraId="590601E0">
            <w:pPr>
              <w:widowControl/>
              <w:jc w:val="left"/>
              <w:rPr>
                <w:color w:val="000000"/>
                <w:kern w:val="0"/>
                <w:sz w:val="22"/>
                <w:highlight w:val="none"/>
              </w:rPr>
            </w:pPr>
            <w:r>
              <w:rPr>
                <w:color w:val="000000"/>
                <w:kern w:val="0"/>
                <w:sz w:val="22"/>
                <w:highlight w:val="none"/>
              </w:rPr>
              <w:t>杆体高度：5000mm,一杆两头180度</w:t>
            </w:r>
          </w:p>
        </w:tc>
        <w:tc>
          <w:tcPr>
            <w:tcW w:w="746" w:type="dxa"/>
            <w:tcBorders>
              <w:top w:val="single" w:color="auto" w:sz="4" w:space="0"/>
              <w:left w:val="nil"/>
              <w:bottom w:val="single" w:color="auto" w:sz="4" w:space="0"/>
              <w:right w:val="single" w:color="auto" w:sz="4" w:space="0"/>
            </w:tcBorders>
            <w:noWrap/>
            <w:vAlign w:val="center"/>
          </w:tcPr>
          <w:p w14:paraId="5682E2D0">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noWrap/>
            <w:vAlign w:val="center"/>
          </w:tcPr>
          <w:p w14:paraId="764429BD">
            <w:pPr>
              <w:widowControl/>
              <w:jc w:val="center"/>
              <w:rPr>
                <w:color w:val="000000"/>
                <w:kern w:val="0"/>
                <w:sz w:val="22"/>
                <w:highlight w:val="none"/>
              </w:rPr>
            </w:pPr>
            <w:r>
              <w:rPr>
                <w:color w:val="000000"/>
                <w:kern w:val="0"/>
                <w:sz w:val="22"/>
                <w:highlight w:val="none"/>
              </w:rPr>
              <w:t>12</w:t>
            </w:r>
          </w:p>
        </w:tc>
      </w:tr>
      <w:tr w14:paraId="3C2AC13E">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5F4E54A8">
            <w:pPr>
              <w:widowControl/>
              <w:jc w:val="center"/>
              <w:rPr>
                <w:b/>
                <w:bCs/>
                <w:color w:val="000000"/>
                <w:kern w:val="0"/>
                <w:sz w:val="22"/>
                <w:highlight w:val="none"/>
              </w:rPr>
            </w:pPr>
            <w:r>
              <w:rPr>
                <w:b/>
                <w:bCs/>
                <w:color w:val="000000"/>
                <w:kern w:val="0"/>
                <w:sz w:val="22"/>
                <w:highlight w:val="none"/>
              </w:rPr>
              <w:t>2</w:t>
            </w:r>
          </w:p>
        </w:tc>
        <w:tc>
          <w:tcPr>
            <w:tcW w:w="3469" w:type="dxa"/>
            <w:gridSpan w:val="2"/>
            <w:tcBorders>
              <w:top w:val="single" w:color="auto" w:sz="4" w:space="0"/>
              <w:left w:val="single" w:color="auto" w:sz="4" w:space="0"/>
              <w:bottom w:val="single" w:color="auto" w:sz="4" w:space="0"/>
              <w:right w:val="single" w:color="auto" w:sz="4" w:space="0"/>
            </w:tcBorders>
            <w:vAlign w:val="center"/>
          </w:tcPr>
          <w:p w14:paraId="5B128C98">
            <w:pPr>
              <w:widowControl/>
              <w:jc w:val="left"/>
              <w:rPr>
                <w:b/>
                <w:bCs/>
                <w:color w:val="000000"/>
                <w:kern w:val="0"/>
                <w:sz w:val="22"/>
                <w:highlight w:val="none"/>
              </w:rPr>
            </w:pPr>
            <w:r>
              <w:rPr>
                <w:b/>
                <w:bCs/>
                <w:color w:val="000000"/>
                <w:kern w:val="0"/>
                <w:sz w:val="22"/>
                <w:highlight w:val="none"/>
              </w:rPr>
              <w:t>摄像机</w:t>
            </w:r>
          </w:p>
        </w:tc>
        <w:tc>
          <w:tcPr>
            <w:tcW w:w="2739" w:type="dxa"/>
            <w:tcBorders>
              <w:top w:val="single" w:color="auto" w:sz="4" w:space="0"/>
              <w:left w:val="single" w:color="auto" w:sz="4" w:space="0"/>
              <w:bottom w:val="single" w:color="auto" w:sz="4" w:space="0"/>
              <w:right w:val="single" w:color="auto" w:sz="4" w:space="0"/>
            </w:tcBorders>
            <w:vAlign w:val="center"/>
          </w:tcPr>
          <w:p w14:paraId="71A87BB5">
            <w:pPr>
              <w:widowControl/>
              <w:jc w:val="left"/>
              <w:rPr>
                <w:b/>
                <w:bCs/>
                <w:color w:val="000000"/>
                <w:kern w:val="0"/>
                <w:sz w:val="22"/>
                <w:highlight w:val="none"/>
              </w:rPr>
            </w:pPr>
            <w:r>
              <w:rPr>
                <w:b/>
                <w:bCs/>
                <w:color w:val="000000"/>
                <w:kern w:val="0"/>
                <w:sz w:val="22"/>
                <w:highlight w:val="none"/>
              </w:rPr>
              <w:t>　</w:t>
            </w:r>
          </w:p>
        </w:tc>
        <w:tc>
          <w:tcPr>
            <w:tcW w:w="746" w:type="dxa"/>
            <w:tcBorders>
              <w:top w:val="single" w:color="auto" w:sz="4" w:space="0"/>
              <w:left w:val="single" w:color="auto" w:sz="4" w:space="0"/>
              <w:bottom w:val="single" w:color="auto" w:sz="4" w:space="0"/>
              <w:right w:val="single" w:color="auto" w:sz="4" w:space="0"/>
            </w:tcBorders>
            <w:vAlign w:val="center"/>
          </w:tcPr>
          <w:p w14:paraId="679EBC72">
            <w:pPr>
              <w:widowControl/>
              <w:jc w:val="center"/>
              <w:rPr>
                <w:b/>
                <w:bCs/>
                <w:color w:val="000000"/>
                <w:kern w:val="0"/>
                <w:sz w:val="22"/>
                <w:highlight w:val="none"/>
              </w:rPr>
            </w:pPr>
            <w:r>
              <w:rPr>
                <w:b/>
                <w:bCs/>
                <w:color w:val="000000"/>
                <w:kern w:val="0"/>
                <w:sz w:val="22"/>
                <w:highlight w:val="none"/>
              </w:rPr>
              <w:t>　</w:t>
            </w:r>
          </w:p>
        </w:tc>
        <w:tc>
          <w:tcPr>
            <w:tcW w:w="563" w:type="dxa"/>
            <w:tcBorders>
              <w:top w:val="single" w:color="auto" w:sz="4" w:space="0"/>
              <w:left w:val="single" w:color="auto" w:sz="4" w:space="0"/>
              <w:bottom w:val="single" w:color="auto" w:sz="4" w:space="0"/>
              <w:right w:val="single" w:color="auto" w:sz="4" w:space="0"/>
            </w:tcBorders>
            <w:vAlign w:val="center"/>
          </w:tcPr>
          <w:p w14:paraId="4FB05E9E">
            <w:pPr>
              <w:widowControl/>
              <w:jc w:val="center"/>
              <w:rPr>
                <w:b/>
                <w:bCs/>
                <w:color w:val="000000"/>
                <w:kern w:val="0"/>
                <w:sz w:val="22"/>
                <w:highlight w:val="none"/>
              </w:rPr>
            </w:pPr>
            <w:r>
              <w:rPr>
                <w:b/>
                <w:bCs/>
                <w:color w:val="000000"/>
                <w:kern w:val="0"/>
                <w:sz w:val="22"/>
                <w:highlight w:val="none"/>
              </w:rPr>
              <w:t>　</w:t>
            </w:r>
          </w:p>
        </w:tc>
      </w:tr>
      <w:tr w14:paraId="7E4C64A8">
        <w:tblPrEx>
          <w:tblCellMar>
            <w:top w:w="0" w:type="dxa"/>
            <w:left w:w="57" w:type="dxa"/>
            <w:bottom w:w="0" w:type="dxa"/>
            <w:right w:w="57" w:type="dxa"/>
          </w:tblCellMar>
        </w:tblPrEx>
        <w:tc>
          <w:tcPr>
            <w:tcW w:w="779" w:type="dxa"/>
            <w:vMerge w:val="restart"/>
            <w:tcBorders>
              <w:top w:val="single" w:color="auto" w:sz="4" w:space="0"/>
              <w:left w:val="single" w:color="auto" w:sz="4" w:space="0"/>
              <w:bottom w:val="single" w:color="auto" w:sz="4" w:space="0"/>
              <w:right w:val="single" w:color="auto" w:sz="4" w:space="0"/>
            </w:tcBorders>
            <w:vAlign w:val="center"/>
          </w:tcPr>
          <w:p w14:paraId="4F444C4D">
            <w:pPr>
              <w:widowControl/>
              <w:jc w:val="center"/>
              <w:rPr>
                <w:color w:val="000000"/>
                <w:kern w:val="0"/>
                <w:sz w:val="22"/>
                <w:highlight w:val="none"/>
              </w:rPr>
            </w:pPr>
            <w:r>
              <w:rPr>
                <w:color w:val="000000"/>
                <w:kern w:val="0"/>
                <w:sz w:val="22"/>
                <w:highlight w:val="none"/>
              </w:rPr>
              <w:t>2.1</w:t>
            </w:r>
          </w:p>
        </w:tc>
        <w:tc>
          <w:tcPr>
            <w:tcW w:w="1626" w:type="dxa"/>
            <w:vMerge w:val="restart"/>
            <w:tcBorders>
              <w:top w:val="single" w:color="auto" w:sz="4" w:space="0"/>
              <w:left w:val="single" w:color="auto" w:sz="4" w:space="0"/>
              <w:bottom w:val="single" w:color="auto" w:sz="4" w:space="0"/>
              <w:right w:val="single" w:color="auto" w:sz="4" w:space="0"/>
            </w:tcBorders>
            <w:vAlign w:val="center"/>
          </w:tcPr>
          <w:p w14:paraId="0A300B94">
            <w:pPr>
              <w:widowControl/>
              <w:jc w:val="left"/>
              <w:rPr>
                <w:color w:val="000000"/>
                <w:kern w:val="0"/>
                <w:sz w:val="22"/>
                <w:highlight w:val="none"/>
              </w:rPr>
            </w:pPr>
            <w:r>
              <w:rPr>
                <w:color w:val="000000"/>
                <w:kern w:val="0"/>
                <w:sz w:val="22"/>
                <w:highlight w:val="none"/>
              </w:rPr>
              <w:t>高清网络摄像机(用于球形防护罩)</w:t>
            </w:r>
          </w:p>
        </w:tc>
        <w:tc>
          <w:tcPr>
            <w:tcW w:w="1843" w:type="dxa"/>
            <w:tcBorders>
              <w:top w:val="single" w:color="auto" w:sz="4" w:space="0"/>
              <w:left w:val="nil"/>
              <w:bottom w:val="single" w:color="auto" w:sz="4" w:space="0"/>
              <w:right w:val="single" w:color="auto" w:sz="4" w:space="0"/>
            </w:tcBorders>
            <w:vAlign w:val="center"/>
          </w:tcPr>
          <w:p w14:paraId="7038EBED">
            <w:pPr>
              <w:widowControl/>
              <w:jc w:val="left"/>
              <w:rPr>
                <w:color w:val="000000"/>
                <w:kern w:val="0"/>
                <w:sz w:val="22"/>
                <w:highlight w:val="none"/>
              </w:rPr>
            </w:pPr>
            <w:r>
              <w:rPr>
                <w:color w:val="000000"/>
                <w:kern w:val="0"/>
                <w:sz w:val="22"/>
                <w:highlight w:val="none"/>
              </w:rPr>
              <w:t>UNV 1080P超低照度H265全高清枪型SFP光电口网络摄像机</w:t>
            </w:r>
          </w:p>
        </w:tc>
        <w:tc>
          <w:tcPr>
            <w:tcW w:w="2739" w:type="dxa"/>
            <w:tcBorders>
              <w:top w:val="single" w:color="auto" w:sz="4" w:space="0"/>
              <w:left w:val="nil"/>
              <w:bottom w:val="single" w:color="auto" w:sz="4" w:space="0"/>
              <w:right w:val="single" w:color="auto" w:sz="4" w:space="0"/>
            </w:tcBorders>
            <w:vAlign w:val="center"/>
          </w:tcPr>
          <w:p w14:paraId="52BFE805">
            <w:pPr>
              <w:widowControl/>
              <w:jc w:val="left"/>
              <w:rPr>
                <w:color w:val="000000"/>
                <w:kern w:val="0"/>
                <w:sz w:val="22"/>
                <w:highlight w:val="none"/>
              </w:rPr>
            </w:pPr>
            <w:r>
              <w:rPr>
                <w:color w:val="000000"/>
                <w:kern w:val="0"/>
                <w:sz w:val="22"/>
                <w:highlight w:val="none"/>
              </w:rPr>
              <w:t>IPC-HIC5621E-TJ-UV</w:t>
            </w:r>
          </w:p>
        </w:tc>
        <w:tc>
          <w:tcPr>
            <w:tcW w:w="746" w:type="dxa"/>
            <w:tcBorders>
              <w:top w:val="single" w:color="auto" w:sz="4" w:space="0"/>
              <w:left w:val="nil"/>
              <w:bottom w:val="single" w:color="auto" w:sz="4" w:space="0"/>
              <w:right w:val="single" w:color="auto" w:sz="4" w:space="0"/>
            </w:tcBorders>
            <w:vAlign w:val="center"/>
          </w:tcPr>
          <w:p w14:paraId="2734EAA6">
            <w:pPr>
              <w:widowControl/>
              <w:jc w:val="center"/>
              <w:rPr>
                <w:color w:val="000000"/>
                <w:kern w:val="0"/>
                <w:sz w:val="22"/>
                <w:highlight w:val="none"/>
              </w:rPr>
            </w:pPr>
            <w:r>
              <w:rPr>
                <w:color w:val="000000"/>
                <w:kern w:val="0"/>
                <w:sz w:val="22"/>
                <w:highlight w:val="none"/>
              </w:rPr>
              <w:t>个</w:t>
            </w:r>
          </w:p>
        </w:tc>
        <w:tc>
          <w:tcPr>
            <w:tcW w:w="563" w:type="dxa"/>
            <w:tcBorders>
              <w:top w:val="single" w:color="auto" w:sz="4" w:space="0"/>
              <w:left w:val="nil"/>
              <w:bottom w:val="single" w:color="auto" w:sz="4" w:space="0"/>
              <w:right w:val="single" w:color="auto" w:sz="4" w:space="0"/>
            </w:tcBorders>
            <w:vAlign w:val="center"/>
          </w:tcPr>
          <w:p w14:paraId="341AAC2F">
            <w:pPr>
              <w:widowControl/>
              <w:jc w:val="center"/>
              <w:rPr>
                <w:color w:val="000000"/>
                <w:kern w:val="0"/>
                <w:sz w:val="22"/>
                <w:highlight w:val="none"/>
              </w:rPr>
            </w:pPr>
            <w:r>
              <w:rPr>
                <w:color w:val="000000"/>
                <w:kern w:val="0"/>
                <w:sz w:val="22"/>
                <w:highlight w:val="none"/>
              </w:rPr>
              <w:t>24</w:t>
            </w:r>
          </w:p>
        </w:tc>
      </w:tr>
      <w:tr w14:paraId="4E7286A5">
        <w:tblPrEx>
          <w:tblCellMar>
            <w:top w:w="0" w:type="dxa"/>
            <w:left w:w="57" w:type="dxa"/>
            <w:bottom w:w="0" w:type="dxa"/>
            <w:right w:w="57" w:type="dxa"/>
          </w:tblCellMar>
        </w:tblPrEx>
        <w:tc>
          <w:tcPr>
            <w:tcW w:w="779" w:type="dxa"/>
            <w:vMerge w:val="continue"/>
            <w:tcBorders>
              <w:top w:val="single" w:color="auto" w:sz="4" w:space="0"/>
              <w:left w:val="single" w:color="auto" w:sz="4" w:space="0"/>
              <w:bottom w:val="single" w:color="auto" w:sz="4" w:space="0"/>
              <w:right w:val="single" w:color="auto" w:sz="4" w:space="0"/>
            </w:tcBorders>
            <w:vAlign w:val="center"/>
          </w:tcPr>
          <w:p w14:paraId="53BE7C36">
            <w:pPr>
              <w:widowControl/>
              <w:jc w:val="left"/>
              <w:rPr>
                <w:color w:val="000000"/>
                <w:kern w:val="0"/>
                <w:sz w:val="22"/>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4DB01522">
            <w:pPr>
              <w:widowControl/>
              <w:jc w:val="left"/>
              <w:rPr>
                <w:color w:val="000000"/>
                <w:kern w:val="0"/>
                <w:sz w:val="22"/>
                <w:highlight w:val="none"/>
              </w:rPr>
            </w:pPr>
          </w:p>
        </w:tc>
        <w:tc>
          <w:tcPr>
            <w:tcW w:w="1843" w:type="dxa"/>
            <w:tcBorders>
              <w:top w:val="single" w:color="auto" w:sz="4" w:space="0"/>
              <w:left w:val="nil"/>
              <w:bottom w:val="single" w:color="auto" w:sz="4" w:space="0"/>
              <w:right w:val="single" w:color="auto" w:sz="4" w:space="0"/>
            </w:tcBorders>
            <w:vAlign w:val="center"/>
          </w:tcPr>
          <w:p w14:paraId="77279A4E">
            <w:pPr>
              <w:widowControl/>
              <w:jc w:val="left"/>
              <w:rPr>
                <w:color w:val="000000"/>
                <w:kern w:val="0"/>
                <w:sz w:val="22"/>
                <w:highlight w:val="none"/>
              </w:rPr>
            </w:pPr>
            <w:r>
              <w:rPr>
                <w:color w:val="000000"/>
                <w:kern w:val="0"/>
                <w:sz w:val="22"/>
                <w:highlight w:val="none"/>
              </w:rPr>
              <w:t>72W交流24V电源适配器</w:t>
            </w:r>
          </w:p>
        </w:tc>
        <w:tc>
          <w:tcPr>
            <w:tcW w:w="2739" w:type="dxa"/>
            <w:tcBorders>
              <w:top w:val="single" w:color="auto" w:sz="4" w:space="0"/>
              <w:left w:val="nil"/>
              <w:bottom w:val="single" w:color="auto" w:sz="4" w:space="0"/>
              <w:right w:val="single" w:color="auto" w:sz="4" w:space="0"/>
            </w:tcBorders>
            <w:vAlign w:val="center"/>
          </w:tcPr>
          <w:p w14:paraId="4557A430">
            <w:pPr>
              <w:widowControl/>
              <w:jc w:val="left"/>
              <w:rPr>
                <w:color w:val="000000"/>
                <w:kern w:val="0"/>
                <w:sz w:val="22"/>
                <w:highlight w:val="none"/>
              </w:rPr>
            </w:pPr>
            <w:r>
              <w:rPr>
                <w:color w:val="000000"/>
                <w:kern w:val="0"/>
                <w:sz w:val="22"/>
                <w:highlight w:val="none"/>
              </w:rPr>
              <w:t>PWR-AC2403-A-NB</w:t>
            </w:r>
          </w:p>
        </w:tc>
        <w:tc>
          <w:tcPr>
            <w:tcW w:w="746" w:type="dxa"/>
            <w:tcBorders>
              <w:top w:val="single" w:color="auto" w:sz="4" w:space="0"/>
              <w:left w:val="nil"/>
              <w:bottom w:val="single" w:color="auto" w:sz="4" w:space="0"/>
              <w:right w:val="single" w:color="auto" w:sz="4" w:space="0"/>
            </w:tcBorders>
            <w:vAlign w:val="center"/>
          </w:tcPr>
          <w:p w14:paraId="4E429709">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vAlign w:val="center"/>
          </w:tcPr>
          <w:p w14:paraId="6BA906B0">
            <w:pPr>
              <w:widowControl/>
              <w:jc w:val="center"/>
              <w:rPr>
                <w:color w:val="000000"/>
                <w:kern w:val="0"/>
                <w:sz w:val="22"/>
                <w:highlight w:val="none"/>
              </w:rPr>
            </w:pPr>
            <w:r>
              <w:rPr>
                <w:color w:val="000000"/>
                <w:kern w:val="0"/>
                <w:sz w:val="22"/>
                <w:highlight w:val="none"/>
              </w:rPr>
              <w:t>24</w:t>
            </w:r>
          </w:p>
        </w:tc>
      </w:tr>
      <w:tr w14:paraId="22282635">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1AA459C3">
            <w:pPr>
              <w:widowControl/>
              <w:jc w:val="center"/>
              <w:rPr>
                <w:b/>
                <w:bCs/>
                <w:color w:val="000000"/>
                <w:kern w:val="0"/>
                <w:sz w:val="22"/>
                <w:highlight w:val="none"/>
              </w:rPr>
            </w:pPr>
            <w:r>
              <w:rPr>
                <w:b/>
                <w:bCs/>
                <w:color w:val="000000"/>
                <w:kern w:val="0"/>
                <w:sz w:val="22"/>
                <w:highlight w:val="none"/>
              </w:rPr>
              <w:t>3</w:t>
            </w:r>
          </w:p>
        </w:tc>
        <w:tc>
          <w:tcPr>
            <w:tcW w:w="1626" w:type="dxa"/>
            <w:tcBorders>
              <w:top w:val="single" w:color="auto" w:sz="4" w:space="0"/>
              <w:left w:val="nil"/>
              <w:bottom w:val="single" w:color="auto" w:sz="4" w:space="0"/>
              <w:right w:val="single" w:color="auto" w:sz="4" w:space="0"/>
            </w:tcBorders>
            <w:vAlign w:val="center"/>
          </w:tcPr>
          <w:p w14:paraId="2E143DF2">
            <w:pPr>
              <w:widowControl/>
              <w:jc w:val="left"/>
              <w:rPr>
                <w:b/>
                <w:bCs/>
                <w:color w:val="000000"/>
                <w:kern w:val="0"/>
                <w:sz w:val="22"/>
                <w:highlight w:val="none"/>
              </w:rPr>
            </w:pPr>
            <w:r>
              <w:rPr>
                <w:b/>
                <w:bCs/>
                <w:color w:val="000000"/>
                <w:kern w:val="0"/>
                <w:sz w:val="22"/>
                <w:highlight w:val="none"/>
              </w:rPr>
              <w:t>摄像机镜头</w:t>
            </w:r>
          </w:p>
        </w:tc>
        <w:tc>
          <w:tcPr>
            <w:tcW w:w="1843" w:type="dxa"/>
            <w:tcBorders>
              <w:top w:val="single" w:color="auto" w:sz="4" w:space="0"/>
              <w:left w:val="nil"/>
              <w:bottom w:val="single" w:color="auto" w:sz="4" w:space="0"/>
              <w:right w:val="single" w:color="auto" w:sz="4" w:space="0"/>
            </w:tcBorders>
            <w:vAlign w:val="center"/>
          </w:tcPr>
          <w:p w14:paraId="599937EB">
            <w:pPr>
              <w:widowControl/>
              <w:jc w:val="left"/>
              <w:rPr>
                <w:b/>
                <w:bCs/>
                <w:color w:val="000000"/>
                <w:kern w:val="0"/>
                <w:sz w:val="22"/>
                <w:highlight w:val="none"/>
              </w:rPr>
            </w:pPr>
            <w:r>
              <w:rPr>
                <w:b/>
                <w:bCs/>
                <w:color w:val="000000"/>
                <w:kern w:val="0"/>
                <w:sz w:val="22"/>
                <w:highlight w:val="none"/>
              </w:rPr>
              <w:t>　</w:t>
            </w:r>
          </w:p>
        </w:tc>
        <w:tc>
          <w:tcPr>
            <w:tcW w:w="2739" w:type="dxa"/>
            <w:tcBorders>
              <w:top w:val="single" w:color="auto" w:sz="4" w:space="0"/>
              <w:left w:val="nil"/>
              <w:bottom w:val="single" w:color="auto" w:sz="4" w:space="0"/>
              <w:right w:val="single" w:color="auto" w:sz="4" w:space="0"/>
            </w:tcBorders>
            <w:vAlign w:val="center"/>
          </w:tcPr>
          <w:p w14:paraId="66030564">
            <w:pPr>
              <w:widowControl/>
              <w:jc w:val="left"/>
              <w:rPr>
                <w:b/>
                <w:bCs/>
                <w:color w:val="000000"/>
                <w:kern w:val="0"/>
                <w:sz w:val="22"/>
                <w:highlight w:val="none"/>
              </w:rPr>
            </w:pPr>
            <w:r>
              <w:rPr>
                <w:b/>
                <w:bCs/>
                <w:color w:val="000000"/>
                <w:kern w:val="0"/>
                <w:sz w:val="22"/>
                <w:highlight w:val="none"/>
              </w:rPr>
              <w:t>　</w:t>
            </w:r>
          </w:p>
        </w:tc>
        <w:tc>
          <w:tcPr>
            <w:tcW w:w="746" w:type="dxa"/>
            <w:tcBorders>
              <w:top w:val="single" w:color="auto" w:sz="4" w:space="0"/>
              <w:left w:val="nil"/>
              <w:bottom w:val="single" w:color="auto" w:sz="4" w:space="0"/>
              <w:right w:val="single" w:color="auto" w:sz="4" w:space="0"/>
            </w:tcBorders>
            <w:vAlign w:val="center"/>
          </w:tcPr>
          <w:p w14:paraId="1CF2B10F">
            <w:pPr>
              <w:widowControl/>
              <w:jc w:val="left"/>
              <w:rPr>
                <w:b/>
                <w:bCs/>
                <w:color w:val="000000"/>
                <w:kern w:val="0"/>
                <w:sz w:val="22"/>
                <w:highlight w:val="none"/>
              </w:rPr>
            </w:pPr>
            <w:r>
              <w:rPr>
                <w:b/>
                <w:bCs/>
                <w:color w:val="000000"/>
                <w:kern w:val="0"/>
                <w:sz w:val="22"/>
                <w:highlight w:val="none"/>
              </w:rPr>
              <w:t>　</w:t>
            </w:r>
          </w:p>
        </w:tc>
        <w:tc>
          <w:tcPr>
            <w:tcW w:w="563" w:type="dxa"/>
            <w:tcBorders>
              <w:top w:val="single" w:color="auto" w:sz="4" w:space="0"/>
              <w:left w:val="nil"/>
              <w:bottom w:val="single" w:color="auto" w:sz="4" w:space="0"/>
              <w:right w:val="single" w:color="auto" w:sz="4" w:space="0"/>
            </w:tcBorders>
            <w:vAlign w:val="center"/>
          </w:tcPr>
          <w:p w14:paraId="257F5D39">
            <w:pPr>
              <w:widowControl/>
              <w:jc w:val="left"/>
              <w:rPr>
                <w:b/>
                <w:bCs/>
                <w:color w:val="000000"/>
                <w:kern w:val="0"/>
                <w:sz w:val="22"/>
                <w:highlight w:val="none"/>
              </w:rPr>
            </w:pPr>
            <w:r>
              <w:rPr>
                <w:b/>
                <w:bCs/>
                <w:color w:val="000000"/>
                <w:kern w:val="0"/>
                <w:sz w:val="22"/>
                <w:highlight w:val="none"/>
              </w:rPr>
              <w:t>　</w:t>
            </w:r>
          </w:p>
        </w:tc>
      </w:tr>
      <w:tr w14:paraId="45D7FBFC">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794E7234">
            <w:pPr>
              <w:widowControl/>
              <w:jc w:val="center"/>
              <w:rPr>
                <w:color w:val="000000"/>
                <w:kern w:val="0"/>
                <w:sz w:val="22"/>
                <w:highlight w:val="none"/>
              </w:rPr>
            </w:pPr>
            <w:r>
              <w:rPr>
                <w:color w:val="000000"/>
                <w:kern w:val="0"/>
                <w:sz w:val="22"/>
                <w:highlight w:val="none"/>
              </w:rPr>
              <w:t>3.1</w:t>
            </w:r>
          </w:p>
        </w:tc>
        <w:tc>
          <w:tcPr>
            <w:tcW w:w="3469" w:type="dxa"/>
            <w:gridSpan w:val="2"/>
            <w:tcBorders>
              <w:top w:val="single" w:color="auto" w:sz="4" w:space="0"/>
              <w:left w:val="nil"/>
              <w:bottom w:val="single" w:color="auto" w:sz="4" w:space="0"/>
              <w:right w:val="single" w:color="auto" w:sz="4" w:space="0"/>
            </w:tcBorders>
            <w:vAlign w:val="center"/>
          </w:tcPr>
          <w:p w14:paraId="51802283">
            <w:pPr>
              <w:widowControl/>
              <w:jc w:val="left"/>
              <w:rPr>
                <w:color w:val="000000"/>
                <w:kern w:val="0"/>
                <w:sz w:val="22"/>
                <w:highlight w:val="none"/>
              </w:rPr>
            </w:pPr>
            <w:r>
              <w:rPr>
                <w:color w:val="000000"/>
                <w:kern w:val="0"/>
                <w:sz w:val="22"/>
                <w:highlight w:val="none"/>
              </w:rPr>
              <w:t>高清手动变焦镜头(用于路段非微卡口摄像机)</w:t>
            </w:r>
          </w:p>
        </w:tc>
        <w:tc>
          <w:tcPr>
            <w:tcW w:w="2739" w:type="dxa"/>
            <w:tcBorders>
              <w:top w:val="single" w:color="auto" w:sz="4" w:space="0"/>
              <w:left w:val="nil"/>
              <w:bottom w:val="single" w:color="auto" w:sz="4" w:space="0"/>
              <w:right w:val="single" w:color="auto" w:sz="4" w:space="0"/>
            </w:tcBorders>
            <w:vAlign w:val="center"/>
          </w:tcPr>
          <w:p w14:paraId="3BB8CB8A">
            <w:pPr>
              <w:widowControl/>
              <w:jc w:val="left"/>
              <w:rPr>
                <w:color w:val="000000"/>
                <w:kern w:val="0"/>
                <w:sz w:val="22"/>
                <w:highlight w:val="none"/>
              </w:rPr>
            </w:pPr>
            <w:r>
              <w:rPr>
                <w:color w:val="000000"/>
                <w:kern w:val="0"/>
                <w:sz w:val="22"/>
                <w:highlight w:val="none"/>
              </w:rPr>
              <w:t>HV3816MPH D</w:t>
            </w:r>
          </w:p>
        </w:tc>
        <w:tc>
          <w:tcPr>
            <w:tcW w:w="746" w:type="dxa"/>
            <w:tcBorders>
              <w:top w:val="single" w:color="auto" w:sz="4" w:space="0"/>
              <w:left w:val="nil"/>
              <w:bottom w:val="single" w:color="auto" w:sz="4" w:space="0"/>
              <w:right w:val="single" w:color="auto" w:sz="4" w:space="0"/>
            </w:tcBorders>
            <w:vAlign w:val="center"/>
          </w:tcPr>
          <w:p w14:paraId="3B653FB4">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3649BCAD">
            <w:pPr>
              <w:widowControl/>
              <w:jc w:val="center"/>
              <w:rPr>
                <w:color w:val="000000"/>
                <w:kern w:val="0"/>
                <w:sz w:val="22"/>
                <w:highlight w:val="none"/>
              </w:rPr>
            </w:pPr>
            <w:r>
              <w:rPr>
                <w:color w:val="000000"/>
                <w:kern w:val="0"/>
                <w:sz w:val="22"/>
                <w:highlight w:val="none"/>
              </w:rPr>
              <w:t>24</w:t>
            </w:r>
          </w:p>
        </w:tc>
      </w:tr>
      <w:tr w14:paraId="72E33A03">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09EAC2CC">
            <w:pPr>
              <w:widowControl/>
              <w:jc w:val="center"/>
              <w:rPr>
                <w:b/>
                <w:bCs/>
                <w:color w:val="000000"/>
                <w:kern w:val="0"/>
                <w:sz w:val="22"/>
                <w:highlight w:val="none"/>
              </w:rPr>
            </w:pPr>
            <w:r>
              <w:rPr>
                <w:b/>
                <w:bCs/>
                <w:color w:val="000000"/>
                <w:kern w:val="0"/>
                <w:sz w:val="22"/>
                <w:highlight w:val="none"/>
              </w:rPr>
              <w:t>4</w:t>
            </w:r>
          </w:p>
        </w:tc>
        <w:tc>
          <w:tcPr>
            <w:tcW w:w="1626" w:type="dxa"/>
            <w:tcBorders>
              <w:top w:val="single" w:color="auto" w:sz="4" w:space="0"/>
              <w:left w:val="nil"/>
              <w:bottom w:val="single" w:color="auto" w:sz="4" w:space="0"/>
              <w:right w:val="single" w:color="auto" w:sz="4" w:space="0"/>
            </w:tcBorders>
            <w:vAlign w:val="center"/>
          </w:tcPr>
          <w:p w14:paraId="0E3FD432">
            <w:pPr>
              <w:widowControl/>
              <w:jc w:val="left"/>
              <w:rPr>
                <w:b/>
                <w:bCs/>
                <w:color w:val="000000"/>
                <w:kern w:val="0"/>
                <w:sz w:val="22"/>
                <w:highlight w:val="none"/>
              </w:rPr>
            </w:pPr>
            <w:r>
              <w:rPr>
                <w:b/>
                <w:bCs/>
                <w:color w:val="000000"/>
                <w:kern w:val="0"/>
                <w:sz w:val="22"/>
                <w:highlight w:val="none"/>
              </w:rPr>
              <w:t>摄像机防护罩</w:t>
            </w:r>
          </w:p>
        </w:tc>
        <w:tc>
          <w:tcPr>
            <w:tcW w:w="1843" w:type="dxa"/>
            <w:tcBorders>
              <w:top w:val="single" w:color="auto" w:sz="4" w:space="0"/>
              <w:left w:val="nil"/>
              <w:bottom w:val="single" w:color="auto" w:sz="4" w:space="0"/>
              <w:right w:val="single" w:color="auto" w:sz="4" w:space="0"/>
            </w:tcBorders>
            <w:vAlign w:val="center"/>
          </w:tcPr>
          <w:p w14:paraId="41BC2B9A">
            <w:pPr>
              <w:widowControl/>
              <w:jc w:val="left"/>
              <w:rPr>
                <w:b/>
                <w:bCs/>
                <w:color w:val="000000"/>
                <w:kern w:val="0"/>
                <w:sz w:val="22"/>
                <w:highlight w:val="none"/>
              </w:rPr>
            </w:pPr>
            <w:r>
              <w:rPr>
                <w:b/>
                <w:bCs/>
                <w:color w:val="000000"/>
                <w:kern w:val="0"/>
                <w:sz w:val="22"/>
                <w:highlight w:val="none"/>
              </w:rPr>
              <w:t>　</w:t>
            </w:r>
          </w:p>
        </w:tc>
        <w:tc>
          <w:tcPr>
            <w:tcW w:w="2739" w:type="dxa"/>
            <w:tcBorders>
              <w:top w:val="single" w:color="auto" w:sz="4" w:space="0"/>
              <w:left w:val="nil"/>
              <w:bottom w:val="single" w:color="auto" w:sz="4" w:space="0"/>
              <w:right w:val="single" w:color="auto" w:sz="4" w:space="0"/>
            </w:tcBorders>
            <w:vAlign w:val="center"/>
          </w:tcPr>
          <w:p w14:paraId="6AE17794">
            <w:pPr>
              <w:widowControl/>
              <w:jc w:val="left"/>
              <w:rPr>
                <w:b/>
                <w:bCs/>
                <w:color w:val="000000"/>
                <w:kern w:val="0"/>
                <w:sz w:val="22"/>
                <w:highlight w:val="none"/>
              </w:rPr>
            </w:pPr>
            <w:r>
              <w:rPr>
                <w:b/>
                <w:bCs/>
                <w:color w:val="000000"/>
                <w:kern w:val="0"/>
                <w:sz w:val="22"/>
                <w:highlight w:val="none"/>
              </w:rPr>
              <w:t>　</w:t>
            </w:r>
          </w:p>
        </w:tc>
        <w:tc>
          <w:tcPr>
            <w:tcW w:w="746" w:type="dxa"/>
            <w:tcBorders>
              <w:top w:val="single" w:color="auto" w:sz="4" w:space="0"/>
              <w:left w:val="nil"/>
              <w:bottom w:val="single" w:color="auto" w:sz="4" w:space="0"/>
              <w:right w:val="single" w:color="auto" w:sz="4" w:space="0"/>
            </w:tcBorders>
            <w:vAlign w:val="center"/>
          </w:tcPr>
          <w:p w14:paraId="66B5514A">
            <w:pPr>
              <w:widowControl/>
              <w:jc w:val="left"/>
              <w:rPr>
                <w:b/>
                <w:bCs/>
                <w:color w:val="000000"/>
                <w:kern w:val="0"/>
                <w:sz w:val="22"/>
                <w:highlight w:val="none"/>
              </w:rPr>
            </w:pPr>
            <w:r>
              <w:rPr>
                <w:b/>
                <w:bCs/>
                <w:color w:val="000000"/>
                <w:kern w:val="0"/>
                <w:sz w:val="22"/>
                <w:highlight w:val="none"/>
              </w:rPr>
              <w:t>　</w:t>
            </w:r>
          </w:p>
        </w:tc>
        <w:tc>
          <w:tcPr>
            <w:tcW w:w="563" w:type="dxa"/>
            <w:tcBorders>
              <w:top w:val="single" w:color="auto" w:sz="4" w:space="0"/>
              <w:left w:val="nil"/>
              <w:bottom w:val="single" w:color="auto" w:sz="4" w:space="0"/>
              <w:right w:val="single" w:color="auto" w:sz="4" w:space="0"/>
            </w:tcBorders>
            <w:vAlign w:val="center"/>
          </w:tcPr>
          <w:p w14:paraId="54FC6CB5">
            <w:pPr>
              <w:widowControl/>
              <w:jc w:val="left"/>
              <w:rPr>
                <w:b/>
                <w:bCs/>
                <w:color w:val="000000"/>
                <w:kern w:val="0"/>
                <w:sz w:val="22"/>
                <w:highlight w:val="none"/>
              </w:rPr>
            </w:pPr>
            <w:r>
              <w:rPr>
                <w:b/>
                <w:bCs/>
                <w:color w:val="000000"/>
                <w:kern w:val="0"/>
                <w:sz w:val="22"/>
                <w:highlight w:val="none"/>
              </w:rPr>
              <w:t>　</w:t>
            </w:r>
          </w:p>
        </w:tc>
      </w:tr>
      <w:tr w14:paraId="5BEFE492">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12357243">
            <w:pPr>
              <w:widowControl/>
              <w:jc w:val="center"/>
              <w:rPr>
                <w:color w:val="000000"/>
                <w:kern w:val="0"/>
                <w:sz w:val="22"/>
                <w:highlight w:val="none"/>
              </w:rPr>
            </w:pPr>
            <w:r>
              <w:rPr>
                <w:color w:val="000000"/>
                <w:kern w:val="0"/>
                <w:sz w:val="22"/>
                <w:highlight w:val="none"/>
              </w:rPr>
              <w:t>4.1</w:t>
            </w:r>
          </w:p>
        </w:tc>
        <w:tc>
          <w:tcPr>
            <w:tcW w:w="3469" w:type="dxa"/>
            <w:gridSpan w:val="2"/>
            <w:tcBorders>
              <w:top w:val="single" w:color="auto" w:sz="4" w:space="0"/>
              <w:left w:val="nil"/>
              <w:bottom w:val="single" w:color="auto" w:sz="4" w:space="0"/>
              <w:right w:val="single" w:color="auto" w:sz="4" w:space="0"/>
            </w:tcBorders>
            <w:vAlign w:val="center"/>
          </w:tcPr>
          <w:p w14:paraId="276D40D8">
            <w:pPr>
              <w:widowControl/>
              <w:jc w:val="left"/>
              <w:rPr>
                <w:color w:val="000000"/>
                <w:kern w:val="0"/>
                <w:sz w:val="22"/>
                <w:highlight w:val="none"/>
              </w:rPr>
            </w:pPr>
            <w:r>
              <w:rPr>
                <w:color w:val="000000"/>
                <w:kern w:val="0"/>
                <w:sz w:val="22"/>
                <w:highlight w:val="none"/>
              </w:rPr>
              <w:t>7寸球形防护罩(用于路段非微卡口摄像机)</w:t>
            </w:r>
          </w:p>
        </w:tc>
        <w:tc>
          <w:tcPr>
            <w:tcW w:w="2739" w:type="dxa"/>
            <w:tcBorders>
              <w:top w:val="single" w:color="auto" w:sz="4" w:space="0"/>
              <w:left w:val="nil"/>
              <w:bottom w:val="single" w:color="auto" w:sz="4" w:space="0"/>
              <w:right w:val="single" w:color="auto" w:sz="4" w:space="0"/>
            </w:tcBorders>
            <w:vAlign w:val="center"/>
          </w:tcPr>
          <w:p w14:paraId="255D6368">
            <w:pPr>
              <w:widowControl/>
              <w:jc w:val="left"/>
              <w:rPr>
                <w:color w:val="000000"/>
                <w:kern w:val="0"/>
                <w:sz w:val="22"/>
                <w:highlight w:val="none"/>
              </w:rPr>
            </w:pPr>
            <w:r>
              <w:rPr>
                <w:color w:val="000000"/>
                <w:kern w:val="0"/>
                <w:sz w:val="22"/>
                <w:highlight w:val="none"/>
              </w:rPr>
              <w:t>ZQ507E</w:t>
            </w:r>
          </w:p>
        </w:tc>
        <w:tc>
          <w:tcPr>
            <w:tcW w:w="746" w:type="dxa"/>
            <w:tcBorders>
              <w:top w:val="single" w:color="auto" w:sz="4" w:space="0"/>
              <w:left w:val="nil"/>
              <w:bottom w:val="single" w:color="auto" w:sz="4" w:space="0"/>
              <w:right w:val="single" w:color="auto" w:sz="4" w:space="0"/>
            </w:tcBorders>
            <w:vAlign w:val="center"/>
          </w:tcPr>
          <w:p w14:paraId="0ABB4475">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vAlign w:val="center"/>
          </w:tcPr>
          <w:p w14:paraId="4D3DEE68">
            <w:pPr>
              <w:widowControl/>
              <w:jc w:val="center"/>
              <w:rPr>
                <w:color w:val="000000"/>
                <w:kern w:val="0"/>
                <w:sz w:val="22"/>
                <w:highlight w:val="none"/>
              </w:rPr>
            </w:pPr>
            <w:r>
              <w:rPr>
                <w:color w:val="000000"/>
                <w:kern w:val="0"/>
                <w:sz w:val="22"/>
                <w:highlight w:val="none"/>
              </w:rPr>
              <w:t>24</w:t>
            </w:r>
          </w:p>
        </w:tc>
      </w:tr>
      <w:tr w14:paraId="181E9F87">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1D20983F">
            <w:pPr>
              <w:widowControl/>
              <w:jc w:val="center"/>
              <w:rPr>
                <w:b/>
                <w:bCs/>
                <w:color w:val="000000"/>
                <w:kern w:val="0"/>
                <w:sz w:val="22"/>
                <w:highlight w:val="none"/>
              </w:rPr>
            </w:pPr>
            <w:r>
              <w:rPr>
                <w:b/>
                <w:bCs/>
                <w:color w:val="000000"/>
                <w:kern w:val="0"/>
                <w:sz w:val="22"/>
                <w:highlight w:val="none"/>
              </w:rPr>
              <w:t>5</w:t>
            </w:r>
          </w:p>
        </w:tc>
        <w:tc>
          <w:tcPr>
            <w:tcW w:w="1626" w:type="dxa"/>
            <w:tcBorders>
              <w:top w:val="single" w:color="auto" w:sz="4" w:space="0"/>
              <w:left w:val="nil"/>
              <w:bottom w:val="single" w:color="auto" w:sz="4" w:space="0"/>
              <w:right w:val="single" w:color="auto" w:sz="4" w:space="0"/>
            </w:tcBorders>
            <w:vAlign w:val="center"/>
          </w:tcPr>
          <w:p w14:paraId="067D6F40">
            <w:pPr>
              <w:widowControl/>
              <w:jc w:val="left"/>
              <w:rPr>
                <w:b/>
                <w:bCs/>
                <w:color w:val="000000"/>
                <w:kern w:val="0"/>
                <w:sz w:val="22"/>
                <w:highlight w:val="none"/>
              </w:rPr>
            </w:pPr>
            <w:r>
              <w:rPr>
                <w:b/>
                <w:bCs/>
                <w:color w:val="000000"/>
                <w:kern w:val="0"/>
                <w:sz w:val="22"/>
                <w:highlight w:val="none"/>
              </w:rPr>
              <w:t>抱杆机箱及配件</w:t>
            </w:r>
          </w:p>
        </w:tc>
        <w:tc>
          <w:tcPr>
            <w:tcW w:w="1843" w:type="dxa"/>
            <w:tcBorders>
              <w:top w:val="single" w:color="auto" w:sz="4" w:space="0"/>
              <w:left w:val="nil"/>
              <w:bottom w:val="single" w:color="auto" w:sz="4" w:space="0"/>
              <w:right w:val="single" w:color="auto" w:sz="4" w:space="0"/>
            </w:tcBorders>
            <w:vAlign w:val="center"/>
          </w:tcPr>
          <w:p w14:paraId="15218CDF">
            <w:pPr>
              <w:widowControl/>
              <w:jc w:val="left"/>
              <w:rPr>
                <w:b/>
                <w:bCs/>
                <w:color w:val="000000"/>
                <w:kern w:val="0"/>
                <w:sz w:val="22"/>
                <w:highlight w:val="none"/>
              </w:rPr>
            </w:pPr>
            <w:r>
              <w:rPr>
                <w:b/>
                <w:bCs/>
                <w:color w:val="000000"/>
                <w:kern w:val="0"/>
                <w:sz w:val="22"/>
                <w:highlight w:val="none"/>
              </w:rPr>
              <w:t>　</w:t>
            </w:r>
          </w:p>
        </w:tc>
        <w:tc>
          <w:tcPr>
            <w:tcW w:w="2739" w:type="dxa"/>
            <w:tcBorders>
              <w:top w:val="single" w:color="auto" w:sz="4" w:space="0"/>
              <w:left w:val="nil"/>
              <w:bottom w:val="single" w:color="auto" w:sz="4" w:space="0"/>
              <w:right w:val="single" w:color="auto" w:sz="4" w:space="0"/>
            </w:tcBorders>
            <w:vAlign w:val="center"/>
          </w:tcPr>
          <w:p w14:paraId="4325F757">
            <w:pPr>
              <w:widowControl/>
              <w:jc w:val="left"/>
              <w:rPr>
                <w:b/>
                <w:bCs/>
                <w:color w:val="000000"/>
                <w:kern w:val="0"/>
                <w:sz w:val="22"/>
                <w:highlight w:val="none"/>
              </w:rPr>
            </w:pPr>
            <w:r>
              <w:rPr>
                <w:b/>
                <w:bCs/>
                <w:color w:val="000000"/>
                <w:kern w:val="0"/>
                <w:sz w:val="22"/>
                <w:highlight w:val="none"/>
              </w:rPr>
              <w:t>　</w:t>
            </w:r>
          </w:p>
        </w:tc>
        <w:tc>
          <w:tcPr>
            <w:tcW w:w="746" w:type="dxa"/>
            <w:tcBorders>
              <w:top w:val="single" w:color="auto" w:sz="4" w:space="0"/>
              <w:left w:val="nil"/>
              <w:bottom w:val="single" w:color="auto" w:sz="4" w:space="0"/>
              <w:right w:val="single" w:color="auto" w:sz="4" w:space="0"/>
            </w:tcBorders>
            <w:vAlign w:val="center"/>
          </w:tcPr>
          <w:p w14:paraId="228EA484">
            <w:pPr>
              <w:widowControl/>
              <w:jc w:val="left"/>
              <w:rPr>
                <w:b/>
                <w:bCs/>
                <w:color w:val="000000"/>
                <w:kern w:val="0"/>
                <w:sz w:val="22"/>
                <w:highlight w:val="none"/>
              </w:rPr>
            </w:pPr>
            <w:r>
              <w:rPr>
                <w:b/>
                <w:bCs/>
                <w:color w:val="000000"/>
                <w:kern w:val="0"/>
                <w:sz w:val="22"/>
                <w:highlight w:val="none"/>
              </w:rPr>
              <w:t>　</w:t>
            </w:r>
          </w:p>
        </w:tc>
        <w:tc>
          <w:tcPr>
            <w:tcW w:w="563" w:type="dxa"/>
            <w:tcBorders>
              <w:top w:val="single" w:color="auto" w:sz="4" w:space="0"/>
              <w:left w:val="nil"/>
              <w:bottom w:val="single" w:color="auto" w:sz="4" w:space="0"/>
              <w:right w:val="single" w:color="auto" w:sz="4" w:space="0"/>
            </w:tcBorders>
            <w:vAlign w:val="center"/>
          </w:tcPr>
          <w:p w14:paraId="554A229C">
            <w:pPr>
              <w:widowControl/>
              <w:jc w:val="left"/>
              <w:rPr>
                <w:b/>
                <w:bCs/>
                <w:color w:val="000000"/>
                <w:kern w:val="0"/>
                <w:sz w:val="22"/>
                <w:highlight w:val="none"/>
              </w:rPr>
            </w:pPr>
            <w:r>
              <w:rPr>
                <w:b/>
                <w:bCs/>
                <w:color w:val="000000"/>
                <w:kern w:val="0"/>
                <w:sz w:val="22"/>
                <w:highlight w:val="none"/>
              </w:rPr>
              <w:t>　</w:t>
            </w:r>
          </w:p>
        </w:tc>
      </w:tr>
      <w:tr w14:paraId="18734FBF">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69DAC440">
            <w:pPr>
              <w:widowControl/>
              <w:jc w:val="center"/>
              <w:rPr>
                <w:color w:val="000000"/>
                <w:kern w:val="0"/>
                <w:sz w:val="22"/>
                <w:highlight w:val="none"/>
              </w:rPr>
            </w:pPr>
            <w:r>
              <w:rPr>
                <w:color w:val="000000"/>
                <w:kern w:val="0"/>
                <w:sz w:val="22"/>
                <w:highlight w:val="none"/>
              </w:rPr>
              <w:t>5.1</w:t>
            </w:r>
          </w:p>
        </w:tc>
        <w:tc>
          <w:tcPr>
            <w:tcW w:w="3469" w:type="dxa"/>
            <w:gridSpan w:val="2"/>
            <w:tcBorders>
              <w:top w:val="single" w:color="auto" w:sz="4" w:space="0"/>
              <w:left w:val="nil"/>
              <w:bottom w:val="single" w:color="auto" w:sz="4" w:space="0"/>
              <w:right w:val="single" w:color="auto" w:sz="4" w:space="0"/>
            </w:tcBorders>
            <w:vAlign w:val="center"/>
          </w:tcPr>
          <w:p w14:paraId="08A7ACA9">
            <w:pPr>
              <w:widowControl/>
              <w:jc w:val="left"/>
              <w:rPr>
                <w:color w:val="000000"/>
                <w:kern w:val="0"/>
                <w:sz w:val="22"/>
                <w:highlight w:val="none"/>
              </w:rPr>
            </w:pPr>
            <w:r>
              <w:rPr>
                <w:color w:val="000000"/>
                <w:kern w:val="0"/>
                <w:sz w:val="22"/>
                <w:highlight w:val="none"/>
              </w:rPr>
              <w:t>室外分线箱</w:t>
            </w:r>
          </w:p>
        </w:tc>
        <w:tc>
          <w:tcPr>
            <w:tcW w:w="2739" w:type="dxa"/>
            <w:tcBorders>
              <w:top w:val="single" w:color="auto" w:sz="4" w:space="0"/>
              <w:left w:val="nil"/>
              <w:bottom w:val="single" w:color="auto" w:sz="4" w:space="0"/>
              <w:right w:val="single" w:color="auto" w:sz="4" w:space="0"/>
            </w:tcBorders>
            <w:vAlign w:val="center"/>
          </w:tcPr>
          <w:p w14:paraId="239787F8">
            <w:pPr>
              <w:widowControl/>
              <w:jc w:val="left"/>
              <w:rPr>
                <w:color w:val="000000"/>
                <w:kern w:val="0"/>
                <w:sz w:val="22"/>
                <w:highlight w:val="none"/>
              </w:rPr>
            </w:pPr>
            <w:r>
              <w:rPr>
                <w:color w:val="000000"/>
                <w:kern w:val="0"/>
                <w:sz w:val="22"/>
                <w:highlight w:val="none"/>
              </w:rPr>
              <w:t>800mm×350mm×180mm</w:t>
            </w:r>
          </w:p>
        </w:tc>
        <w:tc>
          <w:tcPr>
            <w:tcW w:w="746" w:type="dxa"/>
            <w:tcBorders>
              <w:top w:val="single" w:color="auto" w:sz="4" w:space="0"/>
              <w:left w:val="nil"/>
              <w:bottom w:val="single" w:color="auto" w:sz="4" w:space="0"/>
              <w:right w:val="single" w:color="auto" w:sz="4" w:space="0"/>
            </w:tcBorders>
            <w:vAlign w:val="center"/>
          </w:tcPr>
          <w:p w14:paraId="0747EDE5">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vAlign w:val="center"/>
          </w:tcPr>
          <w:p w14:paraId="6D7E1187">
            <w:pPr>
              <w:widowControl/>
              <w:jc w:val="center"/>
              <w:rPr>
                <w:color w:val="000000"/>
                <w:kern w:val="0"/>
                <w:sz w:val="22"/>
                <w:highlight w:val="none"/>
              </w:rPr>
            </w:pPr>
            <w:r>
              <w:rPr>
                <w:color w:val="000000"/>
                <w:kern w:val="0"/>
                <w:sz w:val="22"/>
                <w:highlight w:val="none"/>
              </w:rPr>
              <w:t>12</w:t>
            </w:r>
          </w:p>
        </w:tc>
      </w:tr>
      <w:tr w14:paraId="7904F3E3">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1AC714DA">
            <w:pPr>
              <w:widowControl/>
              <w:jc w:val="center"/>
              <w:rPr>
                <w:color w:val="000000"/>
                <w:kern w:val="0"/>
                <w:sz w:val="22"/>
                <w:highlight w:val="none"/>
              </w:rPr>
            </w:pPr>
            <w:r>
              <w:rPr>
                <w:color w:val="000000"/>
                <w:kern w:val="0"/>
                <w:sz w:val="22"/>
                <w:highlight w:val="none"/>
              </w:rPr>
              <w:t>5.2</w:t>
            </w:r>
          </w:p>
        </w:tc>
        <w:tc>
          <w:tcPr>
            <w:tcW w:w="3469" w:type="dxa"/>
            <w:gridSpan w:val="2"/>
            <w:tcBorders>
              <w:top w:val="single" w:color="auto" w:sz="4" w:space="0"/>
              <w:left w:val="nil"/>
              <w:bottom w:val="single" w:color="auto" w:sz="4" w:space="0"/>
              <w:right w:val="single" w:color="auto" w:sz="4" w:space="0"/>
            </w:tcBorders>
            <w:vAlign w:val="center"/>
          </w:tcPr>
          <w:p w14:paraId="6277A717">
            <w:pPr>
              <w:widowControl/>
              <w:jc w:val="left"/>
              <w:rPr>
                <w:color w:val="000000"/>
                <w:kern w:val="0"/>
                <w:sz w:val="22"/>
                <w:highlight w:val="none"/>
              </w:rPr>
            </w:pPr>
            <w:r>
              <w:rPr>
                <w:color w:val="000000"/>
                <w:kern w:val="0"/>
                <w:sz w:val="22"/>
                <w:highlight w:val="none"/>
              </w:rPr>
              <w:t>PDU电源插座(放于室外分线箱内)</w:t>
            </w:r>
          </w:p>
        </w:tc>
        <w:tc>
          <w:tcPr>
            <w:tcW w:w="2739" w:type="dxa"/>
            <w:tcBorders>
              <w:top w:val="single" w:color="auto" w:sz="4" w:space="0"/>
              <w:left w:val="nil"/>
              <w:bottom w:val="single" w:color="auto" w:sz="4" w:space="0"/>
              <w:right w:val="single" w:color="auto" w:sz="4" w:space="0"/>
            </w:tcBorders>
            <w:vAlign w:val="center"/>
          </w:tcPr>
          <w:p w14:paraId="23520A87">
            <w:pPr>
              <w:widowControl/>
              <w:jc w:val="left"/>
              <w:rPr>
                <w:color w:val="000000"/>
                <w:kern w:val="0"/>
                <w:sz w:val="22"/>
                <w:highlight w:val="none"/>
              </w:rPr>
            </w:pPr>
            <w:r>
              <w:rPr>
                <w:color w:val="000000"/>
                <w:kern w:val="0"/>
                <w:sz w:val="22"/>
                <w:highlight w:val="none"/>
              </w:rPr>
              <w:t>H-PDU-0610G</w:t>
            </w:r>
          </w:p>
        </w:tc>
        <w:tc>
          <w:tcPr>
            <w:tcW w:w="746" w:type="dxa"/>
            <w:tcBorders>
              <w:top w:val="single" w:color="auto" w:sz="4" w:space="0"/>
              <w:left w:val="nil"/>
              <w:bottom w:val="single" w:color="auto" w:sz="4" w:space="0"/>
              <w:right w:val="single" w:color="auto" w:sz="4" w:space="0"/>
            </w:tcBorders>
            <w:vAlign w:val="center"/>
          </w:tcPr>
          <w:p w14:paraId="1D6AA979">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1FF444ED">
            <w:pPr>
              <w:widowControl/>
              <w:jc w:val="center"/>
              <w:rPr>
                <w:color w:val="000000"/>
                <w:kern w:val="0"/>
                <w:sz w:val="22"/>
                <w:highlight w:val="none"/>
              </w:rPr>
            </w:pPr>
            <w:r>
              <w:rPr>
                <w:color w:val="000000"/>
                <w:kern w:val="0"/>
                <w:sz w:val="22"/>
                <w:highlight w:val="none"/>
              </w:rPr>
              <w:t>12</w:t>
            </w:r>
          </w:p>
        </w:tc>
      </w:tr>
      <w:tr w14:paraId="68B4A21D">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4E0D49B8">
            <w:pPr>
              <w:widowControl/>
              <w:jc w:val="center"/>
              <w:rPr>
                <w:color w:val="000000"/>
                <w:kern w:val="0"/>
                <w:sz w:val="22"/>
                <w:highlight w:val="none"/>
              </w:rPr>
            </w:pPr>
            <w:r>
              <w:rPr>
                <w:color w:val="000000"/>
                <w:kern w:val="0"/>
                <w:sz w:val="22"/>
                <w:highlight w:val="none"/>
              </w:rPr>
              <w:t>5.3</w:t>
            </w:r>
          </w:p>
        </w:tc>
        <w:tc>
          <w:tcPr>
            <w:tcW w:w="3469" w:type="dxa"/>
            <w:gridSpan w:val="2"/>
            <w:tcBorders>
              <w:top w:val="single" w:color="auto" w:sz="4" w:space="0"/>
              <w:left w:val="nil"/>
              <w:bottom w:val="single" w:color="auto" w:sz="4" w:space="0"/>
              <w:right w:val="single" w:color="auto" w:sz="4" w:space="0"/>
            </w:tcBorders>
            <w:vAlign w:val="center"/>
          </w:tcPr>
          <w:p w14:paraId="6ED1F43A">
            <w:pPr>
              <w:widowControl/>
              <w:jc w:val="left"/>
              <w:rPr>
                <w:color w:val="000000"/>
                <w:kern w:val="0"/>
                <w:sz w:val="22"/>
                <w:highlight w:val="none"/>
              </w:rPr>
            </w:pPr>
            <w:r>
              <w:rPr>
                <w:color w:val="000000"/>
                <w:kern w:val="0"/>
                <w:sz w:val="22"/>
                <w:highlight w:val="none"/>
              </w:rPr>
              <w:t>电源防雷</w:t>
            </w:r>
          </w:p>
        </w:tc>
        <w:tc>
          <w:tcPr>
            <w:tcW w:w="2739" w:type="dxa"/>
            <w:tcBorders>
              <w:top w:val="single" w:color="auto" w:sz="4" w:space="0"/>
              <w:left w:val="nil"/>
              <w:bottom w:val="single" w:color="auto" w:sz="4" w:space="0"/>
              <w:right w:val="single" w:color="auto" w:sz="4" w:space="0"/>
            </w:tcBorders>
            <w:vAlign w:val="center"/>
          </w:tcPr>
          <w:p w14:paraId="079353DA">
            <w:pPr>
              <w:widowControl/>
              <w:jc w:val="left"/>
              <w:rPr>
                <w:color w:val="000000"/>
                <w:kern w:val="0"/>
                <w:sz w:val="22"/>
                <w:highlight w:val="none"/>
              </w:rPr>
            </w:pPr>
            <w:r>
              <w:rPr>
                <w:color w:val="000000"/>
                <w:kern w:val="0"/>
                <w:sz w:val="22"/>
                <w:highlight w:val="none"/>
              </w:rPr>
              <w:t>VD10 275 TNS/2</w:t>
            </w:r>
          </w:p>
        </w:tc>
        <w:tc>
          <w:tcPr>
            <w:tcW w:w="746" w:type="dxa"/>
            <w:tcBorders>
              <w:top w:val="single" w:color="auto" w:sz="4" w:space="0"/>
              <w:left w:val="nil"/>
              <w:bottom w:val="single" w:color="auto" w:sz="4" w:space="0"/>
              <w:right w:val="single" w:color="auto" w:sz="4" w:space="0"/>
            </w:tcBorders>
            <w:vAlign w:val="center"/>
          </w:tcPr>
          <w:p w14:paraId="3A04928F">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vAlign w:val="center"/>
          </w:tcPr>
          <w:p w14:paraId="5C7752E9">
            <w:pPr>
              <w:widowControl/>
              <w:jc w:val="center"/>
              <w:rPr>
                <w:color w:val="000000"/>
                <w:kern w:val="0"/>
                <w:sz w:val="22"/>
                <w:highlight w:val="none"/>
              </w:rPr>
            </w:pPr>
            <w:r>
              <w:rPr>
                <w:color w:val="000000"/>
                <w:kern w:val="0"/>
                <w:sz w:val="22"/>
                <w:highlight w:val="none"/>
              </w:rPr>
              <w:t>12</w:t>
            </w:r>
          </w:p>
        </w:tc>
      </w:tr>
      <w:tr w14:paraId="1EB04301">
        <w:tblPrEx>
          <w:tblCellMar>
            <w:top w:w="0" w:type="dxa"/>
            <w:left w:w="57" w:type="dxa"/>
            <w:bottom w:w="0" w:type="dxa"/>
            <w:right w:w="57" w:type="dxa"/>
          </w:tblCellMar>
        </w:tblPrEx>
        <w:tc>
          <w:tcPr>
            <w:tcW w:w="779" w:type="dxa"/>
            <w:vMerge w:val="restart"/>
            <w:tcBorders>
              <w:top w:val="single" w:color="auto" w:sz="4" w:space="0"/>
              <w:left w:val="single" w:color="auto" w:sz="4" w:space="0"/>
              <w:bottom w:val="single" w:color="auto" w:sz="4" w:space="0"/>
              <w:right w:val="single" w:color="auto" w:sz="4" w:space="0"/>
            </w:tcBorders>
            <w:vAlign w:val="center"/>
          </w:tcPr>
          <w:p w14:paraId="74BC1AD5">
            <w:pPr>
              <w:widowControl/>
              <w:jc w:val="center"/>
              <w:rPr>
                <w:color w:val="000000"/>
                <w:kern w:val="0"/>
                <w:sz w:val="22"/>
                <w:highlight w:val="none"/>
              </w:rPr>
            </w:pPr>
            <w:r>
              <w:rPr>
                <w:color w:val="000000"/>
                <w:kern w:val="0"/>
                <w:sz w:val="22"/>
                <w:highlight w:val="none"/>
              </w:rPr>
              <w:t>5.4</w:t>
            </w:r>
          </w:p>
        </w:tc>
        <w:tc>
          <w:tcPr>
            <w:tcW w:w="1626" w:type="dxa"/>
            <w:vMerge w:val="restart"/>
            <w:tcBorders>
              <w:top w:val="single" w:color="auto" w:sz="4" w:space="0"/>
              <w:left w:val="single" w:color="auto" w:sz="4" w:space="0"/>
              <w:bottom w:val="single" w:color="auto" w:sz="4" w:space="0"/>
              <w:right w:val="single" w:color="auto" w:sz="4" w:space="0"/>
            </w:tcBorders>
            <w:vAlign w:val="center"/>
          </w:tcPr>
          <w:p w14:paraId="6F5E5796">
            <w:pPr>
              <w:widowControl/>
              <w:jc w:val="left"/>
              <w:rPr>
                <w:color w:val="000000"/>
                <w:kern w:val="0"/>
                <w:sz w:val="22"/>
                <w:highlight w:val="none"/>
              </w:rPr>
            </w:pPr>
            <w:r>
              <w:rPr>
                <w:color w:val="000000"/>
                <w:kern w:val="0"/>
                <w:sz w:val="22"/>
                <w:highlight w:val="none"/>
              </w:rPr>
              <w:t>前端存储</w:t>
            </w:r>
          </w:p>
        </w:tc>
        <w:tc>
          <w:tcPr>
            <w:tcW w:w="1843" w:type="dxa"/>
            <w:tcBorders>
              <w:top w:val="single" w:color="auto" w:sz="4" w:space="0"/>
              <w:left w:val="nil"/>
              <w:bottom w:val="single" w:color="auto" w:sz="4" w:space="0"/>
              <w:right w:val="single" w:color="auto" w:sz="4" w:space="0"/>
            </w:tcBorders>
            <w:vAlign w:val="center"/>
          </w:tcPr>
          <w:p w14:paraId="1152F93A">
            <w:pPr>
              <w:widowControl/>
              <w:jc w:val="left"/>
              <w:rPr>
                <w:color w:val="000000"/>
                <w:kern w:val="0"/>
                <w:sz w:val="22"/>
                <w:highlight w:val="none"/>
              </w:rPr>
            </w:pPr>
            <w:r>
              <w:rPr>
                <w:color w:val="000000"/>
                <w:kern w:val="0"/>
                <w:sz w:val="22"/>
                <w:highlight w:val="none"/>
              </w:rPr>
              <w:t>UNV ISC2500-S网络视频录像机</w:t>
            </w:r>
          </w:p>
        </w:tc>
        <w:tc>
          <w:tcPr>
            <w:tcW w:w="2739" w:type="dxa"/>
            <w:tcBorders>
              <w:top w:val="single" w:color="auto" w:sz="4" w:space="0"/>
              <w:left w:val="nil"/>
              <w:bottom w:val="single" w:color="auto" w:sz="4" w:space="0"/>
              <w:right w:val="single" w:color="auto" w:sz="4" w:space="0"/>
            </w:tcBorders>
            <w:vAlign w:val="center"/>
          </w:tcPr>
          <w:p w14:paraId="372FD08E">
            <w:pPr>
              <w:widowControl/>
              <w:jc w:val="left"/>
              <w:rPr>
                <w:color w:val="000000"/>
                <w:kern w:val="0"/>
                <w:sz w:val="22"/>
                <w:highlight w:val="none"/>
              </w:rPr>
            </w:pPr>
            <w:r>
              <w:rPr>
                <w:color w:val="000000"/>
                <w:kern w:val="0"/>
                <w:sz w:val="22"/>
                <w:highlight w:val="none"/>
              </w:rPr>
              <w:t>ISC2500-S</w:t>
            </w:r>
          </w:p>
        </w:tc>
        <w:tc>
          <w:tcPr>
            <w:tcW w:w="746" w:type="dxa"/>
            <w:tcBorders>
              <w:top w:val="single" w:color="auto" w:sz="4" w:space="0"/>
              <w:left w:val="nil"/>
              <w:bottom w:val="single" w:color="auto" w:sz="4" w:space="0"/>
              <w:right w:val="single" w:color="auto" w:sz="4" w:space="0"/>
            </w:tcBorders>
            <w:vAlign w:val="center"/>
          </w:tcPr>
          <w:p w14:paraId="4060B10D">
            <w:pPr>
              <w:widowControl/>
              <w:jc w:val="center"/>
              <w:rPr>
                <w:color w:val="000000"/>
                <w:kern w:val="0"/>
                <w:sz w:val="22"/>
                <w:highlight w:val="none"/>
              </w:rPr>
            </w:pPr>
            <w:r>
              <w:rPr>
                <w:color w:val="000000"/>
                <w:kern w:val="0"/>
                <w:sz w:val="22"/>
                <w:highlight w:val="none"/>
              </w:rPr>
              <w:t>块</w:t>
            </w:r>
          </w:p>
        </w:tc>
        <w:tc>
          <w:tcPr>
            <w:tcW w:w="563" w:type="dxa"/>
            <w:tcBorders>
              <w:top w:val="single" w:color="auto" w:sz="4" w:space="0"/>
              <w:left w:val="nil"/>
              <w:bottom w:val="single" w:color="auto" w:sz="4" w:space="0"/>
              <w:right w:val="single" w:color="auto" w:sz="4" w:space="0"/>
            </w:tcBorders>
            <w:vAlign w:val="center"/>
          </w:tcPr>
          <w:p w14:paraId="587514EA">
            <w:pPr>
              <w:widowControl/>
              <w:jc w:val="center"/>
              <w:rPr>
                <w:color w:val="000000"/>
                <w:kern w:val="0"/>
                <w:sz w:val="22"/>
                <w:highlight w:val="none"/>
              </w:rPr>
            </w:pPr>
            <w:r>
              <w:rPr>
                <w:color w:val="000000"/>
                <w:kern w:val="0"/>
                <w:sz w:val="22"/>
                <w:highlight w:val="none"/>
              </w:rPr>
              <w:t>12</w:t>
            </w:r>
          </w:p>
        </w:tc>
      </w:tr>
      <w:tr w14:paraId="57135F42">
        <w:tblPrEx>
          <w:tblCellMar>
            <w:top w:w="0" w:type="dxa"/>
            <w:left w:w="57" w:type="dxa"/>
            <w:bottom w:w="0" w:type="dxa"/>
            <w:right w:w="57" w:type="dxa"/>
          </w:tblCellMar>
        </w:tblPrEx>
        <w:tc>
          <w:tcPr>
            <w:tcW w:w="779" w:type="dxa"/>
            <w:vMerge w:val="continue"/>
            <w:tcBorders>
              <w:top w:val="single" w:color="auto" w:sz="4" w:space="0"/>
              <w:left w:val="single" w:color="auto" w:sz="4" w:space="0"/>
              <w:bottom w:val="single" w:color="auto" w:sz="4" w:space="0"/>
              <w:right w:val="single" w:color="auto" w:sz="4" w:space="0"/>
            </w:tcBorders>
            <w:vAlign w:val="center"/>
          </w:tcPr>
          <w:p w14:paraId="6B0749B7">
            <w:pPr>
              <w:widowControl/>
              <w:jc w:val="left"/>
              <w:rPr>
                <w:color w:val="000000"/>
                <w:kern w:val="0"/>
                <w:sz w:val="22"/>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11A3CED8">
            <w:pPr>
              <w:widowControl/>
              <w:jc w:val="left"/>
              <w:rPr>
                <w:color w:val="000000"/>
                <w:kern w:val="0"/>
                <w:sz w:val="22"/>
                <w:highlight w:val="none"/>
              </w:rPr>
            </w:pPr>
          </w:p>
        </w:tc>
        <w:tc>
          <w:tcPr>
            <w:tcW w:w="1843" w:type="dxa"/>
            <w:tcBorders>
              <w:top w:val="single" w:color="auto" w:sz="4" w:space="0"/>
              <w:left w:val="nil"/>
              <w:bottom w:val="single" w:color="auto" w:sz="4" w:space="0"/>
              <w:right w:val="single" w:color="auto" w:sz="4" w:space="0"/>
            </w:tcBorders>
            <w:vAlign w:val="center"/>
          </w:tcPr>
          <w:p w14:paraId="5442F488">
            <w:pPr>
              <w:widowControl/>
              <w:jc w:val="left"/>
              <w:rPr>
                <w:color w:val="000000"/>
                <w:kern w:val="0"/>
                <w:sz w:val="22"/>
                <w:highlight w:val="none"/>
              </w:rPr>
            </w:pPr>
            <w:r>
              <w:rPr>
                <w:color w:val="000000"/>
                <w:kern w:val="0"/>
                <w:sz w:val="22"/>
                <w:highlight w:val="none"/>
              </w:rPr>
              <w:t>2T硬盘</w:t>
            </w:r>
          </w:p>
        </w:tc>
        <w:tc>
          <w:tcPr>
            <w:tcW w:w="2739" w:type="dxa"/>
            <w:tcBorders>
              <w:top w:val="single" w:color="auto" w:sz="4" w:space="0"/>
              <w:left w:val="nil"/>
              <w:bottom w:val="single" w:color="auto" w:sz="4" w:space="0"/>
              <w:right w:val="single" w:color="auto" w:sz="4" w:space="0"/>
            </w:tcBorders>
            <w:vAlign w:val="center"/>
          </w:tcPr>
          <w:p w14:paraId="27ABEADC">
            <w:pPr>
              <w:widowControl/>
              <w:jc w:val="left"/>
              <w:rPr>
                <w:color w:val="000000"/>
                <w:kern w:val="0"/>
                <w:sz w:val="22"/>
                <w:highlight w:val="none"/>
              </w:rPr>
            </w:pPr>
            <w:r>
              <w:rPr>
                <w:color w:val="000000"/>
                <w:kern w:val="0"/>
                <w:sz w:val="22"/>
                <w:highlight w:val="none"/>
              </w:rPr>
              <w:t>VS-HD2000V-NVR-UV</w:t>
            </w:r>
          </w:p>
        </w:tc>
        <w:tc>
          <w:tcPr>
            <w:tcW w:w="746" w:type="dxa"/>
            <w:tcBorders>
              <w:top w:val="single" w:color="auto" w:sz="4" w:space="0"/>
              <w:left w:val="nil"/>
              <w:bottom w:val="single" w:color="auto" w:sz="4" w:space="0"/>
              <w:right w:val="single" w:color="auto" w:sz="4" w:space="0"/>
            </w:tcBorders>
            <w:vAlign w:val="center"/>
          </w:tcPr>
          <w:p w14:paraId="095DD184">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6F3B7564">
            <w:pPr>
              <w:widowControl/>
              <w:jc w:val="center"/>
              <w:rPr>
                <w:color w:val="000000"/>
                <w:kern w:val="0"/>
                <w:sz w:val="22"/>
                <w:highlight w:val="none"/>
              </w:rPr>
            </w:pPr>
            <w:r>
              <w:rPr>
                <w:color w:val="000000"/>
                <w:kern w:val="0"/>
                <w:sz w:val="22"/>
                <w:highlight w:val="none"/>
              </w:rPr>
              <w:t>12</w:t>
            </w:r>
          </w:p>
        </w:tc>
      </w:tr>
      <w:tr w14:paraId="2607CF09">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1D3A5067">
            <w:pPr>
              <w:widowControl/>
              <w:jc w:val="center"/>
              <w:rPr>
                <w:color w:val="000000"/>
                <w:kern w:val="0"/>
                <w:sz w:val="22"/>
                <w:highlight w:val="none"/>
              </w:rPr>
            </w:pPr>
            <w:r>
              <w:rPr>
                <w:color w:val="000000"/>
                <w:kern w:val="0"/>
                <w:sz w:val="22"/>
                <w:highlight w:val="none"/>
              </w:rPr>
              <w:t>5.5</w:t>
            </w:r>
          </w:p>
        </w:tc>
        <w:tc>
          <w:tcPr>
            <w:tcW w:w="3469" w:type="dxa"/>
            <w:gridSpan w:val="2"/>
            <w:tcBorders>
              <w:top w:val="single" w:color="auto" w:sz="4" w:space="0"/>
              <w:left w:val="nil"/>
              <w:bottom w:val="single" w:color="auto" w:sz="4" w:space="0"/>
              <w:right w:val="single" w:color="auto" w:sz="4" w:space="0"/>
            </w:tcBorders>
            <w:vAlign w:val="center"/>
          </w:tcPr>
          <w:p w14:paraId="612B48B2">
            <w:pPr>
              <w:widowControl/>
              <w:jc w:val="left"/>
              <w:rPr>
                <w:color w:val="000000"/>
                <w:kern w:val="0"/>
                <w:sz w:val="22"/>
                <w:highlight w:val="none"/>
              </w:rPr>
            </w:pPr>
            <w:r>
              <w:rPr>
                <w:color w:val="000000"/>
                <w:kern w:val="0"/>
                <w:sz w:val="22"/>
                <w:highlight w:val="none"/>
              </w:rPr>
              <w:t>工业交换机</w:t>
            </w:r>
          </w:p>
        </w:tc>
        <w:tc>
          <w:tcPr>
            <w:tcW w:w="2739" w:type="dxa"/>
            <w:tcBorders>
              <w:top w:val="single" w:color="auto" w:sz="4" w:space="0"/>
              <w:left w:val="nil"/>
              <w:bottom w:val="single" w:color="auto" w:sz="4" w:space="0"/>
              <w:right w:val="single" w:color="auto" w:sz="4" w:space="0"/>
            </w:tcBorders>
            <w:vAlign w:val="center"/>
          </w:tcPr>
          <w:p w14:paraId="5490C73A">
            <w:pPr>
              <w:widowControl/>
              <w:jc w:val="left"/>
              <w:rPr>
                <w:color w:val="000000"/>
                <w:kern w:val="0"/>
                <w:sz w:val="22"/>
                <w:highlight w:val="none"/>
              </w:rPr>
            </w:pPr>
            <w:r>
              <w:rPr>
                <w:color w:val="000000"/>
                <w:kern w:val="0"/>
                <w:sz w:val="22"/>
                <w:highlight w:val="none"/>
              </w:rPr>
              <w:t>IS2000-0802CCDCR</w:t>
            </w:r>
          </w:p>
        </w:tc>
        <w:tc>
          <w:tcPr>
            <w:tcW w:w="746" w:type="dxa"/>
            <w:tcBorders>
              <w:top w:val="single" w:color="auto" w:sz="4" w:space="0"/>
              <w:left w:val="nil"/>
              <w:bottom w:val="single" w:color="auto" w:sz="4" w:space="0"/>
              <w:right w:val="single" w:color="auto" w:sz="4" w:space="0"/>
            </w:tcBorders>
            <w:vAlign w:val="center"/>
          </w:tcPr>
          <w:p w14:paraId="5137F1DB">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6A464D13">
            <w:pPr>
              <w:widowControl/>
              <w:jc w:val="center"/>
              <w:rPr>
                <w:color w:val="000000"/>
                <w:kern w:val="0"/>
                <w:sz w:val="22"/>
                <w:highlight w:val="none"/>
              </w:rPr>
            </w:pPr>
            <w:r>
              <w:rPr>
                <w:color w:val="000000"/>
                <w:kern w:val="0"/>
                <w:sz w:val="22"/>
                <w:highlight w:val="none"/>
              </w:rPr>
              <w:t>12</w:t>
            </w:r>
          </w:p>
        </w:tc>
      </w:tr>
      <w:tr w14:paraId="3300B68D">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149E4CC9">
            <w:pPr>
              <w:widowControl/>
              <w:jc w:val="center"/>
              <w:rPr>
                <w:color w:val="000000"/>
                <w:kern w:val="0"/>
                <w:sz w:val="22"/>
                <w:highlight w:val="none"/>
              </w:rPr>
            </w:pPr>
            <w:r>
              <w:rPr>
                <w:color w:val="000000"/>
                <w:kern w:val="0"/>
                <w:sz w:val="22"/>
                <w:highlight w:val="none"/>
              </w:rPr>
              <w:t>5.6</w:t>
            </w:r>
          </w:p>
        </w:tc>
        <w:tc>
          <w:tcPr>
            <w:tcW w:w="3469" w:type="dxa"/>
            <w:gridSpan w:val="2"/>
            <w:tcBorders>
              <w:top w:val="single" w:color="auto" w:sz="4" w:space="0"/>
              <w:left w:val="nil"/>
              <w:bottom w:val="single" w:color="auto" w:sz="4" w:space="0"/>
              <w:right w:val="single" w:color="auto" w:sz="4" w:space="0"/>
            </w:tcBorders>
            <w:vAlign w:val="center"/>
          </w:tcPr>
          <w:p w14:paraId="17F47D8F">
            <w:pPr>
              <w:widowControl/>
              <w:jc w:val="left"/>
              <w:rPr>
                <w:color w:val="000000"/>
                <w:kern w:val="0"/>
                <w:sz w:val="22"/>
                <w:highlight w:val="none"/>
              </w:rPr>
            </w:pPr>
            <w:r>
              <w:rPr>
                <w:color w:val="000000"/>
                <w:kern w:val="0"/>
                <w:sz w:val="22"/>
                <w:highlight w:val="none"/>
              </w:rPr>
              <w:t>监控标识牌</w:t>
            </w:r>
          </w:p>
        </w:tc>
        <w:tc>
          <w:tcPr>
            <w:tcW w:w="2739" w:type="dxa"/>
            <w:tcBorders>
              <w:top w:val="single" w:color="auto" w:sz="4" w:space="0"/>
              <w:left w:val="nil"/>
              <w:bottom w:val="single" w:color="auto" w:sz="4" w:space="0"/>
              <w:right w:val="single" w:color="auto" w:sz="4" w:space="0"/>
            </w:tcBorders>
            <w:vAlign w:val="center"/>
          </w:tcPr>
          <w:p w14:paraId="198195D1">
            <w:pPr>
              <w:widowControl/>
              <w:jc w:val="left"/>
              <w:rPr>
                <w:color w:val="000000"/>
                <w:kern w:val="0"/>
                <w:sz w:val="22"/>
                <w:highlight w:val="none"/>
              </w:rPr>
            </w:pPr>
            <w:r>
              <w:rPr>
                <w:color w:val="000000"/>
                <w:kern w:val="0"/>
                <w:sz w:val="22"/>
                <w:highlight w:val="none"/>
              </w:rPr>
              <w:t>定制</w:t>
            </w:r>
          </w:p>
        </w:tc>
        <w:tc>
          <w:tcPr>
            <w:tcW w:w="746" w:type="dxa"/>
            <w:tcBorders>
              <w:top w:val="single" w:color="auto" w:sz="4" w:space="0"/>
              <w:left w:val="nil"/>
              <w:bottom w:val="single" w:color="auto" w:sz="4" w:space="0"/>
              <w:right w:val="single" w:color="auto" w:sz="4" w:space="0"/>
            </w:tcBorders>
            <w:vAlign w:val="center"/>
          </w:tcPr>
          <w:p w14:paraId="1B5D359D">
            <w:pPr>
              <w:widowControl/>
              <w:jc w:val="center"/>
              <w:rPr>
                <w:color w:val="000000"/>
                <w:kern w:val="0"/>
                <w:sz w:val="22"/>
                <w:highlight w:val="none"/>
              </w:rPr>
            </w:pPr>
            <w:r>
              <w:rPr>
                <w:color w:val="000000"/>
                <w:kern w:val="0"/>
                <w:sz w:val="22"/>
                <w:highlight w:val="none"/>
              </w:rPr>
              <w:t>套</w:t>
            </w:r>
          </w:p>
        </w:tc>
        <w:tc>
          <w:tcPr>
            <w:tcW w:w="563" w:type="dxa"/>
            <w:tcBorders>
              <w:top w:val="single" w:color="auto" w:sz="4" w:space="0"/>
              <w:left w:val="nil"/>
              <w:bottom w:val="single" w:color="auto" w:sz="4" w:space="0"/>
              <w:right w:val="single" w:color="auto" w:sz="4" w:space="0"/>
            </w:tcBorders>
            <w:vAlign w:val="center"/>
          </w:tcPr>
          <w:p w14:paraId="61DE94D6">
            <w:pPr>
              <w:widowControl/>
              <w:jc w:val="center"/>
              <w:rPr>
                <w:color w:val="000000"/>
                <w:kern w:val="0"/>
                <w:sz w:val="22"/>
                <w:highlight w:val="none"/>
              </w:rPr>
            </w:pPr>
            <w:r>
              <w:rPr>
                <w:color w:val="000000"/>
                <w:kern w:val="0"/>
                <w:sz w:val="22"/>
                <w:highlight w:val="none"/>
              </w:rPr>
              <w:t>12</w:t>
            </w:r>
          </w:p>
        </w:tc>
      </w:tr>
      <w:tr w14:paraId="2B5F617B">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3D680CC6">
            <w:pPr>
              <w:widowControl/>
              <w:jc w:val="center"/>
              <w:rPr>
                <w:b/>
                <w:bCs/>
                <w:color w:val="000000"/>
                <w:kern w:val="0"/>
                <w:sz w:val="22"/>
                <w:highlight w:val="none"/>
              </w:rPr>
            </w:pPr>
            <w:r>
              <w:rPr>
                <w:b/>
                <w:bCs/>
                <w:color w:val="000000"/>
                <w:kern w:val="0"/>
                <w:sz w:val="22"/>
                <w:highlight w:val="none"/>
              </w:rPr>
              <w:t>二</w:t>
            </w:r>
          </w:p>
        </w:tc>
        <w:tc>
          <w:tcPr>
            <w:tcW w:w="1626" w:type="dxa"/>
            <w:tcBorders>
              <w:top w:val="single" w:color="auto" w:sz="4" w:space="0"/>
              <w:left w:val="nil"/>
              <w:bottom w:val="single" w:color="auto" w:sz="4" w:space="0"/>
              <w:right w:val="single" w:color="auto" w:sz="4" w:space="0"/>
            </w:tcBorders>
            <w:vAlign w:val="center"/>
          </w:tcPr>
          <w:p w14:paraId="5BBEE1B1">
            <w:pPr>
              <w:widowControl/>
              <w:jc w:val="left"/>
              <w:rPr>
                <w:b/>
                <w:bCs/>
                <w:color w:val="000000"/>
                <w:kern w:val="0"/>
                <w:sz w:val="22"/>
                <w:highlight w:val="none"/>
              </w:rPr>
            </w:pPr>
            <w:r>
              <w:rPr>
                <w:b/>
                <w:bCs/>
                <w:color w:val="000000"/>
                <w:kern w:val="0"/>
                <w:sz w:val="22"/>
                <w:highlight w:val="none"/>
              </w:rPr>
              <w:t>后端设备维护</w:t>
            </w:r>
          </w:p>
        </w:tc>
        <w:tc>
          <w:tcPr>
            <w:tcW w:w="1843" w:type="dxa"/>
            <w:tcBorders>
              <w:top w:val="single" w:color="auto" w:sz="4" w:space="0"/>
              <w:left w:val="nil"/>
              <w:bottom w:val="single" w:color="auto" w:sz="4" w:space="0"/>
              <w:right w:val="single" w:color="auto" w:sz="4" w:space="0"/>
            </w:tcBorders>
            <w:vAlign w:val="center"/>
          </w:tcPr>
          <w:p w14:paraId="44E5345E">
            <w:pPr>
              <w:widowControl/>
              <w:jc w:val="left"/>
              <w:rPr>
                <w:b/>
                <w:bCs/>
                <w:color w:val="000000"/>
                <w:kern w:val="0"/>
                <w:sz w:val="22"/>
                <w:highlight w:val="none"/>
              </w:rPr>
            </w:pPr>
            <w:r>
              <w:rPr>
                <w:b/>
                <w:bCs/>
                <w:color w:val="000000"/>
                <w:kern w:val="0"/>
                <w:sz w:val="22"/>
                <w:highlight w:val="none"/>
              </w:rPr>
              <w:t>　</w:t>
            </w:r>
          </w:p>
        </w:tc>
        <w:tc>
          <w:tcPr>
            <w:tcW w:w="2739" w:type="dxa"/>
            <w:tcBorders>
              <w:top w:val="single" w:color="auto" w:sz="4" w:space="0"/>
              <w:left w:val="nil"/>
              <w:bottom w:val="single" w:color="auto" w:sz="4" w:space="0"/>
              <w:right w:val="single" w:color="auto" w:sz="4" w:space="0"/>
            </w:tcBorders>
            <w:vAlign w:val="center"/>
          </w:tcPr>
          <w:p w14:paraId="2816D7A9">
            <w:pPr>
              <w:widowControl/>
              <w:jc w:val="left"/>
              <w:rPr>
                <w:b/>
                <w:bCs/>
                <w:color w:val="000000"/>
                <w:kern w:val="0"/>
                <w:sz w:val="22"/>
                <w:highlight w:val="none"/>
              </w:rPr>
            </w:pPr>
            <w:r>
              <w:rPr>
                <w:b/>
                <w:bCs/>
                <w:color w:val="000000"/>
                <w:kern w:val="0"/>
                <w:sz w:val="22"/>
                <w:highlight w:val="none"/>
              </w:rPr>
              <w:t>　</w:t>
            </w:r>
          </w:p>
        </w:tc>
        <w:tc>
          <w:tcPr>
            <w:tcW w:w="746" w:type="dxa"/>
            <w:tcBorders>
              <w:top w:val="single" w:color="auto" w:sz="4" w:space="0"/>
              <w:left w:val="nil"/>
              <w:bottom w:val="single" w:color="auto" w:sz="4" w:space="0"/>
              <w:right w:val="single" w:color="auto" w:sz="4" w:space="0"/>
            </w:tcBorders>
            <w:vAlign w:val="center"/>
          </w:tcPr>
          <w:p w14:paraId="0F5C3C40">
            <w:pPr>
              <w:widowControl/>
              <w:jc w:val="left"/>
              <w:rPr>
                <w:b/>
                <w:bCs/>
                <w:color w:val="000000"/>
                <w:kern w:val="0"/>
                <w:sz w:val="22"/>
                <w:highlight w:val="none"/>
              </w:rPr>
            </w:pPr>
            <w:r>
              <w:rPr>
                <w:b/>
                <w:bCs/>
                <w:color w:val="000000"/>
                <w:kern w:val="0"/>
                <w:sz w:val="22"/>
                <w:highlight w:val="none"/>
              </w:rPr>
              <w:t>　</w:t>
            </w:r>
          </w:p>
        </w:tc>
        <w:tc>
          <w:tcPr>
            <w:tcW w:w="563" w:type="dxa"/>
            <w:tcBorders>
              <w:top w:val="single" w:color="auto" w:sz="4" w:space="0"/>
              <w:left w:val="nil"/>
              <w:bottom w:val="single" w:color="auto" w:sz="4" w:space="0"/>
              <w:right w:val="single" w:color="auto" w:sz="4" w:space="0"/>
            </w:tcBorders>
            <w:vAlign w:val="center"/>
          </w:tcPr>
          <w:p w14:paraId="60800C29">
            <w:pPr>
              <w:widowControl/>
              <w:jc w:val="left"/>
              <w:rPr>
                <w:b/>
                <w:bCs/>
                <w:color w:val="000000"/>
                <w:kern w:val="0"/>
                <w:sz w:val="22"/>
                <w:highlight w:val="none"/>
              </w:rPr>
            </w:pPr>
            <w:r>
              <w:rPr>
                <w:b/>
                <w:bCs/>
                <w:color w:val="000000"/>
                <w:kern w:val="0"/>
                <w:sz w:val="22"/>
                <w:highlight w:val="none"/>
              </w:rPr>
              <w:t>　</w:t>
            </w:r>
          </w:p>
        </w:tc>
      </w:tr>
      <w:tr w14:paraId="28247834">
        <w:tblPrEx>
          <w:tblCellMar>
            <w:top w:w="0" w:type="dxa"/>
            <w:left w:w="57" w:type="dxa"/>
            <w:bottom w:w="0" w:type="dxa"/>
            <w:right w:w="57" w:type="dxa"/>
          </w:tblCellMar>
        </w:tblPrEx>
        <w:tc>
          <w:tcPr>
            <w:tcW w:w="779" w:type="dxa"/>
            <w:vMerge w:val="restart"/>
            <w:tcBorders>
              <w:top w:val="single" w:color="auto" w:sz="4" w:space="0"/>
              <w:left w:val="single" w:color="auto" w:sz="4" w:space="0"/>
              <w:bottom w:val="single" w:color="auto" w:sz="4" w:space="0"/>
              <w:right w:val="single" w:color="auto" w:sz="4" w:space="0"/>
            </w:tcBorders>
            <w:vAlign w:val="center"/>
          </w:tcPr>
          <w:p w14:paraId="052B6455">
            <w:pPr>
              <w:widowControl/>
              <w:jc w:val="center"/>
              <w:rPr>
                <w:color w:val="000000"/>
                <w:kern w:val="0"/>
                <w:sz w:val="22"/>
                <w:highlight w:val="none"/>
              </w:rPr>
            </w:pPr>
            <w:r>
              <w:rPr>
                <w:color w:val="000000"/>
                <w:kern w:val="0"/>
                <w:sz w:val="22"/>
                <w:highlight w:val="none"/>
              </w:rPr>
              <w:t>1</w:t>
            </w:r>
          </w:p>
        </w:tc>
        <w:tc>
          <w:tcPr>
            <w:tcW w:w="1626" w:type="dxa"/>
            <w:vMerge w:val="restart"/>
            <w:tcBorders>
              <w:top w:val="single" w:color="auto" w:sz="4" w:space="0"/>
              <w:left w:val="single" w:color="auto" w:sz="4" w:space="0"/>
              <w:bottom w:val="single" w:color="auto" w:sz="4" w:space="0"/>
              <w:right w:val="single" w:color="auto" w:sz="4" w:space="0"/>
            </w:tcBorders>
            <w:vAlign w:val="center"/>
          </w:tcPr>
          <w:p w14:paraId="6CB4D0A4">
            <w:pPr>
              <w:widowControl/>
              <w:jc w:val="left"/>
              <w:rPr>
                <w:color w:val="000000"/>
                <w:kern w:val="0"/>
                <w:sz w:val="22"/>
                <w:highlight w:val="none"/>
              </w:rPr>
            </w:pPr>
            <w:r>
              <w:rPr>
                <w:color w:val="000000"/>
                <w:kern w:val="0"/>
                <w:sz w:val="22"/>
                <w:highlight w:val="none"/>
              </w:rPr>
              <w:t>存储系统硬件</w:t>
            </w:r>
          </w:p>
        </w:tc>
        <w:tc>
          <w:tcPr>
            <w:tcW w:w="1843" w:type="dxa"/>
            <w:tcBorders>
              <w:top w:val="single" w:color="auto" w:sz="4" w:space="0"/>
              <w:left w:val="nil"/>
              <w:bottom w:val="single" w:color="auto" w:sz="4" w:space="0"/>
              <w:right w:val="single" w:color="auto" w:sz="4" w:space="0"/>
            </w:tcBorders>
            <w:vAlign w:val="center"/>
          </w:tcPr>
          <w:p w14:paraId="6FB51385">
            <w:pPr>
              <w:widowControl/>
              <w:jc w:val="left"/>
              <w:rPr>
                <w:color w:val="000000"/>
                <w:kern w:val="0"/>
                <w:sz w:val="22"/>
                <w:highlight w:val="none"/>
              </w:rPr>
            </w:pPr>
            <w:r>
              <w:rPr>
                <w:color w:val="000000"/>
                <w:kern w:val="0"/>
                <w:sz w:val="22"/>
                <w:highlight w:val="none"/>
              </w:rPr>
              <w:t>网络存储主机</w:t>
            </w:r>
          </w:p>
        </w:tc>
        <w:tc>
          <w:tcPr>
            <w:tcW w:w="2739" w:type="dxa"/>
            <w:tcBorders>
              <w:top w:val="single" w:color="auto" w:sz="4" w:space="0"/>
              <w:left w:val="nil"/>
              <w:bottom w:val="single" w:color="auto" w:sz="4" w:space="0"/>
              <w:right w:val="single" w:color="auto" w:sz="4" w:space="0"/>
            </w:tcBorders>
            <w:vAlign w:val="center"/>
          </w:tcPr>
          <w:p w14:paraId="10BABD8B">
            <w:pPr>
              <w:widowControl/>
              <w:jc w:val="left"/>
              <w:rPr>
                <w:color w:val="000000"/>
                <w:kern w:val="0"/>
                <w:sz w:val="22"/>
                <w:highlight w:val="none"/>
              </w:rPr>
            </w:pPr>
            <w:r>
              <w:rPr>
                <w:color w:val="000000"/>
                <w:kern w:val="0"/>
                <w:sz w:val="22"/>
                <w:highlight w:val="none"/>
              </w:rPr>
              <w:t>NI-VX1848</w:t>
            </w:r>
          </w:p>
        </w:tc>
        <w:tc>
          <w:tcPr>
            <w:tcW w:w="746" w:type="dxa"/>
            <w:tcBorders>
              <w:top w:val="single" w:color="auto" w:sz="4" w:space="0"/>
              <w:left w:val="nil"/>
              <w:bottom w:val="single" w:color="auto" w:sz="4" w:space="0"/>
              <w:right w:val="single" w:color="auto" w:sz="4" w:space="0"/>
            </w:tcBorders>
            <w:vAlign w:val="center"/>
          </w:tcPr>
          <w:p w14:paraId="67064A72">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7762E628">
            <w:pPr>
              <w:widowControl/>
              <w:jc w:val="center"/>
              <w:rPr>
                <w:color w:val="000000"/>
                <w:kern w:val="0"/>
                <w:sz w:val="22"/>
                <w:highlight w:val="none"/>
              </w:rPr>
            </w:pPr>
            <w:r>
              <w:rPr>
                <w:color w:val="000000"/>
                <w:kern w:val="0"/>
                <w:sz w:val="22"/>
                <w:highlight w:val="none"/>
              </w:rPr>
              <w:t>10</w:t>
            </w:r>
          </w:p>
        </w:tc>
      </w:tr>
      <w:tr w14:paraId="0DF7B842">
        <w:tblPrEx>
          <w:tblCellMar>
            <w:top w:w="0" w:type="dxa"/>
            <w:left w:w="57" w:type="dxa"/>
            <w:bottom w:w="0" w:type="dxa"/>
            <w:right w:w="57" w:type="dxa"/>
          </w:tblCellMar>
        </w:tblPrEx>
        <w:tc>
          <w:tcPr>
            <w:tcW w:w="779" w:type="dxa"/>
            <w:vMerge w:val="continue"/>
            <w:tcBorders>
              <w:top w:val="single" w:color="auto" w:sz="4" w:space="0"/>
              <w:left w:val="single" w:color="auto" w:sz="4" w:space="0"/>
              <w:bottom w:val="single" w:color="auto" w:sz="4" w:space="0"/>
              <w:right w:val="single" w:color="auto" w:sz="4" w:space="0"/>
            </w:tcBorders>
            <w:vAlign w:val="center"/>
          </w:tcPr>
          <w:p w14:paraId="1A243D7B">
            <w:pPr>
              <w:widowControl/>
              <w:jc w:val="left"/>
              <w:rPr>
                <w:color w:val="000000"/>
                <w:kern w:val="0"/>
                <w:sz w:val="22"/>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7B57624F">
            <w:pPr>
              <w:widowControl/>
              <w:jc w:val="left"/>
              <w:rPr>
                <w:color w:val="000000"/>
                <w:kern w:val="0"/>
                <w:sz w:val="22"/>
                <w:highlight w:val="none"/>
              </w:rPr>
            </w:pPr>
          </w:p>
        </w:tc>
        <w:tc>
          <w:tcPr>
            <w:tcW w:w="1843" w:type="dxa"/>
            <w:tcBorders>
              <w:top w:val="single" w:color="auto" w:sz="4" w:space="0"/>
              <w:left w:val="nil"/>
              <w:bottom w:val="single" w:color="auto" w:sz="4" w:space="0"/>
              <w:right w:val="single" w:color="auto" w:sz="4" w:space="0"/>
            </w:tcBorders>
            <w:vAlign w:val="center"/>
          </w:tcPr>
          <w:p w14:paraId="62636D9A">
            <w:pPr>
              <w:widowControl/>
              <w:jc w:val="left"/>
              <w:rPr>
                <w:color w:val="000000"/>
                <w:kern w:val="0"/>
                <w:sz w:val="22"/>
                <w:highlight w:val="none"/>
              </w:rPr>
            </w:pPr>
            <w:r>
              <w:rPr>
                <w:color w:val="000000"/>
                <w:kern w:val="0"/>
                <w:sz w:val="22"/>
                <w:highlight w:val="none"/>
              </w:rPr>
              <w:t>网络存储扩展柜</w:t>
            </w:r>
          </w:p>
        </w:tc>
        <w:tc>
          <w:tcPr>
            <w:tcW w:w="2739" w:type="dxa"/>
            <w:tcBorders>
              <w:top w:val="single" w:color="auto" w:sz="4" w:space="0"/>
              <w:left w:val="nil"/>
              <w:bottom w:val="single" w:color="auto" w:sz="4" w:space="0"/>
              <w:right w:val="single" w:color="auto" w:sz="4" w:space="0"/>
            </w:tcBorders>
            <w:vAlign w:val="center"/>
          </w:tcPr>
          <w:p w14:paraId="1B70A55C">
            <w:pPr>
              <w:widowControl/>
              <w:jc w:val="left"/>
              <w:rPr>
                <w:color w:val="000000"/>
                <w:kern w:val="0"/>
                <w:sz w:val="22"/>
                <w:highlight w:val="none"/>
              </w:rPr>
            </w:pPr>
            <w:r>
              <w:rPr>
                <w:color w:val="000000"/>
                <w:kern w:val="0"/>
                <w:sz w:val="22"/>
                <w:highlight w:val="none"/>
              </w:rPr>
              <w:t>NI-DE1848</w:t>
            </w:r>
          </w:p>
        </w:tc>
        <w:tc>
          <w:tcPr>
            <w:tcW w:w="746" w:type="dxa"/>
            <w:tcBorders>
              <w:top w:val="single" w:color="auto" w:sz="4" w:space="0"/>
              <w:left w:val="nil"/>
              <w:bottom w:val="single" w:color="auto" w:sz="4" w:space="0"/>
              <w:right w:val="single" w:color="auto" w:sz="4" w:space="0"/>
            </w:tcBorders>
            <w:vAlign w:val="center"/>
          </w:tcPr>
          <w:p w14:paraId="4B8469ED">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31E08915">
            <w:pPr>
              <w:widowControl/>
              <w:jc w:val="center"/>
              <w:rPr>
                <w:color w:val="000000"/>
                <w:kern w:val="0"/>
                <w:sz w:val="22"/>
                <w:highlight w:val="none"/>
              </w:rPr>
            </w:pPr>
            <w:r>
              <w:rPr>
                <w:color w:val="000000"/>
                <w:kern w:val="0"/>
                <w:sz w:val="22"/>
                <w:highlight w:val="none"/>
              </w:rPr>
              <w:t>9</w:t>
            </w:r>
          </w:p>
        </w:tc>
      </w:tr>
      <w:tr w14:paraId="2E7737BA">
        <w:tblPrEx>
          <w:tblCellMar>
            <w:top w:w="0" w:type="dxa"/>
            <w:left w:w="57" w:type="dxa"/>
            <w:bottom w:w="0" w:type="dxa"/>
            <w:right w:w="57" w:type="dxa"/>
          </w:tblCellMar>
        </w:tblPrEx>
        <w:tc>
          <w:tcPr>
            <w:tcW w:w="779" w:type="dxa"/>
            <w:vMerge w:val="continue"/>
            <w:tcBorders>
              <w:top w:val="single" w:color="auto" w:sz="4" w:space="0"/>
              <w:left w:val="single" w:color="auto" w:sz="4" w:space="0"/>
              <w:bottom w:val="single" w:color="auto" w:sz="4" w:space="0"/>
              <w:right w:val="single" w:color="auto" w:sz="4" w:space="0"/>
            </w:tcBorders>
            <w:vAlign w:val="center"/>
          </w:tcPr>
          <w:p w14:paraId="73647658">
            <w:pPr>
              <w:widowControl/>
              <w:jc w:val="left"/>
              <w:rPr>
                <w:color w:val="000000"/>
                <w:kern w:val="0"/>
                <w:sz w:val="22"/>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701CFAE9">
            <w:pPr>
              <w:widowControl/>
              <w:jc w:val="left"/>
              <w:rPr>
                <w:color w:val="000000"/>
                <w:kern w:val="0"/>
                <w:sz w:val="22"/>
                <w:highlight w:val="none"/>
              </w:rPr>
            </w:pPr>
          </w:p>
        </w:tc>
        <w:tc>
          <w:tcPr>
            <w:tcW w:w="1843" w:type="dxa"/>
            <w:tcBorders>
              <w:top w:val="single" w:color="auto" w:sz="4" w:space="0"/>
              <w:left w:val="nil"/>
              <w:bottom w:val="single" w:color="auto" w:sz="4" w:space="0"/>
              <w:right w:val="single" w:color="auto" w:sz="4" w:space="0"/>
            </w:tcBorders>
            <w:vAlign w:val="center"/>
          </w:tcPr>
          <w:p w14:paraId="22D2C10C">
            <w:pPr>
              <w:widowControl/>
              <w:jc w:val="left"/>
              <w:rPr>
                <w:color w:val="000000"/>
                <w:kern w:val="0"/>
                <w:sz w:val="22"/>
                <w:highlight w:val="none"/>
              </w:rPr>
            </w:pPr>
            <w:r>
              <w:rPr>
                <w:color w:val="000000"/>
                <w:kern w:val="0"/>
                <w:sz w:val="22"/>
                <w:highlight w:val="none"/>
              </w:rPr>
              <w:t>电池模块</w:t>
            </w:r>
          </w:p>
        </w:tc>
        <w:tc>
          <w:tcPr>
            <w:tcW w:w="2739" w:type="dxa"/>
            <w:tcBorders>
              <w:top w:val="single" w:color="auto" w:sz="4" w:space="0"/>
              <w:left w:val="nil"/>
              <w:bottom w:val="single" w:color="auto" w:sz="4" w:space="0"/>
              <w:right w:val="single" w:color="auto" w:sz="4" w:space="0"/>
            </w:tcBorders>
            <w:vAlign w:val="center"/>
          </w:tcPr>
          <w:p w14:paraId="0A449B57">
            <w:pPr>
              <w:widowControl/>
              <w:jc w:val="left"/>
              <w:rPr>
                <w:color w:val="000000"/>
                <w:kern w:val="0"/>
                <w:sz w:val="22"/>
                <w:highlight w:val="none"/>
              </w:rPr>
            </w:pPr>
            <w:r>
              <w:rPr>
                <w:color w:val="000000"/>
                <w:kern w:val="0"/>
                <w:sz w:val="22"/>
                <w:highlight w:val="none"/>
              </w:rPr>
              <w:t>NIOM1BCBB</w:t>
            </w:r>
          </w:p>
        </w:tc>
        <w:tc>
          <w:tcPr>
            <w:tcW w:w="746" w:type="dxa"/>
            <w:tcBorders>
              <w:top w:val="single" w:color="auto" w:sz="4" w:space="0"/>
              <w:left w:val="nil"/>
              <w:bottom w:val="single" w:color="auto" w:sz="4" w:space="0"/>
              <w:right w:val="single" w:color="auto" w:sz="4" w:space="0"/>
            </w:tcBorders>
            <w:vAlign w:val="center"/>
          </w:tcPr>
          <w:p w14:paraId="05081201">
            <w:pPr>
              <w:widowControl/>
              <w:jc w:val="center"/>
              <w:rPr>
                <w:color w:val="000000"/>
                <w:kern w:val="0"/>
                <w:sz w:val="22"/>
                <w:highlight w:val="none"/>
              </w:rPr>
            </w:pPr>
            <w:r>
              <w:rPr>
                <w:color w:val="000000"/>
                <w:kern w:val="0"/>
                <w:sz w:val="22"/>
                <w:highlight w:val="none"/>
              </w:rPr>
              <w:t>个</w:t>
            </w:r>
          </w:p>
        </w:tc>
        <w:tc>
          <w:tcPr>
            <w:tcW w:w="563" w:type="dxa"/>
            <w:tcBorders>
              <w:top w:val="single" w:color="auto" w:sz="4" w:space="0"/>
              <w:left w:val="nil"/>
              <w:bottom w:val="single" w:color="auto" w:sz="4" w:space="0"/>
              <w:right w:val="single" w:color="auto" w:sz="4" w:space="0"/>
            </w:tcBorders>
            <w:vAlign w:val="center"/>
          </w:tcPr>
          <w:p w14:paraId="21A76916">
            <w:pPr>
              <w:widowControl/>
              <w:jc w:val="center"/>
              <w:rPr>
                <w:color w:val="000000"/>
                <w:kern w:val="0"/>
                <w:sz w:val="22"/>
                <w:highlight w:val="none"/>
              </w:rPr>
            </w:pPr>
            <w:r>
              <w:rPr>
                <w:color w:val="000000"/>
                <w:kern w:val="0"/>
                <w:sz w:val="22"/>
                <w:highlight w:val="none"/>
              </w:rPr>
              <w:t>10</w:t>
            </w:r>
          </w:p>
        </w:tc>
      </w:tr>
      <w:tr w14:paraId="3CB3CC7D">
        <w:tblPrEx>
          <w:tblCellMar>
            <w:top w:w="0" w:type="dxa"/>
            <w:left w:w="57" w:type="dxa"/>
            <w:bottom w:w="0" w:type="dxa"/>
            <w:right w:w="57" w:type="dxa"/>
          </w:tblCellMar>
        </w:tblPrEx>
        <w:tc>
          <w:tcPr>
            <w:tcW w:w="779" w:type="dxa"/>
            <w:vMerge w:val="continue"/>
            <w:tcBorders>
              <w:top w:val="single" w:color="auto" w:sz="4" w:space="0"/>
              <w:left w:val="single" w:color="auto" w:sz="4" w:space="0"/>
              <w:bottom w:val="single" w:color="auto" w:sz="4" w:space="0"/>
              <w:right w:val="single" w:color="auto" w:sz="4" w:space="0"/>
            </w:tcBorders>
            <w:vAlign w:val="center"/>
          </w:tcPr>
          <w:p w14:paraId="2EA1A008">
            <w:pPr>
              <w:widowControl/>
              <w:jc w:val="left"/>
              <w:rPr>
                <w:color w:val="000000"/>
                <w:kern w:val="0"/>
                <w:sz w:val="22"/>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098514FF">
            <w:pPr>
              <w:widowControl/>
              <w:jc w:val="left"/>
              <w:rPr>
                <w:color w:val="000000"/>
                <w:kern w:val="0"/>
                <w:sz w:val="22"/>
                <w:highlight w:val="none"/>
              </w:rPr>
            </w:pPr>
          </w:p>
        </w:tc>
        <w:tc>
          <w:tcPr>
            <w:tcW w:w="1843" w:type="dxa"/>
            <w:tcBorders>
              <w:top w:val="single" w:color="auto" w:sz="4" w:space="0"/>
              <w:left w:val="nil"/>
              <w:bottom w:val="single" w:color="auto" w:sz="4" w:space="0"/>
              <w:right w:val="single" w:color="auto" w:sz="4" w:space="0"/>
            </w:tcBorders>
            <w:vAlign w:val="center"/>
          </w:tcPr>
          <w:p w14:paraId="5183360E">
            <w:pPr>
              <w:widowControl/>
              <w:jc w:val="left"/>
              <w:rPr>
                <w:color w:val="000000"/>
                <w:kern w:val="0"/>
                <w:sz w:val="22"/>
                <w:highlight w:val="none"/>
              </w:rPr>
            </w:pPr>
            <w:r>
              <w:rPr>
                <w:color w:val="000000"/>
                <w:kern w:val="0"/>
                <w:sz w:val="22"/>
                <w:highlight w:val="none"/>
              </w:rPr>
              <w:t>网络存储700W电源模块</w:t>
            </w:r>
          </w:p>
        </w:tc>
        <w:tc>
          <w:tcPr>
            <w:tcW w:w="2739" w:type="dxa"/>
            <w:tcBorders>
              <w:top w:val="single" w:color="auto" w:sz="4" w:space="0"/>
              <w:left w:val="nil"/>
              <w:bottom w:val="single" w:color="auto" w:sz="4" w:space="0"/>
              <w:right w:val="single" w:color="auto" w:sz="4" w:space="0"/>
            </w:tcBorders>
            <w:vAlign w:val="center"/>
          </w:tcPr>
          <w:p w14:paraId="31BD9280">
            <w:pPr>
              <w:widowControl/>
              <w:jc w:val="left"/>
              <w:rPr>
                <w:color w:val="000000"/>
                <w:kern w:val="0"/>
                <w:sz w:val="22"/>
                <w:highlight w:val="none"/>
              </w:rPr>
            </w:pPr>
            <w:r>
              <w:rPr>
                <w:color w:val="000000"/>
                <w:kern w:val="0"/>
                <w:sz w:val="22"/>
                <w:highlight w:val="none"/>
              </w:rPr>
              <w:t>NIOMIDPS700</w:t>
            </w:r>
          </w:p>
        </w:tc>
        <w:tc>
          <w:tcPr>
            <w:tcW w:w="746" w:type="dxa"/>
            <w:tcBorders>
              <w:top w:val="single" w:color="auto" w:sz="4" w:space="0"/>
              <w:left w:val="nil"/>
              <w:bottom w:val="single" w:color="auto" w:sz="4" w:space="0"/>
              <w:right w:val="single" w:color="auto" w:sz="4" w:space="0"/>
            </w:tcBorders>
            <w:vAlign w:val="center"/>
          </w:tcPr>
          <w:p w14:paraId="50AA030E">
            <w:pPr>
              <w:widowControl/>
              <w:jc w:val="center"/>
              <w:rPr>
                <w:color w:val="000000"/>
                <w:kern w:val="0"/>
                <w:sz w:val="22"/>
                <w:highlight w:val="none"/>
              </w:rPr>
            </w:pPr>
            <w:r>
              <w:rPr>
                <w:color w:val="000000"/>
                <w:kern w:val="0"/>
                <w:sz w:val="22"/>
                <w:highlight w:val="none"/>
              </w:rPr>
              <w:t>个</w:t>
            </w:r>
          </w:p>
        </w:tc>
        <w:tc>
          <w:tcPr>
            <w:tcW w:w="563" w:type="dxa"/>
            <w:tcBorders>
              <w:top w:val="single" w:color="auto" w:sz="4" w:space="0"/>
              <w:left w:val="nil"/>
              <w:bottom w:val="single" w:color="auto" w:sz="4" w:space="0"/>
              <w:right w:val="single" w:color="auto" w:sz="4" w:space="0"/>
            </w:tcBorders>
            <w:vAlign w:val="center"/>
          </w:tcPr>
          <w:p w14:paraId="2543FFA9">
            <w:pPr>
              <w:widowControl/>
              <w:jc w:val="center"/>
              <w:rPr>
                <w:color w:val="000000"/>
                <w:kern w:val="0"/>
                <w:sz w:val="22"/>
                <w:highlight w:val="none"/>
              </w:rPr>
            </w:pPr>
            <w:r>
              <w:rPr>
                <w:color w:val="000000"/>
                <w:kern w:val="0"/>
                <w:sz w:val="22"/>
                <w:highlight w:val="none"/>
              </w:rPr>
              <w:t>19</w:t>
            </w:r>
          </w:p>
        </w:tc>
      </w:tr>
      <w:tr w14:paraId="62E3172C">
        <w:tblPrEx>
          <w:tblCellMar>
            <w:top w:w="0" w:type="dxa"/>
            <w:left w:w="57" w:type="dxa"/>
            <w:bottom w:w="0" w:type="dxa"/>
            <w:right w:w="57" w:type="dxa"/>
          </w:tblCellMar>
        </w:tblPrEx>
        <w:tc>
          <w:tcPr>
            <w:tcW w:w="779" w:type="dxa"/>
            <w:vMerge w:val="continue"/>
            <w:tcBorders>
              <w:top w:val="single" w:color="auto" w:sz="4" w:space="0"/>
              <w:left w:val="single" w:color="auto" w:sz="4" w:space="0"/>
              <w:bottom w:val="single" w:color="auto" w:sz="4" w:space="0"/>
              <w:right w:val="single" w:color="auto" w:sz="4" w:space="0"/>
            </w:tcBorders>
            <w:vAlign w:val="center"/>
          </w:tcPr>
          <w:p w14:paraId="58B8A5EF">
            <w:pPr>
              <w:widowControl/>
              <w:jc w:val="left"/>
              <w:rPr>
                <w:color w:val="000000"/>
                <w:kern w:val="0"/>
                <w:sz w:val="22"/>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3EC2A973">
            <w:pPr>
              <w:widowControl/>
              <w:jc w:val="left"/>
              <w:rPr>
                <w:color w:val="000000"/>
                <w:kern w:val="0"/>
                <w:sz w:val="22"/>
                <w:highlight w:val="none"/>
              </w:rPr>
            </w:pPr>
          </w:p>
        </w:tc>
        <w:tc>
          <w:tcPr>
            <w:tcW w:w="1843" w:type="dxa"/>
            <w:tcBorders>
              <w:top w:val="single" w:color="auto" w:sz="4" w:space="0"/>
              <w:left w:val="nil"/>
              <w:bottom w:val="single" w:color="auto" w:sz="4" w:space="0"/>
              <w:right w:val="single" w:color="auto" w:sz="4" w:space="0"/>
            </w:tcBorders>
            <w:vAlign w:val="center"/>
          </w:tcPr>
          <w:p w14:paraId="4CEB82A2">
            <w:pPr>
              <w:widowControl/>
              <w:jc w:val="left"/>
              <w:rPr>
                <w:color w:val="000000"/>
                <w:kern w:val="0"/>
                <w:sz w:val="22"/>
                <w:highlight w:val="none"/>
              </w:rPr>
            </w:pPr>
            <w:r>
              <w:rPr>
                <w:color w:val="000000"/>
                <w:kern w:val="0"/>
                <w:sz w:val="22"/>
                <w:highlight w:val="none"/>
              </w:rPr>
              <w:t>一体化二合一SATA硬盘(4000G*2)</w:t>
            </w:r>
          </w:p>
        </w:tc>
        <w:tc>
          <w:tcPr>
            <w:tcW w:w="2739" w:type="dxa"/>
            <w:tcBorders>
              <w:top w:val="single" w:color="auto" w:sz="4" w:space="0"/>
              <w:left w:val="nil"/>
              <w:bottom w:val="single" w:color="auto" w:sz="4" w:space="0"/>
              <w:right w:val="single" w:color="auto" w:sz="4" w:space="0"/>
            </w:tcBorders>
            <w:vAlign w:val="center"/>
          </w:tcPr>
          <w:p w14:paraId="01FF633D">
            <w:pPr>
              <w:widowControl/>
              <w:jc w:val="left"/>
              <w:rPr>
                <w:color w:val="000000"/>
                <w:kern w:val="0"/>
                <w:sz w:val="22"/>
                <w:highlight w:val="none"/>
              </w:rPr>
            </w:pPr>
            <w:r>
              <w:rPr>
                <w:color w:val="000000"/>
                <w:kern w:val="0"/>
                <w:sz w:val="22"/>
                <w:highlight w:val="none"/>
              </w:rPr>
              <w:t>NI-HD4000V-01</w:t>
            </w:r>
          </w:p>
        </w:tc>
        <w:tc>
          <w:tcPr>
            <w:tcW w:w="746" w:type="dxa"/>
            <w:tcBorders>
              <w:top w:val="single" w:color="auto" w:sz="4" w:space="0"/>
              <w:left w:val="nil"/>
              <w:bottom w:val="single" w:color="auto" w:sz="4" w:space="0"/>
              <w:right w:val="single" w:color="auto" w:sz="4" w:space="0"/>
            </w:tcBorders>
            <w:vAlign w:val="center"/>
          </w:tcPr>
          <w:p w14:paraId="3D8EBB3B">
            <w:pPr>
              <w:widowControl/>
              <w:jc w:val="center"/>
              <w:rPr>
                <w:color w:val="000000"/>
                <w:kern w:val="0"/>
                <w:sz w:val="22"/>
                <w:highlight w:val="none"/>
              </w:rPr>
            </w:pPr>
            <w:r>
              <w:rPr>
                <w:color w:val="000000"/>
                <w:kern w:val="0"/>
                <w:sz w:val="22"/>
                <w:highlight w:val="none"/>
              </w:rPr>
              <w:t>块</w:t>
            </w:r>
          </w:p>
        </w:tc>
        <w:tc>
          <w:tcPr>
            <w:tcW w:w="563" w:type="dxa"/>
            <w:tcBorders>
              <w:top w:val="single" w:color="auto" w:sz="4" w:space="0"/>
              <w:left w:val="nil"/>
              <w:bottom w:val="single" w:color="auto" w:sz="4" w:space="0"/>
              <w:right w:val="single" w:color="auto" w:sz="4" w:space="0"/>
            </w:tcBorders>
            <w:vAlign w:val="center"/>
          </w:tcPr>
          <w:p w14:paraId="27B19663">
            <w:pPr>
              <w:widowControl/>
              <w:jc w:val="center"/>
              <w:rPr>
                <w:color w:val="000000"/>
                <w:kern w:val="0"/>
                <w:sz w:val="22"/>
                <w:highlight w:val="none"/>
              </w:rPr>
            </w:pPr>
            <w:r>
              <w:rPr>
                <w:color w:val="000000"/>
                <w:kern w:val="0"/>
                <w:sz w:val="22"/>
                <w:highlight w:val="none"/>
              </w:rPr>
              <w:t>391</w:t>
            </w:r>
          </w:p>
        </w:tc>
      </w:tr>
      <w:tr w14:paraId="6A378286">
        <w:tblPrEx>
          <w:tblCellMar>
            <w:top w:w="0" w:type="dxa"/>
            <w:left w:w="57" w:type="dxa"/>
            <w:bottom w:w="0" w:type="dxa"/>
            <w:right w:w="57" w:type="dxa"/>
          </w:tblCellMar>
        </w:tblPrEx>
        <w:tc>
          <w:tcPr>
            <w:tcW w:w="779" w:type="dxa"/>
            <w:vMerge w:val="continue"/>
            <w:tcBorders>
              <w:top w:val="single" w:color="auto" w:sz="4" w:space="0"/>
              <w:left w:val="single" w:color="auto" w:sz="4" w:space="0"/>
              <w:bottom w:val="single" w:color="auto" w:sz="4" w:space="0"/>
              <w:right w:val="single" w:color="auto" w:sz="4" w:space="0"/>
            </w:tcBorders>
            <w:vAlign w:val="center"/>
          </w:tcPr>
          <w:p w14:paraId="3CFCF091">
            <w:pPr>
              <w:widowControl/>
              <w:jc w:val="left"/>
              <w:rPr>
                <w:color w:val="000000"/>
                <w:kern w:val="0"/>
                <w:sz w:val="22"/>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4EA5AEA3">
            <w:pPr>
              <w:widowControl/>
              <w:jc w:val="left"/>
              <w:rPr>
                <w:color w:val="000000"/>
                <w:kern w:val="0"/>
                <w:sz w:val="22"/>
                <w:highlight w:val="none"/>
              </w:rPr>
            </w:pPr>
          </w:p>
        </w:tc>
        <w:tc>
          <w:tcPr>
            <w:tcW w:w="1843" w:type="dxa"/>
            <w:tcBorders>
              <w:top w:val="single" w:color="auto" w:sz="4" w:space="0"/>
              <w:left w:val="nil"/>
              <w:bottom w:val="single" w:color="auto" w:sz="4" w:space="0"/>
              <w:right w:val="single" w:color="auto" w:sz="4" w:space="0"/>
            </w:tcBorders>
            <w:vAlign w:val="center"/>
          </w:tcPr>
          <w:p w14:paraId="45297363">
            <w:pPr>
              <w:widowControl/>
              <w:jc w:val="left"/>
              <w:rPr>
                <w:color w:val="000000"/>
                <w:kern w:val="0"/>
                <w:sz w:val="22"/>
                <w:highlight w:val="none"/>
              </w:rPr>
            </w:pPr>
            <w:r>
              <w:rPr>
                <w:color w:val="000000"/>
                <w:kern w:val="0"/>
                <w:sz w:val="22"/>
                <w:highlight w:val="none"/>
              </w:rPr>
              <w:t>备份一体机</w:t>
            </w:r>
          </w:p>
        </w:tc>
        <w:tc>
          <w:tcPr>
            <w:tcW w:w="2739" w:type="dxa"/>
            <w:tcBorders>
              <w:top w:val="single" w:color="auto" w:sz="4" w:space="0"/>
              <w:left w:val="nil"/>
              <w:bottom w:val="single" w:color="auto" w:sz="4" w:space="0"/>
              <w:right w:val="single" w:color="auto" w:sz="4" w:space="0"/>
            </w:tcBorders>
            <w:vAlign w:val="center"/>
          </w:tcPr>
          <w:p w14:paraId="623C8470">
            <w:pPr>
              <w:widowControl/>
              <w:jc w:val="left"/>
              <w:rPr>
                <w:color w:val="000000"/>
                <w:kern w:val="0"/>
                <w:sz w:val="22"/>
                <w:highlight w:val="none"/>
              </w:rPr>
            </w:pPr>
            <w:r>
              <w:rPr>
                <w:color w:val="000000"/>
                <w:kern w:val="0"/>
                <w:sz w:val="22"/>
                <w:highlight w:val="none"/>
              </w:rPr>
              <w:t>VS-BM8516</w:t>
            </w:r>
          </w:p>
        </w:tc>
        <w:tc>
          <w:tcPr>
            <w:tcW w:w="746" w:type="dxa"/>
            <w:tcBorders>
              <w:top w:val="single" w:color="auto" w:sz="4" w:space="0"/>
              <w:left w:val="nil"/>
              <w:bottom w:val="single" w:color="auto" w:sz="4" w:space="0"/>
              <w:right w:val="single" w:color="auto" w:sz="4" w:space="0"/>
            </w:tcBorders>
            <w:vAlign w:val="center"/>
          </w:tcPr>
          <w:p w14:paraId="46B1B6F8">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2AC532B8">
            <w:pPr>
              <w:widowControl/>
              <w:jc w:val="center"/>
              <w:rPr>
                <w:color w:val="000000"/>
                <w:kern w:val="0"/>
                <w:sz w:val="22"/>
                <w:highlight w:val="none"/>
              </w:rPr>
            </w:pPr>
            <w:r>
              <w:rPr>
                <w:color w:val="000000"/>
                <w:kern w:val="0"/>
                <w:sz w:val="22"/>
                <w:highlight w:val="none"/>
              </w:rPr>
              <w:t>1</w:t>
            </w:r>
          </w:p>
        </w:tc>
      </w:tr>
      <w:tr w14:paraId="3706D673">
        <w:tblPrEx>
          <w:tblCellMar>
            <w:top w:w="0" w:type="dxa"/>
            <w:left w:w="57" w:type="dxa"/>
            <w:bottom w:w="0" w:type="dxa"/>
            <w:right w:w="57" w:type="dxa"/>
          </w:tblCellMar>
        </w:tblPrEx>
        <w:tc>
          <w:tcPr>
            <w:tcW w:w="779" w:type="dxa"/>
            <w:vMerge w:val="continue"/>
            <w:tcBorders>
              <w:top w:val="single" w:color="auto" w:sz="4" w:space="0"/>
              <w:left w:val="single" w:color="auto" w:sz="4" w:space="0"/>
              <w:bottom w:val="single" w:color="auto" w:sz="4" w:space="0"/>
              <w:right w:val="single" w:color="auto" w:sz="4" w:space="0"/>
            </w:tcBorders>
            <w:vAlign w:val="center"/>
          </w:tcPr>
          <w:p w14:paraId="6E974C08">
            <w:pPr>
              <w:widowControl/>
              <w:jc w:val="left"/>
              <w:rPr>
                <w:color w:val="000000"/>
                <w:kern w:val="0"/>
                <w:sz w:val="22"/>
                <w:highlight w:val="none"/>
              </w:rPr>
            </w:pPr>
          </w:p>
        </w:tc>
        <w:tc>
          <w:tcPr>
            <w:tcW w:w="1626" w:type="dxa"/>
            <w:vMerge w:val="continue"/>
            <w:tcBorders>
              <w:top w:val="single" w:color="auto" w:sz="4" w:space="0"/>
              <w:left w:val="single" w:color="auto" w:sz="4" w:space="0"/>
              <w:bottom w:val="single" w:color="auto" w:sz="4" w:space="0"/>
              <w:right w:val="single" w:color="auto" w:sz="4" w:space="0"/>
            </w:tcBorders>
            <w:vAlign w:val="center"/>
          </w:tcPr>
          <w:p w14:paraId="3D4CCAB0">
            <w:pPr>
              <w:widowControl/>
              <w:jc w:val="left"/>
              <w:rPr>
                <w:color w:val="000000"/>
                <w:kern w:val="0"/>
                <w:sz w:val="22"/>
                <w:highlight w:val="none"/>
              </w:rPr>
            </w:pPr>
          </w:p>
        </w:tc>
        <w:tc>
          <w:tcPr>
            <w:tcW w:w="1843" w:type="dxa"/>
            <w:tcBorders>
              <w:top w:val="single" w:color="auto" w:sz="4" w:space="0"/>
              <w:left w:val="nil"/>
              <w:bottom w:val="single" w:color="auto" w:sz="4" w:space="0"/>
              <w:right w:val="single" w:color="auto" w:sz="4" w:space="0"/>
            </w:tcBorders>
            <w:vAlign w:val="center"/>
          </w:tcPr>
          <w:p w14:paraId="46089E79">
            <w:pPr>
              <w:widowControl/>
              <w:jc w:val="left"/>
              <w:rPr>
                <w:color w:val="000000"/>
                <w:kern w:val="0"/>
                <w:sz w:val="22"/>
                <w:highlight w:val="none"/>
              </w:rPr>
            </w:pPr>
            <w:r>
              <w:rPr>
                <w:color w:val="000000"/>
                <w:kern w:val="0"/>
                <w:sz w:val="22"/>
                <w:highlight w:val="none"/>
              </w:rPr>
              <w:t>一体化SATA硬盘(4000G)</w:t>
            </w:r>
          </w:p>
        </w:tc>
        <w:tc>
          <w:tcPr>
            <w:tcW w:w="2739" w:type="dxa"/>
            <w:tcBorders>
              <w:top w:val="single" w:color="auto" w:sz="4" w:space="0"/>
              <w:left w:val="nil"/>
              <w:bottom w:val="single" w:color="auto" w:sz="4" w:space="0"/>
              <w:right w:val="single" w:color="auto" w:sz="4" w:space="0"/>
            </w:tcBorders>
            <w:vAlign w:val="center"/>
          </w:tcPr>
          <w:p w14:paraId="53B46E4F">
            <w:pPr>
              <w:widowControl/>
              <w:jc w:val="left"/>
              <w:rPr>
                <w:color w:val="000000"/>
                <w:kern w:val="0"/>
                <w:sz w:val="22"/>
                <w:highlight w:val="none"/>
              </w:rPr>
            </w:pPr>
            <w:r>
              <w:rPr>
                <w:color w:val="000000"/>
                <w:kern w:val="0"/>
                <w:sz w:val="22"/>
                <w:highlight w:val="none"/>
              </w:rPr>
              <w:t>NI-HD4000V-03</w:t>
            </w:r>
          </w:p>
        </w:tc>
        <w:tc>
          <w:tcPr>
            <w:tcW w:w="746" w:type="dxa"/>
            <w:tcBorders>
              <w:top w:val="single" w:color="auto" w:sz="4" w:space="0"/>
              <w:left w:val="nil"/>
              <w:bottom w:val="single" w:color="auto" w:sz="4" w:space="0"/>
              <w:right w:val="single" w:color="auto" w:sz="4" w:space="0"/>
            </w:tcBorders>
            <w:vAlign w:val="center"/>
          </w:tcPr>
          <w:p w14:paraId="4BF8AB2F">
            <w:pPr>
              <w:widowControl/>
              <w:jc w:val="center"/>
              <w:rPr>
                <w:color w:val="000000"/>
                <w:kern w:val="0"/>
                <w:sz w:val="22"/>
                <w:highlight w:val="none"/>
              </w:rPr>
            </w:pPr>
            <w:r>
              <w:rPr>
                <w:color w:val="000000"/>
                <w:kern w:val="0"/>
                <w:sz w:val="22"/>
                <w:highlight w:val="none"/>
              </w:rPr>
              <w:t>块</w:t>
            </w:r>
          </w:p>
        </w:tc>
        <w:tc>
          <w:tcPr>
            <w:tcW w:w="563" w:type="dxa"/>
            <w:tcBorders>
              <w:top w:val="single" w:color="auto" w:sz="4" w:space="0"/>
              <w:left w:val="nil"/>
              <w:bottom w:val="single" w:color="auto" w:sz="4" w:space="0"/>
              <w:right w:val="single" w:color="auto" w:sz="4" w:space="0"/>
            </w:tcBorders>
            <w:vAlign w:val="center"/>
          </w:tcPr>
          <w:p w14:paraId="1DCC05CA">
            <w:pPr>
              <w:widowControl/>
              <w:jc w:val="center"/>
              <w:rPr>
                <w:color w:val="000000"/>
                <w:kern w:val="0"/>
                <w:sz w:val="22"/>
                <w:highlight w:val="none"/>
              </w:rPr>
            </w:pPr>
            <w:r>
              <w:rPr>
                <w:color w:val="000000"/>
                <w:kern w:val="0"/>
                <w:sz w:val="22"/>
                <w:highlight w:val="none"/>
              </w:rPr>
              <w:t>16</w:t>
            </w:r>
          </w:p>
        </w:tc>
      </w:tr>
      <w:tr w14:paraId="046998D5">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1C5DB8DF">
            <w:pPr>
              <w:widowControl/>
              <w:jc w:val="center"/>
              <w:rPr>
                <w:color w:val="000000"/>
                <w:kern w:val="0"/>
                <w:sz w:val="22"/>
                <w:highlight w:val="none"/>
              </w:rPr>
            </w:pPr>
            <w:r>
              <w:rPr>
                <w:color w:val="000000"/>
                <w:kern w:val="0"/>
                <w:sz w:val="22"/>
                <w:highlight w:val="none"/>
              </w:rPr>
              <w:t>2</w:t>
            </w:r>
          </w:p>
        </w:tc>
        <w:tc>
          <w:tcPr>
            <w:tcW w:w="3469" w:type="dxa"/>
            <w:gridSpan w:val="2"/>
            <w:tcBorders>
              <w:top w:val="single" w:color="auto" w:sz="4" w:space="0"/>
              <w:left w:val="nil"/>
              <w:bottom w:val="single" w:color="auto" w:sz="4" w:space="0"/>
              <w:right w:val="single" w:color="auto" w:sz="4" w:space="0"/>
            </w:tcBorders>
            <w:vAlign w:val="center"/>
          </w:tcPr>
          <w:p w14:paraId="5289F43D">
            <w:pPr>
              <w:widowControl/>
              <w:jc w:val="left"/>
              <w:rPr>
                <w:color w:val="000000"/>
                <w:kern w:val="0"/>
                <w:sz w:val="22"/>
                <w:highlight w:val="none"/>
              </w:rPr>
            </w:pPr>
            <w:r>
              <w:rPr>
                <w:color w:val="000000"/>
                <w:kern w:val="0"/>
                <w:sz w:val="22"/>
                <w:highlight w:val="none"/>
              </w:rPr>
              <w:t>千兆网络交换机</w:t>
            </w:r>
          </w:p>
        </w:tc>
        <w:tc>
          <w:tcPr>
            <w:tcW w:w="2739" w:type="dxa"/>
            <w:tcBorders>
              <w:top w:val="single" w:color="auto" w:sz="4" w:space="0"/>
              <w:left w:val="nil"/>
              <w:bottom w:val="single" w:color="auto" w:sz="4" w:space="0"/>
              <w:right w:val="single" w:color="auto" w:sz="4" w:space="0"/>
            </w:tcBorders>
            <w:vAlign w:val="center"/>
          </w:tcPr>
          <w:p w14:paraId="116BAEF7">
            <w:pPr>
              <w:widowControl/>
              <w:jc w:val="left"/>
              <w:rPr>
                <w:color w:val="000000"/>
                <w:kern w:val="0"/>
                <w:sz w:val="22"/>
                <w:highlight w:val="none"/>
              </w:rPr>
            </w:pPr>
            <w:r>
              <w:rPr>
                <w:color w:val="000000"/>
                <w:kern w:val="0"/>
                <w:sz w:val="22"/>
                <w:highlight w:val="none"/>
              </w:rPr>
              <w:t>S5110-28P</w:t>
            </w:r>
          </w:p>
        </w:tc>
        <w:tc>
          <w:tcPr>
            <w:tcW w:w="746" w:type="dxa"/>
            <w:tcBorders>
              <w:top w:val="single" w:color="auto" w:sz="4" w:space="0"/>
              <w:left w:val="nil"/>
              <w:bottom w:val="single" w:color="auto" w:sz="4" w:space="0"/>
              <w:right w:val="single" w:color="auto" w:sz="4" w:space="0"/>
            </w:tcBorders>
            <w:vAlign w:val="center"/>
          </w:tcPr>
          <w:p w14:paraId="6B23F54C">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5D864DF5">
            <w:pPr>
              <w:widowControl/>
              <w:jc w:val="center"/>
              <w:rPr>
                <w:color w:val="000000"/>
                <w:kern w:val="0"/>
                <w:sz w:val="22"/>
                <w:highlight w:val="none"/>
              </w:rPr>
            </w:pPr>
            <w:r>
              <w:rPr>
                <w:color w:val="000000"/>
                <w:kern w:val="0"/>
                <w:sz w:val="22"/>
                <w:highlight w:val="none"/>
              </w:rPr>
              <w:t>3</w:t>
            </w:r>
          </w:p>
        </w:tc>
      </w:tr>
      <w:tr w14:paraId="3F8F1D3B">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6218DB46">
            <w:pPr>
              <w:widowControl/>
              <w:jc w:val="center"/>
              <w:rPr>
                <w:color w:val="000000"/>
                <w:kern w:val="0"/>
                <w:sz w:val="22"/>
                <w:highlight w:val="none"/>
              </w:rPr>
            </w:pPr>
            <w:r>
              <w:rPr>
                <w:color w:val="000000"/>
                <w:kern w:val="0"/>
                <w:sz w:val="22"/>
                <w:highlight w:val="none"/>
              </w:rPr>
              <w:t>3</w:t>
            </w:r>
          </w:p>
        </w:tc>
        <w:tc>
          <w:tcPr>
            <w:tcW w:w="3469" w:type="dxa"/>
            <w:gridSpan w:val="2"/>
            <w:tcBorders>
              <w:top w:val="single" w:color="auto" w:sz="4" w:space="0"/>
              <w:left w:val="nil"/>
              <w:bottom w:val="single" w:color="auto" w:sz="4" w:space="0"/>
              <w:right w:val="single" w:color="auto" w:sz="4" w:space="0"/>
            </w:tcBorders>
            <w:vAlign w:val="center"/>
          </w:tcPr>
          <w:p w14:paraId="6EA0F999">
            <w:pPr>
              <w:widowControl/>
              <w:jc w:val="left"/>
              <w:rPr>
                <w:color w:val="000000"/>
                <w:kern w:val="0"/>
                <w:sz w:val="22"/>
                <w:highlight w:val="none"/>
              </w:rPr>
            </w:pPr>
            <w:r>
              <w:rPr>
                <w:color w:val="000000"/>
                <w:kern w:val="0"/>
                <w:sz w:val="22"/>
                <w:highlight w:val="none"/>
              </w:rPr>
              <w:t>千兆光模块</w:t>
            </w:r>
          </w:p>
        </w:tc>
        <w:tc>
          <w:tcPr>
            <w:tcW w:w="2739" w:type="dxa"/>
            <w:tcBorders>
              <w:top w:val="single" w:color="auto" w:sz="4" w:space="0"/>
              <w:left w:val="nil"/>
              <w:bottom w:val="single" w:color="auto" w:sz="4" w:space="0"/>
              <w:right w:val="single" w:color="auto" w:sz="4" w:space="0"/>
            </w:tcBorders>
            <w:vAlign w:val="center"/>
          </w:tcPr>
          <w:p w14:paraId="30945560">
            <w:pPr>
              <w:widowControl/>
              <w:jc w:val="left"/>
              <w:rPr>
                <w:color w:val="000000"/>
                <w:kern w:val="0"/>
                <w:sz w:val="22"/>
                <w:highlight w:val="none"/>
              </w:rPr>
            </w:pPr>
            <w:r>
              <w:rPr>
                <w:color w:val="000000"/>
                <w:kern w:val="0"/>
                <w:sz w:val="22"/>
                <w:highlight w:val="none"/>
              </w:rPr>
              <w:t>SFP-GE-LH40-SM1310</w:t>
            </w:r>
          </w:p>
        </w:tc>
        <w:tc>
          <w:tcPr>
            <w:tcW w:w="746" w:type="dxa"/>
            <w:tcBorders>
              <w:top w:val="single" w:color="auto" w:sz="4" w:space="0"/>
              <w:left w:val="nil"/>
              <w:bottom w:val="single" w:color="auto" w:sz="4" w:space="0"/>
              <w:right w:val="single" w:color="auto" w:sz="4" w:space="0"/>
            </w:tcBorders>
            <w:vAlign w:val="center"/>
          </w:tcPr>
          <w:p w14:paraId="459C01D7">
            <w:pPr>
              <w:widowControl/>
              <w:jc w:val="center"/>
              <w:rPr>
                <w:color w:val="000000"/>
                <w:kern w:val="0"/>
                <w:sz w:val="22"/>
                <w:highlight w:val="none"/>
              </w:rPr>
            </w:pPr>
            <w:r>
              <w:rPr>
                <w:color w:val="000000"/>
                <w:kern w:val="0"/>
                <w:sz w:val="22"/>
                <w:highlight w:val="none"/>
              </w:rPr>
              <w:t>块</w:t>
            </w:r>
          </w:p>
        </w:tc>
        <w:tc>
          <w:tcPr>
            <w:tcW w:w="563" w:type="dxa"/>
            <w:tcBorders>
              <w:top w:val="single" w:color="auto" w:sz="4" w:space="0"/>
              <w:left w:val="nil"/>
              <w:bottom w:val="single" w:color="auto" w:sz="4" w:space="0"/>
              <w:right w:val="single" w:color="auto" w:sz="4" w:space="0"/>
            </w:tcBorders>
            <w:vAlign w:val="center"/>
          </w:tcPr>
          <w:p w14:paraId="0CFF7744">
            <w:pPr>
              <w:widowControl/>
              <w:jc w:val="center"/>
              <w:rPr>
                <w:color w:val="000000"/>
                <w:kern w:val="0"/>
                <w:sz w:val="22"/>
                <w:highlight w:val="none"/>
              </w:rPr>
            </w:pPr>
            <w:r>
              <w:rPr>
                <w:color w:val="000000"/>
                <w:kern w:val="0"/>
                <w:sz w:val="22"/>
                <w:highlight w:val="none"/>
              </w:rPr>
              <w:t>6</w:t>
            </w:r>
          </w:p>
        </w:tc>
      </w:tr>
      <w:tr w14:paraId="08393FEE">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70613CBE">
            <w:pPr>
              <w:widowControl/>
              <w:jc w:val="center"/>
              <w:rPr>
                <w:color w:val="000000"/>
                <w:kern w:val="0"/>
                <w:sz w:val="22"/>
                <w:highlight w:val="none"/>
              </w:rPr>
            </w:pPr>
            <w:r>
              <w:rPr>
                <w:color w:val="000000"/>
                <w:kern w:val="0"/>
                <w:sz w:val="22"/>
                <w:highlight w:val="none"/>
              </w:rPr>
              <w:t>4</w:t>
            </w:r>
          </w:p>
        </w:tc>
        <w:tc>
          <w:tcPr>
            <w:tcW w:w="3469" w:type="dxa"/>
            <w:gridSpan w:val="2"/>
            <w:tcBorders>
              <w:top w:val="single" w:color="auto" w:sz="4" w:space="0"/>
              <w:left w:val="nil"/>
              <w:bottom w:val="single" w:color="auto" w:sz="4" w:space="0"/>
              <w:right w:val="single" w:color="auto" w:sz="4" w:space="0"/>
            </w:tcBorders>
            <w:vAlign w:val="center"/>
          </w:tcPr>
          <w:p w14:paraId="5D643CD5">
            <w:pPr>
              <w:widowControl/>
              <w:jc w:val="left"/>
              <w:rPr>
                <w:color w:val="000000"/>
                <w:kern w:val="0"/>
                <w:sz w:val="22"/>
                <w:highlight w:val="none"/>
              </w:rPr>
            </w:pPr>
            <w:r>
              <w:rPr>
                <w:color w:val="000000"/>
                <w:kern w:val="0"/>
                <w:sz w:val="22"/>
                <w:highlight w:val="none"/>
              </w:rPr>
              <w:t>万兆三层交换机</w:t>
            </w:r>
          </w:p>
        </w:tc>
        <w:tc>
          <w:tcPr>
            <w:tcW w:w="2739" w:type="dxa"/>
            <w:tcBorders>
              <w:top w:val="single" w:color="auto" w:sz="4" w:space="0"/>
              <w:left w:val="nil"/>
              <w:bottom w:val="single" w:color="auto" w:sz="4" w:space="0"/>
              <w:right w:val="single" w:color="auto" w:sz="4" w:space="0"/>
            </w:tcBorders>
            <w:vAlign w:val="center"/>
          </w:tcPr>
          <w:p w14:paraId="697EA24D">
            <w:pPr>
              <w:widowControl/>
              <w:jc w:val="left"/>
              <w:rPr>
                <w:color w:val="000000"/>
                <w:kern w:val="0"/>
                <w:sz w:val="22"/>
                <w:highlight w:val="none"/>
              </w:rPr>
            </w:pPr>
            <w:r>
              <w:rPr>
                <w:color w:val="000000"/>
                <w:kern w:val="0"/>
                <w:sz w:val="22"/>
                <w:highlight w:val="none"/>
              </w:rPr>
              <w:t>LS-7510E-X</w:t>
            </w:r>
          </w:p>
        </w:tc>
        <w:tc>
          <w:tcPr>
            <w:tcW w:w="746" w:type="dxa"/>
            <w:tcBorders>
              <w:top w:val="single" w:color="auto" w:sz="4" w:space="0"/>
              <w:left w:val="nil"/>
              <w:bottom w:val="single" w:color="auto" w:sz="4" w:space="0"/>
              <w:right w:val="single" w:color="auto" w:sz="4" w:space="0"/>
            </w:tcBorders>
            <w:vAlign w:val="center"/>
          </w:tcPr>
          <w:p w14:paraId="3A254588">
            <w:pPr>
              <w:widowControl/>
              <w:jc w:val="center"/>
              <w:rPr>
                <w:color w:val="000000"/>
                <w:kern w:val="0"/>
                <w:sz w:val="22"/>
                <w:highlight w:val="none"/>
              </w:rPr>
            </w:pPr>
            <w:r>
              <w:rPr>
                <w:color w:val="000000"/>
                <w:kern w:val="0"/>
                <w:sz w:val="22"/>
                <w:highlight w:val="none"/>
              </w:rPr>
              <w:t>台</w:t>
            </w:r>
          </w:p>
        </w:tc>
        <w:tc>
          <w:tcPr>
            <w:tcW w:w="563" w:type="dxa"/>
            <w:tcBorders>
              <w:top w:val="single" w:color="auto" w:sz="4" w:space="0"/>
              <w:left w:val="nil"/>
              <w:bottom w:val="single" w:color="auto" w:sz="4" w:space="0"/>
              <w:right w:val="single" w:color="auto" w:sz="4" w:space="0"/>
            </w:tcBorders>
            <w:vAlign w:val="center"/>
          </w:tcPr>
          <w:p w14:paraId="42E938EA">
            <w:pPr>
              <w:widowControl/>
              <w:jc w:val="center"/>
              <w:rPr>
                <w:color w:val="000000"/>
                <w:kern w:val="0"/>
                <w:sz w:val="22"/>
                <w:highlight w:val="none"/>
              </w:rPr>
            </w:pPr>
            <w:r>
              <w:rPr>
                <w:color w:val="000000"/>
                <w:kern w:val="0"/>
                <w:sz w:val="22"/>
                <w:highlight w:val="none"/>
              </w:rPr>
              <w:t>1</w:t>
            </w:r>
          </w:p>
        </w:tc>
      </w:tr>
      <w:tr w14:paraId="664E997C">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1756358D">
            <w:pPr>
              <w:widowControl/>
              <w:jc w:val="center"/>
              <w:rPr>
                <w:color w:val="000000"/>
                <w:kern w:val="0"/>
                <w:sz w:val="22"/>
                <w:highlight w:val="none"/>
              </w:rPr>
            </w:pPr>
            <w:r>
              <w:rPr>
                <w:color w:val="000000"/>
                <w:kern w:val="0"/>
                <w:sz w:val="22"/>
                <w:highlight w:val="none"/>
              </w:rPr>
              <w:t>5</w:t>
            </w:r>
          </w:p>
        </w:tc>
        <w:tc>
          <w:tcPr>
            <w:tcW w:w="3469" w:type="dxa"/>
            <w:gridSpan w:val="2"/>
            <w:tcBorders>
              <w:top w:val="single" w:color="auto" w:sz="4" w:space="0"/>
              <w:left w:val="nil"/>
              <w:bottom w:val="single" w:color="auto" w:sz="4" w:space="0"/>
              <w:right w:val="single" w:color="auto" w:sz="4" w:space="0"/>
            </w:tcBorders>
            <w:vAlign w:val="center"/>
          </w:tcPr>
          <w:p w14:paraId="61511C84">
            <w:pPr>
              <w:widowControl/>
              <w:jc w:val="left"/>
              <w:rPr>
                <w:color w:val="000000"/>
                <w:kern w:val="0"/>
                <w:sz w:val="22"/>
                <w:highlight w:val="none"/>
              </w:rPr>
            </w:pPr>
            <w:r>
              <w:rPr>
                <w:color w:val="000000"/>
                <w:kern w:val="0"/>
                <w:sz w:val="22"/>
                <w:highlight w:val="none"/>
              </w:rPr>
              <w:t>万兆光模块</w:t>
            </w:r>
          </w:p>
        </w:tc>
        <w:tc>
          <w:tcPr>
            <w:tcW w:w="2739" w:type="dxa"/>
            <w:tcBorders>
              <w:top w:val="single" w:color="auto" w:sz="4" w:space="0"/>
              <w:left w:val="nil"/>
              <w:bottom w:val="single" w:color="auto" w:sz="4" w:space="0"/>
              <w:right w:val="single" w:color="auto" w:sz="4" w:space="0"/>
            </w:tcBorders>
            <w:vAlign w:val="center"/>
          </w:tcPr>
          <w:p w14:paraId="7FBFD9ED">
            <w:pPr>
              <w:widowControl/>
              <w:jc w:val="left"/>
              <w:rPr>
                <w:color w:val="000000"/>
                <w:kern w:val="0"/>
                <w:sz w:val="22"/>
                <w:highlight w:val="none"/>
              </w:rPr>
            </w:pPr>
            <w:r>
              <w:rPr>
                <w:color w:val="000000"/>
                <w:kern w:val="0"/>
                <w:sz w:val="22"/>
                <w:highlight w:val="none"/>
              </w:rPr>
              <w:t>SFP-XG-LH40-SM1550</w:t>
            </w:r>
          </w:p>
        </w:tc>
        <w:tc>
          <w:tcPr>
            <w:tcW w:w="746" w:type="dxa"/>
            <w:tcBorders>
              <w:top w:val="single" w:color="auto" w:sz="4" w:space="0"/>
              <w:left w:val="nil"/>
              <w:bottom w:val="single" w:color="auto" w:sz="4" w:space="0"/>
              <w:right w:val="single" w:color="auto" w:sz="4" w:space="0"/>
            </w:tcBorders>
            <w:vAlign w:val="center"/>
          </w:tcPr>
          <w:p w14:paraId="7E186177">
            <w:pPr>
              <w:widowControl/>
              <w:jc w:val="center"/>
              <w:rPr>
                <w:color w:val="000000"/>
                <w:kern w:val="0"/>
                <w:sz w:val="22"/>
                <w:highlight w:val="none"/>
              </w:rPr>
            </w:pPr>
            <w:r>
              <w:rPr>
                <w:color w:val="000000"/>
                <w:kern w:val="0"/>
                <w:sz w:val="22"/>
                <w:highlight w:val="none"/>
              </w:rPr>
              <w:t>块</w:t>
            </w:r>
          </w:p>
        </w:tc>
        <w:tc>
          <w:tcPr>
            <w:tcW w:w="563" w:type="dxa"/>
            <w:tcBorders>
              <w:top w:val="single" w:color="auto" w:sz="4" w:space="0"/>
              <w:left w:val="nil"/>
              <w:bottom w:val="single" w:color="auto" w:sz="4" w:space="0"/>
              <w:right w:val="single" w:color="auto" w:sz="4" w:space="0"/>
            </w:tcBorders>
            <w:vAlign w:val="center"/>
          </w:tcPr>
          <w:p w14:paraId="0860028D">
            <w:pPr>
              <w:widowControl/>
              <w:jc w:val="center"/>
              <w:rPr>
                <w:color w:val="000000"/>
                <w:kern w:val="0"/>
                <w:sz w:val="22"/>
                <w:highlight w:val="none"/>
              </w:rPr>
            </w:pPr>
            <w:r>
              <w:rPr>
                <w:color w:val="000000"/>
                <w:kern w:val="0"/>
                <w:sz w:val="22"/>
                <w:highlight w:val="none"/>
              </w:rPr>
              <w:t>6</w:t>
            </w:r>
          </w:p>
        </w:tc>
      </w:tr>
      <w:tr w14:paraId="0367CE40">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70632813">
            <w:pPr>
              <w:widowControl/>
              <w:jc w:val="center"/>
              <w:rPr>
                <w:b/>
                <w:bCs/>
                <w:color w:val="000000"/>
                <w:kern w:val="0"/>
                <w:sz w:val="22"/>
                <w:highlight w:val="none"/>
              </w:rPr>
            </w:pPr>
            <w:r>
              <w:rPr>
                <w:b/>
                <w:bCs/>
                <w:color w:val="000000"/>
                <w:kern w:val="0"/>
                <w:sz w:val="22"/>
                <w:highlight w:val="none"/>
              </w:rPr>
              <w:t>三</w:t>
            </w:r>
          </w:p>
        </w:tc>
        <w:tc>
          <w:tcPr>
            <w:tcW w:w="3469" w:type="dxa"/>
            <w:gridSpan w:val="2"/>
            <w:tcBorders>
              <w:top w:val="single" w:color="auto" w:sz="4" w:space="0"/>
              <w:left w:val="single" w:color="auto" w:sz="4" w:space="0"/>
              <w:bottom w:val="single" w:color="auto" w:sz="4" w:space="0"/>
              <w:right w:val="single" w:color="auto" w:sz="4" w:space="0"/>
            </w:tcBorders>
            <w:vAlign w:val="center"/>
          </w:tcPr>
          <w:p w14:paraId="27054EAD">
            <w:pPr>
              <w:widowControl/>
              <w:jc w:val="left"/>
              <w:rPr>
                <w:b/>
                <w:bCs/>
                <w:color w:val="000000"/>
                <w:kern w:val="0"/>
                <w:sz w:val="22"/>
                <w:highlight w:val="none"/>
              </w:rPr>
            </w:pPr>
            <w:r>
              <w:rPr>
                <w:b/>
                <w:bCs/>
                <w:color w:val="000000"/>
                <w:kern w:val="0"/>
                <w:sz w:val="22"/>
                <w:highlight w:val="none"/>
              </w:rPr>
              <w:t>监控杆体迁移</w:t>
            </w:r>
          </w:p>
        </w:tc>
        <w:tc>
          <w:tcPr>
            <w:tcW w:w="2739" w:type="dxa"/>
            <w:tcBorders>
              <w:top w:val="single" w:color="auto" w:sz="4" w:space="0"/>
              <w:left w:val="single" w:color="auto" w:sz="4" w:space="0"/>
              <w:bottom w:val="single" w:color="auto" w:sz="4" w:space="0"/>
              <w:right w:val="single" w:color="auto" w:sz="4" w:space="0"/>
            </w:tcBorders>
            <w:vAlign w:val="center"/>
          </w:tcPr>
          <w:p w14:paraId="11A7FA5F">
            <w:pPr>
              <w:widowControl/>
              <w:jc w:val="left"/>
              <w:rPr>
                <w:b/>
                <w:bCs/>
                <w:color w:val="000000"/>
                <w:kern w:val="0"/>
                <w:sz w:val="22"/>
                <w:highlight w:val="none"/>
              </w:rPr>
            </w:pPr>
            <w:r>
              <w:rPr>
                <w:b/>
                <w:bCs/>
                <w:color w:val="000000"/>
                <w:kern w:val="0"/>
                <w:sz w:val="22"/>
                <w:highlight w:val="none"/>
              </w:rPr>
              <w:t>规格型号</w:t>
            </w:r>
          </w:p>
        </w:tc>
        <w:tc>
          <w:tcPr>
            <w:tcW w:w="746" w:type="dxa"/>
            <w:tcBorders>
              <w:top w:val="single" w:color="auto" w:sz="4" w:space="0"/>
              <w:left w:val="single" w:color="auto" w:sz="4" w:space="0"/>
              <w:bottom w:val="single" w:color="auto" w:sz="4" w:space="0"/>
              <w:right w:val="single" w:color="auto" w:sz="4" w:space="0"/>
            </w:tcBorders>
            <w:vAlign w:val="center"/>
          </w:tcPr>
          <w:p w14:paraId="743CD8D6">
            <w:pPr>
              <w:widowControl/>
              <w:jc w:val="center"/>
              <w:rPr>
                <w:b/>
                <w:bCs/>
                <w:color w:val="000000"/>
                <w:kern w:val="0"/>
                <w:sz w:val="22"/>
                <w:highlight w:val="none"/>
              </w:rPr>
            </w:pPr>
            <w:r>
              <w:rPr>
                <w:b/>
                <w:bCs/>
                <w:color w:val="000000"/>
                <w:kern w:val="0"/>
                <w:sz w:val="22"/>
                <w:highlight w:val="none"/>
              </w:rPr>
              <w:t>单位</w:t>
            </w:r>
          </w:p>
        </w:tc>
        <w:tc>
          <w:tcPr>
            <w:tcW w:w="563" w:type="dxa"/>
            <w:tcBorders>
              <w:top w:val="single" w:color="auto" w:sz="4" w:space="0"/>
              <w:left w:val="single" w:color="auto" w:sz="4" w:space="0"/>
              <w:bottom w:val="single" w:color="auto" w:sz="4" w:space="0"/>
              <w:right w:val="single" w:color="auto" w:sz="4" w:space="0"/>
            </w:tcBorders>
            <w:vAlign w:val="center"/>
          </w:tcPr>
          <w:p w14:paraId="5D579123">
            <w:pPr>
              <w:widowControl/>
              <w:jc w:val="center"/>
              <w:rPr>
                <w:b/>
                <w:bCs/>
                <w:color w:val="000000"/>
                <w:kern w:val="0"/>
                <w:sz w:val="22"/>
                <w:highlight w:val="none"/>
              </w:rPr>
            </w:pPr>
            <w:r>
              <w:rPr>
                <w:b/>
                <w:bCs/>
                <w:color w:val="000000"/>
                <w:kern w:val="0"/>
                <w:sz w:val="22"/>
                <w:highlight w:val="none"/>
              </w:rPr>
              <w:t>数量</w:t>
            </w:r>
          </w:p>
        </w:tc>
      </w:tr>
      <w:tr w14:paraId="61A8A4F9">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40601B42">
            <w:pPr>
              <w:widowControl/>
              <w:jc w:val="center"/>
              <w:rPr>
                <w:color w:val="000000"/>
                <w:kern w:val="0"/>
                <w:sz w:val="22"/>
                <w:highlight w:val="none"/>
              </w:rPr>
            </w:pPr>
            <w:r>
              <w:rPr>
                <w:color w:val="000000"/>
                <w:kern w:val="0"/>
                <w:sz w:val="22"/>
                <w:highlight w:val="none"/>
              </w:rPr>
              <w:t>1</w:t>
            </w:r>
          </w:p>
        </w:tc>
        <w:tc>
          <w:tcPr>
            <w:tcW w:w="3469" w:type="dxa"/>
            <w:gridSpan w:val="2"/>
            <w:tcBorders>
              <w:top w:val="single" w:color="auto" w:sz="4" w:space="0"/>
              <w:left w:val="single" w:color="auto" w:sz="4" w:space="0"/>
              <w:bottom w:val="single" w:color="auto" w:sz="4" w:space="0"/>
              <w:right w:val="single" w:color="auto" w:sz="4" w:space="0"/>
            </w:tcBorders>
            <w:vAlign w:val="center"/>
          </w:tcPr>
          <w:p w14:paraId="42027AAF">
            <w:pPr>
              <w:widowControl/>
              <w:jc w:val="left"/>
              <w:rPr>
                <w:color w:val="000000"/>
                <w:kern w:val="0"/>
                <w:sz w:val="22"/>
                <w:highlight w:val="none"/>
              </w:rPr>
            </w:pPr>
            <w:r>
              <w:rPr>
                <w:color w:val="000000"/>
                <w:kern w:val="0"/>
                <w:sz w:val="22"/>
                <w:highlight w:val="none"/>
              </w:rPr>
              <w:t>杆体拆除</w:t>
            </w:r>
          </w:p>
        </w:tc>
        <w:tc>
          <w:tcPr>
            <w:tcW w:w="2739" w:type="dxa"/>
            <w:tcBorders>
              <w:top w:val="single" w:color="auto" w:sz="4" w:space="0"/>
              <w:left w:val="single" w:color="auto" w:sz="4" w:space="0"/>
              <w:bottom w:val="single" w:color="auto" w:sz="4" w:space="0"/>
              <w:right w:val="single" w:color="auto" w:sz="4" w:space="0"/>
            </w:tcBorders>
            <w:vAlign w:val="center"/>
          </w:tcPr>
          <w:p w14:paraId="74295EE4">
            <w:pPr>
              <w:widowControl/>
              <w:jc w:val="left"/>
              <w:rPr>
                <w:color w:val="000000"/>
                <w:kern w:val="0"/>
                <w:sz w:val="22"/>
                <w:highlight w:val="none"/>
              </w:rPr>
            </w:pPr>
            <w:r>
              <w:rPr>
                <w:color w:val="000000"/>
                <w:kern w:val="0"/>
                <w:sz w:val="22"/>
                <w:highlight w:val="none"/>
              </w:rPr>
              <w:t>1.杆体从原位置拆除。</w:t>
            </w:r>
            <w:r>
              <w:rPr>
                <w:color w:val="000000"/>
                <w:kern w:val="0"/>
                <w:sz w:val="22"/>
                <w:highlight w:val="none"/>
              </w:rPr>
              <w:br w:type="textWrapping"/>
            </w:r>
            <w:r>
              <w:rPr>
                <w:color w:val="000000"/>
                <w:kern w:val="0"/>
                <w:sz w:val="22"/>
                <w:highlight w:val="none"/>
              </w:rPr>
              <w:t>2.杆体拆除后需清理地面钢铁结构及碎渣杂物，将杆体基础顶面修整至低于周边路面一个面包砖的厚度，重新铺设面包砖，使恢复后路面与周边路边齐平。</w:t>
            </w:r>
            <w:r>
              <w:rPr>
                <w:color w:val="000000"/>
                <w:kern w:val="0"/>
                <w:sz w:val="22"/>
                <w:highlight w:val="none"/>
              </w:rPr>
              <w:br w:type="textWrapping"/>
            </w:r>
            <w:r>
              <w:rPr>
                <w:color w:val="000000"/>
                <w:kern w:val="0"/>
                <w:sz w:val="22"/>
                <w:highlight w:val="none"/>
              </w:rPr>
              <w:t>3.电源线按规范接续后埋地保护，确保监控系统供电回路连续完整。</w:t>
            </w:r>
            <w:r>
              <w:rPr>
                <w:color w:val="000000"/>
                <w:kern w:val="0"/>
                <w:sz w:val="22"/>
                <w:highlight w:val="none"/>
              </w:rPr>
              <w:br w:type="textWrapping"/>
            </w:r>
            <w:r>
              <w:rPr>
                <w:color w:val="000000"/>
                <w:kern w:val="0"/>
                <w:sz w:val="22"/>
                <w:highlight w:val="none"/>
              </w:rPr>
              <w:t>4.杆体运输至新位置。</w:t>
            </w:r>
            <w:r>
              <w:rPr>
                <w:color w:val="000000"/>
                <w:kern w:val="0"/>
                <w:sz w:val="22"/>
                <w:highlight w:val="none"/>
              </w:rPr>
              <w:br w:type="textWrapping"/>
            </w:r>
            <w:r>
              <w:rPr>
                <w:color w:val="000000"/>
                <w:kern w:val="0"/>
                <w:sz w:val="22"/>
                <w:highlight w:val="none"/>
              </w:rPr>
              <w:t>5.暂定为12根，数量以实际发生为准。</w:t>
            </w:r>
          </w:p>
        </w:tc>
        <w:tc>
          <w:tcPr>
            <w:tcW w:w="746" w:type="dxa"/>
            <w:tcBorders>
              <w:top w:val="single" w:color="auto" w:sz="4" w:space="0"/>
              <w:left w:val="single" w:color="auto" w:sz="4" w:space="0"/>
              <w:bottom w:val="single" w:color="auto" w:sz="4" w:space="0"/>
              <w:right w:val="single" w:color="auto" w:sz="4" w:space="0"/>
            </w:tcBorders>
            <w:vAlign w:val="center"/>
          </w:tcPr>
          <w:p w14:paraId="722A506E">
            <w:pPr>
              <w:widowControl/>
              <w:jc w:val="center"/>
              <w:rPr>
                <w:color w:val="000000"/>
                <w:kern w:val="0"/>
                <w:sz w:val="22"/>
                <w:highlight w:val="none"/>
              </w:rPr>
            </w:pPr>
            <w:r>
              <w:rPr>
                <w:color w:val="000000"/>
                <w:kern w:val="0"/>
                <w:sz w:val="22"/>
                <w:highlight w:val="none"/>
              </w:rPr>
              <w:t>根</w:t>
            </w:r>
          </w:p>
        </w:tc>
        <w:tc>
          <w:tcPr>
            <w:tcW w:w="563" w:type="dxa"/>
            <w:tcBorders>
              <w:top w:val="single" w:color="auto" w:sz="4" w:space="0"/>
              <w:left w:val="single" w:color="auto" w:sz="4" w:space="0"/>
              <w:bottom w:val="single" w:color="auto" w:sz="4" w:space="0"/>
              <w:right w:val="single" w:color="auto" w:sz="4" w:space="0"/>
            </w:tcBorders>
            <w:vAlign w:val="center"/>
          </w:tcPr>
          <w:p w14:paraId="5C5C72B0">
            <w:pPr>
              <w:widowControl/>
              <w:jc w:val="center"/>
              <w:rPr>
                <w:color w:val="000000"/>
                <w:kern w:val="0"/>
                <w:sz w:val="22"/>
                <w:highlight w:val="none"/>
              </w:rPr>
            </w:pPr>
            <w:r>
              <w:rPr>
                <w:color w:val="000000"/>
                <w:kern w:val="0"/>
                <w:sz w:val="22"/>
                <w:highlight w:val="none"/>
              </w:rPr>
              <w:t>12</w:t>
            </w:r>
          </w:p>
        </w:tc>
      </w:tr>
      <w:tr w14:paraId="160BB927">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1DCDD8E6">
            <w:pPr>
              <w:widowControl/>
              <w:jc w:val="center"/>
              <w:rPr>
                <w:color w:val="000000"/>
                <w:kern w:val="0"/>
                <w:sz w:val="22"/>
                <w:highlight w:val="none"/>
              </w:rPr>
            </w:pPr>
            <w:r>
              <w:rPr>
                <w:color w:val="000000"/>
                <w:kern w:val="0"/>
                <w:sz w:val="22"/>
                <w:highlight w:val="none"/>
              </w:rPr>
              <w:t>2</w:t>
            </w:r>
          </w:p>
        </w:tc>
        <w:tc>
          <w:tcPr>
            <w:tcW w:w="3469" w:type="dxa"/>
            <w:gridSpan w:val="2"/>
            <w:tcBorders>
              <w:top w:val="single" w:color="auto" w:sz="4" w:space="0"/>
              <w:left w:val="single" w:color="auto" w:sz="4" w:space="0"/>
              <w:bottom w:val="single" w:color="auto" w:sz="4" w:space="0"/>
              <w:right w:val="single" w:color="auto" w:sz="4" w:space="0"/>
            </w:tcBorders>
            <w:vAlign w:val="center"/>
          </w:tcPr>
          <w:p w14:paraId="7D06AD5E">
            <w:pPr>
              <w:widowControl/>
              <w:jc w:val="left"/>
              <w:rPr>
                <w:color w:val="000000"/>
                <w:kern w:val="0"/>
                <w:sz w:val="22"/>
                <w:highlight w:val="none"/>
              </w:rPr>
            </w:pPr>
            <w:r>
              <w:rPr>
                <w:color w:val="000000"/>
                <w:kern w:val="0"/>
                <w:sz w:val="22"/>
                <w:highlight w:val="none"/>
              </w:rPr>
              <w:t>杆体迁移后安装</w:t>
            </w:r>
          </w:p>
        </w:tc>
        <w:tc>
          <w:tcPr>
            <w:tcW w:w="2739" w:type="dxa"/>
            <w:tcBorders>
              <w:top w:val="single" w:color="auto" w:sz="4" w:space="0"/>
              <w:left w:val="single" w:color="auto" w:sz="4" w:space="0"/>
              <w:bottom w:val="single" w:color="auto" w:sz="4" w:space="0"/>
              <w:right w:val="single" w:color="auto" w:sz="4" w:space="0"/>
            </w:tcBorders>
            <w:vAlign w:val="center"/>
          </w:tcPr>
          <w:p w14:paraId="0435E9BC">
            <w:pPr>
              <w:widowControl/>
              <w:jc w:val="left"/>
              <w:rPr>
                <w:color w:val="000000"/>
                <w:kern w:val="0"/>
                <w:sz w:val="22"/>
                <w:highlight w:val="none"/>
              </w:rPr>
            </w:pPr>
            <w:r>
              <w:rPr>
                <w:color w:val="000000"/>
                <w:kern w:val="0"/>
                <w:sz w:val="22"/>
                <w:highlight w:val="none"/>
              </w:rPr>
              <w:t>1.杆体位置拆除面包砖路面，拆除路面面积：1.44m²。</w:t>
            </w:r>
            <w:r>
              <w:rPr>
                <w:color w:val="000000"/>
                <w:kern w:val="0"/>
                <w:sz w:val="22"/>
                <w:highlight w:val="none"/>
              </w:rPr>
              <w:br w:type="textWrapping"/>
            </w:r>
            <w:r>
              <w:rPr>
                <w:color w:val="000000"/>
                <w:kern w:val="0"/>
                <w:sz w:val="22"/>
                <w:highlight w:val="none"/>
              </w:rPr>
              <w:t>2.杆体位置人工挖土方，土方尺寸：1.2m*1.2m*1.2m。</w:t>
            </w:r>
            <w:r>
              <w:rPr>
                <w:color w:val="000000"/>
                <w:kern w:val="0"/>
                <w:sz w:val="22"/>
                <w:highlight w:val="none"/>
              </w:rPr>
              <w:br w:type="textWrapping"/>
            </w:r>
            <w:r>
              <w:rPr>
                <w:color w:val="000000"/>
                <w:kern w:val="0"/>
                <w:sz w:val="22"/>
                <w:highlight w:val="none"/>
              </w:rPr>
              <w:t>3.制作安装杆体无筋混凝土设备基础，尺寸：1.2m*1.2m*1.2m。</w:t>
            </w:r>
            <w:r>
              <w:rPr>
                <w:color w:val="000000"/>
                <w:kern w:val="0"/>
                <w:sz w:val="22"/>
                <w:highlight w:val="none"/>
              </w:rPr>
              <w:br w:type="textWrapping"/>
            </w:r>
            <w:r>
              <w:rPr>
                <w:color w:val="000000"/>
                <w:kern w:val="0"/>
                <w:sz w:val="22"/>
                <w:highlight w:val="none"/>
              </w:rPr>
              <w:t>4.杆体迁移后重新立杆。</w:t>
            </w:r>
            <w:r>
              <w:rPr>
                <w:color w:val="000000"/>
                <w:kern w:val="0"/>
                <w:sz w:val="22"/>
                <w:highlight w:val="none"/>
              </w:rPr>
              <w:br w:type="textWrapping"/>
            </w:r>
            <w:r>
              <w:rPr>
                <w:color w:val="000000"/>
                <w:kern w:val="0"/>
                <w:sz w:val="22"/>
                <w:highlight w:val="none"/>
              </w:rPr>
              <w:t>5.杆体立杆后做防雷接地。</w:t>
            </w:r>
          </w:p>
        </w:tc>
        <w:tc>
          <w:tcPr>
            <w:tcW w:w="746" w:type="dxa"/>
            <w:tcBorders>
              <w:top w:val="single" w:color="auto" w:sz="4" w:space="0"/>
              <w:left w:val="single" w:color="auto" w:sz="4" w:space="0"/>
              <w:bottom w:val="single" w:color="auto" w:sz="4" w:space="0"/>
              <w:right w:val="single" w:color="auto" w:sz="4" w:space="0"/>
            </w:tcBorders>
            <w:vAlign w:val="center"/>
          </w:tcPr>
          <w:p w14:paraId="23548B12">
            <w:pPr>
              <w:widowControl/>
              <w:jc w:val="center"/>
              <w:rPr>
                <w:color w:val="000000"/>
                <w:kern w:val="0"/>
                <w:sz w:val="22"/>
                <w:highlight w:val="none"/>
              </w:rPr>
            </w:pPr>
            <w:r>
              <w:rPr>
                <w:color w:val="000000"/>
                <w:kern w:val="0"/>
                <w:sz w:val="22"/>
                <w:highlight w:val="none"/>
              </w:rPr>
              <w:t>项</w:t>
            </w:r>
          </w:p>
        </w:tc>
        <w:tc>
          <w:tcPr>
            <w:tcW w:w="563" w:type="dxa"/>
            <w:tcBorders>
              <w:top w:val="single" w:color="auto" w:sz="4" w:space="0"/>
              <w:left w:val="single" w:color="auto" w:sz="4" w:space="0"/>
              <w:bottom w:val="single" w:color="auto" w:sz="4" w:space="0"/>
              <w:right w:val="single" w:color="auto" w:sz="4" w:space="0"/>
            </w:tcBorders>
            <w:vAlign w:val="center"/>
          </w:tcPr>
          <w:p w14:paraId="7D67E6BC">
            <w:pPr>
              <w:widowControl/>
              <w:jc w:val="center"/>
              <w:rPr>
                <w:color w:val="000000"/>
                <w:kern w:val="0"/>
                <w:sz w:val="22"/>
                <w:highlight w:val="none"/>
              </w:rPr>
            </w:pPr>
            <w:r>
              <w:rPr>
                <w:color w:val="000000"/>
                <w:kern w:val="0"/>
                <w:sz w:val="22"/>
                <w:highlight w:val="none"/>
              </w:rPr>
              <w:t>12</w:t>
            </w:r>
          </w:p>
        </w:tc>
      </w:tr>
      <w:tr w14:paraId="5FF0FEF2">
        <w:tblPrEx>
          <w:tblCellMar>
            <w:top w:w="0" w:type="dxa"/>
            <w:left w:w="57" w:type="dxa"/>
            <w:bottom w:w="0" w:type="dxa"/>
            <w:right w:w="57" w:type="dxa"/>
          </w:tblCellMar>
        </w:tblPrEx>
        <w:tc>
          <w:tcPr>
            <w:tcW w:w="779" w:type="dxa"/>
            <w:tcBorders>
              <w:top w:val="single" w:color="auto" w:sz="4" w:space="0"/>
              <w:left w:val="single" w:color="auto" w:sz="4" w:space="0"/>
              <w:bottom w:val="single" w:color="auto" w:sz="4" w:space="0"/>
              <w:right w:val="single" w:color="auto" w:sz="4" w:space="0"/>
            </w:tcBorders>
            <w:vAlign w:val="center"/>
          </w:tcPr>
          <w:p w14:paraId="5ACAD493">
            <w:pPr>
              <w:widowControl/>
              <w:jc w:val="center"/>
              <w:rPr>
                <w:color w:val="000000"/>
                <w:kern w:val="0"/>
                <w:sz w:val="22"/>
                <w:highlight w:val="none"/>
              </w:rPr>
            </w:pPr>
            <w:r>
              <w:rPr>
                <w:color w:val="000000"/>
                <w:kern w:val="0"/>
                <w:sz w:val="22"/>
                <w:highlight w:val="none"/>
              </w:rPr>
              <w:t>3</w:t>
            </w:r>
          </w:p>
        </w:tc>
        <w:tc>
          <w:tcPr>
            <w:tcW w:w="3469" w:type="dxa"/>
            <w:gridSpan w:val="2"/>
            <w:tcBorders>
              <w:top w:val="single" w:color="auto" w:sz="4" w:space="0"/>
              <w:left w:val="single" w:color="auto" w:sz="4" w:space="0"/>
              <w:bottom w:val="single" w:color="auto" w:sz="4" w:space="0"/>
              <w:right w:val="single" w:color="auto" w:sz="4" w:space="0"/>
            </w:tcBorders>
            <w:vAlign w:val="center"/>
          </w:tcPr>
          <w:p w14:paraId="3249E937">
            <w:pPr>
              <w:widowControl/>
              <w:jc w:val="left"/>
              <w:rPr>
                <w:color w:val="000000"/>
                <w:kern w:val="0"/>
                <w:sz w:val="22"/>
                <w:highlight w:val="none"/>
              </w:rPr>
            </w:pPr>
            <w:r>
              <w:rPr>
                <w:color w:val="000000"/>
                <w:kern w:val="0"/>
                <w:sz w:val="22"/>
                <w:highlight w:val="none"/>
              </w:rPr>
              <w:t>杆体迁移后取电</w:t>
            </w:r>
          </w:p>
        </w:tc>
        <w:tc>
          <w:tcPr>
            <w:tcW w:w="2739" w:type="dxa"/>
            <w:tcBorders>
              <w:top w:val="single" w:color="auto" w:sz="4" w:space="0"/>
              <w:left w:val="single" w:color="auto" w:sz="4" w:space="0"/>
              <w:bottom w:val="single" w:color="auto" w:sz="4" w:space="0"/>
              <w:right w:val="single" w:color="auto" w:sz="4" w:space="0"/>
            </w:tcBorders>
            <w:vAlign w:val="center"/>
          </w:tcPr>
          <w:p w14:paraId="5884A657">
            <w:pPr>
              <w:widowControl/>
              <w:jc w:val="left"/>
              <w:rPr>
                <w:color w:val="000000"/>
                <w:kern w:val="0"/>
                <w:sz w:val="22"/>
                <w:highlight w:val="none"/>
              </w:rPr>
            </w:pPr>
            <w:r>
              <w:rPr>
                <w:color w:val="000000"/>
                <w:kern w:val="0"/>
                <w:sz w:val="22"/>
                <w:highlight w:val="none"/>
              </w:rPr>
              <w:t>1.拆除面包砖路面，长度50米，宽度0.5米，路面面积：25m²。</w:t>
            </w:r>
            <w:r>
              <w:rPr>
                <w:color w:val="000000"/>
                <w:kern w:val="0"/>
                <w:sz w:val="22"/>
                <w:highlight w:val="none"/>
              </w:rPr>
              <w:br w:type="textWrapping"/>
            </w:r>
            <w:r>
              <w:rPr>
                <w:color w:val="000000"/>
                <w:kern w:val="0"/>
                <w:sz w:val="22"/>
                <w:highlight w:val="none"/>
              </w:rPr>
              <w:t>2.人工挖土方，尺寸：宽0.5m*深0.7m*长度50m。</w:t>
            </w:r>
            <w:r>
              <w:rPr>
                <w:color w:val="000000"/>
                <w:kern w:val="0"/>
                <w:sz w:val="22"/>
                <w:highlight w:val="none"/>
              </w:rPr>
              <w:br w:type="textWrapping"/>
            </w:r>
            <w:r>
              <w:rPr>
                <w:color w:val="000000"/>
                <w:kern w:val="0"/>
                <w:sz w:val="22"/>
                <w:highlight w:val="none"/>
              </w:rPr>
              <w:t>3.地埋铺设镀锌钢管DN25,铺设长度50m。</w:t>
            </w:r>
            <w:r>
              <w:rPr>
                <w:color w:val="000000"/>
                <w:kern w:val="0"/>
                <w:sz w:val="22"/>
                <w:highlight w:val="none"/>
              </w:rPr>
              <w:br w:type="textWrapping"/>
            </w:r>
            <w:r>
              <w:rPr>
                <w:color w:val="000000"/>
                <w:kern w:val="0"/>
                <w:sz w:val="22"/>
                <w:highlight w:val="none"/>
              </w:rPr>
              <w:t>4.穿管铺设YJV 3*6电源线，长度55m。</w:t>
            </w:r>
            <w:r>
              <w:rPr>
                <w:color w:val="000000"/>
                <w:kern w:val="0"/>
                <w:sz w:val="22"/>
                <w:highlight w:val="none"/>
              </w:rPr>
              <w:br w:type="textWrapping"/>
            </w:r>
            <w:r>
              <w:rPr>
                <w:color w:val="000000"/>
                <w:kern w:val="0"/>
                <w:sz w:val="22"/>
                <w:highlight w:val="none"/>
              </w:rPr>
              <w:t>5.线管铺设后人工回填土并夯实。</w:t>
            </w:r>
            <w:r>
              <w:rPr>
                <w:color w:val="000000"/>
                <w:kern w:val="0"/>
                <w:sz w:val="22"/>
                <w:highlight w:val="none"/>
              </w:rPr>
              <w:br w:type="textWrapping"/>
            </w:r>
            <w:r>
              <w:rPr>
                <w:color w:val="000000"/>
                <w:kern w:val="0"/>
                <w:sz w:val="22"/>
                <w:highlight w:val="none"/>
              </w:rPr>
              <w:t>6.面包砖铺设，恢复原样，面包砖利旧使用。</w:t>
            </w:r>
          </w:p>
        </w:tc>
        <w:tc>
          <w:tcPr>
            <w:tcW w:w="746" w:type="dxa"/>
            <w:tcBorders>
              <w:top w:val="single" w:color="auto" w:sz="4" w:space="0"/>
              <w:left w:val="single" w:color="auto" w:sz="4" w:space="0"/>
              <w:bottom w:val="single" w:color="auto" w:sz="4" w:space="0"/>
              <w:right w:val="single" w:color="auto" w:sz="4" w:space="0"/>
            </w:tcBorders>
            <w:vAlign w:val="center"/>
          </w:tcPr>
          <w:p w14:paraId="73EE3CC1">
            <w:pPr>
              <w:widowControl/>
              <w:jc w:val="center"/>
              <w:rPr>
                <w:color w:val="000000"/>
                <w:kern w:val="0"/>
                <w:sz w:val="22"/>
                <w:highlight w:val="none"/>
              </w:rPr>
            </w:pPr>
            <w:r>
              <w:rPr>
                <w:color w:val="000000"/>
                <w:kern w:val="0"/>
                <w:sz w:val="22"/>
                <w:highlight w:val="none"/>
              </w:rPr>
              <w:t>项</w:t>
            </w:r>
          </w:p>
        </w:tc>
        <w:tc>
          <w:tcPr>
            <w:tcW w:w="563" w:type="dxa"/>
            <w:tcBorders>
              <w:top w:val="single" w:color="auto" w:sz="4" w:space="0"/>
              <w:left w:val="single" w:color="auto" w:sz="4" w:space="0"/>
              <w:bottom w:val="single" w:color="auto" w:sz="4" w:space="0"/>
              <w:right w:val="single" w:color="auto" w:sz="4" w:space="0"/>
            </w:tcBorders>
            <w:vAlign w:val="center"/>
          </w:tcPr>
          <w:p w14:paraId="159DC090">
            <w:pPr>
              <w:widowControl/>
              <w:jc w:val="center"/>
              <w:rPr>
                <w:color w:val="000000"/>
                <w:kern w:val="0"/>
                <w:sz w:val="22"/>
                <w:highlight w:val="none"/>
              </w:rPr>
            </w:pPr>
            <w:r>
              <w:rPr>
                <w:color w:val="000000"/>
                <w:kern w:val="0"/>
                <w:sz w:val="22"/>
                <w:highlight w:val="none"/>
              </w:rPr>
              <w:t>12</w:t>
            </w:r>
          </w:p>
        </w:tc>
      </w:tr>
    </w:tbl>
    <w:p w14:paraId="3B717151">
      <w:pPr>
        <w:keepNext/>
        <w:keepLines/>
        <w:ind w:firstLine="448" w:firstLineChars="200"/>
        <w:outlineLvl w:val="5"/>
        <w:rPr>
          <w:b/>
          <w:bCs/>
          <w:sz w:val="24"/>
          <w:szCs w:val="28"/>
          <w:highlight w:val="none"/>
        </w:rPr>
      </w:pPr>
      <w:r>
        <w:rPr>
          <w:rFonts w:hint="eastAsia"/>
          <w:b/>
          <w:bCs/>
          <w:sz w:val="24"/>
          <w:szCs w:val="28"/>
          <w:highlight w:val="none"/>
        </w:rPr>
        <w:t>2.第7包软硬件设备运维服务清单</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27"/>
        <w:gridCol w:w="1571"/>
        <w:gridCol w:w="1503"/>
        <w:gridCol w:w="3174"/>
        <w:gridCol w:w="691"/>
        <w:gridCol w:w="636"/>
      </w:tblGrid>
      <w:tr w14:paraId="3FE3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A14FD61">
            <w:pPr>
              <w:widowControl/>
              <w:jc w:val="center"/>
              <w:rPr>
                <w:b/>
                <w:bCs/>
                <w:color w:val="000000"/>
                <w:kern w:val="0"/>
                <w:sz w:val="22"/>
                <w:highlight w:val="none"/>
              </w:rPr>
            </w:pPr>
            <w:r>
              <w:rPr>
                <w:b/>
                <w:bCs/>
                <w:color w:val="000000"/>
                <w:kern w:val="0"/>
                <w:sz w:val="22"/>
                <w:highlight w:val="none"/>
              </w:rPr>
              <w:t>序号</w:t>
            </w:r>
          </w:p>
        </w:tc>
        <w:tc>
          <w:tcPr>
            <w:tcW w:w="3187" w:type="dxa"/>
            <w:gridSpan w:val="2"/>
            <w:shd w:val="clear" w:color="000000" w:fill="FFFFFF"/>
            <w:vAlign w:val="center"/>
          </w:tcPr>
          <w:p w14:paraId="62493A9E">
            <w:pPr>
              <w:widowControl/>
              <w:jc w:val="center"/>
              <w:rPr>
                <w:b/>
                <w:bCs/>
                <w:color w:val="000000"/>
                <w:kern w:val="0"/>
                <w:sz w:val="22"/>
                <w:highlight w:val="none"/>
              </w:rPr>
            </w:pPr>
            <w:r>
              <w:rPr>
                <w:b/>
                <w:bCs/>
                <w:color w:val="000000"/>
                <w:kern w:val="0"/>
                <w:sz w:val="22"/>
                <w:highlight w:val="none"/>
              </w:rPr>
              <w:t>货物名称</w:t>
            </w:r>
          </w:p>
        </w:tc>
        <w:tc>
          <w:tcPr>
            <w:tcW w:w="2977" w:type="dxa"/>
            <w:shd w:val="clear" w:color="000000" w:fill="FFFFFF"/>
            <w:vAlign w:val="center"/>
          </w:tcPr>
          <w:p w14:paraId="2E5AAB12">
            <w:pPr>
              <w:widowControl/>
              <w:jc w:val="center"/>
              <w:rPr>
                <w:b/>
                <w:bCs/>
                <w:color w:val="000000"/>
                <w:kern w:val="0"/>
                <w:sz w:val="22"/>
                <w:highlight w:val="none"/>
              </w:rPr>
            </w:pPr>
            <w:r>
              <w:rPr>
                <w:b/>
                <w:bCs/>
                <w:color w:val="000000"/>
                <w:kern w:val="0"/>
                <w:sz w:val="22"/>
                <w:highlight w:val="none"/>
              </w:rPr>
              <w:t>规格型号</w:t>
            </w:r>
          </w:p>
        </w:tc>
        <w:tc>
          <w:tcPr>
            <w:tcW w:w="709" w:type="dxa"/>
            <w:shd w:val="clear" w:color="000000" w:fill="FFFFFF"/>
            <w:vAlign w:val="center"/>
          </w:tcPr>
          <w:p w14:paraId="6761AC0D">
            <w:pPr>
              <w:widowControl/>
              <w:jc w:val="center"/>
              <w:rPr>
                <w:b/>
                <w:bCs/>
                <w:color w:val="000000"/>
                <w:kern w:val="0"/>
                <w:sz w:val="22"/>
                <w:highlight w:val="none"/>
              </w:rPr>
            </w:pPr>
            <w:r>
              <w:rPr>
                <w:b/>
                <w:bCs/>
                <w:color w:val="000000"/>
                <w:kern w:val="0"/>
                <w:sz w:val="22"/>
                <w:highlight w:val="none"/>
              </w:rPr>
              <w:t>单位</w:t>
            </w:r>
          </w:p>
        </w:tc>
        <w:tc>
          <w:tcPr>
            <w:tcW w:w="646" w:type="dxa"/>
            <w:shd w:val="clear" w:color="000000" w:fill="FFFFFF"/>
            <w:vAlign w:val="center"/>
          </w:tcPr>
          <w:p w14:paraId="291258BF">
            <w:pPr>
              <w:widowControl/>
              <w:jc w:val="center"/>
              <w:rPr>
                <w:b/>
                <w:bCs/>
                <w:color w:val="000000"/>
                <w:kern w:val="0"/>
                <w:sz w:val="22"/>
                <w:highlight w:val="none"/>
              </w:rPr>
            </w:pPr>
            <w:r>
              <w:rPr>
                <w:b/>
                <w:bCs/>
                <w:color w:val="000000"/>
                <w:kern w:val="0"/>
                <w:sz w:val="22"/>
                <w:highlight w:val="none"/>
              </w:rPr>
              <w:t>数量</w:t>
            </w:r>
          </w:p>
        </w:tc>
      </w:tr>
      <w:tr w14:paraId="7529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139B2E53">
            <w:pPr>
              <w:widowControl/>
              <w:jc w:val="center"/>
              <w:rPr>
                <w:b/>
                <w:bCs/>
                <w:color w:val="000000"/>
                <w:kern w:val="0"/>
                <w:sz w:val="22"/>
                <w:highlight w:val="none"/>
              </w:rPr>
            </w:pPr>
            <w:r>
              <w:rPr>
                <w:b/>
                <w:bCs/>
                <w:color w:val="000000"/>
                <w:kern w:val="0"/>
                <w:sz w:val="22"/>
                <w:highlight w:val="none"/>
              </w:rPr>
              <w:t>一</w:t>
            </w:r>
          </w:p>
        </w:tc>
        <w:tc>
          <w:tcPr>
            <w:tcW w:w="0" w:type="auto"/>
            <w:gridSpan w:val="5"/>
            <w:shd w:val="clear" w:color="000000" w:fill="FFFFFF"/>
            <w:vAlign w:val="center"/>
          </w:tcPr>
          <w:p w14:paraId="434CD236">
            <w:pPr>
              <w:widowControl/>
              <w:jc w:val="left"/>
              <w:rPr>
                <w:b/>
                <w:bCs/>
                <w:color w:val="000000"/>
                <w:kern w:val="0"/>
                <w:sz w:val="22"/>
                <w:highlight w:val="none"/>
              </w:rPr>
            </w:pPr>
            <w:r>
              <w:rPr>
                <w:b/>
                <w:bCs/>
                <w:color w:val="000000"/>
                <w:kern w:val="0"/>
                <w:sz w:val="22"/>
                <w:highlight w:val="none"/>
              </w:rPr>
              <w:t>前端设备运维</w:t>
            </w:r>
          </w:p>
        </w:tc>
      </w:tr>
      <w:tr w14:paraId="0A14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48BB561C">
            <w:pPr>
              <w:widowControl/>
              <w:jc w:val="center"/>
              <w:rPr>
                <w:b/>
                <w:bCs/>
                <w:color w:val="000000"/>
                <w:kern w:val="0"/>
                <w:sz w:val="22"/>
                <w:highlight w:val="none"/>
              </w:rPr>
            </w:pPr>
            <w:r>
              <w:rPr>
                <w:b/>
                <w:bCs/>
                <w:color w:val="000000"/>
                <w:kern w:val="0"/>
                <w:sz w:val="22"/>
                <w:highlight w:val="none"/>
              </w:rPr>
              <w:t>（一）</w:t>
            </w:r>
          </w:p>
        </w:tc>
        <w:tc>
          <w:tcPr>
            <w:tcW w:w="0" w:type="auto"/>
            <w:gridSpan w:val="5"/>
            <w:shd w:val="clear" w:color="000000" w:fill="FFFFFF"/>
            <w:vAlign w:val="center"/>
          </w:tcPr>
          <w:p w14:paraId="55E33FD2">
            <w:pPr>
              <w:widowControl/>
              <w:jc w:val="left"/>
              <w:rPr>
                <w:b/>
                <w:bCs/>
                <w:color w:val="000000"/>
                <w:kern w:val="0"/>
                <w:sz w:val="22"/>
                <w:highlight w:val="none"/>
              </w:rPr>
            </w:pPr>
            <w:r>
              <w:rPr>
                <w:b/>
                <w:bCs/>
                <w:color w:val="000000"/>
                <w:kern w:val="0"/>
                <w:sz w:val="22"/>
                <w:highlight w:val="none"/>
              </w:rPr>
              <w:t>视频监控系统运维</w:t>
            </w:r>
          </w:p>
        </w:tc>
      </w:tr>
      <w:tr w14:paraId="36188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44C29F19">
            <w:pPr>
              <w:widowControl/>
              <w:jc w:val="center"/>
              <w:rPr>
                <w:b/>
                <w:bCs/>
                <w:color w:val="000000"/>
                <w:kern w:val="0"/>
                <w:sz w:val="22"/>
                <w:highlight w:val="none"/>
              </w:rPr>
            </w:pPr>
            <w:r>
              <w:rPr>
                <w:b/>
                <w:bCs/>
                <w:color w:val="000000"/>
                <w:kern w:val="0"/>
                <w:sz w:val="22"/>
                <w:highlight w:val="none"/>
              </w:rPr>
              <w:t>1</w:t>
            </w:r>
          </w:p>
        </w:tc>
        <w:tc>
          <w:tcPr>
            <w:tcW w:w="0" w:type="auto"/>
            <w:gridSpan w:val="5"/>
            <w:shd w:val="clear" w:color="000000" w:fill="FFFFFF"/>
            <w:vAlign w:val="center"/>
          </w:tcPr>
          <w:p w14:paraId="795E6A14">
            <w:pPr>
              <w:widowControl/>
              <w:jc w:val="left"/>
              <w:rPr>
                <w:b/>
                <w:bCs/>
                <w:color w:val="000000"/>
                <w:kern w:val="0"/>
                <w:sz w:val="22"/>
                <w:highlight w:val="none"/>
              </w:rPr>
            </w:pPr>
            <w:r>
              <w:rPr>
                <w:b/>
                <w:bCs/>
                <w:color w:val="000000"/>
                <w:kern w:val="0"/>
                <w:sz w:val="22"/>
                <w:highlight w:val="none"/>
              </w:rPr>
              <w:t>监控杆体</w:t>
            </w:r>
          </w:p>
        </w:tc>
      </w:tr>
      <w:tr w14:paraId="6204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65D82294">
            <w:pPr>
              <w:widowControl/>
              <w:jc w:val="center"/>
              <w:rPr>
                <w:color w:val="000000"/>
                <w:kern w:val="0"/>
                <w:sz w:val="22"/>
                <w:highlight w:val="none"/>
              </w:rPr>
            </w:pPr>
            <w:r>
              <w:rPr>
                <w:color w:val="000000"/>
                <w:kern w:val="0"/>
                <w:sz w:val="22"/>
                <w:highlight w:val="none"/>
              </w:rPr>
              <w:t>1.1</w:t>
            </w:r>
          </w:p>
        </w:tc>
        <w:tc>
          <w:tcPr>
            <w:tcW w:w="3187" w:type="dxa"/>
            <w:gridSpan w:val="2"/>
            <w:shd w:val="clear" w:color="000000" w:fill="FFFFFF"/>
            <w:vAlign w:val="center"/>
          </w:tcPr>
          <w:p w14:paraId="2FB37D68">
            <w:pPr>
              <w:widowControl/>
              <w:jc w:val="left"/>
              <w:rPr>
                <w:color w:val="000000"/>
                <w:kern w:val="0"/>
                <w:sz w:val="22"/>
                <w:highlight w:val="none"/>
              </w:rPr>
            </w:pPr>
            <w:r>
              <w:rPr>
                <w:color w:val="000000"/>
                <w:kern w:val="0"/>
                <w:sz w:val="22"/>
                <w:highlight w:val="none"/>
              </w:rPr>
              <w:t>视频监控杆体（路口一杆两头类型）6.3米90度双横臂</w:t>
            </w:r>
          </w:p>
        </w:tc>
        <w:tc>
          <w:tcPr>
            <w:tcW w:w="2977" w:type="dxa"/>
            <w:shd w:val="clear" w:color="000000" w:fill="FFFFFF"/>
            <w:vAlign w:val="center"/>
          </w:tcPr>
          <w:p w14:paraId="13DEB901">
            <w:pPr>
              <w:widowControl/>
              <w:jc w:val="center"/>
              <w:rPr>
                <w:color w:val="000000"/>
                <w:kern w:val="0"/>
                <w:sz w:val="22"/>
                <w:highlight w:val="none"/>
              </w:rPr>
            </w:pPr>
            <w:r>
              <w:rPr>
                <w:color w:val="000000"/>
                <w:kern w:val="0"/>
                <w:sz w:val="22"/>
                <w:highlight w:val="none"/>
              </w:rPr>
              <w:t>杆体高度：6300mm,一杆两头</w:t>
            </w:r>
          </w:p>
        </w:tc>
        <w:tc>
          <w:tcPr>
            <w:tcW w:w="709" w:type="dxa"/>
            <w:shd w:val="clear" w:color="000000" w:fill="FFFFFF"/>
            <w:vAlign w:val="center"/>
          </w:tcPr>
          <w:p w14:paraId="626C1402">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674876DA">
            <w:pPr>
              <w:widowControl/>
              <w:jc w:val="center"/>
              <w:rPr>
                <w:color w:val="000000"/>
                <w:kern w:val="0"/>
                <w:sz w:val="22"/>
                <w:highlight w:val="none"/>
              </w:rPr>
            </w:pPr>
            <w:r>
              <w:rPr>
                <w:color w:val="000000"/>
                <w:kern w:val="0"/>
                <w:sz w:val="22"/>
                <w:highlight w:val="none"/>
              </w:rPr>
              <w:t>104</w:t>
            </w:r>
          </w:p>
        </w:tc>
      </w:tr>
      <w:tr w14:paraId="434E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60A81BCA">
            <w:pPr>
              <w:widowControl/>
              <w:jc w:val="center"/>
              <w:rPr>
                <w:color w:val="000000"/>
                <w:kern w:val="0"/>
                <w:sz w:val="22"/>
                <w:highlight w:val="none"/>
              </w:rPr>
            </w:pPr>
            <w:r>
              <w:rPr>
                <w:color w:val="000000"/>
                <w:kern w:val="0"/>
                <w:sz w:val="22"/>
                <w:highlight w:val="none"/>
              </w:rPr>
              <w:t>1.2</w:t>
            </w:r>
          </w:p>
        </w:tc>
        <w:tc>
          <w:tcPr>
            <w:tcW w:w="3187" w:type="dxa"/>
            <w:gridSpan w:val="2"/>
            <w:shd w:val="clear" w:color="000000" w:fill="FFFFFF"/>
            <w:vAlign w:val="center"/>
          </w:tcPr>
          <w:p w14:paraId="2C3EF9B0">
            <w:pPr>
              <w:widowControl/>
              <w:jc w:val="left"/>
              <w:rPr>
                <w:color w:val="000000"/>
                <w:kern w:val="0"/>
                <w:sz w:val="22"/>
                <w:highlight w:val="none"/>
              </w:rPr>
            </w:pPr>
            <w:r>
              <w:rPr>
                <w:color w:val="000000"/>
                <w:kern w:val="0"/>
                <w:sz w:val="22"/>
                <w:highlight w:val="none"/>
              </w:rPr>
              <w:t>视频监控杆体（路口类型）6.3米单横臂</w:t>
            </w:r>
          </w:p>
        </w:tc>
        <w:tc>
          <w:tcPr>
            <w:tcW w:w="2977" w:type="dxa"/>
            <w:shd w:val="clear" w:color="000000" w:fill="FFFFFF"/>
            <w:vAlign w:val="center"/>
          </w:tcPr>
          <w:p w14:paraId="06FD9E99">
            <w:pPr>
              <w:widowControl/>
              <w:jc w:val="center"/>
              <w:rPr>
                <w:color w:val="000000"/>
                <w:kern w:val="0"/>
                <w:sz w:val="22"/>
                <w:highlight w:val="none"/>
              </w:rPr>
            </w:pPr>
            <w:r>
              <w:rPr>
                <w:color w:val="000000"/>
                <w:kern w:val="0"/>
                <w:sz w:val="22"/>
                <w:highlight w:val="none"/>
              </w:rPr>
              <w:t>杆体高度：6300mm,单横臂</w:t>
            </w:r>
          </w:p>
        </w:tc>
        <w:tc>
          <w:tcPr>
            <w:tcW w:w="709" w:type="dxa"/>
            <w:shd w:val="clear" w:color="000000" w:fill="FFFFFF"/>
            <w:vAlign w:val="center"/>
          </w:tcPr>
          <w:p w14:paraId="4AB9F5E6">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5B1B59BC">
            <w:pPr>
              <w:widowControl/>
              <w:jc w:val="center"/>
              <w:rPr>
                <w:color w:val="000000"/>
                <w:kern w:val="0"/>
                <w:sz w:val="22"/>
                <w:highlight w:val="none"/>
              </w:rPr>
            </w:pPr>
            <w:r>
              <w:rPr>
                <w:color w:val="000000"/>
                <w:kern w:val="0"/>
                <w:sz w:val="22"/>
                <w:highlight w:val="none"/>
              </w:rPr>
              <w:t>183</w:t>
            </w:r>
          </w:p>
        </w:tc>
      </w:tr>
      <w:tr w14:paraId="5D1B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336C5876">
            <w:pPr>
              <w:widowControl/>
              <w:jc w:val="center"/>
              <w:rPr>
                <w:color w:val="000000"/>
                <w:kern w:val="0"/>
                <w:sz w:val="22"/>
                <w:highlight w:val="none"/>
              </w:rPr>
            </w:pPr>
            <w:r>
              <w:rPr>
                <w:color w:val="000000"/>
                <w:kern w:val="0"/>
                <w:sz w:val="22"/>
                <w:highlight w:val="none"/>
              </w:rPr>
              <w:t>1.3</w:t>
            </w:r>
          </w:p>
        </w:tc>
        <w:tc>
          <w:tcPr>
            <w:tcW w:w="3187" w:type="dxa"/>
            <w:gridSpan w:val="2"/>
            <w:shd w:val="clear" w:color="000000" w:fill="FFFFFF"/>
            <w:vAlign w:val="center"/>
          </w:tcPr>
          <w:p w14:paraId="5E8A7371">
            <w:pPr>
              <w:widowControl/>
              <w:jc w:val="left"/>
              <w:rPr>
                <w:color w:val="000000"/>
                <w:kern w:val="0"/>
                <w:sz w:val="22"/>
                <w:highlight w:val="none"/>
              </w:rPr>
            </w:pPr>
            <w:r>
              <w:rPr>
                <w:color w:val="000000"/>
                <w:kern w:val="0"/>
                <w:sz w:val="22"/>
                <w:highlight w:val="none"/>
              </w:rPr>
              <w:t>视频监控杆体5米单横臂</w:t>
            </w:r>
          </w:p>
        </w:tc>
        <w:tc>
          <w:tcPr>
            <w:tcW w:w="2977" w:type="dxa"/>
            <w:shd w:val="clear" w:color="000000" w:fill="FFFFFF"/>
            <w:vAlign w:val="center"/>
          </w:tcPr>
          <w:p w14:paraId="007BA852">
            <w:pPr>
              <w:widowControl/>
              <w:jc w:val="center"/>
              <w:rPr>
                <w:color w:val="000000"/>
                <w:kern w:val="0"/>
                <w:sz w:val="22"/>
                <w:highlight w:val="none"/>
              </w:rPr>
            </w:pPr>
            <w:r>
              <w:rPr>
                <w:color w:val="000000"/>
                <w:kern w:val="0"/>
                <w:sz w:val="22"/>
                <w:highlight w:val="none"/>
              </w:rPr>
              <w:t>杆体高度：5000mm,单横臂</w:t>
            </w:r>
          </w:p>
        </w:tc>
        <w:tc>
          <w:tcPr>
            <w:tcW w:w="709" w:type="dxa"/>
            <w:shd w:val="clear" w:color="000000" w:fill="FFFFFF"/>
            <w:vAlign w:val="center"/>
          </w:tcPr>
          <w:p w14:paraId="22F50558">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2CDAB340">
            <w:pPr>
              <w:widowControl/>
              <w:jc w:val="center"/>
              <w:rPr>
                <w:color w:val="000000"/>
                <w:kern w:val="0"/>
                <w:sz w:val="22"/>
                <w:highlight w:val="none"/>
              </w:rPr>
            </w:pPr>
            <w:r>
              <w:rPr>
                <w:color w:val="000000"/>
                <w:kern w:val="0"/>
                <w:sz w:val="22"/>
                <w:highlight w:val="none"/>
              </w:rPr>
              <w:t>1</w:t>
            </w:r>
          </w:p>
        </w:tc>
      </w:tr>
      <w:tr w14:paraId="266F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D250247">
            <w:pPr>
              <w:widowControl/>
              <w:jc w:val="center"/>
              <w:rPr>
                <w:color w:val="000000"/>
                <w:kern w:val="0"/>
                <w:sz w:val="22"/>
                <w:highlight w:val="none"/>
              </w:rPr>
            </w:pPr>
            <w:r>
              <w:rPr>
                <w:color w:val="000000"/>
                <w:kern w:val="0"/>
                <w:sz w:val="22"/>
                <w:highlight w:val="none"/>
              </w:rPr>
              <w:t>1.4</w:t>
            </w:r>
          </w:p>
        </w:tc>
        <w:tc>
          <w:tcPr>
            <w:tcW w:w="3187" w:type="dxa"/>
            <w:gridSpan w:val="2"/>
            <w:shd w:val="clear" w:color="000000" w:fill="FFFFFF"/>
            <w:vAlign w:val="center"/>
          </w:tcPr>
          <w:p w14:paraId="0FD54CD7">
            <w:pPr>
              <w:widowControl/>
              <w:jc w:val="left"/>
              <w:rPr>
                <w:color w:val="000000"/>
                <w:kern w:val="0"/>
                <w:sz w:val="22"/>
                <w:highlight w:val="none"/>
              </w:rPr>
            </w:pPr>
            <w:r>
              <w:rPr>
                <w:color w:val="000000"/>
                <w:kern w:val="0"/>
                <w:sz w:val="22"/>
                <w:highlight w:val="none"/>
              </w:rPr>
              <w:t>视频监控杆体3.5米双横臂</w:t>
            </w:r>
          </w:p>
        </w:tc>
        <w:tc>
          <w:tcPr>
            <w:tcW w:w="2977" w:type="dxa"/>
            <w:shd w:val="clear" w:color="000000" w:fill="FFFFFF"/>
            <w:vAlign w:val="center"/>
          </w:tcPr>
          <w:p w14:paraId="04F18F14">
            <w:pPr>
              <w:widowControl/>
              <w:jc w:val="center"/>
              <w:rPr>
                <w:color w:val="000000"/>
                <w:kern w:val="0"/>
                <w:sz w:val="22"/>
                <w:highlight w:val="none"/>
              </w:rPr>
            </w:pPr>
            <w:r>
              <w:rPr>
                <w:color w:val="000000"/>
                <w:kern w:val="0"/>
                <w:sz w:val="22"/>
                <w:highlight w:val="none"/>
              </w:rPr>
              <w:t>杆体高度：3500mm,双横臂</w:t>
            </w:r>
          </w:p>
        </w:tc>
        <w:tc>
          <w:tcPr>
            <w:tcW w:w="709" w:type="dxa"/>
            <w:shd w:val="clear" w:color="000000" w:fill="FFFFFF"/>
            <w:vAlign w:val="center"/>
          </w:tcPr>
          <w:p w14:paraId="420AA3DE">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2D3D5EEE">
            <w:pPr>
              <w:widowControl/>
              <w:jc w:val="center"/>
              <w:rPr>
                <w:color w:val="000000"/>
                <w:kern w:val="0"/>
                <w:sz w:val="22"/>
                <w:highlight w:val="none"/>
              </w:rPr>
            </w:pPr>
            <w:r>
              <w:rPr>
                <w:color w:val="000000"/>
                <w:kern w:val="0"/>
                <w:sz w:val="22"/>
                <w:highlight w:val="none"/>
              </w:rPr>
              <w:t>11</w:t>
            </w:r>
          </w:p>
        </w:tc>
      </w:tr>
      <w:tr w14:paraId="3290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305133E">
            <w:pPr>
              <w:widowControl/>
              <w:jc w:val="center"/>
              <w:rPr>
                <w:color w:val="000000"/>
                <w:kern w:val="0"/>
                <w:sz w:val="22"/>
                <w:highlight w:val="none"/>
              </w:rPr>
            </w:pPr>
            <w:r>
              <w:rPr>
                <w:color w:val="000000"/>
                <w:kern w:val="0"/>
                <w:sz w:val="22"/>
                <w:highlight w:val="none"/>
              </w:rPr>
              <w:t>1.5</w:t>
            </w:r>
          </w:p>
        </w:tc>
        <w:tc>
          <w:tcPr>
            <w:tcW w:w="3187" w:type="dxa"/>
            <w:gridSpan w:val="2"/>
            <w:shd w:val="clear" w:color="000000" w:fill="FFFFFF"/>
            <w:vAlign w:val="center"/>
          </w:tcPr>
          <w:p w14:paraId="14C00898">
            <w:pPr>
              <w:widowControl/>
              <w:jc w:val="left"/>
              <w:rPr>
                <w:color w:val="000000"/>
                <w:kern w:val="0"/>
                <w:sz w:val="22"/>
                <w:highlight w:val="none"/>
              </w:rPr>
            </w:pPr>
            <w:r>
              <w:rPr>
                <w:color w:val="000000"/>
                <w:kern w:val="0"/>
                <w:sz w:val="22"/>
                <w:highlight w:val="none"/>
              </w:rPr>
              <w:t>视频监控杆体3.5米单横臂</w:t>
            </w:r>
          </w:p>
        </w:tc>
        <w:tc>
          <w:tcPr>
            <w:tcW w:w="2977" w:type="dxa"/>
            <w:shd w:val="clear" w:color="000000" w:fill="FFFFFF"/>
            <w:vAlign w:val="center"/>
          </w:tcPr>
          <w:p w14:paraId="2616653E">
            <w:pPr>
              <w:widowControl/>
              <w:jc w:val="center"/>
              <w:rPr>
                <w:color w:val="000000"/>
                <w:kern w:val="0"/>
                <w:sz w:val="22"/>
                <w:highlight w:val="none"/>
              </w:rPr>
            </w:pPr>
            <w:r>
              <w:rPr>
                <w:color w:val="000000"/>
                <w:kern w:val="0"/>
                <w:sz w:val="22"/>
                <w:highlight w:val="none"/>
              </w:rPr>
              <w:t>杆体高度：3500mm,单横臂</w:t>
            </w:r>
          </w:p>
        </w:tc>
        <w:tc>
          <w:tcPr>
            <w:tcW w:w="709" w:type="dxa"/>
            <w:shd w:val="clear" w:color="000000" w:fill="FFFFFF"/>
            <w:vAlign w:val="center"/>
          </w:tcPr>
          <w:p w14:paraId="4436D3F0">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066D84EB">
            <w:pPr>
              <w:widowControl/>
              <w:jc w:val="center"/>
              <w:rPr>
                <w:color w:val="000000"/>
                <w:kern w:val="0"/>
                <w:sz w:val="22"/>
                <w:highlight w:val="none"/>
              </w:rPr>
            </w:pPr>
            <w:r>
              <w:rPr>
                <w:color w:val="000000"/>
                <w:kern w:val="0"/>
                <w:sz w:val="22"/>
                <w:highlight w:val="none"/>
              </w:rPr>
              <w:t>8</w:t>
            </w:r>
          </w:p>
        </w:tc>
      </w:tr>
      <w:tr w14:paraId="0B6E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AED1A90">
            <w:pPr>
              <w:widowControl/>
              <w:jc w:val="center"/>
              <w:rPr>
                <w:b/>
                <w:bCs/>
                <w:color w:val="000000"/>
                <w:kern w:val="0"/>
                <w:sz w:val="22"/>
                <w:highlight w:val="none"/>
              </w:rPr>
            </w:pPr>
            <w:r>
              <w:rPr>
                <w:b/>
                <w:bCs/>
                <w:color w:val="000000"/>
                <w:kern w:val="0"/>
                <w:sz w:val="22"/>
                <w:highlight w:val="none"/>
              </w:rPr>
              <w:t>2</w:t>
            </w:r>
          </w:p>
        </w:tc>
        <w:tc>
          <w:tcPr>
            <w:tcW w:w="0" w:type="auto"/>
            <w:gridSpan w:val="5"/>
            <w:shd w:val="clear" w:color="000000" w:fill="FFFFFF"/>
            <w:vAlign w:val="center"/>
          </w:tcPr>
          <w:p w14:paraId="7520EE9C">
            <w:pPr>
              <w:widowControl/>
              <w:jc w:val="left"/>
              <w:rPr>
                <w:b/>
                <w:bCs/>
                <w:color w:val="000000"/>
                <w:kern w:val="0"/>
                <w:sz w:val="22"/>
                <w:highlight w:val="none"/>
              </w:rPr>
            </w:pPr>
            <w:r>
              <w:rPr>
                <w:b/>
                <w:bCs/>
                <w:color w:val="000000"/>
                <w:kern w:val="0"/>
                <w:sz w:val="22"/>
                <w:highlight w:val="none"/>
              </w:rPr>
              <w:t>摄像机</w:t>
            </w:r>
          </w:p>
        </w:tc>
      </w:tr>
      <w:tr w14:paraId="4C86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35502B78">
            <w:pPr>
              <w:widowControl/>
              <w:jc w:val="center"/>
              <w:rPr>
                <w:color w:val="000000"/>
                <w:kern w:val="0"/>
                <w:sz w:val="22"/>
                <w:highlight w:val="none"/>
              </w:rPr>
            </w:pPr>
            <w:r>
              <w:rPr>
                <w:color w:val="000000"/>
                <w:kern w:val="0"/>
                <w:sz w:val="22"/>
                <w:highlight w:val="none"/>
              </w:rPr>
              <w:t>2.1</w:t>
            </w:r>
          </w:p>
        </w:tc>
        <w:tc>
          <w:tcPr>
            <w:tcW w:w="3187" w:type="dxa"/>
            <w:gridSpan w:val="2"/>
            <w:shd w:val="clear" w:color="000000" w:fill="FFFFFF"/>
            <w:vAlign w:val="center"/>
          </w:tcPr>
          <w:p w14:paraId="5FA06B5D">
            <w:pPr>
              <w:widowControl/>
              <w:jc w:val="left"/>
              <w:rPr>
                <w:color w:val="000000"/>
                <w:kern w:val="0"/>
                <w:sz w:val="22"/>
                <w:highlight w:val="none"/>
              </w:rPr>
            </w:pPr>
            <w:r>
              <w:rPr>
                <w:color w:val="000000"/>
                <w:kern w:val="0"/>
                <w:sz w:val="22"/>
                <w:highlight w:val="none"/>
              </w:rPr>
              <w:t>高清网终摄像机(用于枪式防护罩)</w:t>
            </w:r>
          </w:p>
        </w:tc>
        <w:tc>
          <w:tcPr>
            <w:tcW w:w="2977" w:type="dxa"/>
            <w:shd w:val="clear" w:color="000000" w:fill="FFFFFF"/>
            <w:vAlign w:val="center"/>
          </w:tcPr>
          <w:p w14:paraId="2843C7A5">
            <w:pPr>
              <w:widowControl/>
              <w:jc w:val="center"/>
              <w:rPr>
                <w:color w:val="000000"/>
                <w:kern w:val="0"/>
                <w:sz w:val="22"/>
                <w:highlight w:val="none"/>
              </w:rPr>
            </w:pPr>
            <w:r>
              <w:rPr>
                <w:color w:val="000000"/>
                <w:kern w:val="0"/>
                <w:sz w:val="22"/>
                <w:highlight w:val="none"/>
              </w:rPr>
              <w:t>DSI-2FW-TPJF</w:t>
            </w:r>
          </w:p>
        </w:tc>
        <w:tc>
          <w:tcPr>
            <w:tcW w:w="709" w:type="dxa"/>
            <w:shd w:val="clear" w:color="000000" w:fill="FFFFFF"/>
            <w:vAlign w:val="center"/>
          </w:tcPr>
          <w:p w14:paraId="4B4EDE41">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2BB1513C">
            <w:pPr>
              <w:widowControl/>
              <w:jc w:val="center"/>
              <w:rPr>
                <w:color w:val="000000"/>
                <w:kern w:val="0"/>
                <w:sz w:val="22"/>
                <w:highlight w:val="none"/>
              </w:rPr>
            </w:pPr>
            <w:r>
              <w:rPr>
                <w:color w:val="000000"/>
                <w:kern w:val="0"/>
                <w:sz w:val="22"/>
                <w:highlight w:val="none"/>
              </w:rPr>
              <w:t>124</w:t>
            </w:r>
          </w:p>
        </w:tc>
      </w:tr>
      <w:tr w14:paraId="579B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5485A416">
            <w:pPr>
              <w:widowControl/>
              <w:jc w:val="center"/>
              <w:rPr>
                <w:color w:val="000000"/>
                <w:kern w:val="0"/>
                <w:sz w:val="22"/>
                <w:highlight w:val="none"/>
              </w:rPr>
            </w:pPr>
            <w:r>
              <w:rPr>
                <w:color w:val="000000"/>
                <w:kern w:val="0"/>
                <w:sz w:val="22"/>
                <w:highlight w:val="none"/>
              </w:rPr>
              <w:t>2.2</w:t>
            </w:r>
          </w:p>
        </w:tc>
        <w:tc>
          <w:tcPr>
            <w:tcW w:w="3187" w:type="dxa"/>
            <w:gridSpan w:val="2"/>
            <w:shd w:val="clear" w:color="000000" w:fill="FFFFFF"/>
            <w:vAlign w:val="center"/>
          </w:tcPr>
          <w:p w14:paraId="25F4C466">
            <w:pPr>
              <w:widowControl/>
              <w:jc w:val="left"/>
              <w:rPr>
                <w:color w:val="000000"/>
                <w:kern w:val="0"/>
                <w:sz w:val="22"/>
                <w:highlight w:val="none"/>
              </w:rPr>
            </w:pPr>
            <w:r>
              <w:rPr>
                <w:color w:val="000000"/>
                <w:kern w:val="0"/>
                <w:sz w:val="22"/>
                <w:highlight w:val="none"/>
              </w:rPr>
              <w:t>高清网络摄像机(用于球形防护罩)</w:t>
            </w:r>
          </w:p>
        </w:tc>
        <w:tc>
          <w:tcPr>
            <w:tcW w:w="2977" w:type="dxa"/>
            <w:shd w:val="clear" w:color="000000" w:fill="FFFFFF"/>
            <w:vAlign w:val="center"/>
          </w:tcPr>
          <w:p w14:paraId="3A1F3FD1">
            <w:pPr>
              <w:widowControl/>
              <w:jc w:val="center"/>
              <w:rPr>
                <w:color w:val="000000"/>
                <w:kern w:val="0"/>
                <w:sz w:val="22"/>
                <w:highlight w:val="none"/>
              </w:rPr>
            </w:pPr>
            <w:r>
              <w:rPr>
                <w:color w:val="000000"/>
                <w:kern w:val="0"/>
                <w:sz w:val="22"/>
                <w:highlight w:val="none"/>
              </w:rPr>
              <w:t>DSI-2BV-TPJF</w:t>
            </w:r>
          </w:p>
        </w:tc>
        <w:tc>
          <w:tcPr>
            <w:tcW w:w="709" w:type="dxa"/>
            <w:shd w:val="clear" w:color="000000" w:fill="FFFFFF"/>
            <w:vAlign w:val="center"/>
          </w:tcPr>
          <w:p w14:paraId="5BE008B2">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3CBA715A">
            <w:pPr>
              <w:widowControl/>
              <w:jc w:val="center"/>
              <w:rPr>
                <w:color w:val="000000"/>
                <w:kern w:val="0"/>
                <w:sz w:val="22"/>
                <w:highlight w:val="none"/>
              </w:rPr>
            </w:pPr>
            <w:r>
              <w:rPr>
                <w:color w:val="000000"/>
                <w:kern w:val="0"/>
                <w:sz w:val="22"/>
                <w:highlight w:val="none"/>
              </w:rPr>
              <w:t>361</w:t>
            </w:r>
          </w:p>
        </w:tc>
      </w:tr>
      <w:tr w14:paraId="71C1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D7D4500">
            <w:pPr>
              <w:widowControl/>
              <w:jc w:val="center"/>
              <w:rPr>
                <w:color w:val="000000"/>
                <w:kern w:val="0"/>
                <w:sz w:val="22"/>
                <w:highlight w:val="none"/>
              </w:rPr>
            </w:pPr>
            <w:r>
              <w:rPr>
                <w:color w:val="000000"/>
                <w:kern w:val="0"/>
                <w:sz w:val="22"/>
                <w:highlight w:val="none"/>
              </w:rPr>
              <w:t>2.3</w:t>
            </w:r>
          </w:p>
        </w:tc>
        <w:tc>
          <w:tcPr>
            <w:tcW w:w="3187" w:type="dxa"/>
            <w:gridSpan w:val="2"/>
            <w:shd w:val="clear" w:color="000000" w:fill="FFFFFF"/>
            <w:vAlign w:val="center"/>
          </w:tcPr>
          <w:p w14:paraId="49CD13D3">
            <w:pPr>
              <w:widowControl/>
              <w:jc w:val="left"/>
              <w:rPr>
                <w:color w:val="000000"/>
                <w:kern w:val="0"/>
                <w:sz w:val="22"/>
                <w:highlight w:val="none"/>
              </w:rPr>
            </w:pPr>
            <w:r>
              <w:rPr>
                <w:color w:val="000000"/>
                <w:kern w:val="0"/>
                <w:sz w:val="22"/>
                <w:highlight w:val="none"/>
              </w:rPr>
              <w:t>正反向全景摄像机</w:t>
            </w:r>
          </w:p>
        </w:tc>
        <w:tc>
          <w:tcPr>
            <w:tcW w:w="2977" w:type="dxa"/>
            <w:shd w:val="clear" w:color="000000" w:fill="FFFFFF"/>
            <w:vAlign w:val="center"/>
          </w:tcPr>
          <w:p w14:paraId="5B7E652F">
            <w:pPr>
              <w:widowControl/>
              <w:jc w:val="center"/>
              <w:rPr>
                <w:color w:val="000000"/>
                <w:kern w:val="0"/>
                <w:sz w:val="22"/>
                <w:highlight w:val="none"/>
              </w:rPr>
            </w:pPr>
            <w:r>
              <w:rPr>
                <w:color w:val="000000"/>
                <w:kern w:val="0"/>
                <w:sz w:val="22"/>
                <w:highlight w:val="none"/>
              </w:rPr>
              <w:t>DSI-2KV-TPJF</w:t>
            </w:r>
          </w:p>
        </w:tc>
        <w:tc>
          <w:tcPr>
            <w:tcW w:w="709" w:type="dxa"/>
            <w:shd w:val="clear" w:color="000000" w:fill="FFFFFF"/>
            <w:vAlign w:val="center"/>
          </w:tcPr>
          <w:p w14:paraId="1AFCAC9E">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6A76FC7E">
            <w:pPr>
              <w:widowControl/>
              <w:jc w:val="center"/>
              <w:rPr>
                <w:color w:val="000000"/>
                <w:kern w:val="0"/>
                <w:sz w:val="22"/>
                <w:highlight w:val="none"/>
              </w:rPr>
            </w:pPr>
            <w:r>
              <w:rPr>
                <w:color w:val="000000"/>
                <w:kern w:val="0"/>
                <w:sz w:val="22"/>
                <w:highlight w:val="none"/>
              </w:rPr>
              <w:t>1</w:t>
            </w:r>
          </w:p>
        </w:tc>
      </w:tr>
      <w:tr w14:paraId="5651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16BE69C">
            <w:pPr>
              <w:widowControl/>
              <w:jc w:val="center"/>
              <w:rPr>
                <w:color w:val="000000"/>
                <w:kern w:val="0"/>
                <w:sz w:val="22"/>
                <w:highlight w:val="none"/>
              </w:rPr>
            </w:pPr>
            <w:r>
              <w:rPr>
                <w:color w:val="000000"/>
                <w:kern w:val="0"/>
                <w:sz w:val="22"/>
                <w:highlight w:val="none"/>
              </w:rPr>
              <w:t>2.4</w:t>
            </w:r>
          </w:p>
        </w:tc>
        <w:tc>
          <w:tcPr>
            <w:tcW w:w="3187" w:type="dxa"/>
            <w:gridSpan w:val="2"/>
            <w:shd w:val="clear" w:color="000000" w:fill="FFFFFF"/>
            <w:vAlign w:val="center"/>
          </w:tcPr>
          <w:p w14:paraId="437AC19E">
            <w:pPr>
              <w:widowControl/>
              <w:jc w:val="left"/>
              <w:rPr>
                <w:color w:val="000000"/>
                <w:kern w:val="0"/>
                <w:sz w:val="22"/>
                <w:highlight w:val="none"/>
              </w:rPr>
            </w:pPr>
            <w:r>
              <w:rPr>
                <w:color w:val="000000"/>
                <w:kern w:val="0"/>
                <w:sz w:val="22"/>
                <w:highlight w:val="none"/>
              </w:rPr>
              <w:t>高点监控系统（高清制高点监控单元）</w:t>
            </w:r>
          </w:p>
        </w:tc>
        <w:tc>
          <w:tcPr>
            <w:tcW w:w="2977" w:type="dxa"/>
            <w:shd w:val="clear" w:color="000000" w:fill="FFFFFF"/>
            <w:vAlign w:val="center"/>
          </w:tcPr>
          <w:p w14:paraId="5762A729">
            <w:pPr>
              <w:widowControl/>
              <w:jc w:val="center"/>
              <w:rPr>
                <w:color w:val="000000"/>
                <w:kern w:val="0"/>
                <w:sz w:val="22"/>
                <w:highlight w:val="none"/>
              </w:rPr>
            </w:pPr>
            <w:r>
              <w:rPr>
                <w:color w:val="000000"/>
                <w:kern w:val="0"/>
                <w:sz w:val="22"/>
                <w:highlight w:val="none"/>
              </w:rPr>
              <w:t>DS-2ZZN7807-FJ</w:t>
            </w:r>
          </w:p>
        </w:tc>
        <w:tc>
          <w:tcPr>
            <w:tcW w:w="709" w:type="dxa"/>
            <w:shd w:val="clear" w:color="000000" w:fill="FFFFFF"/>
            <w:vAlign w:val="center"/>
          </w:tcPr>
          <w:p w14:paraId="7EB3A4C9">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4CC5AB81">
            <w:pPr>
              <w:widowControl/>
              <w:jc w:val="center"/>
              <w:rPr>
                <w:color w:val="000000"/>
                <w:kern w:val="0"/>
                <w:sz w:val="22"/>
                <w:highlight w:val="none"/>
              </w:rPr>
            </w:pPr>
            <w:r>
              <w:rPr>
                <w:color w:val="000000"/>
                <w:kern w:val="0"/>
                <w:sz w:val="22"/>
                <w:highlight w:val="none"/>
              </w:rPr>
              <w:t>2</w:t>
            </w:r>
          </w:p>
        </w:tc>
      </w:tr>
      <w:tr w14:paraId="32A7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891BEE5">
            <w:pPr>
              <w:widowControl/>
              <w:jc w:val="center"/>
              <w:rPr>
                <w:color w:val="000000"/>
                <w:kern w:val="0"/>
                <w:sz w:val="22"/>
                <w:highlight w:val="none"/>
              </w:rPr>
            </w:pPr>
            <w:r>
              <w:rPr>
                <w:color w:val="000000"/>
                <w:kern w:val="0"/>
                <w:sz w:val="22"/>
                <w:highlight w:val="none"/>
              </w:rPr>
              <w:t>2.5</w:t>
            </w:r>
          </w:p>
        </w:tc>
        <w:tc>
          <w:tcPr>
            <w:tcW w:w="3187" w:type="dxa"/>
            <w:gridSpan w:val="2"/>
            <w:shd w:val="clear" w:color="000000" w:fill="FFFFFF"/>
            <w:vAlign w:val="center"/>
          </w:tcPr>
          <w:p w14:paraId="5A54FED4">
            <w:pPr>
              <w:widowControl/>
              <w:jc w:val="left"/>
              <w:rPr>
                <w:color w:val="000000"/>
                <w:kern w:val="0"/>
                <w:sz w:val="22"/>
                <w:highlight w:val="none"/>
              </w:rPr>
            </w:pPr>
            <w:r>
              <w:rPr>
                <w:color w:val="000000"/>
                <w:kern w:val="0"/>
                <w:sz w:val="22"/>
                <w:highlight w:val="none"/>
              </w:rPr>
              <w:t>高点监控系统（高清全景摄像机）</w:t>
            </w:r>
          </w:p>
        </w:tc>
        <w:tc>
          <w:tcPr>
            <w:tcW w:w="2977" w:type="dxa"/>
            <w:shd w:val="clear" w:color="000000" w:fill="FFFFFF"/>
            <w:vAlign w:val="center"/>
          </w:tcPr>
          <w:p w14:paraId="09C0E83B">
            <w:pPr>
              <w:widowControl/>
              <w:jc w:val="center"/>
              <w:rPr>
                <w:color w:val="000000"/>
                <w:kern w:val="0"/>
                <w:sz w:val="22"/>
                <w:highlight w:val="none"/>
              </w:rPr>
            </w:pPr>
            <w:r>
              <w:rPr>
                <w:color w:val="000000"/>
                <w:kern w:val="0"/>
                <w:sz w:val="22"/>
                <w:highlight w:val="none"/>
              </w:rPr>
              <w:t>DS-2CD5026EFWD/E-IR5</w:t>
            </w:r>
          </w:p>
        </w:tc>
        <w:tc>
          <w:tcPr>
            <w:tcW w:w="709" w:type="dxa"/>
            <w:shd w:val="clear" w:color="000000" w:fill="FFFFFF"/>
            <w:vAlign w:val="center"/>
          </w:tcPr>
          <w:p w14:paraId="4899D169">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500388E7">
            <w:pPr>
              <w:widowControl/>
              <w:jc w:val="center"/>
              <w:rPr>
                <w:color w:val="000000"/>
                <w:kern w:val="0"/>
                <w:sz w:val="22"/>
                <w:highlight w:val="none"/>
              </w:rPr>
            </w:pPr>
            <w:r>
              <w:rPr>
                <w:color w:val="000000"/>
                <w:kern w:val="0"/>
                <w:sz w:val="22"/>
                <w:highlight w:val="none"/>
              </w:rPr>
              <w:t>2</w:t>
            </w:r>
          </w:p>
        </w:tc>
      </w:tr>
      <w:tr w14:paraId="750E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6E091E18">
            <w:pPr>
              <w:widowControl/>
              <w:jc w:val="center"/>
              <w:rPr>
                <w:color w:val="000000"/>
                <w:kern w:val="0"/>
                <w:sz w:val="22"/>
                <w:highlight w:val="none"/>
              </w:rPr>
            </w:pPr>
            <w:r>
              <w:rPr>
                <w:color w:val="000000"/>
                <w:kern w:val="0"/>
                <w:sz w:val="22"/>
                <w:highlight w:val="none"/>
              </w:rPr>
              <w:t>2.6</w:t>
            </w:r>
          </w:p>
        </w:tc>
        <w:tc>
          <w:tcPr>
            <w:tcW w:w="3187" w:type="dxa"/>
            <w:gridSpan w:val="2"/>
            <w:shd w:val="clear" w:color="000000" w:fill="FFFFFF"/>
            <w:vAlign w:val="center"/>
          </w:tcPr>
          <w:p w14:paraId="6ED46A8A">
            <w:pPr>
              <w:widowControl/>
              <w:jc w:val="left"/>
              <w:rPr>
                <w:color w:val="000000"/>
                <w:kern w:val="0"/>
                <w:sz w:val="22"/>
                <w:highlight w:val="none"/>
              </w:rPr>
            </w:pPr>
            <w:r>
              <w:rPr>
                <w:color w:val="000000"/>
                <w:kern w:val="0"/>
                <w:sz w:val="22"/>
                <w:highlight w:val="none"/>
              </w:rPr>
              <w:t>高点监控系统(球机)</w:t>
            </w:r>
          </w:p>
        </w:tc>
        <w:tc>
          <w:tcPr>
            <w:tcW w:w="2977" w:type="dxa"/>
            <w:shd w:val="clear" w:color="000000" w:fill="FFFFFF"/>
            <w:vAlign w:val="center"/>
          </w:tcPr>
          <w:p w14:paraId="660818A8">
            <w:pPr>
              <w:widowControl/>
              <w:jc w:val="center"/>
              <w:rPr>
                <w:color w:val="000000"/>
                <w:kern w:val="0"/>
                <w:sz w:val="22"/>
                <w:highlight w:val="none"/>
              </w:rPr>
            </w:pPr>
            <w:r>
              <w:rPr>
                <w:color w:val="000000"/>
                <w:kern w:val="0"/>
                <w:sz w:val="22"/>
                <w:highlight w:val="none"/>
              </w:rPr>
              <w:t>DS-2DF8231IW-A</w:t>
            </w:r>
          </w:p>
        </w:tc>
        <w:tc>
          <w:tcPr>
            <w:tcW w:w="709" w:type="dxa"/>
            <w:shd w:val="clear" w:color="000000" w:fill="FFFFFF"/>
            <w:vAlign w:val="center"/>
          </w:tcPr>
          <w:p w14:paraId="5FA6CDDB">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1D3428D2">
            <w:pPr>
              <w:widowControl/>
              <w:jc w:val="center"/>
              <w:rPr>
                <w:color w:val="000000"/>
                <w:kern w:val="0"/>
                <w:sz w:val="22"/>
                <w:highlight w:val="none"/>
              </w:rPr>
            </w:pPr>
            <w:r>
              <w:rPr>
                <w:color w:val="000000"/>
                <w:kern w:val="0"/>
                <w:sz w:val="22"/>
                <w:highlight w:val="none"/>
              </w:rPr>
              <w:t>2</w:t>
            </w:r>
          </w:p>
        </w:tc>
      </w:tr>
      <w:tr w14:paraId="2C0F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52F8D682">
            <w:pPr>
              <w:widowControl/>
              <w:jc w:val="center"/>
              <w:rPr>
                <w:color w:val="000000"/>
                <w:kern w:val="0"/>
                <w:sz w:val="22"/>
                <w:highlight w:val="none"/>
              </w:rPr>
            </w:pPr>
            <w:r>
              <w:rPr>
                <w:color w:val="000000"/>
                <w:kern w:val="0"/>
                <w:sz w:val="22"/>
                <w:highlight w:val="none"/>
              </w:rPr>
              <w:t>2.7</w:t>
            </w:r>
          </w:p>
        </w:tc>
        <w:tc>
          <w:tcPr>
            <w:tcW w:w="3187" w:type="dxa"/>
            <w:gridSpan w:val="2"/>
            <w:shd w:val="clear" w:color="000000" w:fill="FFFFFF"/>
            <w:vAlign w:val="center"/>
          </w:tcPr>
          <w:p w14:paraId="2F4A1D8F">
            <w:pPr>
              <w:widowControl/>
              <w:jc w:val="left"/>
              <w:rPr>
                <w:color w:val="000000"/>
                <w:kern w:val="0"/>
                <w:sz w:val="22"/>
                <w:highlight w:val="none"/>
              </w:rPr>
            </w:pPr>
            <w:r>
              <w:rPr>
                <w:rFonts w:hint="eastAsia"/>
                <w:color w:val="000000"/>
                <w:kern w:val="0"/>
                <w:sz w:val="22"/>
                <w:highlight w:val="none"/>
              </w:rPr>
              <w:t>高清网络摄像机</w:t>
            </w:r>
          </w:p>
        </w:tc>
        <w:tc>
          <w:tcPr>
            <w:tcW w:w="2977" w:type="dxa"/>
            <w:shd w:val="clear" w:color="000000" w:fill="FFFFFF"/>
            <w:vAlign w:val="center"/>
          </w:tcPr>
          <w:p w14:paraId="495CB2BE">
            <w:pPr>
              <w:widowControl/>
              <w:jc w:val="center"/>
              <w:rPr>
                <w:color w:val="000000"/>
                <w:kern w:val="0"/>
                <w:sz w:val="22"/>
                <w:highlight w:val="none"/>
              </w:rPr>
            </w:pPr>
            <w:r>
              <w:rPr>
                <w:color w:val="000000"/>
                <w:kern w:val="0"/>
                <w:sz w:val="22"/>
                <w:highlight w:val="none"/>
              </w:rPr>
              <w:t>DS-2CD704TJPF -FZ</w:t>
            </w:r>
          </w:p>
        </w:tc>
        <w:tc>
          <w:tcPr>
            <w:tcW w:w="709" w:type="dxa"/>
            <w:shd w:val="clear" w:color="000000" w:fill="FFFFFF"/>
            <w:vAlign w:val="center"/>
          </w:tcPr>
          <w:p w14:paraId="0441FAEB">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7243BF51">
            <w:pPr>
              <w:widowControl/>
              <w:jc w:val="center"/>
              <w:rPr>
                <w:color w:val="000000"/>
                <w:kern w:val="0"/>
                <w:sz w:val="22"/>
                <w:highlight w:val="none"/>
              </w:rPr>
            </w:pPr>
            <w:r>
              <w:rPr>
                <w:color w:val="000000"/>
                <w:kern w:val="0"/>
                <w:sz w:val="22"/>
                <w:highlight w:val="none"/>
              </w:rPr>
              <w:t>25</w:t>
            </w:r>
          </w:p>
        </w:tc>
      </w:tr>
      <w:tr w14:paraId="533E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696AAEB8">
            <w:pPr>
              <w:widowControl/>
              <w:jc w:val="center"/>
              <w:rPr>
                <w:b/>
                <w:bCs/>
                <w:color w:val="000000"/>
                <w:kern w:val="0"/>
                <w:sz w:val="22"/>
                <w:highlight w:val="none"/>
              </w:rPr>
            </w:pPr>
            <w:r>
              <w:rPr>
                <w:b/>
                <w:bCs/>
                <w:color w:val="000000"/>
                <w:kern w:val="0"/>
                <w:sz w:val="22"/>
                <w:highlight w:val="none"/>
              </w:rPr>
              <w:t>3</w:t>
            </w:r>
          </w:p>
        </w:tc>
        <w:tc>
          <w:tcPr>
            <w:tcW w:w="0" w:type="auto"/>
            <w:gridSpan w:val="5"/>
            <w:shd w:val="clear" w:color="000000" w:fill="FFFFFF"/>
            <w:vAlign w:val="center"/>
          </w:tcPr>
          <w:p w14:paraId="3CBDAA67">
            <w:pPr>
              <w:widowControl/>
              <w:jc w:val="left"/>
              <w:rPr>
                <w:b/>
                <w:bCs/>
                <w:color w:val="000000"/>
                <w:kern w:val="0"/>
                <w:sz w:val="22"/>
                <w:highlight w:val="none"/>
              </w:rPr>
            </w:pPr>
            <w:r>
              <w:rPr>
                <w:b/>
                <w:bCs/>
                <w:color w:val="000000"/>
                <w:kern w:val="0"/>
                <w:sz w:val="22"/>
                <w:highlight w:val="none"/>
              </w:rPr>
              <w:t>摄像机镜头</w:t>
            </w:r>
          </w:p>
        </w:tc>
      </w:tr>
      <w:tr w14:paraId="6C81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31BA1604">
            <w:pPr>
              <w:widowControl/>
              <w:jc w:val="center"/>
              <w:rPr>
                <w:color w:val="000000"/>
                <w:kern w:val="0"/>
                <w:sz w:val="22"/>
                <w:highlight w:val="none"/>
              </w:rPr>
            </w:pPr>
            <w:r>
              <w:rPr>
                <w:color w:val="000000"/>
                <w:kern w:val="0"/>
                <w:sz w:val="22"/>
                <w:highlight w:val="none"/>
              </w:rPr>
              <w:t>3.1</w:t>
            </w:r>
          </w:p>
        </w:tc>
        <w:tc>
          <w:tcPr>
            <w:tcW w:w="3187" w:type="dxa"/>
            <w:gridSpan w:val="2"/>
            <w:shd w:val="clear" w:color="000000" w:fill="FFFFFF"/>
            <w:vAlign w:val="center"/>
          </w:tcPr>
          <w:p w14:paraId="4AEB65E7">
            <w:pPr>
              <w:widowControl/>
              <w:jc w:val="left"/>
              <w:rPr>
                <w:color w:val="000000"/>
                <w:kern w:val="0"/>
                <w:sz w:val="22"/>
                <w:highlight w:val="none"/>
              </w:rPr>
            </w:pPr>
            <w:r>
              <w:rPr>
                <w:color w:val="000000"/>
                <w:kern w:val="0"/>
                <w:sz w:val="22"/>
                <w:highlight w:val="none"/>
              </w:rPr>
              <w:t>高清手动变焦镜头(用于微卡口摄像机 )</w:t>
            </w:r>
          </w:p>
        </w:tc>
        <w:tc>
          <w:tcPr>
            <w:tcW w:w="2977" w:type="dxa"/>
            <w:shd w:val="clear" w:color="000000" w:fill="FFFFFF"/>
            <w:vAlign w:val="center"/>
          </w:tcPr>
          <w:p w14:paraId="43B12F93">
            <w:pPr>
              <w:widowControl/>
              <w:jc w:val="center"/>
              <w:rPr>
                <w:color w:val="000000"/>
                <w:kern w:val="0"/>
                <w:sz w:val="22"/>
                <w:highlight w:val="none"/>
              </w:rPr>
            </w:pPr>
            <w:r>
              <w:rPr>
                <w:color w:val="000000"/>
                <w:kern w:val="0"/>
                <w:sz w:val="22"/>
                <w:highlight w:val="none"/>
              </w:rPr>
              <w:t>DV4x12.5SR4A-SAIL</w:t>
            </w:r>
          </w:p>
        </w:tc>
        <w:tc>
          <w:tcPr>
            <w:tcW w:w="709" w:type="dxa"/>
            <w:shd w:val="clear" w:color="000000" w:fill="FFFFFF"/>
            <w:vAlign w:val="center"/>
          </w:tcPr>
          <w:p w14:paraId="7F7B0060">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2CCA6B3F">
            <w:pPr>
              <w:widowControl/>
              <w:jc w:val="center"/>
              <w:rPr>
                <w:color w:val="000000"/>
                <w:kern w:val="0"/>
                <w:sz w:val="22"/>
                <w:highlight w:val="none"/>
              </w:rPr>
            </w:pPr>
            <w:r>
              <w:rPr>
                <w:color w:val="000000"/>
                <w:kern w:val="0"/>
                <w:sz w:val="22"/>
                <w:highlight w:val="none"/>
              </w:rPr>
              <w:t>125</w:t>
            </w:r>
          </w:p>
        </w:tc>
      </w:tr>
      <w:tr w14:paraId="3C0B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FC931A9">
            <w:pPr>
              <w:widowControl/>
              <w:jc w:val="center"/>
              <w:rPr>
                <w:color w:val="000000"/>
                <w:kern w:val="0"/>
                <w:sz w:val="22"/>
                <w:highlight w:val="none"/>
              </w:rPr>
            </w:pPr>
            <w:r>
              <w:rPr>
                <w:color w:val="000000"/>
                <w:kern w:val="0"/>
                <w:sz w:val="22"/>
                <w:highlight w:val="none"/>
              </w:rPr>
              <w:t>3.2</w:t>
            </w:r>
          </w:p>
        </w:tc>
        <w:tc>
          <w:tcPr>
            <w:tcW w:w="3187" w:type="dxa"/>
            <w:gridSpan w:val="2"/>
            <w:shd w:val="clear" w:color="000000" w:fill="FFFFFF"/>
            <w:vAlign w:val="center"/>
          </w:tcPr>
          <w:p w14:paraId="5482F13E">
            <w:pPr>
              <w:widowControl/>
              <w:jc w:val="left"/>
              <w:rPr>
                <w:color w:val="000000"/>
                <w:kern w:val="0"/>
                <w:sz w:val="22"/>
                <w:highlight w:val="none"/>
              </w:rPr>
            </w:pPr>
            <w:r>
              <w:rPr>
                <w:color w:val="000000"/>
                <w:kern w:val="0"/>
                <w:sz w:val="22"/>
                <w:highlight w:val="none"/>
              </w:rPr>
              <w:t>高清手动变焦镜头(用于路段非微卡口摄像机)</w:t>
            </w:r>
          </w:p>
        </w:tc>
        <w:tc>
          <w:tcPr>
            <w:tcW w:w="2977" w:type="dxa"/>
            <w:shd w:val="clear" w:color="000000" w:fill="FFFFFF"/>
            <w:vAlign w:val="center"/>
          </w:tcPr>
          <w:p w14:paraId="3E6DB0FD">
            <w:pPr>
              <w:widowControl/>
              <w:jc w:val="center"/>
              <w:rPr>
                <w:color w:val="000000"/>
                <w:kern w:val="0"/>
                <w:sz w:val="22"/>
                <w:highlight w:val="none"/>
              </w:rPr>
            </w:pPr>
            <w:r>
              <w:rPr>
                <w:color w:val="000000"/>
                <w:kern w:val="0"/>
                <w:sz w:val="22"/>
                <w:highlight w:val="none"/>
              </w:rPr>
              <w:t>DV3.8x4SR4A-SAIL</w:t>
            </w:r>
          </w:p>
        </w:tc>
        <w:tc>
          <w:tcPr>
            <w:tcW w:w="709" w:type="dxa"/>
            <w:shd w:val="clear" w:color="000000" w:fill="FFFFFF"/>
            <w:vAlign w:val="center"/>
          </w:tcPr>
          <w:p w14:paraId="112BAF1B">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53E96670">
            <w:pPr>
              <w:widowControl/>
              <w:jc w:val="center"/>
              <w:rPr>
                <w:color w:val="000000"/>
                <w:kern w:val="0"/>
                <w:sz w:val="22"/>
                <w:highlight w:val="none"/>
              </w:rPr>
            </w:pPr>
            <w:r>
              <w:rPr>
                <w:color w:val="000000"/>
                <w:kern w:val="0"/>
                <w:sz w:val="22"/>
                <w:highlight w:val="none"/>
              </w:rPr>
              <w:t>361</w:t>
            </w:r>
          </w:p>
        </w:tc>
      </w:tr>
      <w:tr w14:paraId="3E8E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B3A51C8">
            <w:pPr>
              <w:widowControl/>
              <w:jc w:val="center"/>
              <w:rPr>
                <w:b/>
                <w:bCs/>
                <w:color w:val="000000"/>
                <w:kern w:val="0"/>
                <w:sz w:val="22"/>
                <w:highlight w:val="none"/>
              </w:rPr>
            </w:pPr>
            <w:r>
              <w:rPr>
                <w:b/>
                <w:bCs/>
                <w:color w:val="000000"/>
                <w:kern w:val="0"/>
                <w:sz w:val="22"/>
                <w:highlight w:val="none"/>
              </w:rPr>
              <w:t>4</w:t>
            </w:r>
          </w:p>
        </w:tc>
        <w:tc>
          <w:tcPr>
            <w:tcW w:w="0" w:type="auto"/>
            <w:gridSpan w:val="5"/>
            <w:shd w:val="clear" w:color="000000" w:fill="FFFFFF"/>
            <w:vAlign w:val="center"/>
          </w:tcPr>
          <w:p w14:paraId="77602591">
            <w:pPr>
              <w:widowControl/>
              <w:jc w:val="left"/>
              <w:rPr>
                <w:b/>
                <w:bCs/>
                <w:color w:val="000000"/>
                <w:kern w:val="0"/>
                <w:sz w:val="22"/>
                <w:highlight w:val="none"/>
              </w:rPr>
            </w:pPr>
            <w:r>
              <w:rPr>
                <w:b/>
                <w:bCs/>
                <w:color w:val="000000"/>
                <w:kern w:val="0"/>
                <w:sz w:val="22"/>
                <w:highlight w:val="none"/>
              </w:rPr>
              <w:t>摄像机防护罩</w:t>
            </w:r>
          </w:p>
        </w:tc>
      </w:tr>
      <w:tr w14:paraId="025C3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6EDD0C6B">
            <w:pPr>
              <w:widowControl/>
              <w:jc w:val="center"/>
              <w:rPr>
                <w:color w:val="000000"/>
                <w:kern w:val="0"/>
                <w:sz w:val="22"/>
                <w:highlight w:val="none"/>
              </w:rPr>
            </w:pPr>
            <w:r>
              <w:rPr>
                <w:color w:val="000000"/>
                <w:kern w:val="0"/>
                <w:sz w:val="22"/>
                <w:highlight w:val="none"/>
              </w:rPr>
              <w:t>4.1</w:t>
            </w:r>
          </w:p>
        </w:tc>
        <w:tc>
          <w:tcPr>
            <w:tcW w:w="3187" w:type="dxa"/>
            <w:gridSpan w:val="2"/>
            <w:shd w:val="clear" w:color="000000" w:fill="FFFFFF"/>
            <w:vAlign w:val="center"/>
          </w:tcPr>
          <w:p w14:paraId="31324AED">
            <w:pPr>
              <w:widowControl/>
              <w:jc w:val="left"/>
              <w:rPr>
                <w:color w:val="000000"/>
                <w:kern w:val="0"/>
                <w:sz w:val="22"/>
                <w:highlight w:val="none"/>
              </w:rPr>
            </w:pPr>
            <w:r>
              <w:rPr>
                <w:color w:val="000000"/>
                <w:kern w:val="0"/>
                <w:sz w:val="22"/>
                <w:highlight w:val="none"/>
              </w:rPr>
              <w:t>枪式防护罩(用于微卡口摄像机)</w:t>
            </w:r>
          </w:p>
        </w:tc>
        <w:tc>
          <w:tcPr>
            <w:tcW w:w="2977" w:type="dxa"/>
            <w:shd w:val="clear" w:color="000000" w:fill="FFFFFF"/>
            <w:vAlign w:val="center"/>
          </w:tcPr>
          <w:p w14:paraId="717128DB">
            <w:pPr>
              <w:widowControl/>
              <w:jc w:val="center"/>
              <w:rPr>
                <w:color w:val="000000"/>
                <w:kern w:val="0"/>
                <w:sz w:val="22"/>
                <w:highlight w:val="none"/>
              </w:rPr>
            </w:pPr>
            <w:r>
              <w:rPr>
                <w:color w:val="000000"/>
                <w:kern w:val="0"/>
                <w:sz w:val="22"/>
                <w:highlight w:val="none"/>
              </w:rPr>
              <w:t>DSZ-1918HZ-TPJF</w:t>
            </w:r>
          </w:p>
        </w:tc>
        <w:tc>
          <w:tcPr>
            <w:tcW w:w="709" w:type="dxa"/>
            <w:shd w:val="clear" w:color="000000" w:fill="FFFFFF"/>
            <w:vAlign w:val="center"/>
          </w:tcPr>
          <w:p w14:paraId="1D3953B2">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3B4C8A23">
            <w:pPr>
              <w:widowControl/>
              <w:jc w:val="center"/>
              <w:rPr>
                <w:color w:val="000000"/>
                <w:kern w:val="0"/>
                <w:sz w:val="22"/>
                <w:highlight w:val="none"/>
              </w:rPr>
            </w:pPr>
            <w:r>
              <w:rPr>
                <w:color w:val="000000"/>
                <w:kern w:val="0"/>
                <w:sz w:val="22"/>
                <w:highlight w:val="none"/>
              </w:rPr>
              <w:t>125</w:t>
            </w:r>
          </w:p>
        </w:tc>
      </w:tr>
      <w:tr w14:paraId="59E29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78CC7C5">
            <w:pPr>
              <w:widowControl/>
              <w:jc w:val="center"/>
              <w:rPr>
                <w:color w:val="000000"/>
                <w:kern w:val="0"/>
                <w:sz w:val="22"/>
                <w:highlight w:val="none"/>
              </w:rPr>
            </w:pPr>
            <w:r>
              <w:rPr>
                <w:color w:val="000000"/>
                <w:kern w:val="0"/>
                <w:sz w:val="22"/>
                <w:highlight w:val="none"/>
              </w:rPr>
              <w:t>4.2</w:t>
            </w:r>
          </w:p>
        </w:tc>
        <w:tc>
          <w:tcPr>
            <w:tcW w:w="3187" w:type="dxa"/>
            <w:gridSpan w:val="2"/>
            <w:shd w:val="clear" w:color="000000" w:fill="FFFFFF"/>
            <w:vAlign w:val="center"/>
          </w:tcPr>
          <w:p w14:paraId="5ED8876A">
            <w:pPr>
              <w:widowControl/>
              <w:jc w:val="left"/>
              <w:rPr>
                <w:color w:val="000000"/>
                <w:kern w:val="0"/>
                <w:sz w:val="22"/>
                <w:highlight w:val="none"/>
              </w:rPr>
            </w:pPr>
            <w:r>
              <w:rPr>
                <w:color w:val="000000"/>
                <w:kern w:val="0"/>
                <w:sz w:val="22"/>
                <w:highlight w:val="none"/>
              </w:rPr>
              <w:t>7寸球形防护罩(用于路段非微卡口摄像机)</w:t>
            </w:r>
          </w:p>
        </w:tc>
        <w:tc>
          <w:tcPr>
            <w:tcW w:w="2977" w:type="dxa"/>
            <w:shd w:val="clear" w:color="000000" w:fill="FFFFFF"/>
            <w:vAlign w:val="center"/>
          </w:tcPr>
          <w:p w14:paraId="33CFDCDA">
            <w:pPr>
              <w:widowControl/>
              <w:jc w:val="center"/>
              <w:rPr>
                <w:color w:val="000000"/>
                <w:kern w:val="0"/>
                <w:sz w:val="22"/>
                <w:highlight w:val="none"/>
              </w:rPr>
            </w:pPr>
            <w:r>
              <w:rPr>
                <w:color w:val="000000"/>
                <w:kern w:val="0"/>
                <w:sz w:val="22"/>
                <w:highlight w:val="none"/>
              </w:rPr>
              <w:t>DSZ-1907BZ-TPJF</w:t>
            </w:r>
          </w:p>
        </w:tc>
        <w:tc>
          <w:tcPr>
            <w:tcW w:w="709" w:type="dxa"/>
            <w:shd w:val="clear" w:color="000000" w:fill="FFFFFF"/>
            <w:vAlign w:val="center"/>
          </w:tcPr>
          <w:p w14:paraId="48586DE3">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037C7D61">
            <w:pPr>
              <w:widowControl/>
              <w:jc w:val="center"/>
              <w:rPr>
                <w:color w:val="000000"/>
                <w:kern w:val="0"/>
                <w:sz w:val="22"/>
                <w:highlight w:val="none"/>
              </w:rPr>
            </w:pPr>
            <w:r>
              <w:rPr>
                <w:color w:val="000000"/>
                <w:kern w:val="0"/>
                <w:sz w:val="22"/>
                <w:highlight w:val="none"/>
              </w:rPr>
              <w:t>361</w:t>
            </w:r>
          </w:p>
        </w:tc>
      </w:tr>
      <w:tr w14:paraId="06963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641C5042">
            <w:pPr>
              <w:widowControl/>
              <w:jc w:val="center"/>
              <w:rPr>
                <w:b/>
                <w:bCs/>
                <w:color w:val="000000"/>
                <w:kern w:val="0"/>
                <w:sz w:val="22"/>
                <w:highlight w:val="none"/>
              </w:rPr>
            </w:pPr>
            <w:r>
              <w:rPr>
                <w:b/>
                <w:bCs/>
                <w:color w:val="000000"/>
                <w:kern w:val="0"/>
                <w:sz w:val="22"/>
                <w:highlight w:val="none"/>
              </w:rPr>
              <w:t>5</w:t>
            </w:r>
          </w:p>
        </w:tc>
        <w:tc>
          <w:tcPr>
            <w:tcW w:w="0" w:type="auto"/>
            <w:gridSpan w:val="5"/>
            <w:shd w:val="clear" w:color="000000" w:fill="FFFFFF"/>
            <w:vAlign w:val="center"/>
          </w:tcPr>
          <w:p w14:paraId="2D3FE08D">
            <w:pPr>
              <w:widowControl/>
              <w:jc w:val="left"/>
              <w:rPr>
                <w:b/>
                <w:bCs/>
                <w:color w:val="000000"/>
                <w:kern w:val="0"/>
                <w:sz w:val="22"/>
                <w:highlight w:val="none"/>
              </w:rPr>
            </w:pPr>
            <w:r>
              <w:rPr>
                <w:b/>
                <w:bCs/>
                <w:color w:val="000000"/>
                <w:kern w:val="0"/>
                <w:sz w:val="22"/>
                <w:highlight w:val="none"/>
              </w:rPr>
              <w:t>抱杆机箱及配件</w:t>
            </w:r>
          </w:p>
        </w:tc>
      </w:tr>
      <w:tr w14:paraId="6F7E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4C92DBA3">
            <w:pPr>
              <w:widowControl/>
              <w:jc w:val="center"/>
              <w:rPr>
                <w:color w:val="000000"/>
                <w:kern w:val="0"/>
                <w:sz w:val="22"/>
                <w:highlight w:val="none"/>
              </w:rPr>
            </w:pPr>
            <w:r>
              <w:rPr>
                <w:color w:val="000000"/>
                <w:kern w:val="0"/>
                <w:sz w:val="22"/>
                <w:highlight w:val="none"/>
              </w:rPr>
              <w:t>5.1</w:t>
            </w:r>
          </w:p>
        </w:tc>
        <w:tc>
          <w:tcPr>
            <w:tcW w:w="3187" w:type="dxa"/>
            <w:gridSpan w:val="2"/>
            <w:shd w:val="clear" w:color="000000" w:fill="FFFFFF"/>
            <w:vAlign w:val="center"/>
          </w:tcPr>
          <w:p w14:paraId="3900DB60">
            <w:pPr>
              <w:widowControl/>
              <w:jc w:val="left"/>
              <w:rPr>
                <w:color w:val="000000"/>
                <w:kern w:val="0"/>
                <w:sz w:val="22"/>
                <w:highlight w:val="none"/>
              </w:rPr>
            </w:pPr>
            <w:r>
              <w:rPr>
                <w:color w:val="000000"/>
                <w:kern w:val="0"/>
                <w:sz w:val="22"/>
                <w:highlight w:val="none"/>
              </w:rPr>
              <w:t>室外分线箱</w:t>
            </w:r>
          </w:p>
        </w:tc>
        <w:tc>
          <w:tcPr>
            <w:tcW w:w="2977" w:type="dxa"/>
            <w:shd w:val="clear" w:color="000000" w:fill="FFFFFF"/>
            <w:vAlign w:val="center"/>
          </w:tcPr>
          <w:p w14:paraId="70ECBF93">
            <w:pPr>
              <w:widowControl/>
              <w:jc w:val="center"/>
              <w:rPr>
                <w:color w:val="000000"/>
                <w:kern w:val="0"/>
                <w:sz w:val="22"/>
                <w:highlight w:val="none"/>
              </w:rPr>
            </w:pPr>
            <w:r>
              <w:rPr>
                <w:color w:val="000000"/>
                <w:kern w:val="0"/>
                <w:sz w:val="22"/>
                <w:highlight w:val="none"/>
              </w:rPr>
              <w:t>定制</w:t>
            </w:r>
          </w:p>
        </w:tc>
        <w:tc>
          <w:tcPr>
            <w:tcW w:w="709" w:type="dxa"/>
            <w:shd w:val="clear" w:color="000000" w:fill="FFFFFF"/>
            <w:vAlign w:val="center"/>
          </w:tcPr>
          <w:p w14:paraId="457E521A">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1A209846">
            <w:pPr>
              <w:widowControl/>
              <w:jc w:val="center"/>
              <w:rPr>
                <w:color w:val="000000"/>
                <w:kern w:val="0"/>
                <w:sz w:val="22"/>
                <w:highlight w:val="none"/>
              </w:rPr>
            </w:pPr>
            <w:r>
              <w:rPr>
                <w:color w:val="000000"/>
                <w:kern w:val="0"/>
                <w:sz w:val="22"/>
                <w:highlight w:val="none"/>
              </w:rPr>
              <w:t>365</w:t>
            </w:r>
          </w:p>
        </w:tc>
      </w:tr>
      <w:tr w14:paraId="0958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6034F652">
            <w:pPr>
              <w:widowControl/>
              <w:jc w:val="center"/>
              <w:rPr>
                <w:color w:val="000000"/>
                <w:kern w:val="0"/>
                <w:sz w:val="22"/>
                <w:highlight w:val="none"/>
              </w:rPr>
            </w:pPr>
            <w:r>
              <w:rPr>
                <w:color w:val="000000"/>
                <w:kern w:val="0"/>
                <w:sz w:val="22"/>
                <w:highlight w:val="none"/>
              </w:rPr>
              <w:t>5.2</w:t>
            </w:r>
          </w:p>
        </w:tc>
        <w:tc>
          <w:tcPr>
            <w:tcW w:w="3187" w:type="dxa"/>
            <w:gridSpan w:val="2"/>
            <w:shd w:val="clear" w:color="000000" w:fill="FFFFFF"/>
            <w:vAlign w:val="center"/>
          </w:tcPr>
          <w:p w14:paraId="6ADA9AA7">
            <w:pPr>
              <w:widowControl/>
              <w:jc w:val="left"/>
              <w:rPr>
                <w:color w:val="000000"/>
                <w:kern w:val="0"/>
                <w:sz w:val="22"/>
                <w:highlight w:val="none"/>
              </w:rPr>
            </w:pPr>
            <w:r>
              <w:rPr>
                <w:color w:val="000000"/>
                <w:kern w:val="0"/>
                <w:sz w:val="22"/>
                <w:highlight w:val="none"/>
              </w:rPr>
              <w:t>PDU电源插座(放于室外分线箱内)</w:t>
            </w:r>
          </w:p>
        </w:tc>
        <w:tc>
          <w:tcPr>
            <w:tcW w:w="2977" w:type="dxa"/>
            <w:shd w:val="clear" w:color="000000" w:fill="FFFFFF"/>
            <w:vAlign w:val="center"/>
          </w:tcPr>
          <w:p w14:paraId="5F6BE3F7">
            <w:pPr>
              <w:widowControl/>
              <w:jc w:val="center"/>
              <w:rPr>
                <w:color w:val="000000"/>
                <w:kern w:val="0"/>
                <w:sz w:val="22"/>
                <w:highlight w:val="none"/>
              </w:rPr>
            </w:pPr>
            <w:r>
              <w:rPr>
                <w:color w:val="000000"/>
                <w:kern w:val="0"/>
                <w:sz w:val="22"/>
                <w:highlight w:val="none"/>
              </w:rPr>
              <w:t>AUE2220W1-TJBHO5AVGPMB</w:t>
            </w:r>
          </w:p>
        </w:tc>
        <w:tc>
          <w:tcPr>
            <w:tcW w:w="709" w:type="dxa"/>
            <w:shd w:val="clear" w:color="000000" w:fill="FFFFFF"/>
            <w:vAlign w:val="center"/>
          </w:tcPr>
          <w:p w14:paraId="491558C4">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52FB2F78">
            <w:pPr>
              <w:widowControl/>
              <w:jc w:val="center"/>
              <w:rPr>
                <w:color w:val="000000"/>
                <w:kern w:val="0"/>
                <w:sz w:val="22"/>
                <w:highlight w:val="none"/>
              </w:rPr>
            </w:pPr>
            <w:r>
              <w:rPr>
                <w:color w:val="000000"/>
                <w:kern w:val="0"/>
                <w:sz w:val="22"/>
                <w:highlight w:val="none"/>
              </w:rPr>
              <w:t>365</w:t>
            </w:r>
          </w:p>
        </w:tc>
      </w:tr>
      <w:tr w14:paraId="4CE46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32B17DCF">
            <w:pPr>
              <w:widowControl/>
              <w:jc w:val="center"/>
              <w:rPr>
                <w:color w:val="000000"/>
                <w:kern w:val="0"/>
                <w:sz w:val="22"/>
                <w:highlight w:val="none"/>
              </w:rPr>
            </w:pPr>
            <w:r>
              <w:rPr>
                <w:color w:val="000000"/>
                <w:kern w:val="0"/>
                <w:sz w:val="22"/>
                <w:highlight w:val="none"/>
              </w:rPr>
              <w:t>5.3</w:t>
            </w:r>
          </w:p>
        </w:tc>
        <w:tc>
          <w:tcPr>
            <w:tcW w:w="3187" w:type="dxa"/>
            <w:gridSpan w:val="2"/>
            <w:shd w:val="clear" w:color="000000" w:fill="FFFFFF"/>
            <w:vAlign w:val="center"/>
          </w:tcPr>
          <w:p w14:paraId="5E34348E">
            <w:pPr>
              <w:widowControl/>
              <w:jc w:val="left"/>
              <w:rPr>
                <w:color w:val="000000"/>
                <w:kern w:val="0"/>
                <w:sz w:val="22"/>
                <w:highlight w:val="none"/>
              </w:rPr>
            </w:pPr>
            <w:r>
              <w:rPr>
                <w:color w:val="000000"/>
                <w:kern w:val="0"/>
                <w:sz w:val="22"/>
                <w:highlight w:val="none"/>
              </w:rPr>
              <w:t>电源防雷</w:t>
            </w:r>
          </w:p>
        </w:tc>
        <w:tc>
          <w:tcPr>
            <w:tcW w:w="2977" w:type="dxa"/>
            <w:shd w:val="clear" w:color="000000" w:fill="FFFFFF"/>
            <w:vAlign w:val="center"/>
          </w:tcPr>
          <w:p w14:paraId="13D11AEF">
            <w:pPr>
              <w:widowControl/>
              <w:jc w:val="center"/>
              <w:rPr>
                <w:color w:val="000000"/>
                <w:kern w:val="0"/>
                <w:sz w:val="22"/>
                <w:highlight w:val="none"/>
              </w:rPr>
            </w:pPr>
            <w:r>
              <w:rPr>
                <w:color w:val="000000"/>
                <w:kern w:val="0"/>
                <w:sz w:val="22"/>
                <w:highlight w:val="none"/>
              </w:rPr>
              <w:t>WLDM8-4KA</w:t>
            </w:r>
          </w:p>
        </w:tc>
        <w:tc>
          <w:tcPr>
            <w:tcW w:w="709" w:type="dxa"/>
            <w:shd w:val="clear" w:color="000000" w:fill="FFFFFF"/>
            <w:vAlign w:val="center"/>
          </w:tcPr>
          <w:p w14:paraId="5802F327">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0436FF15">
            <w:pPr>
              <w:widowControl/>
              <w:jc w:val="center"/>
              <w:rPr>
                <w:color w:val="000000"/>
                <w:kern w:val="0"/>
                <w:sz w:val="22"/>
                <w:highlight w:val="none"/>
              </w:rPr>
            </w:pPr>
            <w:r>
              <w:rPr>
                <w:color w:val="000000"/>
                <w:kern w:val="0"/>
                <w:sz w:val="22"/>
                <w:highlight w:val="none"/>
              </w:rPr>
              <w:t>365</w:t>
            </w:r>
          </w:p>
        </w:tc>
      </w:tr>
      <w:tr w14:paraId="026E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restart"/>
            <w:shd w:val="clear" w:color="000000" w:fill="FFFFFF"/>
            <w:vAlign w:val="center"/>
          </w:tcPr>
          <w:p w14:paraId="719A0A96">
            <w:pPr>
              <w:widowControl/>
              <w:jc w:val="center"/>
              <w:rPr>
                <w:color w:val="000000"/>
                <w:kern w:val="0"/>
                <w:sz w:val="22"/>
                <w:highlight w:val="none"/>
              </w:rPr>
            </w:pPr>
            <w:r>
              <w:rPr>
                <w:color w:val="000000"/>
                <w:kern w:val="0"/>
                <w:sz w:val="22"/>
                <w:highlight w:val="none"/>
              </w:rPr>
              <w:t>5.4</w:t>
            </w:r>
          </w:p>
        </w:tc>
        <w:tc>
          <w:tcPr>
            <w:tcW w:w="1628" w:type="dxa"/>
            <w:vMerge w:val="restart"/>
            <w:shd w:val="clear" w:color="000000" w:fill="FFFFFF"/>
            <w:vAlign w:val="center"/>
          </w:tcPr>
          <w:p w14:paraId="3D950910">
            <w:pPr>
              <w:widowControl/>
              <w:jc w:val="left"/>
              <w:rPr>
                <w:color w:val="000000"/>
                <w:kern w:val="0"/>
                <w:sz w:val="22"/>
                <w:highlight w:val="none"/>
              </w:rPr>
            </w:pPr>
            <w:r>
              <w:rPr>
                <w:color w:val="000000"/>
                <w:kern w:val="0"/>
                <w:sz w:val="22"/>
                <w:highlight w:val="none"/>
              </w:rPr>
              <w:t>前端存储</w:t>
            </w:r>
          </w:p>
        </w:tc>
        <w:tc>
          <w:tcPr>
            <w:tcW w:w="1559" w:type="dxa"/>
            <w:shd w:val="clear" w:color="000000" w:fill="FFFFFF"/>
            <w:vAlign w:val="center"/>
          </w:tcPr>
          <w:p w14:paraId="19898C4C">
            <w:pPr>
              <w:widowControl/>
              <w:jc w:val="left"/>
              <w:rPr>
                <w:color w:val="000000"/>
                <w:kern w:val="0"/>
                <w:sz w:val="22"/>
                <w:highlight w:val="none"/>
              </w:rPr>
            </w:pPr>
            <w:r>
              <w:rPr>
                <w:color w:val="000000"/>
                <w:kern w:val="0"/>
                <w:sz w:val="22"/>
                <w:highlight w:val="none"/>
              </w:rPr>
              <w:t>硬盘录像机</w:t>
            </w:r>
          </w:p>
        </w:tc>
        <w:tc>
          <w:tcPr>
            <w:tcW w:w="2977" w:type="dxa"/>
            <w:shd w:val="clear" w:color="000000" w:fill="FFFFFF"/>
            <w:vAlign w:val="center"/>
          </w:tcPr>
          <w:p w14:paraId="4CD7FF26">
            <w:pPr>
              <w:widowControl/>
              <w:jc w:val="center"/>
              <w:rPr>
                <w:color w:val="000000"/>
                <w:kern w:val="0"/>
                <w:sz w:val="22"/>
                <w:highlight w:val="none"/>
              </w:rPr>
            </w:pPr>
            <w:r>
              <w:rPr>
                <w:color w:val="000000"/>
                <w:kern w:val="0"/>
                <w:sz w:val="22"/>
                <w:highlight w:val="none"/>
              </w:rPr>
              <w:t>DS-7804HQH-SH/RTG</w:t>
            </w:r>
          </w:p>
        </w:tc>
        <w:tc>
          <w:tcPr>
            <w:tcW w:w="709" w:type="dxa"/>
            <w:shd w:val="clear" w:color="000000" w:fill="FFFFFF"/>
            <w:vAlign w:val="center"/>
          </w:tcPr>
          <w:p w14:paraId="15642FD8">
            <w:pPr>
              <w:widowControl/>
              <w:jc w:val="center"/>
              <w:rPr>
                <w:color w:val="000000"/>
                <w:kern w:val="0"/>
                <w:sz w:val="22"/>
                <w:highlight w:val="none"/>
              </w:rPr>
            </w:pPr>
            <w:r>
              <w:rPr>
                <w:color w:val="000000"/>
                <w:kern w:val="0"/>
                <w:sz w:val="22"/>
                <w:highlight w:val="none"/>
              </w:rPr>
              <w:t>块</w:t>
            </w:r>
          </w:p>
        </w:tc>
        <w:tc>
          <w:tcPr>
            <w:tcW w:w="646" w:type="dxa"/>
            <w:shd w:val="clear" w:color="000000" w:fill="FFFFFF"/>
            <w:vAlign w:val="center"/>
          </w:tcPr>
          <w:p w14:paraId="3F8C3F8B">
            <w:pPr>
              <w:widowControl/>
              <w:jc w:val="center"/>
              <w:rPr>
                <w:color w:val="000000"/>
                <w:kern w:val="0"/>
                <w:sz w:val="22"/>
                <w:highlight w:val="none"/>
              </w:rPr>
            </w:pPr>
            <w:r>
              <w:rPr>
                <w:color w:val="000000"/>
                <w:kern w:val="0"/>
                <w:sz w:val="22"/>
                <w:highlight w:val="none"/>
              </w:rPr>
              <w:t>365</w:t>
            </w:r>
          </w:p>
        </w:tc>
      </w:tr>
      <w:tr w14:paraId="097D7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68571011">
            <w:pPr>
              <w:widowControl/>
              <w:jc w:val="left"/>
              <w:rPr>
                <w:color w:val="000000"/>
                <w:kern w:val="0"/>
                <w:sz w:val="22"/>
                <w:highlight w:val="none"/>
              </w:rPr>
            </w:pPr>
          </w:p>
        </w:tc>
        <w:tc>
          <w:tcPr>
            <w:tcW w:w="1628" w:type="dxa"/>
            <w:vMerge w:val="continue"/>
            <w:vAlign w:val="center"/>
          </w:tcPr>
          <w:p w14:paraId="6F103C4F">
            <w:pPr>
              <w:widowControl/>
              <w:jc w:val="left"/>
              <w:rPr>
                <w:color w:val="000000"/>
                <w:kern w:val="0"/>
                <w:sz w:val="22"/>
                <w:highlight w:val="none"/>
              </w:rPr>
            </w:pPr>
          </w:p>
        </w:tc>
        <w:tc>
          <w:tcPr>
            <w:tcW w:w="1559" w:type="dxa"/>
            <w:shd w:val="clear" w:color="000000" w:fill="FFFFFF"/>
            <w:vAlign w:val="center"/>
          </w:tcPr>
          <w:p w14:paraId="5CE69543">
            <w:pPr>
              <w:widowControl/>
              <w:jc w:val="left"/>
              <w:rPr>
                <w:color w:val="000000"/>
                <w:kern w:val="0"/>
                <w:sz w:val="22"/>
                <w:highlight w:val="none"/>
              </w:rPr>
            </w:pPr>
            <w:r>
              <w:rPr>
                <w:color w:val="000000"/>
                <w:kern w:val="0"/>
                <w:sz w:val="22"/>
                <w:highlight w:val="none"/>
              </w:rPr>
              <w:t>2T硬盘</w:t>
            </w:r>
          </w:p>
        </w:tc>
        <w:tc>
          <w:tcPr>
            <w:tcW w:w="2977" w:type="dxa"/>
            <w:shd w:val="clear" w:color="000000" w:fill="FFFFFF"/>
            <w:vAlign w:val="center"/>
          </w:tcPr>
          <w:p w14:paraId="14F92134">
            <w:pPr>
              <w:widowControl/>
              <w:jc w:val="center"/>
              <w:rPr>
                <w:color w:val="000000"/>
                <w:kern w:val="0"/>
                <w:sz w:val="22"/>
                <w:highlight w:val="none"/>
              </w:rPr>
            </w:pPr>
            <w:r>
              <w:rPr>
                <w:color w:val="000000"/>
                <w:kern w:val="0"/>
                <w:sz w:val="22"/>
                <w:highlight w:val="none"/>
              </w:rPr>
              <w:t>ST2000VX000</w:t>
            </w:r>
          </w:p>
        </w:tc>
        <w:tc>
          <w:tcPr>
            <w:tcW w:w="709" w:type="dxa"/>
            <w:shd w:val="clear" w:color="000000" w:fill="FFFFFF"/>
            <w:vAlign w:val="center"/>
          </w:tcPr>
          <w:p w14:paraId="347B9704">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045D471A">
            <w:pPr>
              <w:widowControl/>
              <w:jc w:val="center"/>
              <w:rPr>
                <w:color w:val="000000"/>
                <w:kern w:val="0"/>
                <w:sz w:val="22"/>
                <w:highlight w:val="none"/>
              </w:rPr>
            </w:pPr>
            <w:r>
              <w:rPr>
                <w:color w:val="000000"/>
                <w:kern w:val="0"/>
                <w:sz w:val="22"/>
                <w:highlight w:val="none"/>
              </w:rPr>
              <w:t>365</w:t>
            </w:r>
          </w:p>
        </w:tc>
      </w:tr>
      <w:tr w14:paraId="035F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C71AF42">
            <w:pPr>
              <w:widowControl/>
              <w:jc w:val="center"/>
              <w:rPr>
                <w:color w:val="000000"/>
                <w:kern w:val="0"/>
                <w:sz w:val="22"/>
                <w:highlight w:val="none"/>
              </w:rPr>
            </w:pPr>
            <w:r>
              <w:rPr>
                <w:color w:val="000000"/>
                <w:kern w:val="0"/>
                <w:sz w:val="22"/>
                <w:highlight w:val="none"/>
              </w:rPr>
              <w:t>5.5</w:t>
            </w:r>
          </w:p>
        </w:tc>
        <w:tc>
          <w:tcPr>
            <w:tcW w:w="3187" w:type="dxa"/>
            <w:gridSpan w:val="2"/>
            <w:shd w:val="clear" w:color="000000" w:fill="FFFFFF"/>
            <w:vAlign w:val="center"/>
          </w:tcPr>
          <w:p w14:paraId="205D479A">
            <w:pPr>
              <w:widowControl/>
              <w:jc w:val="left"/>
              <w:rPr>
                <w:color w:val="000000"/>
                <w:kern w:val="0"/>
                <w:sz w:val="22"/>
                <w:highlight w:val="none"/>
              </w:rPr>
            </w:pPr>
            <w:r>
              <w:rPr>
                <w:color w:val="000000"/>
                <w:kern w:val="0"/>
                <w:sz w:val="22"/>
                <w:highlight w:val="none"/>
              </w:rPr>
              <w:t>工业交换机</w:t>
            </w:r>
          </w:p>
        </w:tc>
        <w:tc>
          <w:tcPr>
            <w:tcW w:w="2977" w:type="dxa"/>
            <w:shd w:val="clear" w:color="000000" w:fill="FFFFFF"/>
            <w:vAlign w:val="center"/>
          </w:tcPr>
          <w:p w14:paraId="3590A381">
            <w:pPr>
              <w:widowControl/>
              <w:jc w:val="center"/>
              <w:rPr>
                <w:color w:val="000000"/>
                <w:kern w:val="0"/>
                <w:sz w:val="22"/>
                <w:highlight w:val="none"/>
              </w:rPr>
            </w:pPr>
            <w:r>
              <w:rPr>
                <w:color w:val="000000"/>
                <w:kern w:val="0"/>
                <w:sz w:val="22"/>
                <w:highlight w:val="none"/>
              </w:rPr>
              <w:t>GazelleS1010i-4FX-6FE-S1-DCW48</w:t>
            </w:r>
          </w:p>
        </w:tc>
        <w:tc>
          <w:tcPr>
            <w:tcW w:w="709" w:type="dxa"/>
            <w:shd w:val="clear" w:color="000000" w:fill="FFFFFF"/>
            <w:vAlign w:val="center"/>
          </w:tcPr>
          <w:p w14:paraId="08DD6D6C">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31BB8EBE">
            <w:pPr>
              <w:widowControl/>
              <w:jc w:val="center"/>
              <w:rPr>
                <w:color w:val="000000"/>
                <w:kern w:val="0"/>
                <w:sz w:val="22"/>
                <w:highlight w:val="none"/>
              </w:rPr>
            </w:pPr>
            <w:r>
              <w:rPr>
                <w:color w:val="000000"/>
                <w:kern w:val="0"/>
                <w:sz w:val="22"/>
                <w:highlight w:val="none"/>
              </w:rPr>
              <w:t>365</w:t>
            </w:r>
          </w:p>
        </w:tc>
      </w:tr>
      <w:tr w14:paraId="440C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11051D01">
            <w:pPr>
              <w:widowControl/>
              <w:jc w:val="center"/>
              <w:rPr>
                <w:color w:val="000000"/>
                <w:kern w:val="0"/>
                <w:sz w:val="22"/>
                <w:highlight w:val="none"/>
              </w:rPr>
            </w:pPr>
            <w:r>
              <w:rPr>
                <w:color w:val="000000"/>
                <w:kern w:val="0"/>
                <w:sz w:val="22"/>
                <w:highlight w:val="none"/>
              </w:rPr>
              <w:t>5.6</w:t>
            </w:r>
          </w:p>
        </w:tc>
        <w:tc>
          <w:tcPr>
            <w:tcW w:w="3187" w:type="dxa"/>
            <w:gridSpan w:val="2"/>
            <w:shd w:val="clear" w:color="000000" w:fill="FFFFFF"/>
            <w:vAlign w:val="center"/>
          </w:tcPr>
          <w:p w14:paraId="0C3669A9">
            <w:pPr>
              <w:widowControl/>
              <w:jc w:val="left"/>
              <w:rPr>
                <w:color w:val="000000"/>
                <w:kern w:val="0"/>
                <w:sz w:val="22"/>
                <w:highlight w:val="none"/>
              </w:rPr>
            </w:pPr>
            <w:r>
              <w:rPr>
                <w:color w:val="000000"/>
                <w:kern w:val="0"/>
                <w:sz w:val="22"/>
                <w:highlight w:val="none"/>
              </w:rPr>
              <w:t>监控标识牌</w:t>
            </w:r>
          </w:p>
        </w:tc>
        <w:tc>
          <w:tcPr>
            <w:tcW w:w="2977" w:type="dxa"/>
            <w:shd w:val="clear" w:color="000000" w:fill="FFFFFF"/>
            <w:vAlign w:val="center"/>
          </w:tcPr>
          <w:p w14:paraId="1E803803">
            <w:pPr>
              <w:widowControl/>
              <w:jc w:val="center"/>
              <w:rPr>
                <w:color w:val="000000"/>
                <w:kern w:val="0"/>
                <w:sz w:val="22"/>
                <w:highlight w:val="none"/>
              </w:rPr>
            </w:pPr>
            <w:r>
              <w:rPr>
                <w:color w:val="000000"/>
                <w:kern w:val="0"/>
                <w:sz w:val="22"/>
                <w:highlight w:val="none"/>
              </w:rPr>
              <w:t>定制</w:t>
            </w:r>
          </w:p>
        </w:tc>
        <w:tc>
          <w:tcPr>
            <w:tcW w:w="709" w:type="dxa"/>
            <w:shd w:val="clear" w:color="000000" w:fill="FFFFFF"/>
            <w:vAlign w:val="center"/>
          </w:tcPr>
          <w:p w14:paraId="37F186BC">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47CAA440">
            <w:pPr>
              <w:widowControl/>
              <w:jc w:val="center"/>
              <w:rPr>
                <w:color w:val="000000"/>
                <w:kern w:val="0"/>
                <w:sz w:val="22"/>
                <w:highlight w:val="none"/>
              </w:rPr>
            </w:pPr>
            <w:r>
              <w:rPr>
                <w:color w:val="000000"/>
                <w:kern w:val="0"/>
                <w:sz w:val="22"/>
                <w:highlight w:val="none"/>
              </w:rPr>
              <w:t>170</w:t>
            </w:r>
          </w:p>
        </w:tc>
      </w:tr>
      <w:tr w14:paraId="2BF9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1DC72289">
            <w:pPr>
              <w:widowControl/>
              <w:jc w:val="center"/>
              <w:rPr>
                <w:b/>
                <w:bCs/>
                <w:color w:val="000000"/>
                <w:kern w:val="0"/>
                <w:sz w:val="22"/>
                <w:highlight w:val="none"/>
              </w:rPr>
            </w:pPr>
            <w:r>
              <w:rPr>
                <w:b/>
                <w:bCs/>
                <w:color w:val="000000"/>
                <w:kern w:val="0"/>
                <w:sz w:val="22"/>
                <w:highlight w:val="none"/>
              </w:rPr>
              <w:t>（二）</w:t>
            </w:r>
          </w:p>
        </w:tc>
        <w:tc>
          <w:tcPr>
            <w:tcW w:w="0" w:type="auto"/>
            <w:gridSpan w:val="5"/>
            <w:shd w:val="clear" w:color="000000" w:fill="FFFFFF"/>
            <w:vAlign w:val="center"/>
          </w:tcPr>
          <w:p w14:paraId="7B84AD4B">
            <w:pPr>
              <w:widowControl/>
              <w:jc w:val="left"/>
              <w:rPr>
                <w:b/>
                <w:bCs/>
                <w:color w:val="000000"/>
                <w:kern w:val="0"/>
                <w:sz w:val="22"/>
                <w:highlight w:val="none"/>
              </w:rPr>
            </w:pPr>
            <w:r>
              <w:rPr>
                <w:b/>
                <w:bCs/>
                <w:color w:val="000000"/>
                <w:kern w:val="0"/>
                <w:sz w:val="22"/>
                <w:highlight w:val="none"/>
              </w:rPr>
              <w:t>加装监控设备运维</w:t>
            </w:r>
          </w:p>
        </w:tc>
      </w:tr>
      <w:tr w14:paraId="3CF2F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E690552">
            <w:pPr>
              <w:widowControl/>
              <w:jc w:val="center"/>
              <w:rPr>
                <w:b/>
                <w:bCs/>
                <w:color w:val="000000"/>
                <w:kern w:val="0"/>
                <w:sz w:val="22"/>
                <w:highlight w:val="none"/>
              </w:rPr>
            </w:pPr>
            <w:r>
              <w:rPr>
                <w:b/>
                <w:bCs/>
                <w:color w:val="000000"/>
                <w:kern w:val="0"/>
                <w:sz w:val="22"/>
                <w:highlight w:val="none"/>
              </w:rPr>
              <w:t>1</w:t>
            </w:r>
          </w:p>
        </w:tc>
        <w:tc>
          <w:tcPr>
            <w:tcW w:w="0" w:type="auto"/>
            <w:gridSpan w:val="5"/>
            <w:shd w:val="clear" w:color="000000" w:fill="FFFFFF"/>
            <w:vAlign w:val="center"/>
          </w:tcPr>
          <w:p w14:paraId="6DFDCEC9">
            <w:pPr>
              <w:widowControl/>
              <w:jc w:val="left"/>
              <w:rPr>
                <w:b/>
                <w:bCs/>
                <w:color w:val="000000"/>
                <w:kern w:val="0"/>
                <w:sz w:val="22"/>
                <w:highlight w:val="none"/>
              </w:rPr>
            </w:pPr>
            <w:r>
              <w:rPr>
                <w:b/>
                <w:bCs/>
                <w:color w:val="000000"/>
                <w:kern w:val="0"/>
                <w:sz w:val="22"/>
                <w:highlight w:val="none"/>
              </w:rPr>
              <w:t>利旧加装设备</w:t>
            </w:r>
          </w:p>
        </w:tc>
      </w:tr>
      <w:tr w14:paraId="71B3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500C9993">
            <w:pPr>
              <w:widowControl/>
              <w:jc w:val="center"/>
              <w:rPr>
                <w:b/>
                <w:bCs/>
                <w:color w:val="000000"/>
                <w:kern w:val="0"/>
                <w:sz w:val="22"/>
                <w:highlight w:val="none"/>
              </w:rPr>
            </w:pPr>
            <w:r>
              <w:rPr>
                <w:b/>
                <w:bCs/>
                <w:color w:val="000000"/>
                <w:kern w:val="0"/>
                <w:sz w:val="22"/>
                <w:highlight w:val="none"/>
              </w:rPr>
              <w:t>1.1</w:t>
            </w:r>
          </w:p>
        </w:tc>
        <w:tc>
          <w:tcPr>
            <w:tcW w:w="0" w:type="auto"/>
            <w:gridSpan w:val="5"/>
            <w:shd w:val="clear" w:color="000000" w:fill="FFFFFF"/>
            <w:vAlign w:val="center"/>
          </w:tcPr>
          <w:p w14:paraId="0E6C7439">
            <w:pPr>
              <w:widowControl/>
              <w:jc w:val="left"/>
              <w:rPr>
                <w:b/>
                <w:bCs/>
                <w:color w:val="000000"/>
                <w:kern w:val="0"/>
                <w:sz w:val="22"/>
                <w:highlight w:val="none"/>
              </w:rPr>
            </w:pPr>
            <w:r>
              <w:rPr>
                <w:b/>
                <w:bCs/>
                <w:color w:val="000000"/>
                <w:kern w:val="0"/>
                <w:sz w:val="22"/>
                <w:highlight w:val="none"/>
              </w:rPr>
              <w:t>摄像机</w:t>
            </w:r>
          </w:p>
        </w:tc>
      </w:tr>
      <w:tr w14:paraId="30ED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91DFE82">
            <w:pPr>
              <w:widowControl/>
              <w:jc w:val="center"/>
              <w:rPr>
                <w:color w:val="000000"/>
                <w:kern w:val="0"/>
                <w:sz w:val="22"/>
                <w:highlight w:val="none"/>
              </w:rPr>
            </w:pPr>
            <w:r>
              <w:rPr>
                <w:color w:val="000000"/>
                <w:kern w:val="0"/>
                <w:sz w:val="22"/>
                <w:highlight w:val="none"/>
              </w:rPr>
              <w:t>1.1.1</w:t>
            </w:r>
          </w:p>
        </w:tc>
        <w:tc>
          <w:tcPr>
            <w:tcW w:w="3187" w:type="dxa"/>
            <w:gridSpan w:val="2"/>
            <w:shd w:val="clear" w:color="000000" w:fill="FFFFFF"/>
            <w:vAlign w:val="center"/>
          </w:tcPr>
          <w:p w14:paraId="5EB9857C">
            <w:pPr>
              <w:widowControl/>
              <w:jc w:val="left"/>
              <w:rPr>
                <w:color w:val="000000"/>
                <w:kern w:val="0"/>
                <w:sz w:val="22"/>
                <w:highlight w:val="none"/>
              </w:rPr>
            </w:pPr>
            <w:r>
              <w:rPr>
                <w:color w:val="000000"/>
                <w:kern w:val="0"/>
                <w:sz w:val="22"/>
                <w:highlight w:val="none"/>
              </w:rPr>
              <w:t>高清网终摄像机(用于枪式防护罩)</w:t>
            </w:r>
          </w:p>
        </w:tc>
        <w:tc>
          <w:tcPr>
            <w:tcW w:w="2977" w:type="dxa"/>
            <w:shd w:val="clear" w:color="000000" w:fill="FFFFFF"/>
            <w:vAlign w:val="center"/>
          </w:tcPr>
          <w:p w14:paraId="0E42D219">
            <w:pPr>
              <w:widowControl/>
              <w:jc w:val="center"/>
              <w:rPr>
                <w:color w:val="000000"/>
                <w:kern w:val="0"/>
                <w:sz w:val="22"/>
                <w:highlight w:val="none"/>
              </w:rPr>
            </w:pPr>
            <w:r>
              <w:rPr>
                <w:color w:val="000000"/>
                <w:kern w:val="0"/>
                <w:sz w:val="22"/>
                <w:highlight w:val="none"/>
              </w:rPr>
              <w:t>DSI-2FW-TPJF</w:t>
            </w:r>
          </w:p>
        </w:tc>
        <w:tc>
          <w:tcPr>
            <w:tcW w:w="709" w:type="dxa"/>
            <w:shd w:val="clear" w:color="000000" w:fill="FFFFFF"/>
            <w:vAlign w:val="center"/>
          </w:tcPr>
          <w:p w14:paraId="3482B9B6">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161B508A">
            <w:pPr>
              <w:widowControl/>
              <w:jc w:val="center"/>
              <w:rPr>
                <w:color w:val="000000"/>
                <w:kern w:val="0"/>
                <w:sz w:val="22"/>
                <w:highlight w:val="none"/>
              </w:rPr>
            </w:pPr>
            <w:r>
              <w:rPr>
                <w:color w:val="000000"/>
                <w:kern w:val="0"/>
                <w:sz w:val="22"/>
                <w:highlight w:val="none"/>
              </w:rPr>
              <w:t>4</w:t>
            </w:r>
          </w:p>
        </w:tc>
      </w:tr>
      <w:tr w14:paraId="35E1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093BAB1">
            <w:pPr>
              <w:widowControl/>
              <w:jc w:val="center"/>
              <w:rPr>
                <w:b/>
                <w:bCs/>
                <w:color w:val="000000"/>
                <w:kern w:val="0"/>
                <w:sz w:val="22"/>
                <w:highlight w:val="none"/>
              </w:rPr>
            </w:pPr>
            <w:r>
              <w:rPr>
                <w:b/>
                <w:bCs/>
                <w:color w:val="000000"/>
                <w:kern w:val="0"/>
                <w:sz w:val="22"/>
                <w:highlight w:val="none"/>
              </w:rPr>
              <w:t>1.2</w:t>
            </w:r>
          </w:p>
        </w:tc>
        <w:tc>
          <w:tcPr>
            <w:tcW w:w="0" w:type="auto"/>
            <w:gridSpan w:val="5"/>
            <w:shd w:val="clear" w:color="000000" w:fill="FFFFFF"/>
            <w:vAlign w:val="center"/>
          </w:tcPr>
          <w:p w14:paraId="5E6DD06C">
            <w:pPr>
              <w:widowControl/>
              <w:jc w:val="left"/>
              <w:rPr>
                <w:b/>
                <w:bCs/>
                <w:color w:val="000000"/>
                <w:kern w:val="0"/>
                <w:sz w:val="22"/>
                <w:highlight w:val="none"/>
              </w:rPr>
            </w:pPr>
            <w:r>
              <w:rPr>
                <w:b/>
                <w:bCs/>
                <w:color w:val="000000"/>
                <w:kern w:val="0"/>
                <w:sz w:val="22"/>
                <w:highlight w:val="none"/>
              </w:rPr>
              <w:t>摄像机镜头</w:t>
            </w:r>
          </w:p>
        </w:tc>
      </w:tr>
      <w:tr w14:paraId="6B202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B021C58">
            <w:pPr>
              <w:widowControl/>
              <w:jc w:val="center"/>
              <w:rPr>
                <w:color w:val="000000"/>
                <w:kern w:val="0"/>
                <w:sz w:val="22"/>
                <w:highlight w:val="none"/>
              </w:rPr>
            </w:pPr>
            <w:r>
              <w:rPr>
                <w:color w:val="000000"/>
                <w:kern w:val="0"/>
                <w:sz w:val="22"/>
                <w:highlight w:val="none"/>
              </w:rPr>
              <w:t>1.2.1</w:t>
            </w:r>
          </w:p>
        </w:tc>
        <w:tc>
          <w:tcPr>
            <w:tcW w:w="3187" w:type="dxa"/>
            <w:gridSpan w:val="2"/>
            <w:shd w:val="clear" w:color="000000" w:fill="FFFFFF"/>
            <w:vAlign w:val="center"/>
          </w:tcPr>
          <w:p w14:paraId="0B061B10">
            <w:pPr>
              <w:widowControl/>
              <w:jc w:val="left"/>
              <w:rPr>
                <w:color w:val="000000"/>
                <w:kern w:val="0"/>
                <w:sz w:val="22"/>
                <w:highlight w:val="none"/>
              </w:rPr>
            </w:pPr>
            <w:r>
              <w:rPr>
                <w:color w:val="000000"/>
                <w:kern w:val="0"/>
                <w:sz w:val="22"/>
                <w:highlight w:val="none"/>
              </w:rPr>
              <w:t>高清手动变焦镜头(用于微卡口摄像机 )</w:t>
            </w:r>
          </w:p>
        </w:tc>
        <w:tc>
          <w:tcPr>
            <w:tcW w:w="2977" w:type="dxa"/>
            <w:shd w:val="clear" w:color="000000" w:fill="FFFFFF"/>
            <w:vAlign w:val="center"/>
          </w:tcPr>
          <w:p w14:paraId="0448E60B">
            <w:pPr>
              <w:widowControl/>
              <w:jc w:val="center"/>
              <w:rPr>
                <w:color w:val="000000"/>
                <w:kern w:val="0"/>
                <w:sz w:val="22"/>
                <w:highlight w:val="none"/>
              </w:rPr>
            </w:pPr>
            <w:r>
              <w:rPr>
                <w:color w:val="000000"/>
                <w:kern w:val="0"/>
                <w:sz w:val="22"/>
                <w:highlight w:val="none"/>
              </w:rPr>
              <w:t>DV4x12.5SR4A-SAIL</w:t>
            </w:r>
          </w:p>
        </w:tc>
        <w:tc>
          <w:tcPr>
            <w:tcW w:w="709" w:type="dxa"/>
            <w:shd w:val="clear" w:color="000000" w:fill="FFFFFF"/>
            <w:vAlign w:val="center"/>
          </w:tcPr>
          <w:p w14:paraId="7BADF46E">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5B872841">
            <w:pPr>
              <w:widowControl/>
              <w:jc w:val="center"/>
              <w:rPr>
                <w:color w:val="000000"/>
                <w:kern w:val="0"/>
                <w:sz w:val="22"/>
                <w:highlight w:val="none"/>
              </w:rPr>
            </w:pPr>
            <w:r>
              <w:rPr>
                <w:color w:val="000000"/>
                <w:kern w:val="0"/>
                <w:sz w:val="22"/>
                <w:highlight w:val="none"/>
              </w:rPr>
              <w:t>4</w:t>
            </w:r>
          </w:p>
        </w:tc>
      </w:tr>
      <w:tr w14:paraId="1103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4CB95BEA">
            <w:pPr>
              <w:widowControl/>
              <w:jc w:val="center"/>
              <w:rPr>
                <w:b/>
                <w:bCs/>
                <w:color w:val="000000"/>
                <w:kern w:val="0"/>
                <w:sz w:val="22"/>
                <w:highlight w:val="none"/>
              </w:rPr>
            </w:pPr>
            <w:r>
              <w:rPr>
                <w:b/>
                <w:bCs/>
                <w:color w:val="000000"/>
                <w:kern w:val="0"/>
                <w:sz w:val="22"/>
                <w:highlight w:val="none"/>
              </w:rPr>
              <w:t>1.3</w:t>
            </w:r>
          </w:p>
        </w:tc>
        <w:tc>
          <w:tcPr>
            <w:tcW w:w="0" w:type="auto"/>
            <w:gridSpan w:val="5"/>
            <w:shd w:val="clear" w:color="000000" w:fill="FFFFFF"/>
            <w:vAlign w:val="center"/>
          </w:tcPr>
          <w:p w14:paraId="7E07EC5B">
            <w:pPr>
              <w:widowControl/>
              <w:jc w:val="left"/>
              <w:rPr>
                <w:b/>
                <w:bCs/>
                <w:color w:val="000000"/>
                <w:kern w:val="0"/>
                <w:sz w:val="22"/>
                <w:highlight w:val="none"/>
              </w:rPr>
            </w:pPr>
            <w:r>
              <w:rPr>
                <w:b/>
                <w:bCs/>
                <w:color w:val="000000"/>
                <w:kern w:val="0"/>
                <w:sz w:val="22"/>
                <w:highlight w:val="none"/>
              </w:rPr>
              <w:t>摄像机防护罩</w:t>
            </w:r>
          </w:p>
        </w:tc>
      </w:tr>
      <w:tr w14:paraId="1DF8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49F17915">
            <w:pPr>
              <w:widowControl/>
              <w:jc w:val="center"/>
              <w:rPr>
                <w:color w:val="000000"/>
                <w:kern w:val="0"/>
                <w:sz w:val="22"/>
                <w:highlight w:val="none"/>
              </w:rPr>
            </w:pPr>
            <w:r>
              <w:rPr>
                <w:color w:val="000000"/>
                <w:kern w:val="0"/>
                <w:sz w:val="22"/>
                <w:highlight w:val="none"/>
              </w:rPr>
              <w:t>1.3.1</w:t>
            </w:r>
          </w:p>
        </w:tc>
        <w:tc>
          <w:tcPr>
            <w:tcW w:w="3187" w:type="dxa"/>
            <w:gridSpan w:val="2"/>
            <w:shd w:val="clear" w:color="000000" w:fill="FFFFFF"/>
            <w:vAlign w:val="center"/>
          </w:tcPr>
          <w:p w14:paraId="4FBF0015">
            <w:pPr>
              <w:widowControl/>
              <w:jc w:val="left"/>
              <w:rPr>
                <w:color w:val="000000"/>
                <w:kern w:val="0"/>
                <w:sz w:val="22"/>
                <w:highlight w:val="none"/>
              </w:rPr>
            </w:pPr>
            <w:r>
              <w:rPr>
                <w:color w:val="000000"/>
                <w:kern w:val="0"/>
                <w:sz w:val="22"/>
                <w:highlight w:val="none"/>
              </w:rPr>
              <w:t>枪式防护罩(用于微卡口摄像机)</w:t>
            </w:r>
          </w:p>
        </w:tc>
        <w:tc>
          <w:tcPr>
            <w:tcW w:w="2977" w:type="dxa"/>
            <w:shd w:val="clear" w:color="000000" w:fill="FFFFFF"/>
            <w:vAlign w:val="center"/>
          </w:tcPr>
          <w:p w14:paraId="6D72FD38">
            <w:pPr>
              <w:widowControl/>
              <w:jc w:val="center"/>
              <w:rPr>
                <w:color w:val="000000"/>
                <w:kern w:val="0"/>
                <w:sz w:val="22"/>
                <w:highlight w:val="none"/>
              </w:rPr>
            </w:pPr>
            <w:r>
              <w:rPr>
                <w:color w:val="000000"/>
                <w:kern w:val="0"/>
                <w:sz w:val="22"/>
                <w:highlight w:val="none"/>
              </w:rPr>
              <w:t>DSZ-1918HZ-TPJF</w:t>
            </w:r>
          </w:p>
        </w:tc>
        <w:tc>
          <w:tcPr>
            <w:tcW w:w="709" w:type="dxa"/>
            <w:shd w:val="clear" w:color="000000" w:fill="FFFFFF"/>
            <w:vAlign w:val="center"/>
          </w:tcPr>
          <w:p w14:paraId="6F693425">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32025160">
            <w:pPr>
              <w:widowControl/>
              <w:jc w:val="center"/>
              <w:rPr>
                <w:color w:val="000000"/>
                <w:kern w:val="0"/>
                <w:sz w:val="22"/>
                <w:highlight w:val="none"/>
              </w:rPr>
            </w:pPr>
            <w:r>
              <w:rPr>
                <w:color w:val="000000"/>
                <w:kern w:val="0"/>
                <w:sz w:val="22"/>
                <w:highlight w:val="none"/>
              </w:rPr>
              <w:t>4</w:t>
            </w:r>
          </w:p>
        </w:tc>
      </w:tr>
      <w:tr w14:paraId="7A6F1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6429CA77">
            <w:pPr>
              <w:widowControl/>
              <w:jc w:val="center"/>
              <w:rPr>
                <w:b/>
                <w:bCs/>
                <w:color w:val="000000"/>
                <w:kern w:val="0"/>
                <w:sz w:val="22"/>
                <w:highlight w:val="none"/>
              </w:rPr>
            </w:pPr>
            <w:r>
              <w:rPr>
                <w:b/>
                <w:bCs/>
                <w:color w:val="000000"/>
                <w:kern w:val="0"/>
                <w:sz w:val="22"/>
                <w:highlight w:val="none"/>
              </w:rPr>
              <w:t>2</w:t>
            </w:r>
          </w:p>
        </w:tc>
        <w:tc>
          <w:tcPr>
            <w:tcW w:w="3187" w:type="dxa"/>
            <w:gridSpan w:val="2"/>
            <w:shd w:val="clear" w:color="000000" w:fill="FFFFFF"/>
            <w:vAlign w:val="center"/>
          </w:tcPr>
          <w:p w14:paraId="324929CC">
            <w:pPr>
              <w:widowControl/>
              <w:jc w:val="left"/>
              <w:rPr>
                <w:b/>
                <w:bCs/>
                <w:color w:val="000000"/>
                <w:kern w:val="0"/>
                <w:sz w:val="22"/>
                <w:highlight w:val="none"/>
              </w:rPr>
            </w:pPr>
            <w:r>
              <w:rPr>
                <w:b/>
                <w:bCs/>
                <w:color w:val="000000"/>
                <w:kern w:val="0"/>
                <w:sz w:val="22"/>
                <w:highlight w:val="none"/>
              </w:rPr>
              <w:t>加装智能摄像机</w:t>
            </w:r>
          </w:p>
        </w:tc>
        <w:tc>
          <w:tcPr>
            <w:tcW w:w="2977" w:type="dxa"/>
            <w:shd w:val="clear" w:color="000000" w:fill="FFFFFF"/>
            <w:vAlign w:val="center"/>
          </w:tcPr>
          <w:p w14:paraId="3BD54689">
            <w:pPr>
              <w:widowControl/>
              <w:jc w:val="center"/>
              <w:rPr>
                <w:b/>
                <w:bCs/>
                <w:color w:val="000000"/>
                <w:kern w:val="0"/>
                <w:sz w:val="22"/>
                <w:highlight w:val="none"/>
              </w:rPr>
            </w:pPr>
            <w:r>
              <w:rPr>
                <w:b/>
                <w:bCs/>
                <w:color w:val="000000"/>
                <w:kern w:val="0"/>
                <w:sz w:val="22"/>
                <w:highlight w:val="none"/>
              </w:rPr>
              <w:t>/</w:t>
            </w:r>
          </w:p>
        </w:tc>
        <w:tc>
          <w:tcPr>
            <w:tcW w:w="709" w:type="dxa"/>
            <w:shd w:val="clear" w:color="000000" w:fill="FFFFFF"/>
            <w:vAlign w:val="center"/>
          </w:tcPr>
          <w:p w14:paraId="7FFFBDEC">
            <w:pPr>
              <w:widowControl/>
              <w:jc w:val="center"/>
              <w:rPr>
                <w:b/>
                <w:bCs/>
                <w:color w:val="000000"/>
                <w:kern w:val="0"/>
                <w:sz w:val="22"/>
                <w:highlight w:val="none"/>
              </w:rPr>
            </w:pPr>
            <w:r>
              <w:rPr>
                <w:b/>
                <w:bCs/>
                <w:color w:val="000000"/>
                <w:kern w:val="0"/>
                <w:sz w:val="22"/>
                <w:highlight w:val="none"/>
              </w:rPr>
              <w:t>台</w:t>
            </w:r>
          </w:p>
        </w:tc>
        <w:tc>
          <w:tcPr>
            <w:tcW w:w="646" w:type="dxa"/>
            <w:shd w:val="clear" w:color="000000" w:fill="FFFFFF"/>
            <w:vAlign w:val="center"/>
          </w:tcPr>
          <w:p w14:paraId="112603DE">
            <w:pPr>
              <w:widowControl/>
              <w:jc w:val="center"/>
              <w:rPr>
                <w:b/>
                <w:bCs/>
                <w:color w:val="000000"/>
                <w:kern w:val="0"/>
                <w:sz w:val="22"/>
                <w:highlight w:val="none"/>
              </w:rPr>
            </w:pPr>
            <w:r>
              <w:rPr>
                <w:b/>
                <w:bCs/>
                <w:color w:val="000000"/>
                <w:kern w:val="0"/>
                <w:sz w:val="22"/>
                <w:highlight w:val="none"/>
              </w:rPr>
              <w:t>179</w:t>
            </w:r>
          </w:p>
        </w:tc>
      </w:tr>
      <w:tr w14:paraId="3A06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139DF98A">
            <w:pPr>
              <w:widowControl/>
              <w:jc w:val="center"/>
              <w:rPr>
                <w:b/>
                <w:bCs/>
                <w:color w:val="000000"/>
                <w:kern w:val="0"/>
                <w:sz w:val="22"/>
                <w:highlight w:val="none"/>
              </w:rPr>
            </w:pPr>
            <w:r>
              <w:rPr>
                <w:b/>
                <w:bCs/>
                <w:color w:val="000000"/>
                <w:kern w:val="0"/>
                <w:sz w:val="22"/>
                <w:highlight w:val="none"/>
              </w:rPr>
              <w:t>（三）</w:t>
            </w:r>
          </w:p>
        </w:tc>
        <w:tc>
          <w:tcPr>
            <w:tcW w:w="0" w:type="auto"/>
            <w:gridSpan w:val="5"/>
            <w:shd w:val="clear" w:color="000000" w:fill="FFFFFF"/>
            <w:vAlign w:val="center"/>
          </w:tcPr>
          <w:p w14:paraId="2E7AD9E8">
            <w:pPr>
              <w:widowControl/>
              <w:jc w:val="left"/>
              <w:rPr>
                <w:b/>
                <w:bCs/>
                <w:color w:val="000000"/>
                <w:kern w:val="0"/>
                <w:sz w:val="22"/>
                <w:highlight w:val="none"/>
              </w:rPr>
            </w:pPr>
            <w:r>
              <w:rPr>
                <w:b/>
                <w:bCs/>
                <w:color w:val="000000"/>
                <w:kern w:val="0"/>
                <w:sz w:val="22"/>
                <w:highlight w:val="none"/>
              </w:rPr>
              <w:t>杆体迁移监控设备运维</w:t>
            </w:r>
          </w:p>
        </w:tc>
      </w:tr>
      <w:tr w14:paraId="641B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3366C8D">
            <w:pPr>
              <w:widowControl/>
              <w:jc w:val="center"/>
              <w:rPr>
                <w:b/>
                <w:bCs/>
                <w:color w:val="000000"/>
                <w:kern w:val="0"/>
                <w:sz w:val="22"/>
                <w:highlight w:val="none"/>
              </w:rPr>
            </w:pPr>
            <w:r>
              <w:rPr>
                <w:b/>
                <w:bCs/>
                <w:color w:val="000000"/>
                <w:kern w:val="0"/>
                <w:sz w:val="22"/>
                <w:highlight w:val="none"/>
              </w:rPr>
              <w:t>1</w:t>
            </w:r>
          </w:p>
        </w:tc>
        <w:tc>
          <w:tcPr>
            <w:tcW w:w="0" w:type="auto"/>
            <w:gridSpan w:val="5"/>
            <w:shd w:val="clear" w:color="000000" w:fill="FFFFFF"/>
            <w:vAlign w:val="center"/>
          </w:tcPr>
          <w:p w14:paraId="79EF1591">
            <w:pPr>
              <w:widowControl/>
              <w:jc w:val="left"/>
              <w:rPr>
                <w:b/>
                <w:bCs/>
                <w:color w:val="000000"/>
                <w:kern w:val="0"/>
                <w:sz w:val="22"/>
                <w:highlight w:val="none"/>
              </w:rPr>
            </w:pPr>
            <w:r>
              <w:rPr>
                <w:b/>
                <w:bCs/>
                <w:color w:val="000000"/>
                <w:kern w:val="0"/>
                <w:sz w:val="22"/>
                <w:highlight w:val="none"/>
              </w:rPr>
              <w:t>监控杆体</w:t>
            </w:r>
          </w:p>
        </w:tc>
      </w:tr>
      <w:tr w14:paraId="6ADB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64AB364">
            <w:pPr>
              <w:widowControl/>
              <w:jc w:val="center"/>
              <w:rPr>
                <w:color w:val="000000"/>
                <w:kern w:val="0"/>
                <w:sz w:val="22"/>
                <w:highlight w:val="none"/>
              </w:rPr>
            </w:pPr>
            <w:r>
              <w:rPr>
                <w:color w:val="000000"/>
                <w:kern w:val="0"/>
                <w:sz w:val="22"/>
                <w:highlight w:val="none"/>
              </w:rPr>
              <w:t>1.1</w:t>
            </w:r>
          </w:p>
        </w:tc>
        <w:tc>
          <w:tcPr>
            <w:tcW w:w="3187" w:type="dxa"/>
            <w:gridSpan w:val="2"/>
            <w:shd w:val="clear" w:color="000000" w:fill="FFFFFF"/>
            <w:vAlign w:val="center"/>
          </w:tcPr>
          <w:p w14:paraId="7AD0A425">
            <w:pPr>
              <w:widowControl/>
              <w:jc w:val="left"/>
              <w:rPr>
                <w:color w:val="000000"/>
                <w:kern w:val="0"/>
                <w:sz w:val="22"/>
                <w:highlight w:val="none"/>
              </w:rPr>
            </w:pPr>
            <w:r>
              <w:rPr>
                <w:color w:val="000000"/>
                <w:kern w:val="0"/>
                <w:sz w:val="22"/>
                <w:highlight w:val="none"/>
              </w:rPr>
              <w:t>视频监控杆体（路口一杆两头类型）6.3米90度双横臂</w:t>
            </w:r>
          </w:p>
        </w:tc>
        <w:tc>
          <w:tcPr>
            <w:tcW w:w="2977" w:type="dxa"/>
            <w:shd w:val="clear" w:color="000000" w:fill="FFFFFF"/>
            <w:vAlign w:val="center"/>
          </w:tcPr>
          <w:p w14:paraId="31360EB6">
            <w:pPr>
              <w:widowControl/>
              <w:jc w:val="center"/>
              <w:rPr>
                <w:color w:val="000000"/>
                <w:kern w:val="0"/>
                <w:sz w:val="22"/>
                <w:highlight w:val="none"/>
              </w:rPr>
            </w:pPr>
            <w:r>
              <w:rPr>
                <w:color w:val="000000"/>
                <w:kern w:val="0"/>
                <w:sz w:val="22"/>
                <w:highlight w:val="none"/>
              </w:rPr>
              <w:t>杆体高度：6300mm,一杆两头</w:t>
            </w:r>
          </w:p>
        </w:tc>
        <w:tc>
          <w:tcPr>
            <w:tcW w:w="709" w:type="dxa"/>
            <w:shd w:val="clear" w:color="000000" w:fill="FFFFFF"/>
            <w:vAlign w:val="center"/>
          </w:tcPr>
          <w:p w14:paraId="01DF2BEC">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69A49B01">
            <w:pPr>
              <w:widowControl/>
              <w:jc w:val="center"/>
              <w:rPr>
                <w:color w:val="000000"/>
                <w:kern w:val="0"/>
                <w:sz w:val="22"/>
                <w:highlight w:val="none"/>
              </w:rPr>
            </w:pPr>
            <w:r>
              <w:rPr>
                <w:color w:val="000000"/>
                <w:kern w:val="0"/>
                <w:sz w:val="22"/>
                <w:highlight w:val="none"/>
              </w:rPr>
              <w:t>12</w:t>
            </w:r>
          </w:p>
        </w:tc>
      </w:tr>
      <w:tr w14:paraId="3F13A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CADCD37">
            <w:pPr>
              <w:widowControl/>
              <w:jc w:val="center"/>
              <w:rPr>
                <w:b/>
                <w:bCs/>
                <w:color w:val="000000"/>
                <w:kern w:val="0"/>
                <w:sz w:val="22"/>
                <w:highlight w:val="none"/>
              </w:rPr>
            </w:pPr>
            <w:r>
              <w:rPr>
                <w:b/>
                <w:bCs/>
                <w:color w:val="000000"/>
                <w:kern w:val="0"/>
                <w:sz w:val="22"/>
                <w:highlight w:val="none"/>
              </w:rPr>
              <w:t>2</w:t>
            </w:r>
          </w:p>
        </w:tc>
        <w:tc>
          <w:tcPr>
            <w:tcW w:w="0" w:type="auto"/>
            <w:gridSpan w:val="5"/>
            <w:shd w:val="clear" w:color="000000" w:fill="FFFFFF"/>
            <w:vAlign w:val="center"/>
          </w:tcPr>
          <w:p w14:paraId="32A6ABA5">
            <w:pPr>
              <w:widowControl/>
              <w:jc w:val="left"/>
              <w:rPr>
                <w:b/>
                <w:bCs/>
                <w:color w:val="000000"/>
                <w:kern w:val="0"/>
                <w:sz w:val="22"/>
                <w:highlight w:val="none"/>
              </w:rPr>
            </w:pPr>
            <w:r>
              <w:rPr>
                <w:b/>
                <w:bCs/>
                <w:color w:val="000000"/>
                <w:kern w:val="0"/>
                <w:sz w:val="22"/>
                <w:highlight w:val="none"/>
              </w:rPr>
              <w:t>摄像机</w:t>
            </w:r>
          </w:p>
        </w:tc>
      </w:tr>
      <w:tr w14:paraId="699D7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0B0407B">
            <w:pPr>
              <w:widowControl/>
              <w:jc w:val="center"/>
              <w:rPr>
                <w:color w:val="000000"/>
                <w:kern w:val="0"/>
                <w:sz w:val="22"/>
                <w:highlight w:val="none"/>
              </w:rPr>
            </w:pPr>
            <w:r>
              <w:rPr>
                <w:color w:val="000000"/>
                <w:kern w:val="0"/>
                <w:sz w:val="22"/>
                <w:highlight w:val="none"/>
              </w:rPr>
              <w:t>2.1</w:t>
            </w:r>
          </w:p>
        </w:tc>
        <w:tc>
          <w:tcPr>
            <w:tcW w:w="3187" w:type="dxa"/>
            <w:gridSpan w:val="2"/>
            <w:shd w:val="clear" w:color="000000" w:fill="FFFFFF"/>
            <w:vAlign w:val="center"/>
          </w:tcPr>
          <w:p w14:paraId="34A6B22F">
            <w:pPr>
              <w:widowControl/>
              <w:jc w:val="left"/>
              <w:rPr>
                <w:color w:val="000000"/>
                <w:kern w:val="0"/>
                <w:sz w:val="22"/>
                <w:highlight w:val="none"/>
              </w:rPr>
            </w:pPr>
            <w:r>
              <w:rPr>
                <w:color w:val="000000"/>
                <w:kern w:val="0"/>
                <w:sz w:val="22"/>
                <w:highlight w:val="none"/>
              </w:rPr>
              <w:t>高清网终摄像机(用于枪式防护罩)</w:t>
            </w:r>
          </w:p>
        </w:tc>
        <w:tc>
          <w:tcPr>
            <w:tcW w:w="2977" w:type="dxa"/>
            <w:shd w:val="clear" w:color="000000" w:fill="FFFFFF"/>
            <w:vAlign w:val="center"/>
          </w:tcPr>
          <w:p w14:paraId="7A0E8685">
            <w:pPr>
              <w:widowControl/>
              <w:jc w:val="center"/>
              <w:rPr>
                <w:color w:val="000000"/>
                <w:kern w:val="0"/>
                <w:sz w:val="22"/>
                <w:highlight w:val="none"/>
              </w:rPr>
            </w:pPr>
            <w:r>
              <w:rPr>
                <w:color w:val="000000"/>
                <w:kern w:val="0"/>
                <w:sz w:val="22"/>
                <w:highlight w:val="none"/>
              </w:rPr>
              <w:t>DSI-2FW-TPJF</w:t>
            </w:r>
          </w:p>
        </w:tc>
        <w:tc>
          <w:tcPr>
            <w:tcW w:w="709" w:type="dxa"/>
            <w:shd w:val="clear" w:color="000000" w:fill="FFFFFF"/>
            <w:vAlign w:val="center"/>
          </w:tcPr>
          <w:p w14:paraId="1A4B872B">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5E8D30FF">
            <w:pPr>
              <w:widowControl/>
              <w:jc w:val="center"/>
              <w:rPr>
                <w:color w:val="000000"/>
                <w:kern w:val="0"/>
                <w:sz w:val="22"/>
                <w:highlight w:val="none"/>
              </w:rPr>
            </w:pPr>
            <w:r>
              <w:rPr>
                <w:color w:val="000000"/>
                <w:kern w:val="0"/>
                <w:sz w:val="22"/>
                <w:highlight w:val="none"/>
              </w:rPr>
              <w:t>24</w:t>
            </w:r>
          </w:p>
        </w:tc>
      </w:tr>
      <w:tr w14:paraId="571C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5A25BC30">
            <w:pPr>
              <w:widowControl/>
              <w:jc w:val="center"/>
              <w:rPr>
                <w:b/>
                <w:bCs/>
                <w:color w:val="000000"/>
                <w:kern w:val="0"/>
                <w:sz w:val="22"/>
                <w:highlight w:val="none"/>
              </w:rPr>
            </w:pPr>
            <w:r>
              <w:rPr>
                <w:b/>
                <w:bCs/>
                <w:color w:val="000000"/>
                <w:kern w:val="0"/>
                <w:sz w:val="22"/>
                <w:highlight w:val="none"/>
              </w:rPr>
              <w:t>3</w:t>
            </w:r>
          </w:p>
        </w:tc>
        <w:tc>
          <w:tcPr>
            <w:tcW w:w="0" w:type="auto"/>
            <w:gridSpan w:val="5"/>
            <w:shd w:val="clear" w:color="000000" w:fill="FFFFFF"/>
            <w:vAlign w:val="center"/>
          </w:tcPr>
          <w:p w14:paraId="74B17685">
            <w:pPr>
              <w:widowControl/>
              <w:jc w:val="left"/>
              <w:rPr>
                <w:b/>
                <w:bCs/>
                <w:color w:val="000000"/>
                <w:kern w:val="0"/>
                <w:sz w:val="22"/>
                <w:highlight w:val="none"/>
              </w:rPr>
            </w:pPr>
            <w:r>
              <w:rPr>
                <w:b/>
                <w:bCs/>
                <w:color w:val="000000"/>
                <w:kern w:val="0"/>
                <w:sz w:val="22"/>
                <w:highlight w:val="none"/>
              </w:rPr>
              <w:t>摄像机镜头</w:t>
            </w:r>
          </w:p>
        </w:tc>
      </w:tr>
      <w:tr w14:paraId="35DA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42CFB1B">
            <w:pPr>
              <w:widowControl/>
              <w:jc w:val="center"/>
              <w:rPr>
                <w:color w:val="000000"/>
                <w:kern w:val="0"/>
                <w:sz w:val="22"/>
                <w:highlight w:val="none"/>
              </w:rPr>
            </w:pPr>
            <w:r>
              <w:rPr>
                <w:color w:val="000000"/>
                <w:kern w:val="0"/>
                <w:sz w:val="22"/>
                <w:highlight w:val="none"/>
              </w:rPr>
              <w:t>3.1</w:t>
            </w:r>
          </w:p>
        </w:tc>
        <w:tc>
          <w:tcPr>
            <w:tcW w:w="3187" w:type="dxa"/>
            <w:gridSpan w:val="2"/>
            <w:shd w:val="clear" w:color="000000" w:fill="FFFFFF"/>
            <w:vAlign w:val="center"/>
          </w:tcPr>
          <w:p w14:paraId="4CA9EC69">
            <w:pPr>
              <w:widowControl/>
              <w:jc w:val="left"/>
              <w:rPr>
                <w:color w:val="000000"/>
                <w:kern w:val="0"/>
                <w:sz w:val="22"/>
                <w:highlight w:val="none"/>
              </w:rPr>
            </w:pPr>
            <w:r>
              <w:rPr>
                <w:color w:val="000000"/>
                <w:kern w:val="0"/>
                <w:sz w:val="22"/>
                <w:highlight w:val="none"/>
              </w:rPr>
              <w:t>高清手动变焦镜头(用于微卡口摄像机 )</w:t>
            </w:r>
          </w:p>
        </w:tc>
        <w:tc>
          <w:tcPr>
            <w:tcW w:w="2977" w:type="dxa"/>
            <w:shd w:val="clear" w:color="000000" w:fill="FFFFFF"/>
            <w:vAlign w:val="center"/>
          </w:tcPr>
          <w:p w14:paraId="2DDF5B6D">
            <w:pPr>
              <w:widowControl/>
              <w:jc w:val="center"/>
              <w:rPr>
                <w:color w:val="000000"/>
                <w:kern w:val="0"/>
                <w:sz w:val="22"/>
                <w:highlight w:val="none"/>
              </w:rPr>
            </w:pPr>
            <w:r>
              <w:rPr>
                <w:color w:val="000000"/>
                <w:kern w:val="0"/>
                <w:sz w:val="22"/>
                <w:highlight w:val="none"/>
              </w:rPr>
              <w:t>DV4x12.5SR4A-SAIL</w:t>
            </w:r>
          </w:p>
        </w:tc>
        <w:tc>
          <w:tcPr>
            <w:tcW w:w="709" w:type="dxa"/>
            <w:shd w:val="clear" w:color="000000" w:fill="FFFFFF"/>
            <w:vAlign w:val="center"/>
          </w:tcPr>
          <w:p w14:paraId="6CC331EC">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175F15F6">
            <w:pPr>
              <w:widowControl/>
              <w:jc w:val="center"/>
              <w:rPr>
                <w:color w:val="000000"/>
                <w:kern w:val="0"/>
                <w:sz w:val="22"/>
                <w:highlight w:val="none"/>
              </w:rPr>
            </w:pPr>
            <w:r>
              <w:rPr>
                <w:color w:val="000000"/>
                <w:kern w:val="0"/>
                <w:sz w:val="22"/>
                <w:highlight w:val="none"/>
              </w:rPr>
              <w:t>24</w:t>
            </w:r>
          </w:p>
        </w:tc>
      </w:tr>
      <w:tr w14:paraId="18AD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E4F81CD">
            <w:pPr>
              <w:widowControl/>
              <w:jc w:val="center"/>
              <w:rPr>
                <w:b/>
                <w:bCs/>
                <w:color w:val="000000"/>
                <w:kern w:val="0"/>
                <w:sz w:val="22"/>
                <w:highlight w:val="none"/>
              </w:rPr>
            </w:pPr>
            <w:r>
              <w:rPr>
                <w:b/>
                <w:bCs/>
                <w:color w:val="000000"/>
                <w:kern w:val="0"/>
                <w:sz w:val="22"/>
                <w:highlight w:val="none"/>
              </w:rPr>
              <w:t>4</w:t>
            </w:r>
          </w:p>
        </w:tc>
        <w:tc>
          <w:tcPr>
            <w:tcW w:w="0" w:type="auto"/>
            <w:gridSpan w:val="5"/>
            <w:shd w:val="clear" w:color="000000" w:fill="FFFFFF"/>
            <w:vAlign w:val="center"/>
          </w:tcPr>
          <w:p w14:paraId="1B334368">
            <w:pPr>
              <w:widowControl/>
              <w:jc w:val="left"/>
              <w:rPr>
                <w:b/>
                <w:bCs/>
                <w:color w:val="000000"/>
                <w:kern w:val="0"/>
                <w:sz w:val="22"/>
                <w:highlight w:val="none"/>
              </w:rPr>
            </w:pPr>
            <w:r>
              <w:rPr>
                <w:b/>
                <w:bCs/>
                <w:color w:val="000000"/>
                <w:kern w:val="0"/>
                <w:sz w:val="22"/>
                <w:highlight w:val="none"/>
              </w:rPr>
              <w:t>摄像机防护罩</w:t>
            </w:r>
          </w:p>
        </w:tc>
      </w:tr>
      <w:tr w14:paraId="08E97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59E69EC2">
            <w:pPr>
              <w:widowControl/>
              <w:jc w:val="center"/>
              <w:rPr>
                <w:color w:val="000000"/>
                <w:kern w:val="0"/>
                <w:sz w:val="22"/>
                <w:highlight w:val="none"/>
              </w:rPr>
            </w:pPr>
            <w:r>
              <w:rPr>
                <w:color w:val="000000"/>
                <w:kern w:val="0"/>
                <w:sz w:val="22"/>
                <w:highlight w:val="none"/>
              </w:rPr>
              <w:t>4.1</w:t>
            </w:r>
          </w:p>
        </w:tc>
        <w:tc>
          <w:tcPr>
            <w:tcW w:w="3187" w:type="dxa"/>
            <w:gridSpan w:val="2"/>
            <w:shd w:val="clear" w:color="000000" w:fill="FFFFFF"/>
            <w:vAlign w:val="center"/>
          </w:tcPr>
          <w:p w14:paraId="7F655157">
            <w:pPr>
              <w:widowControl/>
              <w:jc w:val="left"/>
              <w:rPr>
                <w:color w:val="000000"/>
                <w:kern w:val="0"/>
                <w:sz w:val="22"/>
                <w:highlight w:val="none"/>
              </w:rPr>
            </w:pPr>
            <w:r>
              <w:rPr>
                <w:color w:val="000000"/>
                <w:kern w:val="0"/>
                <w:sz w:val="22"/>
                <w:highlight w:val="none"/>
              </w:rPr>
              <w:t>枪式防护罩(用于微卡口摄像机)</w:t>
            </w:r>
          </w:p>
        </w:tc>
        <w:tc>
          <w:tcPr>
            <w:tcW w:w="2977" w:type="dxa"/>
            <w:shd w:val="clear" w:color="000000" w:fill="FFFFFF"/>
            <w:vAlign w:val="center"/>
          </w:tcPr>
          <w:p w14:paraId="6CEE60C7">
            <w:pPr>
              <w:widowControl/>
              <w:jc w:val="center"/>
              <w:rPr>
                <w:color w:val="000000"/>
                <w:kern w:val="0"/>
                <w:sz w:val="22"/>
                <w:highlight w:val="none"/>
              </w:rPr>
            </w:pPr>
            <w:r>
              <w:rPr>
                <w:color w:val="000000"/>
                <w:kern w:val="0"/>
                <w:sz w:val="22"/>
                <w:highlight w:val="none"/>
              </w:rPr>
              <w:t>DSZ-1918HZ-TPJF</w:t>
            </w:r>
          </w:p>
        </w:tc>
        <w:tc>
          <w:tcPr>
            <w:tcW w:w="709" w:type="dxa"/>
            <w:shd w:val="clear" w:color="000000" w:fill="FFFFFF"/>
            <w:vAlign w:val="center"/>
          </w:tcPr>
          <w:p w14:paraId="10039AF9">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755CEC7D">
            <w:pPr>
              <w:widowControl/>
              <w:jc w:val="center"/>
              <w:rPr>
                <w:color w:val="000000"/>
                <w:kern w:val="0"/>
                <w:sz w:val="22"/>
                <w:highlight w:val="none"/>
              </w:rPr>
            </w:pPr>
            <w:r>
              <w:rPr>
                <w:color w:val="000000"/>
                <w:kern w:val="0"/>
                <w:sz w:val="22"/>
                <w:highlight w:val="none"/>
              </w:rPr>
              <w:t>24</w:t>
            </w:r>
          </w:p>
        </w:tc>
      </w:tr>
      <w:tr w14:paraId="3262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F0BFA4D">
            <w:pPr>
              <w:widowControl/>
              <w:jc w:val="center"/>
              <w:rPr>
                <w:b/>
                <w:bCs/>
                <w:color w:val="000000"/>
                <w:kern w:val="0"/>
                <w:sz w:val="22"/>
                <w:highlight w:val="none"/>
              </w:rPr>
            </w:pPr>
            <w:r>
              <w:rPr>
                <w:b/>
                <w:bCs/>
                <w:color w:val="000000"/>
                <w:kern w:val="0"/>
                <w:sz w:val="22"/>
                <w:highlight w:val="none"/>
              </w:rPr>
              <w:t>5</w:t>
            </w:r>
          </w:p>
        </w:tc>
        <w:tc>
          <w:tcPr>
            <w:tcW w:w="0" w:type="auto"/>
            <w:gridSpan w:val="5"/>
            <w:shd w:val="clear" w:color="000000" w:fill="FFFFFF"/>
            <w:vAlign w:val="center"/>
          </w:tcPr>
          <w:p w14:paraId="098E47B9">
            <w:pPr>
              <w:widowControl/>
              <w:jc w:val="left"/>
              <w:rPr>
                <w:b/>
                <w:bCs/>
                <w:color w:val="000000"/>
                <w:kern w:val="0"/>
                <w:sz w:val="22"/>
                <w:highlight w:val="none"/>
              </w:rPr>
            </w:pPr>
            <w:r>
              <w:rPr>
                <w:b/>
                <w:bCs/>
                <w:color w:val="000000"/>
                <w:kern w:val="0"/>
                <w:sz w:val="22"/>
                <w:highlight w:val="none"/>
              </w:rPr>
              <w:t>抱杆机箱及配件</w:t>
            </w:r>
          </w:p>
        </w:tc>
      </w:tr>
      <w:tr w14:paraId="4A4E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E29F8CB">
            <w:pPr>
              <w:widowControl/>
              <w:jc w:val="center"/>
              <w:rPr>
                <w:color w:val="000000"/>
                <w:kern w:val="0"/>
                <w:sz w:val="22"/>
                <w:highlight w:val="none"/>
              </w:rPr>
            </w:pPr>
            <w:r>
              <w:rPr>
                <w:color w:val="000000"/>
                <w:kern w:val="0"/>
                <w:sz w:val="22"/>
                <w:highlight w:val="none"/>
              </w:rPr>
              <w:t>5.1</w:t>
            </w:r>
          </w:p>
        </w:tc>
        <w:tc>
          <w:tcPr>
            <w:tcW w:w="3187" w:type="dxa"/>
            <w:gridSpan w:val="2"/>
            <w:shd w:val="clear" w:color="000000" w:fill="FFFFFF"/>
            <w:vAlign w:val="center"/>
          </w:tcPr>
          <w:p w14:paraId="2B3A7CE8">
            <w:pPr>
              <w:widowControl/>
              <w:jc w:val="left"/>
              <w:rPr>
                <w:color w:val="000000"/>
                <w:kern w:val="0"/>
                <w:sz w:val="22"/>
                <w:highlight w:val="none"/>
              </w:rPr>
            </w:pPr>
            <w:r>
              <w:rPr>
                <w:color w:val="000000"/>
                <w:kern w:val="0"/>
                <w:sz w:val="22"/>
                <w:highlight w:val="none"/>
              </w:rPr>
              <w:t>室外分线箱</w:t>
            </w:r>
          </w:p>
        </w:tc>
        <w:tc>
          <w:tcPr>
            <w:tcW w:w="2977" w:type="dxa"/>
            <w:shd w:val="clear" w:color="000000" w:fill="FFFFFF"/>
            <w:vAlign w:val="center"/>
          </w:tcPr>
          <w:p w14:paraId="7DD69F2D">
            <w:pPr>
              <w:widowControl/>
              <w:jc w:val="center"/>
              <w:rPr>
                <w:color w:val="000000"/>
                <w:kern w:val="0"/>
                <w:sz w:val="22"/>
                <w:highlight w:val="none"/>
              </w:rPr>
            </w:pPr>
            <w:r>
              <w:rPr>
                <w:color w:val="000000"/>
                <w:kern w:val="0"/>
                <w:sz w:val="22"/>
                <w:highlight w:val="none"/>
              </w:rPr>
              <w:t>定制</w:t>
            </w:r>
          </w:p>
        </w:tc>
        <w:tc>
          <w:tcPr>
            <w:tcW w:w="709" w:type="dxa"/>
            <w:shd w:val="clear" w:color="000000" w:fill="FFFFFF"/>
            <w:vAlign w:val="center"/>
          </w:tcPr>
          <w:p w14:paraId="2DA58BD1">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42F19E2D">
            <w:pPr>
              <w:widowControl/>
              <w:jc w:val="center"/>
              <w:rPr>
                <w:color w:val="000000"/>
                <w:kern w:val="0"/>
                <w:sz w:val="22"/>
                <w:highlight w:val="none"/>
              </w:rPr>
            </w:pPr>
            <w:r>
              <w:rPr>
                <w:color w:val="000000"/>
                <w:kern w:val="0"/>
                <w:sz w:val="22"/>
                <w:highlight w:val="none"/>
              </w:rPr>
              <w:t>12</w:t>
            </w:r>
          </w:p>
        </w:tc>
      </w:tr>
      <w:tr w14:paraId="6F2C3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EACD722">
            <w:pPr>
              <w:widowControl/>
              <w:jc w:val="center"/>
              <w:rPr>
                <w:color w:val="000000"/>
                <w:kern w:val="0"/>
                <w:sz w:val="22"/>
                <w:highlight w:val="none"/>
              </w:rPr>
            </w:pPr>
            <w:r>
              <w:rPr>
                <w:color w:val="000000"/>
                <w:kern w:val="0"/>
                <w:sz w:val="22"/>
                <w:highlight w:val="none"/>
              </w:rPr>
              <w:t>5.2</w:t>
            </w:r>
          </w:p>
        </w:tc>
        <w:tc>
          <w:tcPr>
            <w:tcW w:w="3187" w:type="dxa"/>
            <w:gridSpan w:val="2"/>
            <w:shd w:val="clear" w:color="000000" w:fill="FFFFFF"/>
            <w:vAlign w:val="center"/>
          </w:tcPr>
          <w:p w14:paraId="37C60F5D">
            <w:pPr>
              <w:widowControl/>
              <w:jc w:val="left"/>
              <w:rPr>
                <w:color w:val="000000"/>
                <w:kern w:val="0"/>
                <w:sz w:val="22"/>
                <w:highlight w:val="none"/>
              </w:rPr>
            </w:pPr>
            <w:r>
              <w:rPr>
                <w:color w:val="000000"/>
                <w:kern w:val="0"/>
                <w:sz w:val="22"/>
                <w:highlight w:val="none"/>
              </w:rPr>
              <w:t>PDU电源插座(放于室外分线箱内)</w:t>
            </w:r>
          </w:p>
        </w:tc>
        <w:tc>
          <w:tcPr>
            <w:tcW w:w="2977" w:type="dxa"/>
            <w:shd w:val="clear" w:color="000000" w:fill="FFFFFF"/>
            <w:vAlign w:val="center"/>
          </w:tcPr>
          <w:p w14:paraId="44483EB9">
            <w:pPr>
              <w:widowControl/>
              <w:jc w:val="center"/>
              <w:rPr>
                <w:color w:val="000000"/>
                <w:kern w:val="0"/>
                <w:sz w:val="22"/>
                <w:highlight w:val="none"/>
              </w:rPr>
            </w:pPr>
            <w:r>
              <w:rPr>
                <w:color w:val="000000"/>
                <w:kern w:val="0"/>
                <w:sz w:val="22"/>
                <w:highlight w:val="none"/>
              </w:rPr>
              <w:t>AUE2220W1-TJBHO5AVGPMB</w:t>
            </w:r>
          </w:p>
        </w:tc>
        <w:tc>
          <w:tcPr>
            <w:tcW w:w="709" w:type="dxa"/>
            <w:shd w:val="clear" w:color="000000" w:fill="FFFFFF"/>
            <w:vAlign w:val="center"/>
          </w:tcPr>
          <w:p w14:paraId="229B142E">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3261DB70">
            <w:pPr>
              <w:widowControl/>
              <w:jc w:val="center"/>
              <w:rPr>
                <w:color w:val="000000"/>
                <w:kern w:val="0"/>
                <w:sz w:val="22"/>
                <w:highlight w:val="none"/>
              </w:rPr>
            </w:pPr>
            <w:r>
              <w:rPr>
                <w:color w:val="000000"/>
                <w:kern w:val="0"/>
                <w:sz w:val="22"/>
                <w:highlight w:val="none"/>
              </w:rPr>
              <w:t>12</w:t>
            </w:r>
          </w:p>
        </w:tc>
      </w:tr>
      <w:tr w14:paraId="0EF1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D49BBA8">
            <w:pPr>
              <w:widowControl/>
              <w:jc w:val="center"/>
              <w:rPr>
                <w:color w:val="000000"/>
                <w:kern w:val="0"/>
                <w:sz w:val="22"/>
                <w:highlight w:val="none"/>
              </w:rPr>
            </w:pPr>
            <w:r>
              <w:rPr>
                <w:color w:val="000000"/>
                <w:kern w:val="0"/>
                <w:sz w:val="22"/>
                <w:highlight w:val="none"/>
              </w:rPr>
              <w:t>5.3</w:t>
            </w:r>
          </w:p>
        </w:tc>
        <w:tc>
          <w:tcPr>
            <w:tcW w:w="3187" w:type="dxa"/>
            <w:gridSpan w:val="2"/>
            <w:shd w:val="clear" w:color="000000" w:fill="FFFFFF"/>
            <w:vAlign w:val="center"/>
          </w:tcPr>
          <w:p w14:paraId="60B0E695">
            <w:pPr>
              <w:widowControl/>
              <w:jc w:val="left"/>
              <w:rPr>
                <w:color w:val="000000"/>
                <w:kern w:val="0"/>
                <w:sz w:val="22"/>
                <w:highlight w:val="none"/>
              </w:rPr>
            </w:pPr>
            <w:r>
              <w:rPr>
                <w:color w:val="000000"/>
                <w:kern w:val="0"/>
                <w:sz w:val="22"/>
                <w:highlight w:val="none"/>
              </w:rPr>
              <w:t>电源防雷</w:t>
            </w:r>
          </w:p>
        </w:tc>
        <w:tc>
          <w:tcPr>
            <w:tcW w:w="2977" w:type="dxa"/>
            <w:shd w:val="clear" w:color="000000" w:fill="FFFFFF"/>
            <w:vAlign w:val="center"/>
          </w:tcPr>
          <w:p w14:paraId="7D8AD810">
            <w:pPr>
              <w:widowControl/>
              <w:jc w:val="center"/>
              <w:rPr>
                <w:color w:val="000000"/>
                <w:kern w:val="0"/>
                <w:sz w:val="22"/>
                <w:highlight w:val="none"/>
              </w:rPr>
            </w:pPr>
            <w:r>
              <w:rPr>
                <w:color w:val="000000"/>
                <w:kern w:val="0"/>
                <w:sz w:val="22"/>
                <w:highlight w:val="none"/>
              </w:rPr>
              <w:t>WLDM8-4KA</w:t>
            </w:r>
          </w:p>
        </w:tc>
        <w:tc>
          <w:tcPr>
            <w:tcW w:w="709" w:type="dxa"/>
            <w:shd w:val="clear" w:color="000000" w:fill="FFFFFF"/>
            <w:vAlign w:val="center"/>
          </w:tcPr>
          <w:p w14:paraId="528FDA45">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73B557AA">
            <w:pPr>
              <w:widowControl/>
              <w:jc w:val="center"/>
              <w:rPr>
                <w:color w:val="000000"/>
                <w:kern w:val="0"/>
                <w:sz w:val="22"/>
                <w:highlight w:val="none"/>
              </w:rPr>
            </w:pPr>
            <w:r>
              <w:rPr>
                <w:color w:val="000000"/>
                <w:kern w:val="0"/>
                <w:sz w:val="22"/>
                <w:highlight w:val="none"/>
              </w:rPr>
              <w:t>12</w:t>
            </w:r>
          </w:p>
        </w:tc>
      </w:tr>
      <w:tr w14:paraId="72CB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restart"/>
            <w:shd w:val="clear" w:color="000000" w:fill="FFFFFF"/>
            <w:vAlign w:val="center"/>
          </w:tcPr>
          <w:p w14:paraId="4F1A716E">
            <w:pPr>
              <w:widowControl/>
              <w:jc w:val="center"/>
              <w:rPr>
                <w:color w:val="000000"/>
                <w:kern w:val="0"/>
                <w:sz w:val="22"/>
                <w:highlight w:val="none"/>
              </w:rPr>
            </w:pPr>
            <w:r>
              <w:rPr>
                <w:color w:val="000000"/>
                <w:kern w:val="0"/>
                <w:sz w:val="22"/>
                <w:highlight w:val="none"/>
              </w:rPr>
              <w:t>5.4</w:t>
            </w:r>
          </w:p>
        </w:tc>
        <w:tc>
          <w:tcPr>
            <w:tcW w:w="1628" w:type="dxa"/>
            <w:vMerge w:val="restart"/>
            <w:shd w:val="clear" w:color="000000" w:fill="FFFFFF"/>
            <w:vAlign w:val="center"/>
          </w:tcPr>
          <w:p w14:paraId="447E6BB7">
            <w:pPr>
              <w:widowControl/>
              <w:jc w:val="left"/>
              <w:rPr>
                <w:color w:val="000000"/>
                <w:kern w:val="0"/>
                <w:sz w:val="22"/>
                <w:highlight w:val="none"/>
              </w:rPr>
            </w:pPr>
            <w:r>
              <w:rPr>
                <w:color w:val="000000"/>
                <w:kern w:val="0"/>
                <w:sz w:val="22"/>
                <w:highlight w:val="none"/>
              </w:rPr>
              <w:t>前端存储</w:t>
            </w:r>
          </w:p>
        </w:tc>
        <w:tc>
          <w:tcPr>
            <w:tcW w:w="1559" w:type="dxa"/>
            <w:shd w:val="clear" w:color="000000" w:fill="FFFFFF"/>
            <w:vAlign w:val="center"/>
          </w:tcPr>
          <w:p w14:paraId="40F734C1">
            <w:pPr>
              <w:widowControl/>
              <w:jc w:val="left"/>
              <w:rPr>
                <w:color w:val="000000"/>
                <w:kern w:val="0"/>
                <w:sz w:val="22"/>
                <w:highlight w:val="none"/>
              </w:rPr>
            </w:pPr>
            <w:r>
              <w:rPr>
                <w:color w:val="000000"/>
                <w:kern w:val="0"/>
                <w:sz w:val="22"/>
                <w:highlight w:val="none"/>
              </w:rPr>
              <w:t>硬盘录像机</w:t>
            </w:r>
          </w:p>
        </w:tc>
        <w:tc>
          <w:tcPr>
            <w:tcW w:w="2977" w:type="dxa"/>
            <w:shd w:val="clear" w:color="000000" w:fill="FFFFFF"/>
            <w:vAlign w:val="center"/>
          </w:tcPr>
          <w:p w14:paraId="66AFB1D1">
            <w:pPr>
              <w:widowControl/>
              <w:jc w:val="center"/>
              <w:rPr>
                <w:color w:val="000000"/>
                <w:kern w:val="0"/>
                <w:sz w:val="22"/>
                <w:highlight w:val="none"/>
              </w:rPr>
            </w:pPr>
            <w:r>
              <w:rPr>
                <w:color w:val="000000"/>
                <w:kern w:val="0"/>
                <w:sz w:val="22"/>
                <w:highlight w:val="none"/>
              </w:rPr>
              <w:t>DS-7804HQH-SH/RTG</w:t>
            </w:r>
          </w:p>
        </w:tc>
        <w:tc>
          <w:tcPr>
            <w:tcW w:w="709" w:type="dxa"/>
            <w:shd w:val="clear" w:color="000000" w:fill="FFFFFF"/>
            <w:vAlign w:val="center"/>
          </w:tcPr>
          <w:p w14:paraId="7D4599BB">
            <w:pPr>
              <w:widowControl/>
              <w:jc w:val="center"/>
              <w:rPr>
                <w:color w:val="000000"/>
                <w:kern w:val="0"/>
                <w:sz w:val="22"/>
                <w:highlight w:val="none"/>
              </w:rPr>
            </w:pPr>
            <w:r>
              <w:rPr>
                <w:color w:val="000000"/>
                <w:kern w:val="0"/>
                <w:sz w:val="22"/>
                <w:highlight w:val="none"/>
              </w:rPr>
              <w:t>块</w:t>
            </w:r>
          </w:p>
        </w:tc>
        <w:tc>
          <w:tcPr>
            <w:tcW w:w="646" w:type="dxa"/>
            <w:shd w:val="clear" w:color="000000" w:fill="FFFFFF"/>
            <w:vAlign w:val="center"/>
          </w:tcPr>
          <w:p w14:paraId="72278FF8">
            <w:pPr>
              <w:widowControl/>
              <w:jc w:val="center"/>
              <w:rPr>
                <w:color w:val="000000"/>
                <w:kern w:val="0"/>
                <w:sz w:val="22"/>
                <w:highlight w:val="none"/>
              </w:rPr>
            </w:pPr>
            <w:r>
              <w:rPr>
                <w:color w:val="000000"/>
                <w:kern w:val="0"/>
                <w:sz w:val="22"/>
                <w:highlight w:val="none"/>
              </w:rPr>
              <w:t>12</w:t>
            </w:r>
          </w:p>
        </w:tc>
      </w:tr>
      <w:tr w14:paraId="0579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739D5075">
            <w:pPr>
              <w:widowControl/>
              <w:jc w:val="left"/>
              <w:rPr>
                <w:color w:val="000000"/>
                <w:kern w:val="0"/>
                <w:sz w:val="22"/>
                <w:highlight w:val="none"/>
              </w:rPr>
            </w:pPr>
          </w:p>
        </w:tc>
        <w:tc>
          <w:tcPr>
            <w:tcW w:w="1628" w:type="dxa"/>
            <w:vMerge w:val="continue"/>
            <w:vAlign w:val="center"/>
          </w:tcPr>
          <w:p w14:paraId="7524A0CC">
            <w:pPr>
              <w:widowControl/>
              <w:jc w:val="left"/>
              <w:rPr>
                <w:color w:val="000000"/>
                <w:kern w:val="0"/>
                <w:sz w:val="22"/>
                <w:highlight w:val="none"/>
              </w:rPr>
            </w:pPr>
          </w:p>
        </w:tc>
        <w:tc>
          <w:tcPr>
            <w:tcW w:w="1559" w:type="dxa"/>
            <w:shd w:val="clear" w:color="000000" w:fill="FFFFFF"/>
            <w:vAlign w:val="center"/>
          </w:tcPr>
          <w:p w14:paraId="19399B89">
            <w:pPr>
              <w:widowControl/>
              <w:jc w:val="left"/>
              <w:rPr>
                <w:color w:val="000000"/>
                <w:kern w:val="0"/>
                <w:sz w:val="22"/>
                <w:highlight w:val="none"/>
              </w:rPr>
            </w:pPr>
            <w:r>
              <w:rPr>
                <w:color w:val="000000"/>
                <w:kern w:val="0"/>
                <w:sz w:val="22"/>
                <w:highlight w:val="none"/>
              </w:rPr>
              <w:t>2T硬盘</w:t>
            </w:r>
          </w:p>
        </w:tc>
        <w:tc>
          <w:tcPr>
            <w:tcW w:w="2977" w:type="dxa"/>
            <w:shd w:val="clear" w:color="000000" w:fill="FFFFFF"/>
            <w:vAlign w:val="center"/>
          </w:tcPr>
          <w:p w14:paraId="5210A020">
            <w:pPr>
              <w:widowControl/>
              <w:jc w:val="center"/>
              <w:rPr>
                <w:color w:val="000000"/>
                <w:kern w:val="0"/>
                <w:sz w:val="22"/>
                <w:highlight w:val="none"/>
              </w:rPr>
            </w:pPr>
            <w:r>
              <w:rPr>
                <w:color w:val="000000"/>
                <w:kern w:val="0"/>
                <w:sz w:val="22"/>
                <w:highlight w:val="none"/>
              </w:rPr>
              <w:t>ST2000VX000</w:t>
            </w:r>
          </w:p>
        </w:tc>
        <w:tc>
          <w:tcPr>
            <w:tcW w:w="709" w:type="dxa"/>
            <w:shd w:val="clear" w:color="000000" w:fill="FFFFFF"/>
            <w:vAlign w:val="center"/>
          </w:tcPr>
          <w:p w14:paraId="62DBBECB">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2333636A">
            <w:pPr>
              <w:widowControl/>
              <w:jc w:val="center"/>
              <w:rPr>
                <w:color w:val="000000"/>
                <w:kern w:val="0"/>
                <w:sz w:val="22"/>
                <w:highlight w:val="none"/>
              </w:rPr>
            </w:pPr>
            <w:r>
              <w:rPr>
                <w:color w:val="000000"/>
                <w:kern w:val="0"/>
                <w:sz w:val="22"/>
                <w:highlight w:val="none"/>
              </w:rPr>
              <w:t>12</w:t>
            </w:r>
          </w:p>
        </w:tc>
      </w:tr>
      <w:tr w14:paraId="1FF17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64A2CE1">
            <w:pPr>
              <w:widowControl/>
              <w:jc w:val="center"/>
              <w:rPr>
                <w:color w:val="000000"/>
                <w:kern w:val="0"/>
                <w:sz w:val="22"/>
                <w:highlight w:val="none"/>
              </w:rPr>
            </w:pPr>
            <w:r>
              <w:rPr>
                <w:color w:val="000000"/>
                <w:kern w:val="0"/>
                <w:sz w:val="22"/>
                <w:highlight w:val="none"/>
              </w:rPr>
              <w:t>5.5</w:t>
            </w:r>
          </w:p>
        </w:tc>
        <w:tc>
          <w:tcPr>
            <w:tcW w:w="3187" w:type="dxa"/>
            <w:gridSpan w:val="2"/>
            <w:shd w:val="clear" w:color="000000" w:fill="FFFFFF"/>
            <w:vAlign w:val="center"/>
          </w:tcPr>
          <w:p w14:paraId="06A88603">
            <w:pPr>
              <w:widowControl/>
              <w:jc w:val="left"/>
              <w:rPr>
                <w:color w:val="000000"/>
                <w:kern w:val="0"/>
                <w:sz w:val="22"/>
                <w:highlight w:val="none"/>
              </w:rPr>
            </w:pPr>
            <w:r>
              <w:rPr>
                <w:color w:val="000000"/>
                <w:kern w:val="0"/>
                <w:sz w:val="22"/>
                <w:highlight w:val="none"/>
              </w:rPr>
              <w:t>工业交换机</w:t>
            </w:r>
          </w:p>
        </w:tc>
        <w:tc>
          <w:tcPr>
            <w:tcW w:w="2977" w:type="dxa"/>
            <w:shd w:val="clear" w:color="000000" w:fill="FFFFFF"/>
            <w:vAlign w:val="center"/>
          </w:tcPr>
          <w:p w14:paraId="0A29E581">
            <w:pPr>
              <w:widowControl/>
              <w:jc w:val="center"/>
              <w:rPr>
                <w:color w:val="000000"/>
                <w:kern w:val="0"/>
                <w:sz w:val="22"/>
                <w:highlight w:val="none"/>
              </w:rPr>
            </w:pPr>
            <w:r>
              <w:rPr>
                <w:color w:val="000000"/>
                <w:kern w:val="0"/>
                <w:sz w:val="22"/>
                <w:highlight w:val="none"/>
              </w:rPr>
              <w:t>GazelleS1010i-4FX-6FE-S1-DCW48</w:t>
            </w:r>
          </w:p>
        </w:tc>
        <w:tc>
          <w:tcPr>
            <w:tcW w:w="709" w:type="dxa"/>
            <w:shd w:val="clear" w:color="000000" w:fill="FFFFFF"/>
            <w:vAlign w:val="center"/>
          </w:tcPr>
          <w:p w14:paraId="04563320">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79F3FB02">
            <w:pPr>
              <w:widowControl/>
              <w:jc w:val="center"/>
              <w:rPr>
                <w:color w:val="000000"/>
                <w:kern w:val="0"/>
                <w:sz w:val="22"/>
                <w:highlight w:val="none"/>
              </w:rPr>
            </w:pPr>
            <w:r>
              <w:rPr>
                <w:color w:val="000000"/>
                <w:kern w:val="0"/>
                <w:sz w:val="22"/>
                <w:highlight w:val="none"/>
              </w:rPr>
              <w:t>12</w:t>
            </w:r>
          </w:p>
        </w:tc>
      </w:tr>
      <w:tr w14:paraId="0B93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D9F519F">
            <w:pPr>
              <w:widowControl/>
              <w:jc w:val="center"/>
              <w:rPr>
                <w:color w:val="000000"/>
                <w:kern w:val="0"/>
                <w:sz w:val="22"/>
                <w:highlight w:val="none"/>
              </w:rPr>
            </w:pPr>
            <w:r>
              <w:rPr>
                <w:color w:val="000000"/>
                <w:kern w:val="0"/>
                <w:sz w:val="22"/>
                <w:highlight w:val="none"/>
              </w:rPr>
              <w:t>5.6</w:t>
            </w:r>
          </w:p>
        </w:tc>
        <w:tc>
          <w:tcPr>
            <w:tcW w:w="3187" w:type="dxa"/>
            <w:gridSpan w:val="2"/>
            <w:shd w:val="clear" w:color="000000" w:fill="FFFFFF"/>
            <w:vAlign w:val="center"/>
          </w:tcPr>
          <w:p w14:paraId="340B0BD7">
            <w:pPr>
              <w:widowControl/>
              <w:jc w:val="left"/>
              <w:rPr>
                <w:color w:val="000000"/>
                <w:kern w:val="0"/>
                <w:sz w:val="22"/>
                <w:highlight w:val="none"/>
              </w:rPr>
            </w:pPr>
            <w:r>
              <w:rPr>
                <w:color w:val="000000"/>
                <w:kern w:val="0"/>
                <w:sz w:val="22"/>
                <w:highlight w:val="none"/>
              </w:rPr>
              <w:t>监控标识牌</w:t>
            </w:r>
          </w:p>
        </w:tc>
        <w:tc>
          <w:tcPr>
            <w:tcW w:w="2977" w:type="dxa"/>
            <w:shd w:val="clear" w:color="000000" w:fill="FFFFFF"/>
            <w:vAlign w:val="center"/>
          </w:tcPr>
          <w:p w14:paraId="26D21119">
            <w:pPr>
              <w:widowControl/>
              <w:jc w:val="center"/>
              <w:rPr>
                <w:color w:val="000000"/>
                <w:kern w:val="0"/>
                <w:sz w:val="22"/>
                <w:highlight w:val="none"/>
              </w:rPr>
            </w:pPr>
            <w:r>
              <w:rPr>
                <w:color w:val="000000"/>
                <w:kern w:val="0"/>
                <w:sz w:val="22"/>
                <w:highlight w:val="none"/>
              </w:rPr>
              <w:t>定制</w:t>
            </w:r>
          </w:p>
        </w:tc>
        <w:tc>
          <w:tcPr>
            <w:tcW w:w="709" w:type="dxa"/>
            <w:shd w:val="clear" w:color="000000" w:fill="FFFFFF"/>
            <w:vAlign w:val="center"/>
          </w:tcPr>
          <w:p w14:paraId="63E6A553">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226158AA">
            <w:pPr>
              <w:widowControl/>
              <w:jc w:val="center"/>
              <w:rPr>
                <w:color w:val="000000"/>
                <w:kern w:val="0"/>
                <w:sz w:val="22"/>
                <w:highlight w:val="none"/>
              </w:rPr>
            </w:pPr>
            <w:r>
              <w:rPr>
                <w:color w:val="000000"/>
                <w:kern w:val="0"/>
                <w:sz w:val="22"/>
                <w:highlight w:val="none"/>
              </w:rPr>
              <w:t>12</w:t>
            </w:r>
          </w:p>
        </w:tc>
      </w:tr>
      <w:tr w14:paraId="3FFE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B273102">
            <w:pPr>
              <w:widowControl/>
              <w:jc w:val="center"/>
              <w:rPr>
                <w:b/>
                <w:bCs/>
                <w:color w:val="000000"/>
                <w:kern w:val="0"/>
                <w:sz w:val="22"/>
                <w:highlight w:val="none"/>
              </w:rPr>
            </w:pPr>
            <w:r>
              <w:rPr>
                <w:b/>
                <w:bCs/>
                <w:color w:val="000000"/>
                <w:kern w:val="0"/>
                <w:sz w:val="22"/>
                <w:highlight w:val="none"/>
              </w:rPr>
              <w:t>（四）</w:t>
            </w:r>
          </w:p>
        </w:tc>
        <w:tc>
          <w:tcPr>
            <w:tcW w:w="0" w:type="auto"/>
            <w:gridSpan w:val="5"/>
            <w:shd w:val="clear" w:color="000000" w:fill="FFFFFF"/>
            <w:vAlign w:val="center"/>
          </w:tcPr>
          <w:p w14:paraId="198FE2DC">
            <w:pPr>
              <w:widowControl/>
              <w:jc w:val="left"/>
              <w:rPr>
                <w:b/>
                <w:bCs/>
                <w:color w:val="000000"/>
                <w:kern w:val="0"/>
                <w:sz w:val="22"/>
                <w:highlight w:val="none"/>
              </w:rPr>
            </w:pPr>
            <w:r>
              <w:rPr>
                <w:b/>
                <w:bCs/>
                <w:color w:val="000000"/>
                <w:kern w:val="0"/>
                <w:sz w:val="22"/>
                <w:highlight w:val="none"/>
              </w:rPr>
              <w:t>电子卡口系统运维</w:t>
            </w:r>
          </w:p>
        </w:tc>
      </w:tr>
      <w:tr w14:paraId="7DC42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D85991B">
            <w:pPr>
              <w:widowControl/>
              <w:jc w:val="center"/>
              <w:rPr>
                <w:b/>
                <w:bCs/>
                <w:color w:val="000000"/>
                <w:kern w:val="0"/>
                <w:sz w:val="22"/>
                <w:highlight w:val="none"/>
              </w:rPr>
            </w:pPr>
            <w:r>
              <w:rPr>
                <w:b/>
                <w:bCs/>
                <w:color w:val="000000"/>
                <w:kern w:val="0"/>
                <w:sz w:val="22"/>
                <w:highlight w:val="none"/>
              </w:rPr>
              <w:t>1</w:t>
            </w:r>
          </w:p>
        </w:tc>
        <w:tc>
          <w:tcPr>
            <w:tcW w:w="3187" w:type="dxa"/>
            <w:gridSpan w:val="2"/>
            <w:shd w:val="clear" w:color="000000" w:fill="FFFFFF"/>
            <w:vAlign w:val="center"/>
          </w:tcPr>
          <w:p w14:paraId="794F6836">
            <w:pPr>
              <w:widowControl/>
              <w:jc w:val="left"/>
              <w:rPr>
                <w:b/>
                <w:bCs/>
                <w:color w:val="000000"/>
                <w:kern w:val="0"/>
                <w:sz w:val="22"/>
                <w:highlight w:val="none"/>
              </w:rPr>
            </w:pPr>
            <w:r>
              <w:rPr>
                <w:b/>
                <w:bCs/>
                <w:color w:val="000000"/>
                <w:kern w:val="0"/>
                <w:sz w:val="22"/>
                <w:highlight w:val="none"/>
              </w:rPr>
              <w:t>电子卡口杆体及支架</w:t>
            </w:r>
          </w:p>
        </w:tc>
        <w:tc>
          <w:tcPr>
            <w:tcW w:w="2977" w:type="dxa"/>
            <w:shd w:val="clear" w:color="000000" w:fill="FFFFFF"/>
            <w:vAlign w:val="center"/>
          </w:tcPr>
          <w:p w14:paraId="765DE3CA">
            <w:pPr>
              <w:widowControl/>
              <w:jc w:val="center"/>
              <w:rPr>
                <w:b/>
                <w:bCs/>
                <w:color w:val="000000"/>
                <w:kern w:val="0"/>
                <w:sz w:val="22"/>
                <w:highlight w:val="none"/>
              </w:rPr>
            </w:pPr>
            <w:r>
              <w:rPr>
                <w:b/>
                <w:bCs/>
                <w:color w:val="000000"/>
                <w:kern w:val="0"/>
                <w:sz w:val="22"/>
                <w:highlight w:val="none"/>
              </w:rPr>
              <w:t>定制</w:t>
            </w:r>
          </w:p>
        </w:tc>
        <w:tc>
          <w:tcPr>
            <w:tcW w:w="709" w:type="dxa"/>
            <w:shd w:val="clear" w:color="000000" w:fill="FFFFFF"/>
            <w:vAlign w:val="center"/>
          </w:tcPr>
          <w:p w14:paraId="0AF8A61C">
            <w:pPr>
              <w:widowControl/>
              <w:jc w:val="center"/>
              <w:rPr>
                <w:b/>
                <w:bCs/>
                <w:color w:val="000000"/>
                <w:kern w:val="0"/>
                <w:sz w:val="22"/>
                <w:highlight w:val="none"/>
              </w:rPr>
            </w:pPr>
            <w:r>
              <w:rPr>
                <w:b/>
                <w:bCs/>
                <w:color w:val="000000"/>
                <w:kern w:val="0"/>
                <w:sz w:val="22"/>
                <w:highlight w:val="none"/>
              </w:rPr>
              <w:t>套</w:t>
            </w:r>
          </w:p>
        </w:tc>
        <w:tc>
          <w:tcPr>
            <w:tcW w:w="646" w:type="dxa"/>
            <w:shd w:val="clear" w:color="000000" w:fill="FFFFFF"/>
            <w:vAlign w:val="center"/>
          </w:tcPr>
          <w:p w14:paraId="00093F0A">
            <w:pPr>
              <w:widowControl/>
              <w:jc w:val="center"/>
              <w:rPr>
                <w:b/>
                <w:bCs/>
                <w:color w:val="000000"/>
                <w:kern w:val="0"/>
                <w:sz w:val="22"/>
                <w:highlight w:val="none"/>
              </w:rPr>
            </w:pPr>
            <w:r>
              <w:rPr>
                <w:b/>
                <w:bCs/>
                <w:color w:val="000000"/>
                <w:kern w:val="0"/>
                <w:sz w:val="22"/>
                <w:highlight w:val="none"/>
              </w:rPr>
              <w:t>42</w:t>
            </w:r>
          </w:p>
        </w:tc>
      </w:tr>
      <w:tr w14:paraId="24ED2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68D88797">
            <w:pPr>
              <w:widowControl/>
              <w:jc w:val="center"/>
              <w:rPr>
                <w:b/>
                <w:bCs/>
                <w:color w:val="000000"/>
                <w:kern w:val="0"/>
                <w:sz w:val="22"/>
                <w:highlight w:val="none"/>
              </w:rPr>
            </w:pPr>
            <w:r>
              <w:rPr>
                <w:b/>
                <w:bCs/>
                <w:color w:val="000000"/>
                <w:kern w:val="0"/>
                <w:sz w:val="22"/>
                <w:highlight w:val="none"/>
              </w:rPr>
              <w:t>2</w:t>
            </w:r>
          </w:p>
        </w:tc>
        <w:tc>
          <w:tcPr>
            <w:tcW w:w="0" w:type="auto"/>
            <w:gridSpan w:val="5"/>
            <w:shd w:val="clear" w:color="000000" w:fill="FFFFFF"/>
            <w:vAlign w:val="center"/>
          </w:tcPr>
          <w:p w14:paraId="55D69A60">
            <w:pPr>
              <w:widowControl/>
              <w:jc w:val="left"/>
              <w:rPr>
                <w:b/>
                <w:bCs/>
                <w:color w:val="000000"/>
                <w:kern w:val="0"/>
                <w:sz w:val="22"/>
                <w:highlight w:val="none"/>
              </w:rPr>
            </w:pPr>
            <w:r>
              <w:rPr>
                <w:b/>
                <w:bCs/>
                <w:color w:val="000000"/>
                <w:kern w:val="0"/>
                <w:sz w:val="22"/>
                <w:highlight w:val="none"/>
              </w:rPr>
              <w:t>摄像机</w:t>
            </w:r>
          </w:p>
        </w:tc>
      </w:tr>
      <w:tr w14:paraId="37CFA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restart"/>
            <w:shd w:val="clear" w:color="000000" w:fill="FFFFFF"/>
            <w:vAlign w:val="center"/>
          </w:tcPr>
          <w:p w14:paraId="39B01975">
            <w:pPr>
              <w:widowControl/>
              <w:jc w:val="center"/>
              <w:rPr>
                <w:color w:val="000000"/>
                <w:kern w:val="0"/>
                <w:sz w:val="22"/>
                <w:highlight w:val="none"/>
              </w:rPr>
            </w:pPr>
            <w:r>
              <w:rPr>
                <w:color w:val="000000"/>
                <w:kern w:val="0"/>
                <w:sz w:val="22"/>
                <w:highlight w:val="none"/>
              </w:rPr>
              <w:t>2.1</w:t>
            </w:r>
          </w:p>
        </w:tc>
        <w:tc>
          <w:tcPr>
            <w:tcW w:w="1628" w:type="dxa"/>
            <w:vMerge w:val="restart"/>
            <w:shd w:val="clear" w:color="000000" w:fill="FFFFFF"/>
            <w:vAlign w:val="center"/>
          </w:tcPr>
          <w:p w14:paraId="33CD600B">
            <w:pPr>
              <w:widowControl/>
              <w:jc w:val="left"/>
              <w:rPr>
                <w:color w:val="000000"/>
                <w:kern w:val="0"/>
                <w:sz w:val="22"/>
                <w:highlight w:val="none"/>
              </w:rPr>
            </w:pPr>
            <w:r>
              <w:rPr>
                <w:color w:val="000000"/>
                <w:kern w:val="0"/>
                <w:sz w:val="22"/>
                <w:highlight w:val="none"/>
              </w:rPr>
              <w:t>高清智能卡口摄像单元(或车辆牌照识别抓拍系统)</w:t>
            </w:r>
          </w:p>
        </w:tc>
        <w:tc>
          <w:tcPr>
            <w:tcW w:w="1559" w:type="dxa"/>
            <w:shd w:val="clear" w:color="000000" w:fill="FFFFFF"/>
            <w:vAlign w:val="center"/>
          </w:tcPr>
          <w:p w14:paraId="68EA44DC">
            <w:pPr>
              <w:widowControl/>
              <w:jc w:val="left"/>
              <w:rPr>
                <w:color w:val="000000"/>
                <w:kern w:val="0"/>
                <w:sz w:val="22"/>
                <w:highlight w:val="none"/>
              </w:rPr>
            </w:pPr>
            <w:r>
              <w:rPr>
                <w:color w:val="000000"/>
                <w:kern w:val="0"/>
                <w:sz w:val="22"/>
                <w:highlight w:val="none"/>
              </w:rPr>
              <w:t>相机</w:t>
            </w:r>
          </w:p>
        </w:tc>
        <w:tc>
          <w:tcPr>
            <w:tcW w:w="2977" w:type="dxa"/>
            <w:shd w:val="clear" w:color="000000" w:fill="FFFFFF"/>
            <w:vAlign w:val="center"/>
          </w:tcPr>
          <w:p w14:paraId="7E6094F8">
            <w:pPr>
              <w:widowControl/>
              <w:jc w:val="center"/>
              <w:rPr>
                <w:color w:val="000000"/>
                <w:kern w:val="0"/>
                <w:sz w:val="22"/>
                <w:highlight w:val="none"/>
              </w:rPr>
            </w:pPr>
            <w:r>
              <w:rPr>
                <w:color w:val="000000"/>
                <w:kern w:val="0"/>
                <w:sz w:val="22"/>
                <w:highlight w:val="none"/>
              </w:rPr>
              <w:t>VCU-7021-TK</w:t>
            </w:r>
          </w:p>
        </w:tc>
        <w:tc>
          <w:tcPr>
            <w:tcW w:w="709" w:type="dxa"/>
            <w:shd w:val="clear" w:color="000000" w:fill="FFFFFF"/>
            <w:vAlign w:val="center"/>
          </w:tcPr>
          <w:p w14:paraId="5A3FE142">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5FB181DB">
            <w:pPr>
              <w:widowControl/>
              <w:jc w:val="center"/>
              <w:rPr>
                <w:color w:val="000000"/>
                <w:kern w:val="0"/>
                <w:sz w:val="22"/>
                <w:highlight w:val="none"/>
              </w:rPr>
            </w:pPr>
            <w:r>
              <w:rPr>
                <w:color w:val="000000"/>
                <w:kern w:val="0"/>
                <w:sz w:val="22"/>
                <w:highlight w:val="none"/>
              </w:rPr>
              <w:t>49</w:t>
            </w:r>
          </w:p>
        </w:tc>
      </w:tr>
      <w:tr w14:paraId="50119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34A429B2">
            <w:pPr>
              <w:widowControl/>
              <w:jc w:val="left"/>
              <w:rPr>
                <w:color w:val="000000"/>
                <w:kern w:val="0"/>
                <w:sz w:val="22"/>
                <w:highlight w:val="none"/>
              </w:rPr>
            </w:pPr>
          </w:p>
        </w:tc>
        <w:tc>
          <w:tcPr>
            <w:tcW w:w="1628" w:type="dxa"/>
            <w:vMerge w:val="continue"/>
            <w:vAlign w:val="center"/>
          </w:tcPr>
          <w:p w14:paraId="18E05CBF">
            <w:pPr>
              <w:widowControl/>
              <w:jc w:val="left"/>
              <w:rPr>
                <w:color w:val="000000"/>
                <w:kern w:val="0"/>
                <w:sz w:val="22"/>
                <w:highlight w:val="none"/>
              </w:rPr>
            </w:pPr>
          </w:p>
        </w:tc>
        <w:tc>
          <w:tcPr>
            <w:tcW w:w="1559" w:type="dxa"/>
            <w:shd w:val="clear" w:color="000000" w:fill="FFFFFF"/>
            <w:vAlign w:val="center"/>
          </w:tcPr>
          <w:p w14:paraId="7252BF02">
            <w:pPr>
              <w:widowControl/>
              <w:jc w:val="left"/>
              <w:rPr>
                <w:color w:val="000000"/>
                <w:kern w:val="0"/>
                <w:sz w:val="22"/>
                <w:highlight w:val="none"/>
              </w:rPr>
            </w:pPr>
            <w:r>
              <w:rPr>
                <w:color w:val="000000"/>
                <w:kern w:val="0"/>
                <w:sz w:val="22"/>
                <w:highlight w:val="none"/>
              </w:rPr>
              <w:t>相机</w:t>
            </w:r>
          </w:p>
        </w:tc>
        <w:tc>
          <w:tcPr>
            <w:tcW w:w="2977" w:type="dxa"/>
            <w:shd w:val="clear" w:color="000000" w:fill="FFFFFF"/>
            <w:vAlign w:val="center"/>
          </w:tcPr>
          <w:p w14:paraId="6B76B5B2">
            <w:pPr>
              <w:widowControl/>
              <w:jc w:val="center"/>
              <w:rPr>
                <w:color w:val="000000"/>
                <w:kern w:val="0"/>
                <w:sz w:val="22"/>
                <w:highlight w:val="none"/>
              </w:rPr>
            </w:pPr>
            <w:r>
              <w:rPr>
                <w:color w:val="000000"/>
                <w:kern w:val="0"/>
                <w:sz w:val="22"/>
                <w:highlight w:val="none"/>
              </w:rPr>
              <w:t>DS-2CD9131-KS</w:t>
            </w:r>
          </w:p>
        </w:tc>
        <w:tc>
          <w:tcPr>
            <w:tcW w:w="709" w:type="dxa"/>
            <w:shd w:val="clear" w:color="000000" w:fill="FFFFFF"/>
            <w:vAlign w:val="center"/>
          </w:tcPr>
          <w:p w14:paraId="4425652D">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69A73E65">
            <w:pPr>
              <w:widowControl/>
              <w:jc w:val="center"/>
              <w:rPr>
                <w:color w:val="000000"/>
                <w:kern w:val="0"/>
                <w:sz w:val="22"/>
                <w:highlight w:val="none"/>
              </w:rPr>
            </w:pPr>
            <w:r>
              <w:rPr>
                <w:color w:val="000000"/>
                <w:kern w:val="0"/>
                <w:sz w:val="22"/>
                <w:highlight w:val="none"/>
              </w:rPr>
              <w:t>34</w:t>
            </w:r>
          </w:p>
        </w:tc>
      </w:tr>
      <w:tr w14:paraId="136F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4E69E34E">
            <w:pPr>
              <w:widowControl/>
              <w:jc w:val="left"/>
              <w:rPr>
                <w:color w:val="000000"/>
                <w:kern w:val="0"/>
                <w:sz w:val="22"/>
                <w:highlight w:val="none"/>
              </w:rPr>
            </w:pPr>
          </w:p>
        </w:tc>
        <w:tc>
          <w:tcPr>
            <w:tcW w:w="1628" w:type="dxa"/>
            <w:vMerge w:val="continue"/>
            <w:vAlign w:val="center"/>
          </w:tcPr>
          <w:p w14:paraId="4F420C57">
            <w:pPr>
              <w:widowControl/>
              <w:jc w:val="left"/>
              <w:rPr>
                <w:color w:val="000000"/>
                <w:kern w:val="0"/>
                <w:sz w:val="22"/>
                <w:highlight w:val="none"/>
              </w:rPr>
            </w:pPr>
          </w:p>
        </w:tc>
        <w:tc>
          <w:tcPr>
            <w:tcW w:w="1559" w:type="dxa"/>
            <w:shd w:val="clear" w:color="000000" w:fill="FFFFFF"/>
            <w:vAlign w:val="center"/>
          </w:tcPr>
          <w:p w14:paraId="33E039C0">
            <w:pPr>
              <w:widowControl/>
              <w:jc w:val="left"/>
              <w:rPr>
                <w:color w:val="000000"/>
                <w:kern w:val="0"/>
                <w:sz w:val="22"/>
                <w:highlight w:val="none"/>
              </w:rPr>
            </w:pPr>
            <w:r>
              <w:rPr>
                <w:color w:val="000000"/>
                <w:kern w:val="0"/>
                <w:sz w:val="22"/>
                <w:highlight w:val="none"/>
              </w:rPr>
              <w:t>相机</w:t>
            </w:r>
          </w:p>
        </w:tc>
        <w:tc>
          <w:tcPr>
            <w:tcW w:w="2977" w:type="dxa"/>
            <w:shd w:val="clear" w:color="000000" w:fill="FFFFFF"/>
            <w:vAlign w:val="center"/>
          </w:tcPr>
          <w:p w14:paraId="3C1453EA">
            <w:pPr>
              <w:widowControl/>
              <w:jc w:val="center"/>
              <w:rPr>
                <w:color w:val="000000"/>
                <w:kern w:val="0"/>
                <w:sz w:val="22"/>
                <w:highlight w:val="none"/>
              </w:rPr>
            </w:pPr>
            <w:r>
              <w:rPr>
                <w:color w:val="000000"/>
                <w:kern w:val="0"/>
                <w:sz w:val="22"/>
                <w:highlight w:val="none"/>
              </w:rPr>
              <w:t>iDS-2CD9136-ES</w:t>
            </w:r>
          </w:p>
        </w:tc>
        <w:tc>
          <w:tcPr>
            <w:tcW w:w="709" w:type="dxa"/>
            <w:shd w:val="clear" w:color="000000" w:fill="FFFFFF"/>
            <w:vAlign w:val="center"/>
          </w:tcPr>
          <w:p w14:paraId="72E417B0">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336DB96B">
            <w:pPr>
              <w:widowControl/>
              <w:jc w:val="center"/>
              <w:rPr>
                <w:color w:val="000000"/>
                <w:kern w:val="0"/>
                <w:sz w:val="22"/>
                <w:highlight w:val="none"/>
              </w:rPr>
            </w:pPr>
            <w:r>
              <w:rPr>
                <w:color w:val="000000"/>
                <w:kern w:val="0"/>
                <w:sz w:val="22"/>
                <w:highlight w:val="none"/>
              </w:rPr>
              <w:t>3</w:t>
            </w:r>
          </w:p>
        </w:tc>
      </w:tr>
      <w:tr w14:paraId="18D6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25AE8CA8">
            <w:pPr>
              <w:widowControl/>
              <w:jc w:val="left"/>
              <w:rPr>
                <w:color w:val="000000"/>
                <w:kern w:val="0"/>
                <w:sz w:val="22"/>
                <w:highlight w:val="none"/>
              </w:rPr>
            </w:pPr>
          </w:p>
        </w:tc>
        <w:tc>
          <w:tcPr>
            <w:tcW w:w="1628" w:type="dxa"/>
            <w:vMerge w:val="continue"/>
            <w:vAlign w:val="center"/>
          </w:tcPr>
          <w:p w14:paraId="3456CEA4">
            <w:pPr>
              <w:widowControl/>
              <w:jc w:val="left"/>
              <w:rPr>
                <w:color w:val="000000"/>
                <w:kern w:val="0"/>
                <w:sz w:val="22"/>
                <w:highlight w:val="none"/>
              </w:rPr>
            </w:pPr>
          </w:p>
        </w:tc>
        <w:tc>
          <w:tcPr>
            <w:tcW w:w="1559" w:type="dxa"/>
            <w:shd w:val="clear" w:color="000000" w:fill="FFFFFF"/>
            <w:vAlign w:val="center"/>
          </w:tcPr>
          <w:p w14:paraId="0142399B">
            <w:pPr>
              <w:widowControl/>
              <w:jc w:val="left"/>
              <w:rPr>
                <w:color w:val="000000"/>
                <w:kern w:val="0"/>
                <w:sz w:val="22"/>
                <w:highlight w:val="none"/>
              </w:rPr>
            </w:pPr>
            <w:r>
              <w:rPr>
                <w:color w:val="000000"/>
                <w:kern w:val="0"/>
                <w:sz w:val="22"/>
                <w:highlight w:val="none"/>
              </w:rPr>
              <w:t>补光灯</w:t>
            </w:r>
          </w:p>
        </w:tc>
        <w:tc>
          <w:tcPr>
            <w:tcW w:w="2977" w:type="dxa"/>
            <w:shd w:val="clear" w:color="000000" w:fill="FFFFFF"/>
            <w:vAlign w:val="center"/>
          </w:tcPr>
          <w:p w14:paraId="64A8A27C">
            <w:pPr>
              <w:widowControl/>
              <w:jc w:val="center"/>
              <w:rPr>
                <w:color w:val="000000"/>
                <w:kern w:val="0"/>
                <w:sz w:val="22"/>
                <w:highlight w:val="none"/>
              </w:rPr>
            </w:pPr>
            <w:r>
              <w:rPr>
                <w:color w:val="000000"/>
                <w:kern w:val="0"/>
                <w:sz w:val="22"/>
                <w:highlight w:val="none"/>
              </w:rPr>
              <w:t>SL-1211</w:t>
            </w:r>
          </w:p>
        </w:tc>
        <w:tc>
          <w:tcPr>
            <w:tcW w:w="709" w:type="dxa"/>
            <w:shd w:val="clear" w:color="000000" w:fill="FFFFFF"/>
            <w:vAlign w:val="center"/>
          </w:tcPr>
          <w:p w14:paraId="346E4B36">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06482598">
            <w:pPr>
              <w:widowControl/>
              <w:jc w:val="center"/>
              <w:rPr>
                <w:color w:val="000000"/>
                <w:kern w:val="0"/>
                <w:sz w:val="22"/>
                <w:highlight w:val="none"/>
              </w:rPr>
            </w:pPr>
            <w:r>
              <w:rPr>
                <w:color w:val="000000"/>
                <w:kern w:val="0"/>
                <w:sz w:val="22"/>
                <w:highlight w:val="none"/>
              </w:rPr>
              <w:t>86</w:t>
            </w:r>
          </w:p>
        </w:tc>
      </w:tr>
      <w:tr w14:paraId="186F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AB1FF98">
            <w:pPr>
              <w:widowControl/>
              <w:jc w:val="center"/>
              <w:rPr>
                <w:color w:val="000000"/>
                <w:kern w:val="0"/>
                <w:sz w:val="22"/>
                <w:highlight w:val="none"/>
              </w:rPr>
            </w:pPr>
            <w:r>
              <w:rPr>
                <w:color w:val="000000"/>
                <w:kern w:val="0"/>
                <w:sz w:val="22"/>
                <w:highlight w:val="none"/>
              </w:rPr>
              <w:t>2.2</w:t>
            </w:r>
          </w:p>
        </w:tc>
        <w:tc>
          <w:tcPr>
            <w:tcW w:w="3187" w:type="dxa"/>
            <w:gridSpan w:val="2"/>
            <w:shd w:val="clear" w:color="000000" w:fill="FFFFFF"/>
            <w:vAlign w:val="center"/>
          </w:tcPr>
          <w:p w14:paraId="69A7287B">
            <w:pPr>
              <w:widowControl/>
              <w:jc w:val="left"/>
              <w:rPr>
                <w:color w:val="000000"/>
                <w:kern w:val="0"/>
                <w:sz w:val="22"/>
                <w:highlight w:val="none"/>
              </w:rPr>
            </w:pPr>
            <w:r>
              <w:rPr>
                <w:color w:val="000000"/>
                <w:kern w:val="0"/>
                <w:sz w:val="22"/>
                <w:highlight w:val="none"/>
              </w:rPr>
              <w:t>正反向全景摄像机</w:t>
            </w:r>
          </w:p>
        </w:tc>
        <w:tc>
          <w:tcPr>
            <w:tcW w:w="2977" w:type="dxa"/>
            <w:shd w:val="clear" w:color="000000" w:fill="FFFFFF"/>
            <w:vAlign w:val="center"/>
          </w:tcPr>
          <w:p w14:paraId="4CC8F4B6">
            <w:pPr>
              <w:widowControl/>
              <w:jc w:val="center"/>
              <w:rPr>
                <w:color w:val="000000"/>
                <w:kern w:val="0"/>
                <w:sz w:val="22"/>
                <w:highlight w:val="none"/>
              </w:rPr>
            </w:pPr>
            <w:r>
              <w:rPr>
                <w:color w:val="000000"/>
                <w:kern w:val="0"/>
                <w:sz w:val="22"/>
                <w:highlight w:val="none"/>
              </w:rPr>
              <w:t>DSI-2KV-TPJF</w:t>
            </w:r>
          </w:p>
        </w:tc>
        <w:tc>
          <w:tcPr>
            <w:tcW w:w="709" w:type="dxa"/>
            <w:shd w:val="clear" w:color="000000" w:fill="FFFFFF"/>
            <w:vAlign w:val="center"/>
          </w:tcPr>
          <w:p w14:paraId="5460D7E3">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2246FD47">
            <w:pPr>
              <w:widowControl/>
              <w:jc w:val="center"/>
              <w:rPr>
                <w:color w:val="000000"/>
                <w:kern w:val="0"/>
                <w:sz w:val="22"/>
                <w:highlight w:val="none"/>
              </w:rPr>
            </w:pPr>
            <w:r>
              <w:rPr>
                <w:color w:val="000000"/>
                <w:kern w:val="0"/>
                <w:sz w:val="22"/>
                <w:highlight w:val="none"/>
              </w:rPr>
              <w:t>57</w:t>
            </w:r>
          </w:p>
        </w:tc>
      </w:tr>
      <w:tr w14:paraId="2805C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162CD53">
            <w:pPr>
              <w:widowControl/>
              <w:jc w:val="center"/>
              <w:rPr>
                <w:color w:val="000000"/>
                <w:kern w:val="0"/>
                <w:sz w:val="22"/>
                <w:highlight w:val="none"/>
              </w:rPr>
            </w:pPr>
            <w:r>
              <w:rPr>
                <w:color w:val="000000"/>
                <w:kern w:val="0"/>
                <w:sz w:val="22"/>
                <w:highlight w:val="none"/>
              </w:rPr>
              <w:t>2.3</w:t>
            </w:r>
          </w:p>
        </w:tc>
        <w:tc>
          <w:tcPr>
            <w:tcW w:w="3187" w:type="dxa"/>
            <w:gridSpan w:val="2"/>
            <w:shd w:val="clear" w:color="000000" w:fill="FFFFFF"/>
            <w:vAlign w:val="center"/>
          </w:tcPr>
          <w:p w14:paraId="466BA4DF">
            <w:pPr>
              <w:widowControl/>
              <w:jc w:val="left"/>
              <w:rPr>
                <w:color w:val="000000"/>
                <w:kern w:val="0"/>
                <w:sz w:val="22"/>
                <w:highlight w:val="none"/>
              </w:rPr>
            </w:pPr>
            <w:r>
              <w:rPr>
                <w:color w:val="000000"/>
                <w:kern w:val="0"/>
                <w:sz w:val="22"/>
                <w:highlight w:val="none"/>
              </w:rPr>
              <w:t>高清网终摄像机(用于枪式防护罩)</w:t>
            </w:r>
          </w:p>
        </w:tc>
        <w:tc>
          <w:tcPr>
            <w:tcW w:w="2977" w:type="dxa"/>
            <w:shd w:val="clear" w:color="000000" w:fill="FFFFFF"/>
            <w:vAlign w:val="center"/>
          </w:tcPr>
          <w:p w14:paraId="2AA0CFF0">
            <w:pPr>
              <w:widowControl/>
              <w:jc w:val="center"/>
              <w:rPr>
                <w:color w:val="000000"/>
                <w:kern w:val="0"/>
                <w:sz w:val="22"/>
                <w:highlight w:val="none"/>
              </w:rPr>
            </w:pPr>
            <w:r>
              <w:rPr>
                <w:color w:val="000000"/>
                <w:kern w:val="0"/>
                <w:sz w:val="22"/>
                <w:highlight w:val="none"/>
              </w:rPr>
              <w:t>DSI-2FW-TPJF</w:t>
            </w:r>
          </w:p>
        </w:tc>
        <w:tc>
          <w:tcPr>
            <w:tcW w:w="709" w:type="dxa"/>
            <w:shd w:val="clear" w:color="000000" w:fill="FFFFFF"/>
            <w:vAlign w:val="center"/>
          </w:tcPr>
          <w:p w14:paraId="7655EFB8">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59DA5543">
            <w:pPr>
              <w:widowControl/>
              <w:jc w:val="center"/>
              <w:rPr>
                <w:color w:val="000000"/>
                <w:kern w:val="0"/>
                <w:sz w:val="22"/>
                <w:highlight w:val="none"/>
              </w:rPr>
            </w:pPr>
            <w:r>
              <w:rPr>
                <w:color w:val="000000"/>
                <w:kern w:val="0"/>
                <w:sz w:val="22"/>
                <w:highlight w:val="none"/>
              </w:rPr>
              <w:t>5</w:t>
            </w:r>
          </w:p>
        </w:tc>
      </w:tr>
      <w:tr w14:paraId="3414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0FFC0A9">
            <w:pPr>
              <w:widowControl/>
              <w:jc w:val="center"/>
              <w:rPr>
                <w:b/>
                <w:bCs/>
                <w:color w:val="000000"/>
                <w:kern w:val="0"/>
                <w:sz w:val="22"/>
                <w:highlight w:val="none"/>
              </w:rPr>
            </w:pPr>
            <w:r>
              <w:rPr>
                <w:b/>
                <w:bCs/>
                <w:color w:val="000000"/>
                <w:kern w:val="0"/>
                <w:sz w:val="22"/>
                <w:highlight w:val="none"/>
              </w:rPr>
              <w:t>3</w:t>
            </w:r>
          </w:p>
        </w:tc>
        <w:tc>
          <w:tcPr>
            <w:tcW w:w="3187" w:type="dxa"/>
            <w:gridSpan w:val="2"/>
            <w:shd w:val="clear" w:color="000000" w:fill="FFFFFF"/>
            <w:vAlign w:val="center"/>
          </w:tcPr>
          <w:p w14:paraId="6E8ED64E">
            <w:pPr>
              <w:widowControl/>
              <w:jc w:val="left"/>
              <w:rPr>
                <w:b/>
                <w:bCs/>
                <w:color w:val="000000"/>
                <w:kern w:val="0"/>
                <w:sz w:val="22"/>
                <w:highlight w:val="none"/>
              </w:rPr>
            </w:pPr>
            <w:r>
              <w:rPr>
                <w:b/>
                <w:bCs/>
                <w:color w:val="000000"/>
                <w:kern w:val="0"/>
                <w:sz w:val="22"/>
                <w:highlight w:val="none"/>
              </w:rPr>
              <w:t>高清手动变焦镜头</w:t>
            </w:r>
          </w:p>
        </w:tc>
        <w:tc>
          <w:tcPr>
            <w:tcW w:w="2977" w:type="dxa"/>
            <w:shd w:val="clear" w:color="000000" w:fill="FFFFFF"/>
            <w:vAlign w:val="center"/>
          </w:tcPr>
          <w:p w14:paraId="78C0500A">
            <w:pPr>
              <w:widowControl/>
              <w:jc w:val="center"/>
              <w:rPr>
                <w:b/>
                <w:bCs/>
                <w:color w:val="000000"/>
                <w:kern w:val="0"/>
                <w:sz w:val="22"/>
                <w:highlight w:val="none"/>
              </w:rPr>
            </w:pPr>
            <w:r>
              <w:rPr>
                <w:b/>
                <w:bCs/>
                <w:color w:val="000000"/>
                <w:kern w:val="0"/>
                <w:sz w:val="22"/>
                <w:highlight w:val="none"/>
              </w:rPr>
              <w:t>DV4x12.5SR4A-SA1L</w:t>
            </w:r>
          </w:p>
        </w:tc>
        <w:tc>
          <w:tcPr>
            <w:tcW w:w="709" w:type="dxa"/>
            <w:shd w:val="clear" w:color="000000" w:fill="FFFFFF"/>
            <w:vAlign w:val="center"/>
          </w:tcPr>
          <w:p w14:paraId="04CB95FC">
            <w:pPr>
              <w:widowControl/>
              <w:jc w:val="center"/>
              <w:rPr>
                <w:b/>
                <w:bCs/>
                <w:color w:val="000000"/>
                <w:kern w:val="0"/>
                <w:sz w:val="22"/>
                <w:highlight w:val="none"/>
              </w:rPr>
            </w:pPr>
            <w:r>
              <w:rPr>
                <w:b/>
                <w:bCs/>
                <w:color w:val="000000"/>
                <w:kern w:val="0"/>
                <w:sz w:val="22"/>
                <w:highlight w:val="none"/>
              </w:rPr>
              <w:t>台</w:t>
            </w:r>
          </w:p>
        </w:tc>
        <w:tc>
          <w:tcPr>
            <w:tcW w:w="646" w:type="dxa"/>
            <w:shd w:val="clear" w:color="000000" w:fill="FFFFFF"/>
            <w:vAlign w:val="center"/>
          </w:tcPr>
          <w:p w14:paraId="11458BE3">
            <w:pPr>
              <w:widowControl/>
              <w:jc w:val="center"/>
              <w:rPr>
                <w:b/>
                <w:bCs/>
                <w:color w:val="000000"/>
                <w:kern w:val="0"/>
                <w:sz w:val="22"/>
                <w:highlight w:val="none"/>
              </w:rPr>
            </w:pPr>
            <w:r>
              <w:rPr>
                <w:b/>
                <w:bCs/>
                <w:color w:val="000000"/>
                <w:kern w:val="0"/>
                <w:sz w:val="22"/>
                <w:highlight w:val="none"/>
              </w:rPr>
              <w:t>62</w:t>
            </w:r>
          </w:p>
        </w:tc>
      </w:tr>
      <w:tr w14:paraId="37A4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8A0554D">
            <w:pPr>
              <w:widowControl/>
              <w:jc w:val="center"/>
              <w:rPr>
                <w:b/>
                <w:bCs/>
                <w:color w:val="000000"/>
                <w:kern w:val="0"/>
                <w:sz w:val="22"/>
                <w:highlight w:val="none"/>
              </w:rPr>
            </w:pPr>
            <w:r>
              <w:rPr>
                <w:b/>
                <w:bCs/>
                <w:color w:val="000000"/>
                <w:kern w:val="0"/>
                <w:sz w:val="22"/>
                <w:highlight w:val="none"/>
              </w:rPr>
              <w:t>4</w:t>
            </w:r>
          </w:p>
        </w:tc>
        <w:tc>
          <w:tcPr>
            <w:tcW w:w="3187" w:type="dxa"/>
            <w:gridSpan w:val="2"/>
            <w:shd w:val="clear" w:color="000000" w:fill="FFFFFF"/>
            <w:vAlign w:val="center"/>
          </w:tcPr>
          <w:p w14:paraId="09F522DF">
            <w:pPr>
              <w:widowControl/>
              <w:jc w:val="left"/>
              <w:rPr>
                <w:b/>
                <w:bCs/>
                <w:color w:val="000000"/>
                <w:kern w:val="0"/>
                <w:sz w:val="22"/>
                <w:highlight w:val="none"/>
              </w:rPr>
            </w:pPr>
            <w:r>
              <w:rPr>
                <w:b/>
                <w:bCs/>
                <w:color w:val="000000"/>
                <w:kern w:val="0"/>
                <w:sz w:val="22"/>
                <w:highlight w:val="none"/>
              </w:rPr>
              <w:t>枪式防护罩</w:t>
            </w:r>
          </w:p>
        </w:tc>
        <w:tc>
          <w:tcPr>
            <w:tcW w:w="2977" w:type="dxa"/>
            <w:shd w:val="clear" w:color="000000" w:fill="FFFFFF"/>
            <w:vAlign w:val="center"/>
          </w:tcPr>
          <w:p w14:paraId="1C478BD2">
            <w:pPr>
              <w:widowControl/>
              <w:jc w:val="center"/>
              <w:rPr>
                <w:b/>
                <w:bCs/>
                <w:color w:val="000000"/>
                <w:kern w:val="0"/>
                <w:sz w:val="22"/>
                <w:highlight w:val="none"/>
              </w:rPr>
            </w:pPr>
            <w:r>
              <w:rPr>
                <w:b/>
                <w:bCs/>
                <w:color w:val="000000"/>
                <w:kern w:val="0"/>
                <w:sz w:val="22"/>
                <w:highlight w:val="none"/>
              </w:rPr>
              <w:t>DSZ-1918HZ-TPJF</w:t>
            </w:r>
          </w:p>
        </w:tc>
        <w:tc>
          <w:tcPr>
            <w:tcW w:w="709" w:type="dxa"/>
            <w:shd w:val="clear" w:color="000000" w:fill="FFFFFF"/>
            <w:vAlign w:val="center"/>
          </w:tcPr>
          <w:p w14:paraId="7FCBC3B6">
            <w:pPr>
              <w:widowControl/>
              <w:jc w:val="center"/>
              <w:rPr>
                <w:b/>
                <w:bCs/>
                <w:color w:val="000000"/>
                <w:kern w:val="0"/>
                <w:sz w:val="22"/>
                <w:highlight w:val="none"/>
              </w:rPr>
            </w:pPr>
            <w:r>
              <w:rPr>
                <w:b/>
                <w:bCs/>
                <w:color w:val="000000"/>
                <w:kern w:val="0"/>
                <w:sz w:val="22"/>
                <w:highlight w:val="none"/>
              </w:rPr>
              <w:t>套</w:t>
            </w:r>
          </w:p>
        </w:tc>
        <w:tc>
          <w:tcPr>
            <w:tcW w:w="646" w:type="dxa"/>
            <w:shd w:val="clear" w:color="000000" w:fill="FFFFFF"/>
            <w:vAlign w:val="center"/>
          </w:tcPr>
          <w:p w14:paraId="472027CF">
            <w:pPr>
              <w:widowControl/>
              <w:jc w:val="center"/>
              <w:rPr>
                <w:b/>
                <w:bCs/>
                <w:color w:val="000000"/>
                <w:kern w:val="0"/>
                <w:sz w:val="22"/>
                <w:highlight w:val="none"/>
              </w:rPr>
            </w:pPr>
            <w:r>
              <w:rPr>
                <w:b/>
                <w:bCs/>
                <w:color w:val="000000"/>
                <w:kern w:val="0"/>
                <w:sz w:val="22"/>
                <w:highlight w:val="none"/>
              </w:rPr>
              <w:t>62</w:t>
            </w:r>
          </w:p>
        </w:tc>
      </w:tr>
      <w:tr w14:paraId="43DA5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C63E4D2">
            <w:pPr>
              <w:widowControl/>
              <w:jc w:val="center"/>
              <w:rPr>
                <w:b/>
                <w:bCs/>
                <w:color w:val="000000"/>
                <w:kern w:val="0"/>
                <w:sz w:val="22"/>
                <w:highlight w:val="none"/>
              </w:rPr>
            </w:pPr>
            <w:r>
              <w:rPr>
                <w:b/>
                <w:bCs/>
                <w:color w:val="000000"/>
                <w:kern w:val="0"/>
                <w:sz w:val="22"/>
                <w:highlight w:val="none"/>
              </w:rPr>
              <w:t>5</w:t>
            </w:r>
          </w:p>
        </w:tc>
        <w:tc>
          <w:tcPr>
            <w:tcW w:w="0" w:type="auto"/>
            <w:gridSpan w:val="5"/>
            <w:shd w:val="clear" w:color="000000" w:fill="FFFFFF"/>
            <w:vAlign w:val="center"/>
          </w:tcPr>
          <w:p w14:paraId="0F4E247C">
            <w:pPr>
              <w:widowControl/>
              <w:jc w:val="left"/>
              <w:rPr>
                <w:b/>
                <w:bCs/>
                <w:color w:val="000000"/>
                <w:kern w:val="0"/>
                <w:sz w:val="22"/>
                <w:highlight w:val="none"/>
              </w:rPr>
            </w:pPr>
            <w:r>
              <w:rPr>
                <w:b/>
                <w:bCs/>
                <w:color w:val="000000"/>
                <w:kern w:val="0"/>
                <w:sz w:val="22"/>
                <w:highlight w:val="none"/>
              </w:rPr>
              <w:t>抱杆机箱及配件</w:t>
            </w:r>
          </w:p>
        </w:tc>
      </w:tr>
      <w:tr w14:paraId="1F44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9E8C031">
            <w:pPr>
              <w:widowControl/>
              <w:jc w:val="center"/>
              <w:rPr>
                <w:color w:val="000000"/>
                <w:kern w:val="0"/>
                <w:sz w:val="22"/>
                <w:highlight w:val="none"/>
              </w:rPr>
            </w:pPr>
            <w:r>
              <w:rPr>
                <w:color w:val="000000"/>
                <w:kern w:val="0"/>
                <w:sz w:val="22"/>
                <w:highlight w:val="none"/>
              </w:rPr>
              <w:t>5.1</w:t>
            </w:r>
          </w:p>
        </w:tc>
        <w:tc>
          <w:tcPr>
            <w:tcW w:w="3187" w:type="dxa"/>
            <w:gridSpan w:val="2"/>
            <w:shd w:val="clear" w:color="000000" w:fill="FFFFFF"/>
            <w:vAlign w:val="center"/>
          </w:tcPr>
          <w:p w14:paraId="6121DDC8">
            <w:pPr>
              <w:widowControl/>
              <w:jc w:val="left"/>
              <w:rPr>
                <w:color w:val="000000"/>
                <w:kern w:val="0"/>
                <w:sz w:val="22"/>
                <w:highlight w:val="none"/>
              </w:rPr>
            </w:pPr>
            <w:r>
              <w:rPr>
                <w:color w:val="000000"/>
                <w:kern w:val="0"/>
                <w:sz w:val="22"/>
                <w:highlight w:val="none"/>
              </w:rPr>
              <w:t>室外分线箱</w:t>
            </w:r>
          </w:p>
        </w:tc>
        <w:tc>
          <w:tcPr>
            <w:tcW w:w="2977" w:type="dxa"/>
            <w:shd w:val="clear" w:color="000000" w:fill="FFFFFF"/>
            <w:vAlign w:val="center"/>
          </w:tcPr>
          <w:p w14:paraId="6B463485">
            <w:pPr>
              <w:widowControl/>
              <w:jc w:val="center"/>
              <w:rPr>
                <w:color w:val="000000"/>
                <w:kern w:val="0"/>
                <w:sz w:val="22"/>
                <w:highlight w:val="none"/>
              </w:rPr>
            </w:pPr>
            <w:r>
              <w:rPr>
                <w:color w:val="000000"/>
                <w:kern w:val="0"/>
                <w:sz w:val="22"/>
                <w:highlight w:val="none"/>
              </w:rPr>
              <w:t>定制</w:t>
            </w:r>
          </w:p>
        </w:tc>
        <w:tc>
          <w:tcPr>
            <w:tcW w:w="709" w:type="dxa"/>
            <w:shd w:val="clear" w:color="000000" w:fill="FFFFFF"/>
            <w:vAlign w:val="center"/>
          </w:tcPr>
          <w:p w14:paraId="7F59BD9C">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30CC0E12">
            <w:pPr>
              <w:widowControl/>
              <w:jc w:val="center"/>
              <w:rPr>
                <w:color w:val="000000"/>
                <w:kern w:val="0"/>
                <w:sz w:val="22"/>
                <w:highlight w:val="none"/>
              </w:rPr>
            </w:pPr>
            <w:r>
              <w:rPr>
                <w:color w:val="000000"/>
                <w:kern w:val="0"/>
                <w:sz w:val="22"/>
                <w:highlight w:val="none"/>
              </w:rPr>
              <w:t>42</w:t>
            </w:r>
          </w:p>
        </w:tc>
      </w:tr>
      <w:tr w14:paraId="083BB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6DCB780">
            <w:pPr>
              <w:widowControl/>
              <w:jc w:val="center"/>
              <w:rPr>
                <w:color w:val="000000"/>
                <w:kern w:val="0"/>
                <w:sz w:val="22"/>
                <w:highlight w:val="none"/>
              </w:rPr>
            </w:pPr>
            <w:r>
              <w:rPr>
                <w:color w:val="000000"/>
                <w:kern w:val="0"/>
                <w:sz w:val="22"/>
                <w:highlight w:val="none"/>
              </w:rPr>
              <w:t>5.2</w:t>
            </w:r>
          </w:p>
        </w:tc>
        <w:tc>
          <w:tcPr>
            <w:tcW w:w="3187" w:type="dxa"/>
            <w:gridSpan w:val="2"/>
            <w:shd w:val="clear" w:color="000000" w:fill="FFFFFF"/>
            <w:vAlign w:val="center"/>
          </w:tcPr>
          <w:p w14:paraId="7C786238">
            <w:pPr>
              <w:widowControl/>
              <w:jc w:val="left"/>
              <w:rPr>
                <w:color w:val="000000"/>
                <w:kern w:val="0"/>
                <w:sz w:val="22"/>
                <w:highlight w:val="none"/>
              </w:rPr>
            </w:pPr>
            <w:r>
              <w:rPr>
                <w:color w:val="000000"/>
                <w:kern w:val="0"/>
                <w:sz w:val="22"/>
                <w:highlight w:val="none"/>
              </w:rPr>
              <w:t>PDU电源插座(放于室外分线箱内)</w:t>
            </w:r>
          </w:p>
        </w:tc>
        <w:tc>
          <w:tcPr>
            <w:tcW w:w="2977" w:type="dxa"/>
            <w:shd w:val="clear" w:color="000000" w:fill="FFFFFF"/>
            <w:vAlign w:val="center"/>
          </w:tcPr>
          <w:p w14:paraId="315CEB71">
            <w:pPr>
              <w:widowControl/>
              <w:jc w:val="center"/>
              <w:rPr>
                <w:color w:val="000000"/>
                <w:kern w:val="0"/>
                <w:sz w:val="22"/>
                <w:highlight w:val="none"/>
              </w:rPr>
            </w:pPr>
            <w:r>
              <w:rPr>
                <w:color w:val="000000"/>
                <w:kern w:val="0"/>
                <w:sz w:val="22"/>
                <w:highlight w:val="none"/>
              </w:rPr>
              <w:t>AUE2220W1-TJBHO5AVGPMB</w:t>
            </w:r>
          </w:p>
        </w:tc>
        <w:tc>
          <w:tcPr>
            <w:tcW w:w="709" w:type="dxa"/>
            <w:shd w:val="clear" w:color="000000" w:fill="FFFFFF"/>
            <w:vAlign w:val="center"/>
          </w:tcPr>
          <w:p w14:paraId="54C11382">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0E164AAE">
            <w:pPr>
              <w:widowControl/>
              <w:jc w:val="center"/>
              <w:rPr>
                <w:color w:val="000000"/>
                <w:kern w:val="0"/>
                <w:sz w:val="22"/>
                <w:highlight w:val="none"/>
              </w:rPr>
            </w:pPr>
            <w:r>
              <w:rPr>
                <w:color w:val="000000"/>
                <w:kern w:val="0"/>
                <w:sz w:val="22"/>
                <w:highlight w:val="none"/>
              </w:rPr>
              <w:t>42</w:t>
            </w:r>
          </w:p>
        </w:tc>
      </w:tr>
      <w:tr w14:paraId="5009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4F3EBE6">
            <w:pPr>
              <w:widowControl/>
              <w:jc w:val="center"/>
              <w:rPr>
                <w:color w:val="000000"/>
                <w:kern w:val="0"/>
                <w:sz w:val="22"/>
                <w:highlight w:val="none"/>
              </w:rPr>
            </w:pPr>
            <w:r>
              <w:rPr>
                <w:color w:val="000000"/>
                <w:kern w:val="0"/>
                <w:sz w:val="22"/>
                <w:highlight w:val="none"/>
              </w:rPr>
              <w:t>5.3</w:t>
            </w:r>
          </w:p>
        </w:tc>
        <w:tc>
          <w:tcPr>
            <w:tcW w:w="3187" w:type="dxa"/>
            <w:gridSpan w:val="2"/>
            <w:shd w:val="clear" w:color="000000" w:fill="FFFFFF"/>
            <w:vAlign w:val="center"/>
          </w:tcPr>
          <w:p w14:paraId="4CADC779">
            <w:pPr>
              <w:widowControl/>
              <w:jc w:val="left"/>
              <w:rPr>
                <w:color w:val="000000"/>
                <w:kern w:val="0"/>
                <w:sz w:val="22"/>
                <w:highlight w:val="none"/>
              </w:rPr>
            </w:pPr>
            <w:r>
              <w:rPr>
                <w:color w:val="000000"/>
                <w:kern w:val="0"/>
                <w:sz w:val="22"/>
                <w:highlight w:val="none"/>
              </w:rPr>
              <w:t>电源防雷</w:t>
            </w:r>
          </w:p>
        </w:tc>
        <w:tc>
          <w:tcPr>
            <w:tcW w:w="2977" w:type="dxa"/>
            <w:shd w:val="clear" w:color="000000" w:fill="FFFFFF"/>
            <w:vAlign w:val="center"/>
          </w:tcPr>
          <w:p w14:paraId="41CA3C9B">
            <w:pPr>
              <w:widowControl/>
              <w:jc w:val="center"/>
              <w:rPr>
                <w:color w:val="000000"/>
                <w:kern w:val="0"/>
                <w:sz w:val="22"/>
                <w:highlight w:val="none"/>
              </w:rPr>
            </w:pPr>
            <w:r>
              <w:rPr>
                <w:color w:val="000000"/>
                <w:kern w:val="0"/>
                <w:sz w:val="22"/>
                <w:highlight w:val="none"/>
              </w:rPr>
              <w:t>WLDM8-4KA</w:t>
            </w:r>
          </w:p>
        </w:tc>
        <w:tc>
          <w:tcPr>
            <w:tcW w:w="709" w:type="dxa"/>
            <w:shd w:val="clear" w:color="000000" w:fill="FFFFFF"/>
            <w:vAlign w:val="center"/>
          </w:tcPr>
          <w:p w14:paraId="0683E360">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0CB67DEB">
            <w:pPr>
              <w:widowControl/>
              <w:jc w:val="center"/>
              <w:rPr>
                <w:color w:val="000000"/>
                <w:kern w:val="0"/>
                <w:sz w:val="22"/>
                <w:highlight w:val="none"/>
              </w:rPr>
            </w:pPr>
            <w:r>
              <w:rPr>
                <w:color w:val="000000"/>
                <w:kern w:val="0"/>
                <w:sz w:val="22"/>
                <w:highlight w:val="none"/>
              </w:rPr>
              <w:t>42</w:t>
            </w:r>
          </w:p>
        </w:tc>
      </w:tr>
      <w:tr w14:paraId="63A6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restart"/>
            <w:shd w:val="clear" w:color="000000" w:fill="FFFFFF"/>
            <w:vAlign w:val="center"/>
          </w:tcPr>
          <w:p w14:paraId="1301C510">
            <w:pPr>
              <w:widowControl/>
              <w:jc w:val="center"/>
              <w:rPr>
                <w:color w:val="000000"/>
                <w:kern w:val="0"/>
                <w:sz w:val="22"/>
                <w:highlight w:val="none"/>
              </w:rPr>
            </w:pPr>
            <w:r>
              <w:rPr>
                <w:color w:val="000000"/>
                <w:kern w:val="0"/>
                <w:sz w:val="22"/>
                <w:highlight w:val="none"/>
              </w:rPr>
              <w:t>5.4</w:t>
            </w:r>
          </w:p>
        </w:tc>
        <w:tc>
          <w:tcPr>
            <w:tcW w:w="1628" w:type="dxa"/>
            <w:vMerge w:val="restart"/>
            <w:shd w:val="clear" w:color="000000" w:fill="FFFFFF"/>
            <w:vAlign w:val="center"/>
          </w:tcPr>
          <w:p w14:paraId="45F1C497">
            <w:pPr>
              <w:widowControl/>
              <w:jc w:val="left"/>
              <w:rPr>
                <w:color w:val="000000"/>
                <w:kern w:val="0"/>
                <w:sz w:val="22"/>
                <w:highlight w:val="none"/>
              </w:rPr>
            </w:pPr>
            <w:r>
              <w:rPr>
                <w:color w:val="000000"/>
                <w:kern w:val="0"/>
                <w:sz w:val="22"/>
                <w:highlight w:val="none"/>
              </w:rPr>
              <w:t>前端存储</w:t>
            </w:r>
          </w:p>
        </w:tc>
        <w:tc>
          <w:tcPr>
            <w:tcW w:w="1559" w:type="dxa"/>
            <w:shd w:val="clear" w:color="000000" w:fill="FFFFFF"/>
            <w:vAlign w:val="center"/>
          </w:tcPr>
          <w:p w14:paraId="670F9D29">
            <w:pPr>
              <w:widowControl/>
              <w:jc w:val="left"/>
              <w:rPr>
                <w:color w:val="000000"/>
                <w:kern w:val="0"/>
                <w:sz w:val="22"/>
                <w:highlight w:val="none"/>
              </w:rPr>
            </w:pPr>
            <w:r>
              <w:rPr>
                <w:color w:val="000000"/>
                <w:kern w:val="0"/>
                <w:sz w:val="22"/>
                <w:highlight w:val="none"/>
              </w:rPr>
              <w:t>硬盘录像机</w:t>
            </w:r>
          </w:p>
        </w:tc>
        <w:tc>
          <w:tcPr>
            <w:tcW w:w="2977" w:type="dxa"/>
            <w:shd w:val="clear" w:color="000000" w:fill="FFFFFF"/>
            <w:vAlign w:val="center"/>
          </w:tcPr>
          <w:p w14:paraId="5D0D1299">
            <w:pPr>
              <w:widowControl/>
              <w:jc w:val="center"/>
              <w:rPr>
                <w:color w:val="000000"/>
                <w:kern w:val="0"/>
                <w:sz w:val="22"/>
                <w:highlight w:val="none"/>
              </w:rPr>
            </w:pPr>
            <w:r>
              <w:rPr>
                <w:color w:val="000000"/>
                <w:kern w:val="0"/>
                <w:sz w:val="22"/>
                <w:highlight w:val="none"/>
              </w:rPr>
              <w:t>DS-7804HQH-SH/RTG</w:t>
            </w:r>
          </w:p>
        </w:tc>
        <w:tc>
          <w:tcPr>
            <w:tcW w:w="709" w:type="dxa"/>
            <w:shd w:val="clear" w:color="000000" w:fill="FFFFFF"/>
            <w:vAlign w:val="center"/>
          </w:tcPr>
          <w:p w14:paraId="598F5637">
            <w:pPr>
              <w:widowControl/>
              <w:jc w:val="center"/>
              <w:rPr>
                <w:color w:val="000000"/>
                <w:kern w:val="0"/>
                <w:sz w:val="22"/>
                <w:highlight w:val="none"/>
              </w:rPr>
            </w:pPr>
            <w:r>
              <w:rPr>
                <w:color w:val="000000"/>
                <w:kern w:val="0"/>
                <w:sz w:val="22"/>
                <w:highlight w:val="none"/>
              </w:rPr>
              <w:t>块</w:t>
            </w:r>
          </w:p>
        </w:tc>
        <w:tc>
          <w:tcPr>
            <w:tcW w:w="646" w:type="dxa"/>
            <w:shd w:val="clear" w:color="000000" w:fill="FFFFFF"/>
            <w:vAlign w:val="center"/>
          </w:tcPr>
          <w:p w14:paraId="6AEB65A1">
            <w:pPr>
              <w:widowControl/>
              <w:jc w:val="center"/>
              <w:rPr>
                <w:color w:val="000000"/>
                <w:kern w:val="0"/>
                <w:sz w:val="22"/>
                <w:highlight w:val="none"/>
              </w:rPr>
            </w:pPr>
            <w:r>
              <w:rPr>
                <w:color w:val="000000"/>
                <w:kern w:val="0"/>
                <w:sz w:val="22"/>
                <w:highlight w:val="none"/>
              </w:rPr>
              <w:t>42</w:t>
            </w:r>
          </w:p>
        </w:tc>
      </w:tr>
      <w:tr w14:paraId="101D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0CAE3FC4">
            <w:pPr>
              <w:widowControl/>
              <w:jc w:val="left"/>
              <w:rPr>
                <w:color w:val="000000"/>
                <w:kern w:val="0"/>
                <w:sz w:val="22"/>
                <w:highlight w:val="none"/>
              </w:rPr>
            </w:pPr>
          </w:p>
        </w:tc>
        <w:tc>
          <w:tcPr>
            <w:tcW w:w="1628" w:type="dxa"/>
            <w:vMerge w:val="continue"/>
            <w:vAlign w:val="center"/>
          </w:tcPr>
          <w:p w14:paraId="13D0F35C">
            <w:pPr>
              <w:widowControl/>
              <w:jc w:val="left"/>
              <w:rPr>
                <w:color w:val="000000"/>
                <w:kern w:val="0"/>
                <w:sz w:val="22"/>
                <w:highlight w:val="none"/>
              </w:rPr>
            </w:pPr>
          </w:p>
        </w:tc>
        <w:tc>
          <w:tcPr>
            <w:tcW w:w="1559" w:type="dxa"/>
            <w:shd w:val="clear" w:color="000000" w:fill="FFFFFF"/>
            <w:vAlign w:val="center"/>
          </w:tcPr>
          <w:p w14:paraId="5214C9E4">
            <w:pPr>
              <w:widowControl/>
              <w:jc w:val="left"/>
              <w:rPr>
                <w:color w:val="000000"/>
                <w:kern w:val="0"/>
                <w:sz w:val="22"/>
                <w:highlight w:val="none"/>
              </w:rPr>
            </w:pPr>
            <w:r>
              <w:rPr>
                <w:color w:val="000000"/>
                <w:kern w:val="0"/>
                <w:sz w:val="22"/>
                <w:highlight w:val="none"/>
              </w:rPr>
              <w:t>2T硬盘</w:t>
            </w:r>
          </w:p>
        </w:tc>
        <w:tc>
          <w:tcPr>
            <w:tcW w:w="2977" w:type="dxa"/>
            <w:shd w:val="clear" w:color="000000" w:fill="FFFFFF"/>
            <w:vAlign w:val="center"/>
          </w:tcPr>
          <w:p w14:paraId="029215E2">
            <w:pPr>
              <w:widowControl/>
              <w:jc w:val="center"/>
              <w:rPr>
                <w:color w:val="000000"/>
                <w:kern w:val="0"/>
                <w:sz w:val="22"/>
                <w:highlight w:val="none"/>
              </w:rPr>
            </w:pPr>
            <w:r>
              <w:rPr>
                <w:color w:val="000000"/>
                <w:kern w:val="0"/>
                <w:sz w:val="22"/>
                <w:highlight w:val="none"/>
              </w:rPr>
              <w:t>ST2000VX000</w:t>
            </w:r>
          </w:p>
        </w:tc>
        <w:tc>
          <w:tcPr>
            <w:tcW w:w="709" w:type="dxa"/>
            <w:shd w:val="clear" w:color="000000" w:fill="FFFFFF"/>
            <w:vAlign w:val="center"/>
          </w:tcPr>
          <w:p w14:paraId="395E41B7">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700BCF50">
            <w:pPr>
              <w:widowControl/>
              <w:jc w:val="center"/>
              <w:rPr>
                <w:color w:val="000000"/>
                <w:kern w:val="0"/>
                <w:sz w:val="22"/>
                <w:highlight w:val="none"/>
              </w:rPr>
            </w:pPr>
            <w:r>
              <w:rPr>
                <w:color w:val="000000"/>
                <w:kern w:val="0"/>
                <w:sz w:val="22"/>
                <w:highlight w:val="none"/>
              </w:rPr>
              <w:t>42</w:t>
            </w:r>
          </w:p>
        </w:tc>
      </w:tr>
      <w:tr w14:paraId="6265B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4A2D99E5">
            <w:pPr>
              <w:widowControl/>
              <w:jc w:val="center"/>
              <w:rPr>
                <w:color w:val="000000"/>
                <w:kern w:val="0"/>
                <w:sz w:val="22"/>
                <w:highlight w:val="none"/>
              </w:rPr>
            </w:pPr>
            <w:r>
              <w:rPr>
                <w:color w:val="000000"/>
                <w:kern w:val="0"/>
                <w:sz w:val="22"/>
                <w:highlight w:val="none"/>
              </w:rPr>
              <w:t>5.5</w:t>
            </w:r>
          </w:p>
        </w:tc>
        <w:tc>
          <w:tcPr>
            <w:tcW w:w="3187" w:type="dxa"/>
            <w:gridSpan w:val="2"/>
            <w:shd w:val="clear" w:color="000000" w:fill="FFFFFF"/>
            <w:vAlign w:val="center"/>
          </w:tcPr>
          <w:p w14:paraId="5275D23D">
            <w:pPr>
              <w:widowControl/>
              <w:jc w:val="left"/>
              <w:rPr>
                <w:color w:val="000000"/>
                <w:kern w:val="0"/>
                <w:sz w:val="22"/>
                <w:highlight w:val="none"/>
              </w:rPr>
            </w:pPr>
            <w:r>
              <w:rPr>
                <w:color w:val="000000"/>
                <w:kern w:val="0"/>
                <w:sz w:val="22"/>
                <w:highlight w:val="none"/>
              </w:rPr>
              <w:t>卡口工业交换机</w:t>
            </w:r>
          </w:p>
        </w:tc>
        <w:tc>
          <w:tcPr>
            <w:tcW w:w="2977" w:type="dxa"/>
            <w:shd w:val="clear" w:color="000000" w:fill="FFFFFF"/>
            <w:vAlign w:val="center"/>
          </w:tcPr>
          <w:p w14:paraId="0D0F4528">
            <w:pPr>
              <w:widowControl/>
              <w:jc w:val="center"/>
              <w:rPr>
                <w:color w:val="000000"/>
                <w:kern w:val="0"/>
                <w:sz w:val="22"/>
                <w:highlight w:val="none"/>
              </w:rPr>
            </w:pPr>
            <w:r>
              <w:rPr>
                <w:color w:val="000000"/>
                <w:kern w:val="0"/>
                <w:sz w:val="22"/>
                <w:highlight w:val="none"/>
              </w:rPr>
              <w:t>GazelleS1020i</w:t>
            </w:r>
          </w:p>
        </w:tc>
        <w:tc>
          <w:tcPr>
            <w:tcW w:w="709" w:type="dxa"/>
            <w:shd w:val="clear" w:color="000000" w:fill="FFFFFF"/>
            <w:vAlign w:val="center"/>
          </w:tcPr>
          <w:p w14:paraId="1DDCBE97">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38885D08">
            <w:pPr>
              <w:widowControl/>
              <w:jc w:val="center"/>
              <w:rPr>
                <w:color w:val="000000"/>
                <w:kern w:val="0"/>
                <w:sz w:val="22"/>
                <w:highlight w:val="none"/>
              </w:rPr>
            </w:pPr>
            <w:r>
              <w:rPr>
                <w:color w:val="000000"/>
                <w:kern w:val="0"/>
                <w:sz w:val="22"/>
                <w:highlight w:val="none"/>
              </w:rPr>
              <w:t>42</w:t>
            </w:r>
          </w:p>
        </w:tc>
      </w:tr>
      <w:tr w14:paraId="7FBC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3E61EAC">
            <w:pPr>
              <w:widowControl/>
              <w:jc w:val="center"/>
              <w:rPr>
                <w:b/>
                <w:bCs/>
                <w:color w:val="000000"/>
                <w:kern w:val="0"/>
                <w:sz w:val="22"/>
                <w:highlight w:val="none"/>
              </w:rPr>
            </w:pPr>
            <w:r>
              <w:rPr>
                <w:b/>
                <w:bCs/>
                <w:color w:val="000000"/>
                <w:kern w:val="0"/>
                <w:sz w:val="22"/>
                <w:highlight w:val="none"/>
              </w:rPr>
              <w:t>二</w:t>
            </w:r>
          </w:p>
        </w:tc>
        <w:tc>
          <w:tcPr>
            <w:tcW w:w="0" w:type="auto"/>
            <w:gridSpan w:val="5"/>
            <w:shd w:val="clear" w:color="000000" w:fill="FFFFFF"/>
            <w:vAlign w:val="center"/>
          </w:tcPr>
          <w:p w14:paraId="5E33AE8F">
            <w:pPr>
              <w:widowControl/>
              <w:jc w:val="left"/>
              <w:rPr>
                <w:b/>
                <w:bCs/>
                <w:color w:val="000000"/>
                <w:kern w:val="0"/>
                <w:sz w:val="22"/>
                <w:highlight w:val="none"/>
              </w:rPr>
            </w:pPr>
            <w:r>
              <w:rPr>
                <w:b/>
                <w:bCs/>
                <w:color w:val="000000"/>
                <w:kern w:val="0"/>
                <w:sz w:val="22"/>
                <w:highlight w:val="none"/>
              </w:rPr>
              <w:t>后端设备运维</w:t>
            </w:r>
          </w:p>
        </w:tc>
      </w:tr>
      <w:tr w14:paraId="66B9E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F156A53">
            <w:pPr>
              <w:widowControl/>
              <w:jc w:val="center"/>
              <w:rPr>
                <w:b/>
                <w:bCs/>
                <w:color w:val="000000"/>
                <w:kern w:val="0"/>
                <w:sz w:val="22"/>
                <w:highlight w:val="none"/>
              </w:rPr>
            </w:pPr>
            <w:r>
              <w:rPr>
                <w:b/>
                <w:bCs/>
                <w:color w:val="000000"/>
                <w:kern w:val="0"/>
                <w:sz w:val="22"/>
                <w:highlight w:val="none"/>
              </w:rPr>
              <w:t>（一）</w:t>
            </w:r>
          </w:p>
        </w:tc>
        <w:tc>
          <w:tcPr>
            <w:tcW w:w="0" w:type="auto"/>
            <w:gridSpan w:val="5"/>
            <w:shd w:val="clear" w:color="000000" w:fill="FFFFFF"/>
            <w:vAlign w:val="center"/>
          </w:tcPr>
          <w:p w14:paraId="739CF041">
            <w:pPr>
              <w:widowControl/>
              <w:jc w:val="left"/>
              <w:rPr>
                <w:b/>
                <w:bCs/>
                <w:color w:val="000000"/>
                <w:kern w:val="0"/>
                <w:sz w:val="22"/>
                <w:highlight w:val="none"/>
              </w:rPr>
            </w:pPr>
            <w:r>
              <w:rPr>
                <w:b/>
                <w:bCs/>
                <w:color w:val="000000"/>
                <w:kern w:val="0"/>
                <w:sz w:val="22"/>
                <w:highlight w:val="none"/>
              </w:rPr>
              <w:t>视频监控系统运维</w:t>
            </w:r>
          </w:p>
        </w:tc>
      </w:tr>
      <w:tr w14:paraId="12DE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restart"/>
            <w:shd w:val="clear" w:color="000000" w:fill="FFFFFF"/>
            <w:vAlign w:val="center"/>
          </w:tcPr>
          <w:p w14:paraId="04305056">
            <w:pPr>
              <w:widowControl/>
              <w:jc w:val="center"/>
              <w:rPr>
                <w:color w:val="000000"/>
                <w:kern w:val="0"/>
                <w:sz w:val="22"/>
                <w:highlight w:val="none"/>
              </w:rPr>
            </w:pPr>
            <w:r>
              <w:rPr>
                <w:color w:val="000000"/>
                <w:kern w:val="0"/>
                <w:sz w:val="22"/>
                <w:highlight w:val="none"/>
              </w:rPr>
              <w:t>1</w:t>
            </w:r>
          </w:p>
        </w:tc>
        <w:tc>
          <w:tcPr>
            <w:tcW w:w="3187" w:type="dxa"/>
            <w:gridSpan w:val="2"/>
            <w:vMerge w:val="restart"/>
            <w:shd w:val="clear" w:color="000000" w:fill="FFFFFF"/>
            <w:vAlign w:val="center"/>
          </w:tcPr>
          <w:p w14:paraId="4C869376">
            <w:pPr>
              <w:widowControl/>
              <w:jc w:val="left"/>
              <w:rPr>
                <w:color w:val="000000"/>
                <w:kern w:val="0"/>
                <w:sz w:val="22"/>
                <w:highlight w:val="none"/>
              </w:rPr>
            </w:pPr>
            <w:r>
              <w:rPr>
                <w:color w:val="000000"/>
                <w:kern w:val="0"/>
                <w:sz w:val="22"/>
                <w:highlight w:val="none"/>
              </w:rPr>
              <w:t>视频监控系统平台</w:t>
            </w:r>
          </w:p>
        </w:tc>
        <w:tc>
          <w:tcPr>
            <w:tcW w:w="2977" w:type="dxa"/>
            <w:shd w:val="clear" w:color="000000" w:fill="FFFFFF"/>
            <w:vAlign w:val="center"/>
          </w:tcPr>
          <w:p w14:paraId="61D3F3C0">
            <w:pPr>
              <w:widowControl/>
              <w:jc w:val="center"/>
              <w:rPr>
                <w:color w:val="000000"/>
                <w:kern w:val="0"/>
                <w:sz w:val="22"/>
                <w:highlight w:val="none"/>
              </w:rPr>
            </w:pPr>
            <w:r>
              <w:rPr>
                <w:color w:val="000000"/>
                <w:kern w:val="0"/>
                <w:sz w:val="22"/>
                <w:highlight w:val="none"/>
              </w:rPr>
              <w:t>iVMS8200（CMS）</w:t>
            </w:r>
          </w:p>
        </w:tc>
        <w:tc>
          <w:tcPr>
            <w:tcW w:w="709" w:type="dxa"/>
            <w:shd w:val="clear" w:color="000000" w:fill="FFFFFF"/>
            <w:vAlign w:val="center"/>
          </w:tcPr>
          <w:p w14:paraId="1B3AFD72">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4119B915">
            <w:pPr>
              <w:widowControl/>
              <w:jc w:val="center"/>
              <w:rPr>
                <w:color w:val="000000"/>
                <w:kern w:val="0"/>
                <w:sz w:val="22"/>
                <w:highlight w:val="none"/>
              </w:rPr>
            </w:pPr>
            <w:r>
              <w:rPr>
                <w:color w:val="000000"/>
                <w:kern w:val="0"/>
                <w:sz w:val="22"/>
                <w:highlight w:val="none"/>
              </w:rPr>
              <w:t>2</w:t>
            </w:r>
          </w:p>
        </w:tc>
      </w:tr>
      <w:tr w14:paraId="3AD1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72DA4264">
            <w:pPr>
              <w:widowControl/>
              <w:jc w:val="left"/>
              <w:rPr>
                <w:color w:val="000000"/>
                <w:kern w:val="0"/>
                <w:sz w:val="22"/>
                <w:highlight w:val="none"/>
              </w:rPr>
            </w:pPr>
          </w:p>
        </w:tc>
        <w:tc>
          <w:tcPr>
            <w:tcW w:w="3187" w:type="dxa"/>
            <w:gridSpan w:val="2"/>
            <w:vMerge w:val="continue"/>
            <w:vAlign w:val="center"/>
          </w:tcPr>
          <w:p w14:paraId="3A31E885">
            <w:pPr>
              <w:widowControl/>
              <w:jc w:val="left"/>
              <w:rPr>
                <w:color w:val="000000"/>
                <w:kern w:val="0"/>
                <w:sz w:val="22"/>
                <w:highlight w:val="none"/>
              </w:rPr>
            </w:pPr>
          </w:p>
        </w:tc>
        <w:tc>
          <w:tcPr>
            <w:tcW w:w="2977" w:type="dxa"/>
            <w:shd w:val="clear" w:color="000000" w:fill="FFFFFF"/>
            <w:vAlign w:val="center"/>
          </w:tcPr>
          <w:p w14:paraId="27B20944">
            <w:pPr>
              <w:widowControl/>
              <w:jc w:val="center"/>
              <w:rPr>
                <w:color w:val="000000"/>
                <w:kern w:val="0"/>
                <w:sz w:val="22"/>
                <w:highlight w:val="none"/>
              </w:rPr>
            </w:pPr>
            <w:r>
              <w:rPr>
                <w:color w:val="000000"/>
                <w:kern w:val="0"/>
                <w:sz w:val="22"/>
                <w:highlight w:val="none"/>
              </w:rPr>
              <w:t>iVMS8200（DB）</w:t>
            </w:r>
          </w:p>
        </w:tc>
        <w:tc>
          <w:tcPr>
            <w:tcW w:w="709" w:type="dxa"/>
            <w:shd w:val="clear" w:color="000000" w:fill="FFFFFF"/>
            <w:vAlign w:val="center"/>
          </w:tcPr>
          <w:p w14:paraId="741A2C19">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2B1AB657">
            <w:pPr>
              <w:widowControl/>
              <w:jc w:val="center"/>
              <w:rPr>
                <w:color w:val="000000"/>
                <w:kern w:val="0"/>
                <w:sz w:val="22"/>
                <w:highlight w:val="none"/>
              </w:rPr>
            </w:pPr>
            <w:r>
              <w:rPr>
                <w:color w:val="000000"/>
                <w:kern w:val="0"/>
                <w:sz w:val="22"/>
                <w:highlight w:val="none"/>
              </w:rPr>
              <w:t>2</w:t>
            </w:r>
          </w:p>
        </w:tc>
      </w:tr>
      <w:tr w14:paraId="7604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24691147">
            <w:pPr>
              <w:widowControl/>
              <w:jc w:val="left"/>
              <w:rPr>
                <w:color w:val="000000"/>
                <w:kern w:val="0"/>
                <w:sz w:val="22"/>
                <w:highlight w:val="none"/>
              </w:rPr>
            </w:pPr>
          </w:p>
        </w:tc>
        <w:tc>
          <w:tcPr>
            <w:tcW w:w="3187" w:type="dxa"/>
            <w:gridSpan w:val="2"/>
            <w:vMerge w:val="continue"/>
            <w:vAlign w:val="center"/>
          </w:tcPr>
          <w:p w14:paraId="6DC8A888">
            <w:pPr>
              <w:widowControl/>
              <w:jc w:val="left"/>
              <w:rPr>
                <w:color w:val="000000"/>
                <w:kern w:val="0"/>
                <w:sz w:val="22"/>
                <w:highlight w:val="none"/>
              </w:rPr>
            </w:pPr>
          </w:p>
        </w:tc>
        <w:tc>
          <w:tcPr>
            <w:tcW w:w="2977" w:type="dxa"/>
            <w:shd w:val="clear" w:color="000000" w:fill="FFFFFF"/>
            <w:vAlign w:val="center"/>
          </w:tcPr>
          <w:p w14:paraId="45F65E25">
            <w:pPr>
              <w:widowControl/>
              <w:jc w:val="center"/>
              <w:rPr>
                <w:color w:val="000000"/>
                <w:kern w:val="0"/>
                <w:sz w:val="22"/>
                <w:highlight w:val="none"/>
              </w:rPr>
            </w:pPr>
            <w:r>
              <w:rPr>
                <w:color w:val="000000"/>
                <w:kern w:val="0"/>
                <w:sz w:val="22"/>
                <w:highlight w:val="none"/>
              </w:rPr>
              <w:t>iVMS-Hummer-HA</w:t>
            </w:r>
          </w:p>
        </w:tc>
        <w:tc>
          <w:tcPr>
            <w:tcW w:w="709" w:type="dxa"/>
            <w:shd w:val="clear" w:color="000000" w:fill="FFFFFF"/>
            <w:vAlign w:val="center"/>
          </w:tcPr>
          <w:p w14:paraId="17868B49">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1F9A1AD5">
            <w:pPr>
              <w:widowControl/>
              <w:jc w:val="center"/>
              <w:rPr>
                <w:color w:val="000000"/>
                <w:kern w:val="0"/>
                <w:sz w:val="22"/>
                <w:highlight w:val="none"/>
              </w:rPr>
            </w:pPr>
            <w:r>
              <w:rPr>
                <w:color w:val="000000"/>
                <w:kern w:val="0"/>
                <w:sz w:val="22"/>
                <w:highlight w:val="none"/>
              </w:rPr>
              <w:t>4</w:t>
            </w:r>
          </w:p>
        </w:tc>
      </w:tr>
      <w:tr w14:paraId="63351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14F63402">
            <w:pPr>
              <w:widowControl/>
              <w:jc w:val="left"/>
              <w:rPr>
                <w:color w:val="000000"/>
                <w:kern w:val="0"/>
                <w:sz w:val="22"/>
                <w:highlight w:val="none"/>
              </w:rPr>
            </w:pPr>
          </w:p>
        </w:tc>
        <w:tc>
          <w:tcPr>
            <w:tcW w:w="3187" w:type="dxa"/>
            <w:gridSpan w:val="2"/>
            <w:vMerge w:val="continue"/>
            <w:vAlign w:val="center"/>
          </w:tcPr>
          <w:p w14:paraId="4435FC7B">
            <w:pPr>
              <w:widowControl/>
              <w:jc w:val="left"/>
              <w:rPr>
                <w:color w:val="000000"/>
                <w:kern w:val="0"/>
                <w:sz w:val="22"/>
                <w:highlight w:val="none"/>
              </w:rPr>
            </w:pPr>
          </w:p>
        </w:tc>
        <w:tc>
          <w:tcPr>
            <w:tcW w:w="2977" w:type="dxa"/>
            <w:shd w:val="clear" w:color="000000" w:fill="FFFFFF"/>
            <w:vAlign w:val="center"/>
          </w:tcPr>
          <w:p w14:paraId="6623C6A9">
            <w:pPr>
              <w:widowControl/>
              <w:jc w:val="center"/>
              <w:rPr>
                <w:color w:val="000000"/>
                <w:kern w:val="0"/>
                <w:sz w:val="22"/>
                <w:highlight w:val="none"/>
              </w:rPr>
            </w:pPr>
            <w:r>
              <w:rPr>
                <w:color w:val="000000"/>
                <w:kern w:val="0"/>
                <w:sz w:val="22"/>
                <w:highlight w:val="none"/>
              </w:rPr>
              <w:t>iVMS8200 （VTDU）</w:t>
            </w:r>
          </w:p>
        </w:tc>
        <w:tc>
          <w:tcPr>
            <w:tcW w:w="709" w:type="dxa"/>
            <w:shd w:val="clear" w:color="000000" w:fill="FFFFFF"/>
            <w:vAlign w:val="center"/>
          </w:tcPr>
          <w:p w14:paraId="05892248">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78F4D24F">
            <w:pPr>
              <w:widowControl/>
              <w:jc w:val="center"/>
              <w:rPr>
                <w:color w:val="000000"/>
                <w:kern w:val="0"/>
                <w:sz w:val="22"/>
                <w:highlight w:val="none"/>
              </w:rPr>
            </w:pPr>
            <w:r>
              <w:rPr>
                <w:color w:val="000000"/>
                <w:kern w:val="0"/>
                <w:sz w:val="22"/>
                <w:highlight w:val="none"/>
              </w:rPr>
              <w:t>5</w:t>
            </w:r>
          </w:p>
        </w:tc>
      </w:tr>
      <w:tr w14:paraId="0E9E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079B16E9">
            <w:pPr>
              <w:widowControl/>
              <w:jc w:val="left"/>
              <w:rPr>
                <w:color w:val="000000"/>
                <w:kern w:val="0"/>
                <w:sz w:val="22"/>
                <w:highlight w:val="none"/>
              </w:rPr>
            </w:pPr>
          </w:p>
        </w:tc>
        <w:tc>
          <w:tcPr>
            <w:tcW w:w="3187" w:type="dxa"/>
            <w:gridSpan w:val="2"/>
            <w:vMerge w:val="continue"/>
            <w:vAlign w:val="center"/>
          </w:tcPr>
          <w:p w14:paraId="63CAA33D">
            <w:pPr>
              <w:widowControl/>
              <w:jc w:val="left"/>
              <w:rPr>
                <w:color w:val="000000"/>
                <w:kern w:val="0"/>
                <w:sz w:val="22"/>
                <w:highlight w:val="none"/>
              </w:rPr>
            </w:pPr>
          </w:p>
        </w:tc>
        <w:tc>
          <w:tcPr>
            <w:tcW w:w="2977" w:type="dxa"/>
            <w:shd w:val="clear" w:color="000000" w:fill="FFFFFF"/>
            <w:vAlign w:val="center"/>
          </w:tcPr>
          <w:p w14:paraId="6FE536A5">
            <w:pPr>
              <w:widowControl/>
              <w:jc w:val="center"/>
              <w:rPr>
                <w:color w:val="000000"/>
                <w:kern w:val="0"/>
                <w:sz w:val="22"/>
                <w:highlight w:val="none"/>
              </w:rPr>
            </w:pPr>
            <w:r>
              <w:rPr>
                <w:color w:val="000000"/>
                <w:kern w:val="0"/>
                <w:sz w:val="22"/>
                <w:highlight w:val="none"/>
              </w:rPr>
              <w:t>iVMS8200（VAG）</w:t>
            </w:r>
          </w:p>
        </w:tc>
        <w:tc>
          <w:tcPr>
            <w:tcW w:w="709" w:type="dxa"/>
            <w:shd w:val="clear" w:color="000000" w:fill="FFFFFF"/>
            <w:vAlign w:val="center"/>
          </w:tcPr>
          <w:p w14:paraId="476E4FD4">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6DF94377">
            <w:pPr>
              <w:widowControl/>
              <w:jc w:val="center"/>
              <w:rPr>
                <w:color w:val="000000"/>
                <w:kern w:val="0"/>
                <w:sz w:val="22"/>
                <w:highlight w:val="none"/>
              </w:rPr>
            </w:pPr>
            <w:r>
              <w:rPr>
                <w:color w:val="000000"/>
                <w:kern w:val="0"/>
                <w:sz w:val="22"/>
                <w:highlight w:val="none"/>
              </w:rPr>
              <w:t>1</w:t>
            </w:r>
          </w:p>
        </w:tc>
      </w:tr>
      <w:tr w14:paraId="15314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649A15F7">
            <w:pPr>
              <w:widowControl/>
              <w:jc w:val="left"/>
              <w:rPr>
                <w:color w:val="000000"/>
                <w:kern w:val="0"/>
                <w:sz w:val="22"/>
                <w:highlight w:val="none"/>
              </w:rPr>
            </w:pPr>
          </w:p>
        </w:tc>
        <w:tc>
          <w:tcPr>
            <w:tcW w:w="3187" w:type="dxa"/>
            <w:gridSpan w:val="2"/>
            <w:vMerge w:val="continue"/>
            <w:vAlign w:val="center"/>
          </w:tcPr>
          <w:p w14:paraId="064985B1">
            <w:pPr>
              <w:widowControl/>
              <w:jc w:val="left"/>
              <w:rPr>
                <w:color w:val="000000"/>
                <w:kern w:val="0"/>
                <w:sz w:val="22"/>
                <w:highlight w:val="none"/>
              </w:rPr>
            </w:pPr>
          </w:p>
        </w:tc>
        <w:tc>
          <w:tcPr>
            <w:tcW w:w="2977" w:type="dxa"/>
            <w:shd w:val="clear" w:color="000000" w:fill="FFFFFF"/>
            <w:vAlign w:val="center"/>
          </w:tcPr>
          <w:p w14:paraId="4D9A8C6D">
            <w:pPr>
              <w:widowControl/>
              <w:jc w:val="center"/>
              <w:rPr>
                <w:color w:val="000000"/>
                <w:kern w:val="0"/>
                <w:sz w:val="22"/>
                <w:highlight w:val="none"/>
              </w:rPr>
            </w:pPr>
            <w:r>
              <w:rPr>
                <w:color w:val="000000"/>
                <w:kern w:val="0"/>
                <w:sz w:val="22"/>
                <w:highlight w:val="none"/>
              </w:rPr>
              <w:t>iVMS8200（VRM）</w:t>
            </w:r>
          </w:p>
        </w:tc>
        <w:tc>
          <w:tcPr>
            <w:tcW w:w="709" w:type="dxa"/>
            <w:shd w:val="clear" w:color="000000" w:fill="FFFFFF"/>
            <w:vAlign w:val="center"/>
          </w:tcPr>
          <w:p w14:paraId="3D0A031F">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442687B7">
            <w:pPr>
              <w:widowControl/>
              <w:jc w:val="center"/>
              <w:rPr>
                <w:color w:val="000000"/>
                <w:kern w:val="0"/>
                <w:sz w:val="22"/>
                <w:highlight w:val="none"/>
              </w:rPr>
            </w:pPr>
            <w:r>
              <w:rPr>
                <w:color w:val="000000"/>
                <w:kern w:val="0"/>
                <w:sz w:val="22"/>
                <w:highlight w:val="none"/>
              </w:rPr>
              <w:t>3</w:t>
            </w:r>
          </w:p>
        </w:tc>
      </w:tr>
      <w:tr w14:paraId="44AA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1F882E48">
            <w:pPr>
              <w:widowControl/>
              <w:jc w:val="left"/>
              <w:rPr>
                <w:color w:val="000000"/>
                <w:kern w:val="0"/>
                <w:sz w:val="22"/>
                <w:highlight w:val="none"/>
              </w:rPr>
            </w:pPr>
          </w:p>
        </w:tc>
        <w:tc>
          <w:tcPr>
            <w:tcW w:w="3187" w:type="dxa"/>
            <w:gridSpan w:val="2"/>
            <w:vMerge w:val="continue"/>
            <w:vAlign w:val="center"/>
          </w:tcPr>
          <w:p w14:paraId="4664532D">
            <w:pPr>
              <w:widowControl/>
              <w:jc w:val="left"/>
              <w:rPr>
                <w:color w:val="000000"/>
                <w:kern w:val="0"/>
                <w:sz w:val="22"/>
                <w:highlight w:val="none"/>
              </w:rPr>
            </w:pPr>
          </w:p>
        </w:tc>
        <w:tc>
          <w:tcPr>
            <w:tcW w:w="2977" w:type="dxa"/>
            <w:shd w:val="clear" w:color="000000" w:fill="FFFFFF"/>
            <w:vAlign w:val="center"/>
          </w:tcPr>
          <w:p w14:paraId="11D7C915">
            <w:pPr>
              <w:widowControl/>
              <w:jc w:val="center"/>
              <w:rPr>
                <w:color w:val="000000"/>
                <w:kern w:val="0"/>
                <w:sz w:val="22"/>
                <w:highlight w:val="none"/>
              </w:rPr>
            </w:pPr>
            <w:r>
              <w:rPr>
                <w:color w:val="000000"/>
                <w:kern w:val="0"/>
                <w:sz w:val="22"/>
                <w:highlight w:val="none"/>
              </w:rPr>
              <w:t>iVMS8200（BMS）</w:t>
            </w:r>
          </w:p>
        </w:tc>
        <w:tc>
          <w:tcPr>
            <w:tcW w:w="709" w:type="dxa"/>
            <w:shd w:val="clear" w:color="000000" w:fill="FFFFFF"/>
            <w:vAlign w:val="center"/>
          </w:tcPr>
          <w:p w14:paraId="1E49D50A">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117EB322">
            <w:pPr>
              <w:widowControl/>
              <w:jc w:val="center"/>
              <w:rPr>
                <w:color w:val="000000"/>
                <w:kern w:val="0"/>
                <w:sz w:val="22"/>
                <w:highlight w:val="none"/>
              </w:rPr>
            </w:pPr>
            <w:r>
              <w:rPr>
                <w:color w:val="000000"/>
                <w:kern w:val="0"/>
                <w:sz w:val="22"/>
                <w:highlight w:val="none"/>
              </w:rPr>
              <w:t>1</w:t>
            </w:r>
          </w:p>
        </w:tc>
      </w:tr>
      <w:tr w14:paraId="4660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6852C197">
            <w:pPr>
              <w:widowControl/>
              <w:jc w:val="left"/>
              <w:rPr>
                <w:color w:val="000000"/>
                <w:kern w:val="0"/>
                <w:sz w:val="22"/>
                <w:highlight w:val="none"/>
              </w:rPr>
            </w:pPr>
          </w:p>
        </w:tc>
        <w:tc>
          <w:tcPr>
            <w:tcW w:w="3187" w:type="dxa"/>
            <w:gridSpan w:val="2"/>
            <w:vMerge w:val="continue"/>
            <w:vAlign w:val="center"/>
          </w:tcPr>
          <w:p w14:paraId="49D9B418">
            <w:pPr>
              <w:widowControl/>
              <w:jc w:val="left"/>
              <w:rPr>
                <w:color w:val="000000"/>
                <w:kern w:val="0"/>
                <w:sz w:val="22"/>
                <w:highlight w:val="none"/>
              </w:rPr>
            </w:pPr>
          </w:p>
        </w:tc>
        <w:tc>
          <w:tcPr>
            <w:tcW w:w="2977" w:type="dxa"/>
            <w:shd w:val="clear" w:color="000000" w:fill="FFFFFF"/>
            <w:vAlign w:val="center"/>
          </w:tcPr>
          <w:p w14:paraId="3FDEC852">
            <w:pPr>
              <w:widowControl/>
              <w:jc w:val="center"/>
              <w:rPr>
                <w:color w:val="000000"/>
                <w:kern w:val="0"/>
                <w:sz w:val="22"/>
                <w:highlight w:val="none"/>
              </w:rPr>
            </w:pPr>
            <w:r>
              <w:rPr>
                <w:color w:val="000000"/>
                <w:kern w:val="0"/>
                <w:sz w:val="22"/>
                <w:highlight w:val="none"/>
              </w:rPr>
              <w:t>iVMS8200（PSA）</w:t>
            </w:r>
          </w:p>
        </w:tc>
        <w:tc>
          <w:tcPr>
            <w:tcW w:w="709" w:type="dxa"/>
            <w:shd w:val="clear" w:color="000000" w:fill="FFFFFF"/>
            <w:vAlign w:val="center"/>
          </w:tcPr>
          <w:p w14:paraId="60B7D631">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07A0FEEE">
            <w:pPr>
              <w:widowControl/>
              <w:jc w:val="center"/>
              <w:rPr>
                <w:color w:val="000000"/>
                <w:kern w:val="0"/>
                <w:sz w:val="22"/>
                <w:highlight w:val="none"/>
              </w:rPr>
            </w:pPr>
            <w:r>
              <w:rPr>
                <w:color w:val="000000"/>
                <w:kern w:val="0"/>
                <w:sz w:val="22"/>
                <w:highlight w:val="none"/>
              </w:rPr>
              <w:t>1</w:t>
            </w:r>
          </w:p>
        </w:tc>
      </w:tr>
      <w:tr w14:paraId="0A95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restart"/>
            <w:shd w:val="clear" w:color="000000" w:fill="FFFFFF"/>
            <w:vAlign w:val="center"/>
          </w:tcPr>
          <w:p w14:paraId="03952A57">
            <w:pPr>
              <w:widowControl/>
              <w:jc w:val="center"/>
              <w:rPr>
                <w:color w:val="000000"/>
                <w:kern w:val="0"/>
                <w:sz w:val="22"/>
                <w:highlight w:val="none"/>
              </w:rPr>
            </w:pPr>
            <w:r>
              <w:rPr>
                <w:color w:val="000000"/>
                <w:kern w:val="0"/>
                <w:sz w:val="22"/>
                <w:highlight w:val="none"/>
              </w:rPr>
              <w:t>2</w:t>
            </w:r>
          </w:p>
        </w:tc>
        <w:tc>
          <w:tcPr>
            <w:tcW w:w="3187" w:type="dxa"/>
            <w:gridSpan w:val="2"/>
            <w:vMerge w:val="restart"/>
            <w:shd w:val="clear" w:color="000000" w:fill="FFFFFF"/>
            <w:vAlign w:val="center"/>
          </w:tcPr>
          <w:p w14:paraId="0C85F32C">
            <w:pPr>
              <w:widowControl/>
              <w:jc w:val="left"/>
              <w:rPr>
                <w:color w:val="000000"/>
                <w:kern w:val="0"/>
                <w:sz w:val="22"/>
                <w:highlight w:val="none"/>
              </w:rPr>
            </w:pPr>
            <w:r>
              <w:rPr>
                <w:color w:val="000000"/>
                <w:kern w:val="0"/>
                <w:sz w:val="22"/>
                <w:highlight w:val="none"/>
              </w:rPr>
              <w:t>微卡口数据上传汇集库功能</w:t>
            </w:r>
          </w:p>
        </w:tc>
        <w:tc>
          <w:tcPr>
            <w:tcW w:w="2977" w:type="dxa"/>
            <w:shd w:val="clear" w:color="000000" w:fill="FFFFFF"/>
            <w:vAlign w:val="center"/>
          </w:tcPr>
          <w:p w14:paraId="09CE8EDE">
            <w:pPr>
              <w:widowControl/>
              <w:jc w:val="center"/>
              <w:rPr>
                <w:color w:val="000000"/>
                <w:kern w:val="0"/>
                <w:sz w:val="22"/>
                <w:highlight w:val="none"/>
              </w:rPr>
            </w:pPr>
            <w:r>
              <w:rPr>
                <w:color w:val="000000"/>
                <w:kern w:val="0"/>
                <w:sz w:val="22"/>
                <w:highlight w:val="none"/>
              </w:rPr>
              <w:t>iVMS8200（PSA）（推送模块）</w:t>
            </w:r>
          </w:p>
        </w:tc>
        <w:tc>
          <w:tcPr>
            <w:tcW w:w="709" w:type="dxa"/>
            <w:shd w:val="clear" w:color="000000" w:fill="FFFFFF"/>
            <w:vAlign w:val="center"/>
          </w:tcPr>
          <w:p w14:paraId="544B90BF">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71FCCEC5">
            <w:pPr>
              <w:widowControl/>
              <w:jc w:val="center"/>
              <w:rPr>
                <w:color w:val="000000"/>
                <w:kern w:val="0"/>
                <w:sz w:val="22"/>
                <w:highlight w:val="none"/>
              </w:rPr>
            </w:pPr>
            <w:r>
              <w:rPr>
                <w:color w:val="000000"/>
                <w:kern w:val="0"/>
                <w:sz w:val="22"/>
                <w:highlight w:val="none"/>
              </w:rPr>
              <w:t>3</w:t>
            </w:r>
          </w:p>
        </w:tc>
      </w:tr>
      <w:tr w14:paraId="4F4D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1A7EF953">
            <w:pPr>
              <w:widowControl/>
              <w:jc w:val="left"/>
              <w:rPr>
                <w:color w:val="000000"/>
                <w:kern w:val="0"/>
                <w:sz w:val="22"/>
                <w:highlight w:val="none"/>
              </w:rPr>
            </w:pPr>
          </w:p>
        </w:tc>
        <w:tc>
          <w:tcPr>
            <w:tcW w:w="3187" w:type="dxa"/>
            <w:gridSpan w:val="2"/>
            <w:vMerge w:val="continue"/>
            <w:vAlign w:val="center"/>
          </w:tcPr>
          <w:p w14:paraId="142FA8BE">
            <w:pPr>
              <w:widowControl/>
              <w:jc w:val="left"/>
              <w:rPr>
                <w:color w:val="000000"/>
                <w:kern w:val="0"/>
                <w:sz w:val="22"/>
                <w:highlight w:val="none"/>
              </w:rPr>
            </w:pPr>
          </w:p>
        </w:tc>
        <w:tc>
          <w:tcPr>
            <w:tcW w:w="2977" w:type="dxa"/>
            <w:shd w:val="clear" w:color="000000" w:fill="FFFFFF"/>
            <w:vAlign w:val="center"/>
          </w:tcPr>
          <w:p w14:paraId="03692E5C">
            <w:pPr>
              <w:widowControl/>
              <w:jc w:val="center"/>
              <w:rPr>
                <w:color w:val="000000"/>
                <w:kern w:val="0"/>
                <w:sz w:val="22"/>
                <w:highlight w:val="none"/>
              </w:rPr>
            </w:pPr>
            <w:r>
              <w:rPr>
                <w:color w:val="000000"/>
                <w:kern w:val="0"/>
                <w:sz w:val="22"/>
                <w:highlight w:val="none"/>
              </w:rPr>
              <w:t>NF8460M4</w:t>
            </w:r>
          </w:p>
        </w:tc>
        <w:tc>
          <w:tcPr>
            <w:tcW w:w="709" w:type="dxa"/>
            <w:shd w:val="clear" w:color="000000" w:fill="FFFFFF"/>
            <w:vAlign w:val="center"/>
          </w:tcPr>
          <w:p w14:paraId="75242EC6">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08235A58">
            <w:pPr>
              <w:widowControl/>
              <w:jc w:val="center"/>
              <w:rPr>
                <w:color w:val="000000"/>
                <w:kern w:val="0"/>
                <w:sz w:val="22"/>
                <w:highlight w:val="none"/>
              </w:rPr>
            </w:pPr>
            <w:r>
              <w:rPr>
                <w:color w:val="000000"/>
                <w:kern w:val="0"/>
                <w:sz w:val="22"/>
                <w:highlight w:val="none"/>
              </w:rPr>
              <w:t>3</w:t>
            </w:r>
          </w:p>
        </w:tc>
      </w:tr>
      <w:tr w14:paraId="7322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6DD58ECF">
            <w:pPr>
              <w:widowControl/>
              <w:jc w:val="center"/>
              <w:rPr>
                <w:color w:val="000000"/>
                <w:kern w:val="0"/>
                <w:sz w:val="22"/>
                <w:highlight w:val="none"/>
              </w:rPr>
            </w:pPr>
            <w:r>
              <w:rPr>
                <w:color w:val="000000"/>
                <w:kern w:val="0"/>
                <w:sz w:val="22"/>
                <w:highlight w:val="none"/>
              </w:rPr>
              <w:t>3</w:t>
            </w:r>
          </w:p>
        </w:tc>
        <w:tc>
          <w:tcPr>
            <w:tcW w:w="3187" w:type="dxa"/>
            <w:gridSpan w:val="2"/>
            <w:shd w:val="clear" w:color="000000" w:fill="FFFFFF"/>
            <w:vAlign w:val="center"/>
          </w:tcPr>
          <w:p w14:paraId="34D48B11">
            <w:pPr>
              <w:widowControl/>
              <w:jc w:val="left"/>
              <w:rPr>
                <w:color w:val="000000"/>
                <w:kern w:val="0"/>
                <w:sz w:val="22"/>
                <w:highlight w:val="none"/>
              </w:rPr>
            </w:pPr>
            <w:r>
              <w:rPr>
                <w:color w:val="000000"/>
                <w:kern w:val="0"/>
                <w:sz w:val="22"/>
                <w:highlight w:val="none"/>
              </w:rPr>
              <w:t>结构化数据上传服务器</w:t>
            </w:r>
          </w:p>
        </w:tc>
        <w:tc>
          <w:tcPr>
            <w:tcW w:w="2977" w:type="dxa"/>
            <w:shd w:val="clear" w:color="000000" w:fill="FFFFFF"/>
            <w:vAlign w:val="center"/>
          </w:tcPr>
          <w:p w14:paraId="58E7EC5B">
            <w:pPr>
              <w:widowControl/>
              <w:jc w:val="center"/>
              <w:rPr>
                <w:color w:val="000000"/>
                <w:kern w:val="0"/>
                <w:sz w:val="22"/>
                <w:highlight w:val="none"/>
              </w:rPr>
            </w:pPr>
            <w:r>
              <w:rPr>
                <w:color w:val="000000"/>
                <w:kern w:val="0"/>
                <w:sz w:val="22"/>
                <w:highlight w:val="none"/>
              </w:rPr>
              <w:t>iVMS8200(DTS)</w:t>
            </w:r>
          </w:p>
        </w:tc>
        <w:tc>
          <w:tcPr>
            <w:tcW w:w="709" w:type="dxa"/>
            <w:shd w:val="clear" w:color="000000" w:fill="FFFFFF"/>
            <w:vAlign w:val="center"/>
          </w:tcPr>
          <w:p w14:paraId="54634F73">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00EBDA4E">
            <w:pPr>
              <w:widowControl/>
              <w:jc w:val="center"/>
              <w:rPr>
                <w:color w:val="000000"/>
                <w:kern w:val="0"/>
                <w:sz w:val="22"/>
                <w:highlight w:val="none"/>
              </w:rPr>
            </w:pPr>
            <w:r>
              <w:rPr>
                <w:color w:val="000000"/>
                <w:kern w:val="0"/>
                <w:sz w:val="22"/>
                <w:highlight w:val="none"/>
              </w:rPr>
              <w:t>2</w:t>
            </w:r>
          </w:p>
        </w:tc>
      </w:tr>
      <w:tr w14:paraId="0306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restart"/>
            <w:shd w:val="clear" w:color="000000" w:fill="FFFFFF"/>
            <w:vAlign w:val="center"/>
          </w:tcPr>
          <w:p w14:paraId="0EDD5521">
            <w:pPr>
              <w:widowControl/>
              <w:jc w:val="center"/>
              <w:rPr>
                <w:color w:val="000000"/>
                <w:kern w:val="0"/>
                <w:sz w:val="22"/>
                <w:highlight w:val="none"/>
              </w:rPr>
            </w:pPr>
            <w:r>
              <w:rPr>
                <w:color w:val="000000"/>
                <w:kern w:val="0"/>
                <w:sz w:val="22"/>
                <w:highlight w:val="none"/>
              </w:rPr>
              <w:t>4</w:t>
            </w:r>
          </w:p>
        </w:tc>
        <w:tc>
          <w:tcPr>
            <w:tcW w:w="3187" w:type="dxa"/>
            <w:gridSpan w:val="2"/>
            <w:vMerge w:val="restart"/>
            <w:shd w:val="clear" w:color="000000" w:fill="FFFFFF"/>
            <w:vAlign w:val="center"/>
          </w:tcPr>
          <w:p w14:paraId="5C179227">
            <w:pPr>
              <w:widowControl/>
              <w:jc w:val="left"/>
              <w:rPr>
                <w:color w:val="000000"/>
                <w:kern w:val="0"/>
                <w:sz w:val="22"/>
                <w:highlight w:val="none"/>
              </w:rPr>
            </w:pPr>
            <w:r>
              <w:rPr>
                <w:color w:val="000000"/>
                <w:kern w:val="0"/>
                <w:sz w:val="22"/>
                <w:highlight w:val="none"/>
              </w:rPr>
              <w:t>视频监控存储系统</w:t>
            </w:r>
          </w:p>
        </w:tc>
        <w:tc>
          <w:tcPr>
            <w:tcW w:w="2977" w:type="dxa"/>
            <w:shd w:val="clear" w:color="000000" w:fill="FFFFFF"/>
            <w:vAlign w:val="center"/>
          </w:tcPr>
          <w:p w14:paraId="0F4EC0BB">
            <w:pPr>
              <w:widowControl/>
              <w:jc w:val="center"/>
              <w:rPr>
                <w:color w:val="000000"/>
                <w:kern w:val="0"/>
                <w:sz w:val="22"/>
                <w:highlight w:val="none"/>
              </w:rPr>
            </w:pPr>
            <w:r>
              <w:rPr>
                <w:color w:val="000000"/>
                <w:kern w:val="0"/>
                <w:sz w:val="22"/>
                <w:highlight w:val="none"/>
              </w:rPr>
              <w:t>DS-A71036R</w:t>
            </w:r>
          </w:p>
        </w:tc>
        <w:tc>
          <w:tcPr>
            <w:tcW w:w="709" w:type="dxa"/>
            <w:shd w:val="clear" w:color="000000" w:fill="FFFFFF"/>
            <w:vAlign w:val="center"/>
          </w:tcPr>
          <w:p w14:paraId="5B448240">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6E45B38E">
            <w:pPr>
              <w:widowControl/>
              <w:jc w:val="center"/>
              <w:rPr>
                <w:color w:val="000000"/>
                <w:kern w:val="0"/>
                <w:sz w:val="22"/>
                <w:highlight w:val="none"/>
              </w:rPr>
            </w:pPr>
            <w:r>
              <w:rPr>
                <w:color w:val="000000"/>
                <w:kern w:val="0"/>
                <w:sz w:val="22"/>
                <w:highlight w:val="none"/>
              </w:rPr>
              <w:t>8</w:t>
            </w:r>
          </w:p>
        </w:tc>
      </w:tr>
      <w:tr w14:paraId="7EC91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20159AA8">
            <w:pPr>
              <w:widowControl/>
              <w:jc w:val="left"/>
              <w:rPr>
                <w:color w:val="000000"/>
                <w:kern w:val="0"/>
                <w:sz w:val="22"/>
                <w:highlight w:val="none"/>
              </w:rPr>
            </w:pPr>
          </w:p>
        </w:tc>
        <w:tc>
          <w:tcPr>
            <w:tcW w:w="3187" w:type="dxa"/>
            <w:gridSpan w:val="2"/>
            <w:vMerge w:val="continue"/>
            <w:vAlign w:val="center"/>
          </w:tcPr>
          <w:p w14:paraId="77DAD1D5">
            <w:pPr>
              <w:widowControl/>
              <w:jc w:val="left"/>
              <w:rPr>
                <w:color w:val="000000"/>
                <w:kern w:val="0"/>
                <w:sz w:val="22"/>
                <w:highlight w:val="none"/>
              </w:rPr>
            </w:pPr>
          </w:p>
        </w:tc>
        <w:tc>
          <w:tcPr>
            <w:tcW w:w="2977" w:type="dxa"/>
            <w:shd w:val="clear" w:color="000000" w:fill="FFFFFF"/>
            <w:vAlign w:val="center"/>
          </w:tcPr>
          <w:p w14:paraId="20B0CF11">
            <w:pPr>
              <w:widowControl/>
              <w:jc w:val="center"/>
              <w:rPr>
                <w:color w:val="000000"/>
                <w:kern w:val="0"/>
                <w:sz w:val="22"/>
                <w:highlight w:val="none"/>
              </w:rPr>
            </w:pPr>
            <w:r>
              <w:rPr>
                <w:color w:val="000000"/>
                <w:kern w:val="0"/>
                <w:sz w:val="22"/>
                <w:highlight w:val="none"/>
              </w:rPr>
              <w:t>DS-AJ6824S</w:t>
            </w:r>
          </w:p>
        </w:tc>
        <w:tc>
          <w:tcPr>
            <w:tcW w:w="709" w:type="dxa"/>
            <w:shd w:val="clear" w:color="000000" w:fill="FFFFFF"/>
            <w:vAlign w:val="center"/>
          </w:tcPr>
          <w:p w14:paraId="3A048E3A">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5BD112BF">
            <w:pPr>
              <w:widowControl/>
              <w:jc w:val="center"/>
              <w:rPr>
                <w:color w:val="000000"/>
                <w:kern w:val="0"/>
                <w:sz w:val="22"/>
                <w:highlight w:val="none"/>
              </w:rPr>
            </w:pPr>
            <w:r>
              <w:rPr>
                <w:color w:val="000000"/>
                <w:kern w:val="0"/>
                <w:sz w:val="22"/>
                <w:highlight w:val="none"/>
              </w:rPr>
              <w:t>8</w:t>
            </w:r>
          </w:p>
        </w:tc>
      </w:tr>
      <w:tr w14:paraId="049E1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032E3B7C">
            <w:pPr>
              <w:widowControl/>
              <w:jc w:val="left"/>
              <w:rPr>
                <w:color w:val="000000"/>
                <w:kern w:val="0"/>
                <w:sz w:val="22"/>
                <w:highlight w:val="none"/>
              </w:rPr>
            </w:pPr>
          </w:p>
        </w:tc>
        <w:tc>
          <w:tcPr>
            <w:tcW w:w="3187" w:type="dxa"/>
            <w:gridSpan w:val="2"/>
            <w:vMerge w:val="continue"/>
            <w:vAlign w:val="center"/>
          </w:tcPr>
          <w:p w14:paraId="1FACB1D5">
            <w:pPr>
              <w:widowControl/>
              <w:jc w:val="left"/>
              <w:rPr>
                <w:color w:val="000000"/>
                <w:kern w:val="0"/>
                <w:sz w:val="22"/>
                <w:highlight w:val="none"/>
              </w:rPr>
            </w:pPr>
          </w:p>
        </w:tc>
        <w:tc>
          <w:tcPr>
            <w:tcW w:w="2977" w:type="dxa"/>
            <w:shd w:val="clear" w:color="000000" w:fill="FFFFFF"/>
            <w:vAlign w:val="center"/>
          </w:tcPr>
          <w:p w14:paraId="3F2EEB2F">
            <w:pPr>
              <w:widowControl/>
              <w:jc w:val="center"/>
              <w:rPr>
                <w:color w:val="000000"/>
                <w:kern w:val="0"/>
                <w:sz w:val="22"/>
                <w:highlight w:val="none"/>
              </w:rPr>
            </w:pPr>
            <w:r>
              <w:rPr>
                <w:color w:val="000000"/>
                <w:kern w:val="0"/>
                <w:sz w:val="22"/>
                <w:highlight w:val="none"/>
              </w:rPr>
              <w:t>ST4000NM0033</w:t>
            </w:r>
          </w:p>
        </w:tc>
        <w:tc>
          <w:tcPr>
            <w:tcW w:w="709" w:type="dxa"/>
            <w:shd w:val="clear" w:color="000000" w:fill="FFFFFF"/>
            <w:vAlign w:val="center"/>
          </w:tcPr>
          <w:p w14:paraId="06013A67">
            <w:pPr>
              <w:widowControl/>
              <w:jc w:val="center"/>
              <w:rPr>
                <w:color w:val="000000"/>
                <w:kern w:val="0"/>
                <w:sz w:val="22"/>
                <w:highlight w:val="none"/>
              </w:rPr>
            </w:pPr>
            <w:r>
              <w:rPr>
                <w:color w:val="000000"/>
                <w:kern w:val="0"/>
                <w:sz w:val="22"/>
                <w:highlight w:val="none"/>
              </w:rPr>
              <w:t>块</w:t>
            </w:r>
          </w:p>
        </w:tc>
        <w:tc>
          <w:tcPr>
            <w:tcW w:w="646" w:type="dxa"/>
            <w:shd w:val="clear" w:color="000000" w:fill="FFFFFF"/>
            <w:vAlign w:val="center"/>
          </w:tcPr>
          <w:p w14:paraId="782A2A1A">
            <w:pPr>
              <w:widowControl/>
              <w:jc w:val="center"/>
              <w:rPr>
                <w:color w:val="000000"/>
                <w:kern w:val="0"/>
                <w:sz w:val="22"/>
                <w:highlight w:val="none"/>
              </w:rPr>
            </w:pPr>
            <w:r>
              <w:rPr>
                <w:color w:val="000000"/>
                <w:kern w:val="0"/>
                <w:sz w:val="22"/>
                <w:highlight w:val="none"/>
              </w:rPr>
              <w:t>520</w:t>
            </w:r>
          </w:p>
        </w:tc>
      </w:tr>
      <w:tr w14:paraId="3334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40449592">
            <w:pPr>
              <w:widowControl/>
              <w:jc w:val="left"/>
              <w:rPr>
                <w:color w:val="000000"/>
                <w:kern w:val="0"/>
                <w:sz w:val="22"/>
                <w:highlight w:val="none"/>
              </w:rPr>
            </w:pPr>
          </w:p>
        </w:tc>
        <w:tc>
          <w:tcPr>
            <w:tcW w:w="3187" w:type="dxa"/>
            <w:gridSpan w:val="2"/>
            <w:vMerge w:val="continue"/>
            <w:vAlign w:val="center"/>
          </w:tcPr>
          <w:p w14:paraId="222ACE9E">
            <w:pPr>
              <w:widowControl/>
              <w:jc w:val="left"/>
              <w:rPr>
                <w:color w:val="000000"/>
                <w:kern w:val="0"/>
                <w:sz w:val="22"/>
                <w:highlight w:val="none"/>
              </w:rPr>
            </w:pPr>
          </w:p>
        </w:tc>
        <w:tc>
          <w:tcPr>
            <w:tcW w:w="2977" w:type="dxa"/>
            <w:shd w:val="clear" w:color="000000" w:fill="FFFFFF"/>
            <w:vAlign w:val="center"/>
          </w:tcPr>
          <w:p w14:paraId="5F454F4D">
            <w:pPr>
              <w:widowControl/>
              <w:jc w:val="center"/>
              <w:rPr>
                <w:color w:val="000000"/>
                <w:kern w:val="0"/>
                <w:sz w:val="22"/>
                <w:highlight w:val="none"/>
              </w:rPr>
            </w:pPr>
            <w:r>
              <w:rPr>
                <w:color w:val="000000"/>
                <w:kern w:val="0"/>
                <w:sz w:val="22"/>
                <w:highlight w:val="none"/>
              </w:rPr>
              <w:t>iVMS-9100E-K08-HD</w:t>
            </w:r>
          </w:p>
        </w:tc>
        <w:tc>
          <w:tcPr>
            <w:tcW w:w="709" w:type="dxa"/>
            <w:shd w:val="clear" w:color="000000" w:fill="FFFFFF"/>
            <w:vAlign w:val="center"/>
          </w:tcPr>
          <w:p w14:paraId="010016E4">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7B7ADB1A">
            <w:pPr>
              <w:widowControl/>
              <w:jc w:val="center"/>
              <w:rPr>
                <w:color w:val="000000"/>
                <w:kern w:val="0"/>
                <w:sz w:val="22"/>
                <w:highlight w:val="none"/>
              </w:rPr>
            </w:pPr>
            <w:r>
              <w:rPr>
                <w:color w:val="000000"/>
                <w:kern w:val="0"/>
                <w:sz w:val="22"/>
                <w:highlight w:val="none"/>
              </w:rPr>
              <w:t>1</w:t>
            </w:r>
          </w:p>
        </w:tc>
      </w:tr>
      <w:tr w14:paraId="6D226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7DBC8967">
            <w:pPr>
              <w:widowControl/>
              <w:jc w:val="left"/>
              <w:rPr>
                <w:color w:val="000000"/>
                <w:kern w:val="0"/>
                <w:sz w:val="22"/>
                <w:highlight w:val="none"/>
              </w:rPr>
            </w:pPr>
          </w:p>
        </w:tc>
        <w:tc>
          <w:tcPr>
            <w:tcW w:w="3187" w:type="dxa"/>
            <w:gridSpan w:val="2"/>
            <w:vMerge w:val="continue"/>
            <w:vAlign w:val="center"/>
          </w:tcPr>
          <w:p w14:paraId="44F021F7">
            <w:pPr>
              <w:widowControl/>
              <w:jc w:val="left"/>
              <w:rPr>
                <w:color w:val="000000"/>
                <w:kern w:val="0"/>
                <w:sz w:val="22"/>
                <w:highlight w:val="none"/>
              </w:rPr>
            </w:pPr>
          </w:p>
        </w:tc>
        <w:tc>
          <w:tcPr>
            <w:tcW w:w="2977" w:type="dxa"/>
            <w:shd w:val="clear" w:color="000000" w:fill="FFFFFF"/>
            <w:vAlign w:val="center"/>
          </w:tcPr>
          <w:p w14:paraId="4B53C9C9">
            <w:pPr>
              <w:widowControl/>
              <w:jc w:val="center"/>
              <w:rPr>
                <w:color w:val="000000"/>
                <w:kern w:val="0"/>
                <w:sz w:val="22"/>
                <w:highlight w:val="none"/>
              </w:rPr>
            </w:pPr>
            <w:r>
              <w:rPr>
                <w:color w:val="000000"/>
                <w:kern w:val="0"/>
                <w:sz w:val="22"/>
                <w:highlight w:val="none"/>
              </w:rPr>
              <w:t>iVMS8200（异构接入模块）</w:t>
            </w:r>
          </w:p>
        </w:tc>
        <w:tc>
          <w:tcPr>
            <w:tcW w:w="709" w:type="dxa"/>
            <w:shd w:val="clear" w:color="000000" w:fill="FFFFFF"/>
            <w:vAlign w:val="center"/>
          </w:tcPr>
          <w:p w14:paraId="687101AE">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525A4BFF">
            <w:pPr>
              <w:widowControl/>
              <w:jc w:val="center"/>
              <w:rPr>
                <w:color w:val="000000"/>
                <w:kern w:val="0"/>
                <w:sz w:val="22"/>
                <w:highlight w:val="none"/>
              </w:rPr>
            </w:pPr>
            <w:r>
              <w:rPr>
                <w:color w:val="000000"/>
                <w:kern w:val="0"/>
                <w:sz w:val="22"/>
                <w:highlight w:val="none"/>
              </w:rPr>
              <w:t>1</w:t>
            </w:r>
          </w:p>
        </w:tc>
      </w:tr>
      <w:tr w14:paraId="1677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5B3E0B3D">
            <w:pPr>
              <w:widowControl/>
              <w:jc w:val="center"/>
              <w:rPr>
                <w:color w:val="000000"/>
                <w:kern w:val="0"/>
                <w:sz w:val="22"/>
                <w:highlight w:val="none"/>
              </w:rPr>
            </w:pPr>
            <w:r>
              <w:rPr>
                <w:color w:val="000000"/>
                <w:kern w:val="0"/>
                <w:sz w:val="22"/>
                <w:highlight w:val="none"/>
              </w:rPr>
              <w:t>5</w:t>
            </w:r>
          </w:p>
        </w:tc>
        <w:tc>
          <w:tcPr>
            <w:tcW w:w="3187" w:type="dxa"/>
            <w:gridSpan w:val="2"/>
            <w:shd w:val="clear" w:color="000000" w:fill="FFFFFF"/>
            <w:vAlign w:val="center"/>
          </w:tcPr>
          <w:p w14:paraId="7641FB33">
            <w:pPr>
              <w:widowControl/>
              <w:jc w:val="left"/>
              <w:rPr>
                <w:color w:val="000000"/>
                <w:kern w:val="0"/>
                <w:sz w:val="22"/>
                <w:highlight w:val="none"/>
              </w:rPr>
            </w:pPr>
            <w:r>
              <w:rPr>
                <w:color w:val="000000"/>
                <w:kern w:val="0"/>
                <w:sz w:val="22"/>
                <w:highlight w:val="none"/>
              </w:rPr>
              <w:t>运维服务器</w:t>
            </w:r>
          </w:p>
        </w:tc>
        <w:tc>
          <w:tcPr>
            <w:tcW w:w="2977" w:type="dxa"/>
            <w:shd w:val="clear" w:color="000000" w:fill="FFFFFF"/>
            <w:vAlign w:val="center"/>
          </w:tcPr>
          <w:p w14:paraId="5C4EBDC6">
            <w:pPr>
              <w:widowControl/>
              <w:jc w:val="center"/>
              <w:rPr>
                <w:color w:val="000000"/>
                <w:kern w:val="0"/>
                <w:sz w:val="22"/>
                <w:highlight w:val="none"/>
              </w:rPr>
            </w:pPr>
            <w:r>
              <w:rPr>
                <w:color w:val="000000"/>
                <w:kern w:val="0"/>
                <w:sz w:val="22"/>
                <w:highlight w:val="none"/>
              </w:rPr>
              <w:t>iVMS-9300E</w:t>
            </w:r>
          </w:p>
        </w:tc>
        <w:tc>
          <w:tcPr>
            <w:tcW w:w="709" w:type="dxa"/>
            <w:shd w:val="clear" w:color="000000" w:fill="FFFFFF"/>
            <w:vAlign w:val="center"/>
          </w:tcPr>
          <w:p w14:paraId="53D344A6">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6AFD6779">
            <w:pPr>
              <w:widowControl/>
              <w:jc w:val="center"/>
              <w:rPr>
                <w:color w:val="000000"/>
                <w:kern w:val="0"/>
                <w:sz w:val="22"/>
                <w:highlight w:val="none"/>
              </w:rPr>
            </w:pPr>
            <w:r>
              <w:rPr>
                <w:color w:val="000000"/>
                <w:kern w:val="0"/>
                <w:sz w:val="22"/>
                <w:highlight w:val="none"/>
              </w:rPr>
              <w:t>1</w:t>
            </w:r>
          </w:p>
        </w:tc>
      </w:tr>
      <w:tr w14:paraId="6D40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14188BC">
            <w:pPr>
              <w:widowControl/>
              <w:jc w:val="center"/>
              <w:rPr>
                <w:color w:val="000000"/>
                <w:kern w:val="0"/>
                <w:sz w:val="22"/>
                <w:highlight w:val="none"/>
              </w:rPr>
            </w:pPr>
            <w:r>
              <w:rPr>
                <w:color w:val="000000"/>
                <w:kern w:val="0"/>
                <w:sz w:val="22"/>
                <w:highlight w:val="none"/>
              </w:rPr>
              <w:t>6</w:t>
            </w:r>
          </w:p>
        </w:tc>
        <w:tc>
          <w:tcPr>
            <w:tcW w:w="3187" w:type="dxa"/>
            <w:gridSpan w:val="2"/>
            <w:shd w:val="clear" w:color="000000" w:fill="FFFFFF"/>
            <w:vAlign w:val="center"/>
          </w:tcPr>
          <w:p w14:paraId="4A274826">
            <w:pPr>
              <w:widowControl/>
              <w:jc w:val="left"/>
              <w:rPr>
                <w:color w:val="000000"/>
                <w:kern w:val="0"/>
                <w:sz w:val="22"/>
                <w:highlight w:val="none"/>
              </w:rPr>
            </w:pPr>
            <w:r>
              <w:rPr>
                <w:color w:val="000000"/>
                <w:kern w:val="0"/>
                <w:sz w:val="22"/>
                <w:highlight w:val="none"/>
              </w:rPr>
              <w:t>诊断服务器</w:t>
            </w:r>
          </w:p>
        </w:tc>
        <w:tc>
          <w:tcPr>
            <w:tcW w:w="2977" w:type="dxa"/>
            <w:shd w:val="clear" w:color="000000" w:fill="FFFFFF"/>
            <w:vAlign w:val="center"/>
          </w:tcPr>
          <w:p w14:paraId="6007A7F4">
            <w:pPr>
              <w:widowControl/>
              <w:jc w:val="center"/>
              <w:rPr>
                <w:color w:val="000000"/>
                <w:kern w:val="0"/>
                <w:sz w:val="22"/>
                <w:highlight w:val="none"/>
              </w:rPr>
            </w:pPr>
            <w:r>
              <w:rPr>
                <w:color w:val="000000"/>
                <w:kern w:val="0"/>
                <w:sz w:val="22"/>
                <w:highlight w:val="none"/>
              </w:rPr>
              <w:t>DS-IE6200/D</w:t>
            </w:r>
          </w:p>
        </w:tc>
        <w:tc>
          <w:tcPr>
            <w:tcW w:w="709" w:type="dxa"/>
            <w:shd w:val="clear" w:color="000000" w:fill="FFFFFF"/>
            <w:vAlign w:val="center"/>
          </w:tcPr>
          <w:p w14:paraId="20C33241">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7B6BAFB1">
            <w:pPr>
              <w:widowControl/>
              <w:jc w:val="center"/>
              <w:rPr>
                <w:color w:val="000000"/>
                <w:kern w:val="0"/>
                <w:sz w:val="22"/>
                <w:highlight w:val="none"/>
              </w:rPr>
            </w:pPr>
            <w:r>
              <w:rPr>
                <w:color w:val="000000"/>
                <w:kern w:val="0"/>
                <w:sz w:val="22"/>
                <w:highlight w:val="none"/>
              </w:rPr>
              <w:t>1</w:t>
            </w:r>
          </w:p>
        </w:tc>
      </w:tr>
      <w:tr w14:paraId="59FD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4D9E0CF0">
            <w:pPr>
              <w:widowControl/>
              <w:jc w:val="center"/>
              <w:rPr>
                <w:color w:val="000000"/>
                <w:kern w:val="0"/>
                <w:sz w:val="22"/>
                <w:highlight w:val="none"/>
              </w:rPr>
            </w:pPr>
            <w:r>
              <w:rPr>
                <w:color w:val="000000"/>
                <w:kern w:val="0"/>
                <w:sz w:val="22"/>
                <w:highlight w:val="none"/>
              </w:rPr>
              <w:t>7</w:t>
            </w:r>
          </w:p>
        </w:tc>
        <w:tc>
          <w:tcPr>
            <w:tcW w:w="3187" w:type="dxa"/>
            <w:gridSpan w:val="2"/>
            <w:shd w:val="clear" w:color="000000" w:fill="FFFFFF"/>
            <w:vAlign w:val="center"/>
          </w:tcPr>
          <w:p w14:paraId="436342C1">
            <w:pPr>
              <w:widowControl/>
              <w:jc w:val="left"/>
              <w:rPr>
                <w:color w:val="000000"/>
                <w:kern w:val="0"/>
                <w:sz w:val="22"/>
                <w:highlight w:val="none"/>
              </w:rPr>
            </w:pPr>
            <w:r>
              <w:rPr>
                <w:color w:val="000000"/>
                <w:kern w:val="0"/>
                <w:sz w:val="22"/>
                <w:highlight w:val="none"/>
              </w:rPr>
              <w:t>千兆网络交换机</w:t>
            </w:r>
          </w:p>
        </w:tc>
        <w:tc>
          <w:tcPr>
            <w:tcW w:w="2977" w:type="dxa"/>
            <w:shd w:val="clear" w:color="000000" w:fill="FFFFFF"/>
            <w:vAlign w:val="center"/>
          </w:tcPr>
          <w:p w14:paraId="5204D1B6">
            <w:pPr>
              <w:widowControl/>
              <w:jc w:val="center"/>
              <w:rPr>
                <w:color w:val="000000"/>
                <w:kern w:val="0"/>
                <w:sz w:val="22"/>
                <w:highlight w:val="none"/>
              </w:rPr>
            </w:pPr>
            <w:r>
              <w:rPr>
                <w:color w:val="000000"/>
                <w:kern w:val="0"/>
                <w:sz w:val="22"/>
                <w:highlight w:val="none"/>
              </w:rPr>
              <w:t>S5110-28P</w:t>
            </w:r>
          </w:p>
        </w:tc>
        <w:tc>
          <w:tcPr>
            <w:tcW w:w="709" w:type="dxa"/>
            <w:shd w:val="clear" w:color="000000" w:fill="FFFFFF"/>
            <w:vAlign w:val="center"/>
          </w:tcPr>
          <w:p w14:paraId="1DEE06AA">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4F826F8A">
            <w:pPr>
              <w:widowControl/>
              <w:jc w:val="center"/>
              <w:rPr>
                <w:color w:val="000000"/>
                <w:kern w:val="0"/>
                <w:sz w:val="22"/>
                <w:highlight w:val="none"/>
              </w:rPr>
            </w:pPr>
            <w:r>
              <w:rPr>
                <w:color w:val="000000"/>
                <w:kern w:val="0"/>
                <w:sz w:val="22"/>
                <w:highlight w:val="none"/>
              </w:rPr>
              <w:t>6</w:t>
            </w:r>
          </w:p>
        </w:tc>
      </w:tr>
      <w:tr w14:paraId="4CAD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AD7935A">
            <w:pPr>
              <w:widowControl/>
              <w:jc w:val="center"/>
              <w:rPr>
                <w:color w:val="000000"/>
                <w:kern w:val="0"/>
                <w:sz w:val="22"/>
                <w:highlight w:val="none"/>
              </w:rPr>
            </w:pPr>
            <w:r>
              <w:rPr>
                <w:color w:val="000000"/>
                <w:kern w:val="0"/>
                <w:sz w:val="22"/>
                <w:highlight w:val="none"/>
              </w:rPr>
              <w:t>8</w:t>
            </w:r>
          </w:p>
        </w:tc>
        <w:tc>
          <w:tcPr>
            <w:tcW w:w="3187" w:type="dxa"/>
            <w:gridSpan w:val="2"/>
            <w:shd w:val="clear" w:color="000000" w:fill="FFFFFF"/>
            <w:vAlign w:val="center"/>
          </w:tcPr>
          <w:p w14:paraId="3B3CCAB9">
            <w:pPr>
              <w:widowControl/>
              <w:jc w:val="left"/>
              <w:rPr>
                <w:color w:val="000000"/>
                <w:kern w:val="0"/>
                <w:sz w:val="22"/>
                <w:highlight w:val="none"/>
              </w:rPr>
            </w:pPr>
            <w:r>
              <w:rPr>
                <w:color w:val="000000"/>
                <w:kern w:val="0"/>
                <w:sz w:val="22"/>
                <w:highlight w:val="none"/>
              </w:rPr>
              <w:t>千兆光模块</w:t>
            </w:r>
          </w:p>
        </w:tc>
        <w:tc>
          <w:tcPr>
            <w:tcW w:w="2977" w:type="dxa"/>
            <w:shd w:val="clear" w:color="000000" w:fill="FFFFFF"/>
            <w:vAlign w:val="center"/>
          </w:tcPr>
          <w:p w14:paraId="2639EBC2">
            <w:pPr>
              <w:widowControl/>
              <w:jc w:val="center"/>
              <w:rPr>
                <w:color w:val="000000"/>
                <w:kern w:val="0"/>
                <w:sz w:val="22"/>
                <w:highlight w:val="none"/>
              </w:rPr>
            </w:pPr>
            <w:r>
              <w:rPr>
                <w:color w:val="000000"/>
                <w:kern w:val="0"/>
                <w:sz w:val="22"/>
                <w:highlight w:val="none"/>
              </w:rPr>
              <w:t>SFP-GE-LX-SM1310</w:t>
            </w:r>
          </w:p>
        </w:tc>
        <w:tc>
          <w:tcPr>
            <w:tcW w:w="709" w:type="dxa"/>
            <w:shd w:val="clear" w:color="000000" w:fill="FFFFFF"/>
            <w:vAlign w:val="center"/>
          </w:tcPr>
          <w:p w14:paraId="17162F12">
            <w:pPr>
              <w:widowControl/>
              <w:jc w:val="center"/>
              <w:rPr>
                <w:color w:val="000000"/>
                <w:kern w:val="0"/>
                <w:sz w:val="22"/>
                <w:highlight w:val="none"/>
              </w:rPr>
            </w:pPr>
            <w:r>
              <w:rPr>
                <w:color w:val="000000"/>
                <w:kern w:val="0"/>
                <w:sz w:val="22"/>
                <w:highlight w:val="none"/>
              </w:rPr>
              <w:t>个</w:t>
            </w:r>
          </w:p>
        </w:tc>
        <w:tc>
          <w:tcPr>
            <w:tcW w:w="646" w:type="dxa"/>
            <w:shd w:val="clear" w:color="000000" w:fill="FFFFFF"/>
            <w:vAlign w:val="center"/>
          </w:tcPr>
          <w:p w14:paraId="491884DA">
            <w:pPr>
              <w:widowControl/>
              <w:jc w:val="center"/>
              <w:rPr>
                <w:color w:val="000000"/>
                <w:kern w:val="0"/>
                <w:sz w:val="22"/>
                <w:highlight w:val="none"/>
              </w:rPr>
            </w:pPr>
            <w:r>
              <w:rPr>
                <w:color w:val="000000"/>
                <w:kern w:val="0"/>
                <w:sz w:val="22"/>
                <w:highlight w:val="none"/>
              </w:rPr>
              <w:t>4</w:t>
            </w:r>
          </w:p>
        </w:tc>
      </w:tr>
      <w:tr w14:paraId="5FF71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restart"/>
            <w:shd w:val="clear" w:color="000000" w:fill="FFFFFF"/>
            <w:vAlign w:val="center"/>
          </w:tcPr>
          <w:p w14:paraId="38D4DFBD">
            <w:pPr>
              <w:widowControl/>
              <w:jc w:val="center"/>
              <w:rPr>
                <w:color w:val="000000"/>
                <w:kern w:val="0"/>
                <w:sz w:val="22"/>
                <w:highlight w:val="none"/>
              </w:rPr>
            </w:pPr>
            <w:r>
              <w:rPr>
                <w:color w:val="000000"/>
                <w:kern w:val="0"/>
                <w:sz w:val="22"/>
                <w:highlight w:val="none"/>
              </w:rPr>
              <w:t>9</w:t>
            </w:r>
          </w:p>
        </w:tc>
        <w:tc>
          <w:tcPr>
            <w:tcW w:w="3187" w:type="dxa"/>
            <w:gridSpan w:val="2"/>
            <w:vMerge w:val="restart"/>
            <w:shd w:val="clear" w:color="000000" w:fill="FFFFFF"/>
            <w:vAlign w:val="center"/>
          </w:tcPr>
          <w:p w14:paraId="599838B7">
            <w:pPr>
              <w:widowControl/>
              <w:jc w:val="left"/>
              <w:rPr>
                <w:color w:val="000000"/>
                <w:kern w:val="0"/>
                <w:sz w:val="22"/>
                <w:highlight w:val="none"/>
              </w:rPr>
            </w:pPr>
            <w:r>
              <w:rPr>
                <w:color w:val="000000"/>
                <w:kern w:val="0"/>
                <w:sz w:val="22"/>
                <w:highlight w:val="none"/>
              </w:rPr>
              <w:t>万兆三层交换机</w:t>
            </w:r>
          </w:p>
        </w:tc>
        <w:tc>
          <w:tcPr>
            <w:tcW w:w="2977" w:type="dxa"/>
            <w:shd w:val="clear" w:color="000000" w:fill="FFFFFF"/>
            <w:vAlign w:val="center"/>
          </w:tcPr>
          <w:p w14:paraId="3FC4A344">
            <w:pPr>
              <w:widowControl/>
              <w:jc w:val="center"/>
              <w:rPr>
                <w:color w:val="000000"/>
                <w:kern w:val="0"/>
                <w:sz w:val="22"/>
                <w:highlight w:val="none"/>
              </w:rPr>
            </w:pPr>
            <w:r>
              <w:rPr>
                <w:color w:val="000000"/>
                <w:kern w:val="0"/>
                <w:sz w:val="22"/>
                <w:highlight w:val="none"/>
              </w:rPr>
              <w:t>H3CS7510E-X</w:t>
            </w:r>
          </w:p>
        </w:tc>
        <w:tc>
          <w:tcPr>
            <w:tcW w:w="709" w:type="dxa"/>
            <w:shd w:val="clear" w:color="000000" w:fill="FFFFFF"/>
            <w:vAlign w:val="center"/>
          </w:tcPr>
          <w:p w14:paraId="75B838EC">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376CB20B">
            <w:pPr>
              <w:widowControl/>
              <w:jc w:val="center"/>
              <w:rPr>
                <w:color w:val="000000"/>
                <w:kern w:val="0"/>
                <w:sz w:val="22"/>
                <w:highlight w:val="none"/>
              </w:rPr>
            </w:pPr>
            <w:r>
              <w:rPr>
                <w:color w:val="000000"/>
                <w:kern w:val="0"/>
                <w:sz w:val="22"/>
                <w:highlight w:val="none"/>
              </w:rPr>
              <w:t>1</w:t>
            </w:r>
          </w:p>
        </w:tc>
      </w:tr>
      <w:tr w14:paraId="15E8A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2446F3DF">
            <w:pPr>
              <w:widowControl/>
              <w:jc w:val="left"/>
              <w:rPr>
                <w:color w:val="000000"/>
                <w:kern w:val="0"/>
                <w:sz w:val="22"/>
                <w:highlight w:val="none"/>
              </w:rPr>
            </w:pPr>
          </w:p>
        </w:tc>
        <w:tc>
          <w:tcPr>
            <w:tcW w:w="3187" w:type="dxa"/>
            <w:gridSpan w:val="2"/>
            <w:vMerge w:val="continue"/>
            <w:vAlign w:val="center"/>
          </w:tcPr>
          <w:p w14:paraId="510668A2">
            <w:pPr>
              <w:widowControl/>
              <w:jc w:val="left"/>
              <w:rPr>
                <w:color w:val="000000"/>
                <w:kern w:val="0"/>
                <w:sz w:val="22"/>
                <w:highlight w:val="none"/>
              </w:rPr>
            </w:pPr>
          </w:p>
        </w:tc>
        <w:tc>
          <w:tcPr>
            <w:tcW w:w="2977" w:type="dxa"/>
            <w:shd w:val="clear" w:color="000000" w:fill="FFFFFF"/>
            <w:vAlign w:val="center"/>
          </w:tcPr>
          <w:p w14:paraId="7DE8F8A6">
            <w:pPr>
              <w:widowControl/>
              <w:jc w:val="center"/>
              <w:rPr>
                <w:color w:val="000000"/>
                <w:kern w:val="0"/>
                <w:sz w:val="22"/>
                <w:highlight w:val="none"/>
              </w:rPr>
            </w:pPr>
            <w:r>
              <w:rPr>
                <w:color w:val="000000"/>
                <w:kern w:val="0"/>
                <w:sz w:val="22"/>
                <w:highlight w:val="none"/>
              </w:rPr>
              <w:t>CLSQM1MPU10CO</w:t>
            </w:r>
          </w:p>
        </w:tc>
        <w:tc>
          <w:tcPr>
            <w:tcW w:w="709" w:type="dxa"/>
            <w:shd w:val="clear" w:color="000000" w:fill="FFFFFF"/>
            <w:vAlign w:val="center"/>
          </w:tcPr>
          <w:p w14:paraId="6D97E46C">
            <w:pPr>
              <w:widowControl/>
              <w:jc w:val="center"/>
              <w:rPr>
                <w:color w:val="000000"/>
                <w:kern w:val="0"/>
                <w:sz w:val="22"/>
                <w:highlight w:val="none"/>
              </w:rPr>
            </w:pPr>
            <w:r>
              <w:rPr>
                <w:color w:val="000000"/>
                <w:kern w:val="0"/>
                <w:sz w:val="22"/>
                <w:highlight w:val="none"/>
              </w:rPr>
              <w:t>块</w:t>
            </w:r>
          </w:p>
        </w:tc>
        <w:tc>
          <w:tcPr>
            <w:tcW w:w="646" w:type="dxa"/>
            <w:shd w:val="clear" w:color="000000" w:fill="FFFFFF"/>
            <w:vAlign w:val="center"/>
          </w:tcPr>
          <w:p w14:paraId="772307A1">
            <w:pPr>
              <w:widowControl/>
              <w:jc w:val="center"/>
              <w:rPr>
                <w:color w:val="000000"/>
                <w:kern w:val="0"/>
                <w:sz w:val="22"/>
                <w:highlight w:val="none"/>
              </w:rPr>
            </w:pPr>
            <w:r>
              <w:rPr>
                <w:color w:val="000000"/>
                <w:kern w:val="0"/>
                <w:sz w:val="22"/>
                <w:highlight w:val="none"/>
              </w:rPr>
              <w:t>2</w:t>
            </w:r>
          </w:p>
        </w:tc>
      </w:tr>
      <w:tr w14:paraId="44C7D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19D5F9A3">
            <w:pPr>
              <w:widowControl/>
              <w:jc w:val="left"/>
              <w:rPr>
                <w:color w:val="000000"/>
                <w:kern w:val="0"/>
                <w:sz w:val="22"/>
                <w:highlight w:val="none"/>
              </w:rPr>
            </w:pPr>
          </w:p>
        </w:tc>
        <w:tc>
          <w:tcPr>
            <w:tcW w:w="3187" w:type="dxa"/>
            <w:gridSpan w:val="2"/>
            <w:vMerge w:val="continue"/>
            <w:vAlign w:val="center"/>
          </w:tcPr>
          <w:p w14:paraId="40D6A1E7">
            <w:pPr>
              <w:widowControl/>
              <w:jc w:val="left"/>
              <w:rPr>
                <w:color w:val="000000"/>
                <w:kern w:val="0"/>
                <w:sz w:val="22"/>
                <w:highlight w:val="none"/>
              </w:rPr>
            </w:pPr>
          </w:p>
        </w:tc>
        <w:tc>
          <w:tcPr>
            <w:tcW w:w="2977" w:type="dxa"/>
            <w:shd w:val="clear" w:color="000000" w:fill="FFFFFF"/>
            <w:vAlign w:val="center"/>
          </w:tcPr>
          <w:p w14:paraId="050E03E5">
            <w:pPr>
              <w:widowControl/>
              <w:jc w:val="center"/>
              <w:rPr>
                <w:color w:val="000000"/>
                <w:kern w:val="0"/>
                <w:sz w:val="22"/>
                <w:highlight w:val="none"/>
              </w:rPr>
            </w:pPr>
            <w:r>
              <w:rPr>
                <w:color w:val="000000"/>
                <w:kern w:val="0"/>
                <w:sz w:val="22"/>
                <w:highlight w:val="none"/>
              </w:rPr>
              <w:t>1200WLSUMIAC1200</w:t>
            </w:r>
          </w:p>
        </w:tc>
        <w:tc>
          <w:tcPr>
            <w:tcW w:w="709" w:type="dxa"/>
            <w:shd w:val="clear" w:color="000000" w:fill="FFFFFF"/>
            <w:vAlign w:val="center"/>
          </w:tcPr>
          <w:p w14:paraId="05B82E07">
            <w:pPr>
              <w:widowControl/>
              <w:jc w:val="center"/>
              <w:rPr>
                <w:color w:val="000000"/>
                <w:kern w:val="0"/>
                <w:sz w:val="22"/>
                <w:highlight w:val="none"/>
              </w:rPr>
            </w:pPr>
            <w:r>
              <w:rPr>
                <w:color w:val="000000"/>
                <w:kern w:val="0"/>
                <w:sz w:val="22"/>
                <w:highlight w:val="none"/>
              </w:rPr>
              <w:t>个</w:t>
            </w:r>
          </w:p>
        </w:tc>
        <w:tc>
          <w:tcPr>
            <w:tcW w:w="646" w:type="dxa"/>
            <w:shd w:val="clear" w:color="000000" w:fill="FFFFFF"/>
            <w:vAlign w:val="center"/>
          </w:tcPr>
          <w:p w14:paraId="05CA811D">
            <w:pPr>
              <w:widowControl/>
              <w:jc w:val="center"/>
              <w:rPr>
                <w:color w:val="000000"/>
                <w:kern w:val="0"/>
                <w:sz w:val="22"/>
                <w:highlight w:val="none"/>
              </w:rPr>
            </w:pPr>
            <w:r>
              <w:rPr>
                <w:color w:val="000000"/>
                <w:kern w:val="0"/>
                <w:sz w:val="22"/>
                <w:highlight w:val="none"/>
              </w:rPr>
              <w:t>3</w:t>
            </w:r>
          </w:p>
        </w:tc>
      </w:tr>
      <w:tr w14:paraId="0287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425D1F9E">
            <w:pPr>
              <w:widowControl/>
              <w:jc w:val="left"/>
              <w:rPr>
                <w:color w:val="000000"/>
                <w:kern w:val="0"/>
                <w:sz w:val="22"/>
                <w:highlight w:val="none"/>
              </w:rPr>
            </w:pPr>
          </w:p>
        </w:tc>
        <w:tc>
          <w:tcPr>
            <w:tcW w:w="3187" w:type="dxa"/>
            <w:gridSpan w:val="2"/>
            <w:vMerge w:val="continue"/>
            <w:vAlign w:val="center"/>
          </w:tcPr>
          <w:p w14:paraId="0992CFB6">
            <w:pPr>
              <w:widowControl/>
              <w:jc w:val="left"/>
              <w:rPr>
                <w:color w:val="000000"/>
                <w:kern w:val="0"/>
                <w:sz w:val="22"/>
                <w:highlight w:val="none"/>
              </w:rPr>
            </w:pPr>
          </w:p>
        </w:tc>
        <w:tc>
          <w:tcPr>
            <w:tcW w:w="2977" w:type="dxa"/>
            <w:shd w:val="clear" w:color="000000" w:fill="FFFFFF"/>
            <w:vAlign w:val="center"/>
          </w:tcPr>
          <w:p w14:paraId="60372E64">
            <w:pPr>
              <w:widowControl/>
              <w:jc w:val="center"/>
              <w:rPr>
                <w:color w:val="000000"/>
                <w:kern w:val="0"/>
                <w:sz w:val="22"/>
                <w:highlight w:val="none"/>
              </w:rPr>
            </w:pPr>
            <w:r>
              <w:rPr>
                <w:color w:val="000000"/>
                <w:kern w:val="0"/>
                <w:sz w:val="22"/>
                <w:highlight w:val="none"/>
              </w:rPr>
              <w:t>LSQM2GT24PTSSCO</w:t>
            </w:r>
          </w:p>
        </w:tc>
        <w:tc>
          <w:tcPr>
            <w:tcW w:w="709" w:type="dxa"/>
            <w:shd w:val="clear" w:color="000000" w:fill="FFFFFF"/>
            <w:vAlign w:val="center"/>
          </w:tcPr>
          <w:p w14:paraId="3FFB91C9">
            <w:pPr>
              <w:widowControl/>
              <w:jc w:val="center"/>
              <w:rPr>
                <w:color w:val="000000"/>
                <w:kern w:val="0"/>
                <w:sz w:val="22"/>
                <w:highlight w:val="none"/>
              </w:rPr>
            </w:pPr>
            <w:r>
              <w:rPr>
                <w:color w:val="000000"/>
                <w:kern w:val="0"/>
                <w:sz w:val="22"/>
                <w:highlight w:val="none"/>
              </w:rPr>
              <w:t>块</w:t>
            </w:r>
          </w:p>
        </w:tc>
        <w:tc>
          <w:tcPr>
            <w:tcW w:w="646" w:type="dxa"/>
            <w:shd w:val="clear" w:color="000000" w:fill="FFFFFF"/>
            <w:vAlign w:val="center"/>
          </w:tcPr>
          <w:p w14:paraId="3114B598">
            <w:pPr>
              <w:widowControl/>
              <w:jc w:val="center"/>
              <w:rPr>
                <w:color w:val="000000"/>
                <w:kern w:val="0"/>
                <w:sz w:val="22"/>
                <w:highlight w:val="none"/>
              </w:rPr>
            </w:pPr>
            <w:r>
              <w:rPr>
                <w:color w:val="000000"/>
                <w:kern w:val="0"/>
                <w:sz w:val="22"/>
                <w:highlight w:val="none"/>
              </w:rPr>
              <w:t>1</w:t>
            </w:r>
          </w:p>
        </w:tc>
      </w:tr>
      <w:tr w14:paraId="7130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1E650FA6">
            <w:pPr>
              <w:widowControl/>
              <w:jc w:val="left"/>
              <w:rPr>
                <w:color w:val="000000"/>
                <w:kern w:val="0"/>
                <w:sz w:val="22"/>
                <w:highlight w:val="none"/>
              </w:rPr>
            </w:pPr>
          </w:p>
        </w:tc>
        <w:tc>
          <w:tcPr>
            <w:tcW w:w="3187" w:type="dxa"/>
            <w:gridSpan w:val="2"/>
            <w:vMerge w:val="continue"/>
            <w:vAlign w:val="center"/>
          </w:tcPr>
          <w:p w14:paraId="2616237B">
            <w:pPr>
              <w:widowControl/>
              <w:jc w:val="left"/>
              <w:rPr>
                <w:color w:val="000000"/>
                <w:kern w:val="0"/>
                <w:sz w:val="22"/>
                <w:highlight w:val="none"/>
              </w:rPr>
            </w:pPr>
          </w:p>
        </w:tc>
        <w:tc>
          <w:tcPr>
            <w:tcW w:w="2977" w:type="dxa"/>
            <w:shd w:val="clear" w:color="000000" w:fill="FFFFFF"/>
            <w:vAlign w:val="center"/>
          </w:tcPr>
          <w:p w14:paraId="3A5BFDCD">
            <w:pPr>
              <w:widowControl/>
              <w:jc w:val="center"/>
              <w:rPr>
                <w:color w:val="000000"/>
                <w:kern w:val="0"/>
                <w:sz w:val="22"/>
                <w:highlight w:val="none"/>
              </w:rPr>
            </w:pPr>
            <w:r>
              <w:rPr>
                <w:color w:val="000000"/>
                <w:kern w:val="0"/>
                <w:sz w:val="22"/>
                <w:highlight w:val="none"/>
              </w:rPr>
              <w:t>LSQM2GP44TSSCO</w:t>
            </w:r>
          </w:p>
        </w:tc>
        <w:tc>
          <w:tcPr>
            <w:tcW w:w="709" w:type="dxa"/>
            <w:shd w:val="clear" w:color="000000" w:fill="FFFFFF"/>
            <w:vAlign w:val="center"/>
          </w:tcPr>
          <w:p w14:paraId="76246C53">
            <w:pPr>
              <w:widowControl/>
              <w:jc w:val="center"/>
              <w:rPr>
                <w:color w:val="000000"/>
                <w:kern w:val="0"/>
                <w:sz w:val="22"/>
                <w:highlight w:val="none"/>
              </w:rPr>
            </w:pPr>
            <w:r>
              <w:rPr>
                <w:color w:val="000000"/>
                <w:kern w:val="0"/>
                <w:sz w:val="22"/>
                <w:highlight w:val="none"/>
              </w:rPr>
              <w:t>块</w:t>
            </w:r>
          </w:p>
        </w:tc>
        <w:tc>
          <w:tcPr>
            <w:tcW w:w="646" w:type="dxa"/>
            <w:shd w:val="clear" w:color="000000" w:fill="FFFFFF"/>
            <w:vAlign w:val="center"/>
          </w:tcPr>
          <w:p w14:paraId="6E5C9799">
            <w:pPr>
              <w:widowControl/>
              <w:jc w:val="center"/>
              <w:rPr>
                <w:color w:val="000000"/>
                <w:kern w:val="0"/>
                <w:sz w:val="22"/>
                <w:highlight w:val="none"/>
              </w:rPr>
            </w:pPr>
            <w:r>
              <w:rPr>
                <w:color w:val="000000"/>
                <w:kern w:val="0"/>
                <w:sz w:val="22"/>
                <w:highlight w:val="none"/>
              </w:rPr>
              <w:t>1</w:t>
            </w:r>
          </w:p>
        </w:tc>
      </w:tr>
      <w:tr w14:paraId="5533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4913B6C">
            <w:pPr>
              <w:widowControl/>
              <w:jc w:val="center"/>
              <w:rPr>
                <w:color w:val="000000"/>
                <w:kern w:val="0"/>
                <w:sz w:val="22"/>
                <w:highlight w:val="none"/>
              </w:rPr>
            </w:pPr>
            <w:r>
              <w:rPr>
                <w:color w:val="000000"/>
                <w:kern w:val="0"/>
                <w:sz w:val="22"/>
                <w:highlight w:val="none"/>
              </w:rPr>
              <w:t>10</w:t>
            </w:r>
          </w:p>
        </w:tc>
        <w:tc>
          <w:tcPr>
            <w:tcW w:w="3187" w:type="dxa"/>
            <w:gridSpan w:val="2"/>
            <w:shd w:val="clear" w:color="000000" w:fill="FFFFFF"/>
            <w:vAlign w:val="center"/>
          </w:tcPr>
          <w:p w14:paraId="02A19CF1">
            <w:pPr>
              <w:widowControl/>
              <w:jc w:val="left"/>
              <w:rPr>
                <w:color w:val="000000"/>
                <w:kern w:val="0"/>
                <w:sz w:val="22"/>
                <w:highlight w:val="none"/>
              </w:rPr>
            </w:pPr>
            <w:r>
              <w:rPr>
                <w:color w:val="000000"/>
                <w:kern w:val="0"/>
                <w:sz w:val="22"/>
                <w:highlight w:val="none"/>
              </w:rPr>
              <w:t>万兆光模块</w:t>
            </w:r>
          </w:p>
        </w:tc>
        <w:tc>
          <w:tcPr>
            <w:tcW w:w="2977" w:type="dxa"/>
            <w:shd w:val="clear" w:color="000000" w:fill="FFFFFF"/>
            <w:vAlign w:val="center"/>
          </w:tcPr>
          <w:p w14:paraId="0D0E8306">
            <w:pPr>
              <w:widowControl/>
              <w:jc w:val="center"/>
              <w:rPr>
                <w:color w:val="000000"/>
                <w:kern w:val="0"/>
                <w:sz w:val="22"/>
                <w:highlight w:val="none"/>
              </w:rPr>
            </w:pPr>
            <w:r>
              <w:rPr>
                <w:color w:val="000000"/>
                <w:kern w:val="0"/>
                <w:sz w:val="22"/>
                <w:highlight w:val="none"/>
              </w:rPr>
              <w:t>SFP-XG-LH40-SM1550</w:t>
            </w:r>
          </w:p>
        </w:tc>
        <w:tc>
          <w:tcPr>
            <w:tcW w:w="709" w:type="dxa"/>
            <w:shd w:val="clear" w:color="000000" w:fill="FFFFFF"/>
            <w:vAlign w:val="center"/>
          </w:tcPr>
          <w:p w14:paraId="00C53CE0">
            <w:pPr>
              <w:widowControl/>
              <w:jc w:val="center"/>
              <w:rPr>
                <w:color w:val="000000"/>
                <w:kern w:val="0"/>
                <w:sz w:val="22"/>
                <w:highlight w:val="none"/>
              </w:rPr>
            </w:pPr>
            <w:r>
              <w:rPr>
                <w:color w:val="000000"/>
                <w:kern w:val="0"/>
                <w:sz w:val="22"/>
                <w:highlight w:val="none"/>
              </w:rPr>
              <w:t>个</w:t>
            </w:r>
          </w:p>
        </w:tc>
        <w:tc>
          <w:tcPr>
            <w:tcW w:w="646" w:type="dxa"/>
            <w:shd w:val="clear" w:color="000000" w:fill="FFFFFF"/>
            <w:vAlign w:val="center"/>
          </w:tcPr>
          <w:p w14:paraId="29BD109E">
            <w:pPr>
              <w:widowControl/>
              <w:jc w:val="center"/>
              <w:rPr>
                <w:color w:val="000000"/>
                <w:kern w:val="0"/>
                <w:sz w:val="22"/>
                <w:highlight w:val="none"/>
              </w:rPr>
            </w:pPr>
            <w:r>
              <w:rPr>
                <w:color w:val="000000"/>
                <w:kern w:val="0"/>
                <w:sz w:val="22"/>
                <w:highlight w:val="none"/>
              </w:rPr>
              <w:t>2</w:t>
            </w:r>
          </w:p>
        </w:tc>
      </w:tr>
      <w:tr w14:paraId="7602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CC1BAA4">
            <w:pPr>
              <w:widowControl/>
              <w:jc w:val="center"/>
              <w:rPr>
                <w:b/>
                <w:bCs/>
                <w:color w:val="000000"/>
                <w:kern w:val="0"/>
                <w:sz w:val="22"/>
                <w:highlight w:val="none"/>
              </w:rPr>
            </w:pPr>
            <w:r>
              <w:rPr>
                <w:b/>
                <w:bCs/>
                <w:color w:val="000000"/>
                <w:kern w:val="0"/>
                <w:sz w:val="22"/>
                <w:highlight w:val="none"/>
              </w:rPr>
              <w:t>（二）</w:t>
            </w:r>
          </w:p>
        </w:tc>
        <w:tc>
          <w:tcPr>
            <w:tcW w:w="0" w:type="auto"/>
            <w:gridSpan w:val="5"/>
            <w:shd w:val="clear" w:color="000000" w:fill="FFFFFF"/>
            <w:vAlign w:val="center"/>
          </w:tcPr>
          <w:p w14:paraId="1F21FD65">
            <w:pPr>
              <w:widowControl/>
              <w:jc w:val="left"/>
              <w:rPr>
                <w:b/>
                <w:bCs/>
                <w:color w:val="000000"/>
                <w:kern w:val="0"/>
                <w:sz w:val="22"/>
                <w:highlight w:val="none"/>
              </w:rPr>
            </w:pPr>
            <w:r>
              <w:rPr>
                <w:b/>
                <w:bCs/>
                <w:color w:val="000000"/>
                <w:kern w:val="0"/>
                <w:sz w:val="22"/>
                <w:highlight w:val="none"/>
              </w:rPr>
              <w:t>电子卡口系统运维</w:t>
            </w:r>
          </w:p>
        </w:tc>
      </w:tr>
      <w:tr w14:paraId="60A6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restart"/>
            <w:shd w:val="clear" w:color="000000" w:fill="FFFFFF"/>
            <w:vAlign w:val="center"/>
          </w:tcPr>
          <w:p w14:paraId="677FEBD6">
            <w:pPr>
              <w:widowControl/>
              <w:jc w:val="center"/>
              <w:rPr>
                <w:color w:val="000000"/>
                <w:kern w:val="0"/>
                <w:sz w:val="22"/>
                <w:highlight w:val="none"/>
              </w:rPr>
            </w:pPr>
            <w:r>
              <w:rPr>
                <w:color w:val="000000"/>
                <w:kern w:val="0"/>
                <w:sz w:val="22"/>
                <w:highlight w:val="none"/>
              </w:rPr>
              <w:t>1</w:t>
            </w:r>
          </w:p>
        </w:tc>
        <w:tc>
          <w:tcPr>
            <w:tcW w:w="3187" w:type="dxa"/>
            <w:gridSpan w:val="2"/>
            <w:vMerge w:val="restart"/>
            <w:shd w:val="clear" w:color="000000" w:fill="FFFFFF"/>
            <w:vAlign w:val="center"/>
          </w:tcPr>
          <w:p w14:paraId="31875B5E">
            <w:pPr>
              <w:widowControl/>
              <w:jc w:val="left"/>
              <w:rPr>
                <w:color w:val="000000"/>
                <w:kern w:val="0"/>
                <w:sz w:val="22"/>
                <w:highlight w:val="none"/>
              </w:rPr>
            </w:pPr>
            <w:r>
              <w:rPr>
                <w:color w:val="000000"/>
                <w:kern w:val="0"/>
                <w:sz w:val="22"/>
                <w:highlight w:val="none"/>
              </w:rPr>
              <w:t>电子卡口后台处理系统</w:t>
            </w:r>
          </w:p>
        </w:tc>
        <w:tc>
          <w:tcPr>
            <w:tcW w:w="2977" w:type="dxa"/>
            <w:shd w:val="clear" w:color="000000" w:fill="FFFFFF"/>
            <w:vAlign w:val="center"/>
          </w:tcPr>
          <w:p w14:paraId="30C8EAD5">
            <w:pPr>
              <w:widowControl/>
              <w:jc w:val="center"/>
              <w:rPr>
                <w:color w:val="000000"/>
                <w:kern w:val="0"/>
                <w:sz w:val="22"/>
                <w:highlight w:val="none"/>
              </w:rPr>
            </w:pPr>
            <w:r>
              <w:rPr>
                <w:color w:val="000000"/>
                <w:kern w:val="0"/>
                <w:sz w:val="22"/>
                <w:highlight w:val="none"/>
              </w:rPr>
              <w:t>iVMS8200（CMS）</w:t>
            </w:r>
          </w:p>
        </w:tc>
        <w:tc>
          <w:tcPr>
            <w:tcW w:w="709" w:type="dxa"/>
            <w:shd w:val="clear" w:color="000000" w:fill="FFFFFF"/>
            <w:vAlign w:val="center"/>
          </w:tcPr>
          <w:p w14:paraId="26E5C45F">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57AB45EE">
            <w:pPr>
              <w:widowControl/>
              <w:jc w:val="center"/>
              <w:rPr>
                <w:color w:val="000000"/>
                <w:kern w:val="0"/>
                <w:sz w:val="22"/>
                <w:highlight w:val="none"/>
              </w:rPr>
            </w:pPr>
            <w:r>
              <w:rPr>
                <w:color w:val="000000"/>
                <w:kern w:val="0"/>
                <w:sz w:val="22"/>
                <w:highlight w:val="none"/>
              </w:rPr>
              <w:t>1</w:t>
            </w:r>
          </w:p>
        </w:tc>
      </w:tr>
      <w:tr w14:paraId="349E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7221F7FC">
            <w:pPr>
              <w:widowControl/>
              <w:jc w:val="left"/>
              <w:rPr>
                <w:color w:val="000000"/>
                <w:kern w:val="0"/>
                <w:sz w:val="22"/>
                <w:highlight w:val="none"/>
              </w:rPr>
            </w:pPr>
          </w:p>
        </w:tc>
        <w:tc>
          <w:tcPr>
            <w:tcW w:w="3187" w:type="dxa"/>
            <w:gridSpan w:val="2"/>
            <w:vMerge w:val="continue"/>
            <w:vAlign w:val="center"/>
          </w:tcPr>
          <w:p w14:paraId="1C338366">
            <w:pPr>
              <w:widowControl/>
              <w:jc w:val="left"/>
              <w:rPr>
                <w:color w:val="000000"/>
                <w:kern w:val="0"/>
                <w:sz w:val="22"/>
                <w:highlight w:val="none"/>
              </w:rPr>
            </w:pPr>
          </w:p>
        </w:tc>
        <w:tc>
          <w:tcPr>
            <w:tcW w:w="2977" w:type="dxa"/>
            <w:shd w:val="clear" w:color="000000" w:fill="FFFFFF"/>
            <w:vAlign w:val="center"/>
          </w:tcPr>
          <w:p w14:paraId="7F44957A">
            <w:pPr>
              <w:widowControl/>
              <w:jc w:val="center"/>
              <w:rPr>
                <w:color w:val="000000"/>
                <w:kern w:val="0"/>
                <w:sz w:val="22"/>
                <w:highlight w:val="none"/>
              </w:rPr>
            </w:pPr>
            <w:r>
              <w:rPr>
                <w:color w:val="000000"/>
                <w:kern w:val="0"/>
                <w:sz w:val="22"/>
                <w:highlight w:val="none"/>
              </w:rPr>
              <w:t>iVMS8200（VTDU）</w:t>
            </w:r>
          </w:p>
        </w:tc>
        <w:tc>
          <w:tcPr>
            <w:tcW w:w="709" w:type="dxa"/>
            <w:shd w:val="clear" w:color="000000" w:fill="FFFFFF"/>
            <w:vAlign w:val="center"/>
          </w:tcPr>
          <w:p w14:paraId="052756B8">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51368BD0">
            <w:pPr>
              <w:widowControl/>
              <w:jc w:val="center"/>
              <w:rPr>
                <w:color w:val="000000"/>
                <w:kern w:val="0"/>
                <w:sz w:val="22"/>
                <w:highlight w:val="none"/>
              </w:rPr>
            </w:pPr>
            <w:r>
              <w:rPr>
                <w:color w:val="000000"/>
                <w:kern w:val="0"/>
                <w:sz w:val="22"/>
                <w:highlight w:val="none"/>
              </w:rPr>
              <w:t>1</w:t>
            </w:r>
          </w:p>
        </w:tc>
      </w:tr>
      <w:tr w14:paraId="735D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40025853">
            <w:pPr>
              <w:widowControl/>
              <w:jc w:val="left"/>
              <w:rPr>
                <w:color w:val="000000"/>
                <w:kern w:val="0"/>
                <w:sz w:val="22"/>
                <w:highlight w:val="none"/>
              </w:rPr>
            </w:pPr>
          </w:p>
        </w:tc>
        <w:tc>
          <w:tcPr>
            <w:tcW w:w="3187" w:type="dxa"/>
            <w:gridSpan w:val="2"/>
            <w:vMerge w:val="continue"/>
            <w:vAlign w:val="center"/>
          </w:tcPr>
          <w:p w14:paraId="3503357B">
            <w:pPr>
              <w:widowControl/>
              <w:jc w:val="left"/>
              <w:rPr>
                <w:color w:val="000000"/>
                <w:kern w:val="0"/>
                <w:sz w:val="22"/>
                <w:highlight w:val="none"/>
              </w:rPr>
            </w:pPr>
          </w:p>
        </w:tc>
        <w:tc>
          <w:tcPr>
            <w:tcW w:w="2977" w:type="dxa"/>
            <w:shd w:val="clear" w:color="000000" w:fill="FFFFFF"/>
            <w:vAlign w:val="center"/>
          </w:tcPr>
          <w:p w14:paraId="5727748B">
            <w:pPr>
              <w:widowControl/>
              <w:jc w:val="center"/>
              <w:rPr>
                <w:color w:val="000000"/>
                <w:kern w:val="0"/>
                <w:sz w:val="22"/>
                <w:highlight w:val="none"/>
              </w:rPr>
            </w:pPr>
            <w:r>
              <w:rPr>
                <w:color w:val="000000"/>
                <w:kern w:val="0"/>
                <w:sz w:val="22"/>
                <w:highlight w:val="none"/>
              </w:rPr>
              <w:t>iVMS8200（PSA）</w:t>
            </w:r>
          </w:p>
        </w:tc>
        <w:tc>
          <w:tcPr>
            <w:tcW w:w="709" w:type="dxa"/>
            <w:shd w:val="clear" w:color="000000" w:fill="FFFFFF"/>
            <w:vAlign w:val="center"/>
          </w:tcPr>
          <w:p w14:paraId="1FAECF91">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105DA3B4">
            <w:pPr>
              <w:widowControl/>
              <w:jc w:val="center"/>
              <w:rPr>
                <w:color w:val="000000"/>
                <w:kern w:val="0"/>
                <w:sz w:val="22"/>
                <w:highlight w:val="none"/>
              </w:rPr>
            </w:pPr>
            <w:r>
              <w:rPr>
                <w:color w:val="000000"/>
                <w:kern w:val="0"/>
                <w:sz w:val="22"/>
                <w:highlight w:val="none"/>
              </w:rPr>
              <w:t>1</w:t>
            </w:r>
          </w:p>
        </w:tc>
      </w:tr>
      <w:tr w14:paraId="6ADB8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73C4EFC6">
            <w:pPr>
              <w:widowControl/>
              <w:jc w:val="left"/>
              <w:rPr>
                <w:color w:val="000000"/>
                <w:kern w:val="0"/>
                <w:sz w:val="22"/>
                <w:highlight w:val="none"/>
              </w:rPr>
            </w:pPr>
          </w:p>
        </w:tc>
        <w:tc>
          <w:tcPr>
            <w:tcW w:w="3187" w:type="dxa"/>
            <w:gridSpan w:val="2"/>
            <w:vMerge w:val="continue"/>
            <w:vAlign w:val="center"/>
          </w:tcPr>
          <w:p w14:paraId="652F8054">
            <w:pPr>
              <w:widowControl/>
              <w:jc w:val="left"/>
              <w:rPr>
                <w:color w:val="000000"/>
                <w:kern w:val="0"/>
                <w:sz w:val="22"/>
                <w:highlight w:val="none"/>
              </w:rPr>
            </w:pPr>
          </w:p>
        </w:tc>
        <w:tc>
          <w:tcPr>
            <w:tcW w:w="2977" w:type="dxa"/>
            <w:shd w:val="clear" w:color="000000" w:fill="FFFFFF"/>
            <w:vAlign w:val="center"/>
          </w:tcPr>
          <w:p w14:paraId="6A5B0B07">
            <w:pPr>
              <w:widowControl/>
              <w:jc w:val="center"/>
              <w:rPr>
                <w:color w:val="000000"/>
                <w:kern w:val="0"/>
                <w:sz w:val="22"/>
                <w:highlight w:val="none"/>
              </w:rPr>
            </w:pPr>
            <w:r>
              <w:rPr>
                <w:color w:val="000000"/>
                <w:kern w:val="0"/>
                <w:sz w:val="22"/>
                <w:highlight w:val="none"/>
              </w:rPr>
              <w:t>iVMS-9100E-K08-HD</w:t>
            </w:r>
          </w:p>
        </w:tc>
        <w:tc>
          <w:tcPr>
            <w:tcW w:w="709" w:type="dxa"/>
            <w:shd w:val="clear" w:color="000000" w:fill="FFFFFF"/>
            <w:vAlign w:val="center"/>
          </w:tcPr>
          <w:p w14:paraId="41C2F6B1">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6F7EB466">
            <w:pPr>
              <w:widowControl/>
              <w:jc w:val="center"/>
              <w:rPr>
                <w:color w:val="000000"/>
                <w:kern w:val="0"/>
                <w:sz w:val="22"/>
                <w:highlight w:val="none"/>
              </w:rPr>
            </w:pPr>
            <w:r>
              <w:rPr>
                <w:color w:val="000000"/>
                <w:kern w:val="0"/>
                <w:sz w:val="22"/>
                <w:highlight w:val="none"/>
              </w:rPr>
              <w:t>1</w:t>
            </w:r>
          </w:p>
        </w:tc>
      </w:tr>
      <w:tr w14:paraId="5AB0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restart"/>
            <w:shd w:val="clear" w:color="000000" w:fill="FFFFFF"/>
            <w:vAlign w:val="center"/>
          </w:tcPr>
          <w:p w14:paraId="03D2A55B">
            <w:pPr>
              <w:widowControl/>
              <w:jc w:val="center"/>
              <w:rPr>
                <w:color w:val="000000"/>
                <w:kern w:val="0"/>
                <w:sz w:val="22"/>
                <w:highlight w:val="none"/>
              </w:rPr>
            </w:pPr>
            <w:r>
              <w:rPr>
                <w:color w:val="000000"/>
                <w:kern w:val="0"/>
                <w:sz w:val="22"/>
                <w:highlight w:val="none"/>
              </w:rPr>
              <w:t>2</w:t>
            </w:r>
          </w:p>
        </w:tc>
        <w:tc>
          <w:tcPr>
            <w:tcW w:w="3187" w:type="dxa"/>
            <w:gridSpan w:val="2"/>
            <w:vMerge w:val="restart"/>
            <w:shd w:val="clear" w:color="000000" w:fill="FFFFFF"/>
            <w:vAlign w:val="center"/>
          </w:tcPr>
          <w:p w14:paraId="431E5805">
            <w:pPr>
              <w:widowControl/>
              <w:jc w:val="left"/>
              <w:rPr>
                <w:color w:val="000000"/>
                <w:kern w:val="0"/>
                <w:sz w:val="22"/>
                <w:highlight w:val="none"/>
              </w:rPr>
            </w:pPr>
            <w:r>
              <w:rPr>
                <w:color w:val="000000"/>
                <w:kern w:val="0"/>
                <w:sz w:val="22"/>
                <w:highlight w:val="none"/>
              </w:rPr>
              <w:t>存储系统管理软件</w:t>
            </w:r>
          </w:p>
        </w:tc>
        <w:tc>
          <w:tcPr>
            <w:tcW w:w="2977" w:type="dxa"/>
            <w:shd w:val="clear" w:color="000000" w:fill="FFFFFF"/>
            <w:vAlign w:val="center"/>
          </w:tcPr>
          <w:p w14:paraId="7E2387FC">
            <w:pPr>
              <w:widowControl/>
              <w:jc w:val="center"/>
              <w:rPr>
                <w:color w:val="000000"/>
                <w:kern w:val="0"/>
                <w:sz w:val="22"/>
                <w:highlight w:val="none"/>
              </w:rPr>
            </w:pPr>
            <w:r>
              <w:rPr>
                <w:color w:val="000000"/>
                <w:kern w:val="0"/>
                <w:sz w:val="22"/>
                <w:highlight w:val="none"/>
              </w:rPr>
              <w:t>DS-A71036R</w:t>
            </w:r>
          </w:p>
        </w:tc>
        <w:tc>
          <w:tcPr>
            <w:tcW w:w="709" w:type="dxa"/>
            <w:shd w:val="clear" w:color="000000" w:fill="FFFFFF"/>
            <w:vAlign w:val="center"/>
          </w:tcPr>
          <w:p w14:paraId="3424DC63">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052795F7">
            <w:pPr>
              <w:widowControl/>
              <w:jc w:val="center"/>
              <w:rPr>
                <w:color w:val="000000"/>
                <w:kern w:val="0"/>
                <w:sz w:val="22"/>
                <w:highlight w:val="none"/>
              </w:rPr>
            </w:pPr>
            <w:r>
              <w:rPr>
                <w:color w:val="000000"/>
                <w:kern w:val="0"/>
                <w:sz w:val="22"/>
                <w:highlight w:val="none"/>
              </w:rPr>
              <w:t>1</w:t>
            </w:r>
          </w:p>
        </w:tc>
      </w:tr>
      <w:tr w14:paraId="73C7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4B32B425">
            <w:pPr>
              <w:widowControl/>
              <w:jc w:val="left"/>
              <w:rPr>
                <w:color w:val="000000"/>
                <w:kern w:val="0"/>
                <w:sz w:val="22"/>
                <w:highlight w:val="none"/>
              </w:rPr>
            </w:pPr>
          </w:p>
        </w:tc>
        <w:tc>
          <w:tcPr>
            <w:tcW w:w="3187" w:type="dxa"/>
            <w:gridSpan w:val="2"/>
            <w:vMerge w:val="continue"/>
            <w:vAlign w:val="center"/>
          </w:tcPr>
          <w:p w14:paraId="7335C6CE">
            <w:pPr>
              <w:widowControl/>
              <w:jc w:val="left"/>
              <w:rPr>
                <w:color w:val="000000"/>
                <w:kern w:val="0"/>
                <w:sz w:val="22"/>
                <w:highlight w:val="none"/>
              </w:rPr>
            </w:pPr>
          </w:p>
        </w:tc>
        <w:tc>
          <w:tcPr>
            <w:tcW w:w="2977" w:type="dxa"/>
            <w:shd w:val="clear" w:color="000000" w:fill="FFFFFF"/>
            <w:vAlign w:val="center"/>
          </w:tcPr>
          <w:p w14:paraId="7118C518">
            <w:pPr>
              <w:widowControl/>
              <w:jc w:val="center"/>
              <w:rPr>
                <w:color w:val="000000"/>
                <w:kern w:val="0"/>
                <w:sz w:val="22"/>
                <w:highlight w:val="none"/>
              </w:rPr>
            </w:pPr>
            <w:r>
              <w:rPr>
                <w:color w:val="000000"/>
                <w:kern w:val="0"/>
                <w:sz w:val="22"/>
                <w:highlight w:val="none"/>
              </w:rPr>
              <w:t>DS-AJ6824S</w:t>
            </w:r>
          </w:p>
        </w:tc>
        <w:tc>
          <w:tcPr>
            <w:tcW w:w="709" w:type="dxa"/>
            <w:shd w:val="clear" w:color="000000" w:fill="FFFFFF"/>
            <w:vAlign w:val="center"/>
          </w:tcPr>
          <w:p w14:paraId="5E4E1816">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74FEF342">
            <w:pPr>
              <w:widowControl/>
              <w:jc w:val="center"/>
              <w:rPr>
                <w:color w:val="000000"/>
                <w:kern w:val="0"/>
                <w:sz w:val="22"/>
                <w:highlight w:val="none"/>
              </w:rPr>
            </w:pPr>
            <w:r>
              <w:rPr>
                <w:color w:val="000000"/>
                <w:kern w:val="0"/>
                <w:sz w:val="22"/>
                <w:highlight w:val="none"/>
              </w:rPr>
              <w:t>1</w:t>
            </w:r>
          </w:p>
        </w:tc>
      </w:tr>
      <w:tr w14:paraId="02F1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394C46D8">
            <w:pPr>
              <w:widowControl/>
              <w:jc w:val="left"/>
              <w:rPr>
                <w:color w:val="000000"/>
                <w:kern w:val="0"/>
                <w:sz w:val="22"/>
                <w:highlight w:val="none"/>
              </w:rPr>
            </w:pPr>
          </w:p>
        </w:tc>
        <w:tc>
          <w:tcPr>
            <w:tcW w:w="3187" w:type="dxa"/>
            <w:gridSpan w:val="2"/>
            <w:vMerge w:val="continue"/>
            <w:vAlign w:val="center"/>
          </w:tcPr>
          <w:p w14:paraId="3E4692D4">
            <w:pPr>
              <w:widowControl/>
              <w:jc w:val="left"/>
              <w:rPr>
                <w:color w:val="000000"/>
                <w:kern w:val="0"/>
                <w:sz w:val="22"/>
                <w:highlight w:val="none"/>
              </w:rPr>
            </w:pPr>
          </w:p>
        </w:tc>
        <w:tc>
          <w:tcPr>
            <w:tcW w:w="2977" w:type="dxa"/>
            <w:shd w:val="clear" w:color="000000" w:fill="FFFFFF"/>
            <w:vAlign w:val="center"/>
          </w:tcPr>
          <w:p w14:paraId="347B97FF">
            <w:pPr>
              <w:widowControl/>
              <w:jc w:val="center"/>
              <w:rPr>
                <w:color w:val="000000"/>
                <w:kern w:val="0"/>
                <w:sz w:val="22"/>
                <w:highlight w:val="none"/>
              </w:rPr>
            </w:pPr>
            <w:r>
              <w:rPr>
                <w:color w:val="000000"/>
                <w:kern w:val="0"/>
                <w:sz w:val="22"/>
                <w:highlight w:val="none"/>
              </w:rPr>
              <w:t>ST4000NM0O33</w:t>
            </w:r>
          </w:p>
        </w:tc>
        <w:tc>
          <w:tcPr>
            <w:tcW w:w="709" w:type="dxa"/>
            <w:shd w:val="clear" w:color="000000" w:fill="FFFFFF"/>
            <w:vAlign w:val="center"/>
          </w:tcPr>
          <w:p w14:paraId="0482E855">
            <w:pPr>
              <w:widowControl/>
              <w:jc w:val="center"/>
              <w:rPr>
                <w:color w:val="000000"/>
                <w:kern w:val="0"/>
                <w:sz w:val="22"/>
                <w:highlight w:val="none"/>
              </w:rPr>
            </w:pPr>
            <w:r>
              <w:rPr>
                <w:color w:val="000000"/>
                <w:kern w:val="0"/>
                <w:sz w:val="22"/>
                <w:highlight w:val="none"/>
              </w:rPr>
              <w:t>块</w:t>
            </w:r>
          </w:p>
        </w:tc>
        <w:tc>
          <w:tcPr>
            <w:tcW w:w="646" w:type="dxa"/>
            <w:shd w:val="clear" w:color="000000" w:fill="FFFFFF"/>
            <w:vAlign w:val="center"/>
          </w:tcPr>
          <w:p w14:paraId="2D17BE6D">
            <w:pPr>
              <w:widowControl/>
              <w:jc w:val="center"/>
              <w:rPr>
                <w:color w:val="000000"/>
                <w:kern w:val="0"/>
                <w:sz w:val="22"/>
                <w:highlight w:val="none"/>
              </w:rPr>
            </w:pPr>
            <w:r>
              <w:rPr>
                <w:color w:val="000000"/>
                <w:kern w:val="0"/>
                <w:sz w:val="22"/>
                <w:highlight w:val="none"/>
              </w:rPr>
              <w:t>49</w:t>
            </w:r>
          </w:p>
        </w:tc>
      </w:tr>
      <w:tr w14:paraId="5732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7BBFC77">
            <w:pPr>
              <w:widowControl/>
              <w:jc w:val="center"/>
              <w:rPr>
                <w:color w:val="000000"/>
                <w:kern w:val="0"/>
                <w:sz w:val="22"/>
                <w:highlight w:val="none"/>
              </w:rPr>
            </w:pPr>
            <w:r>
              <w:rPr>
                <w:color w:val="000000"/>
                <w:kern w:val="0"/>
                <w:sz w:val="22"/>
                <w:highlight w:val="none"/>
              </w:rPr>
              <w:t>3</w:t>
            </w:r>
          </w:p>
        </w:tc>
        <w:tc>
          <w:tcPr>
            <w:tcW w:w="3187" w:type="dxa"/>
            <w:gridSpan w:val="2"/>
            <w:shd w:val="clear" w:color="000000" w:fill="FFFFFF"/>
            <w:vAlign w:val="center"/>
          </w:tcPr>
          <w:p w14:paraId="01D14DCF">
            <w:pPr>
              <w:widowControl/>
              <w:jc w:val="left"/>
              <w:rPr>
                <w:color w:val="000000"/>
                <w:kern w:val="0"/>
                <w:sz w:val="22"/>
                <w:highlight w:val="none"/>
              </w:rPr>
            </w:pPr>
            <w:r>
              <w:rPr>
                <w:color w:val="000000"/>
                <w:kern w:val="0"/>
                <w:sz w:val="22"/>
                <w:highlight w:val="none"/>
              </w:rPr>
              <w:t>违法数据上传服务器</w:t>
            </w:r>
          </w:p>
        </w:tc>
        <w:tc>
          <w:tcPr>
            <w:tcW w:w="2977" w:type="dxa"/>
            <w:shd w:val="clear" w:color="000000" w:fill="FFFFFF"/>
            <w:vAlign w:val="center"/>
          </w:tcPr>
          <w:p w14:paraId="55A2A9E2">
            <w:pPr>
              <w:widowControl/>
              <w:jc w:val="center"/>
              <w:rPr>
                <w:color w:val="000000"/>
                <w:kern w:val="0"/>
                <w:sz w:val="22"/>
                <w:highlight w:val="none"/>
              </w:rPr>
            </w:pPr>
            <w:r>
              <w:rPr>
                <w:color w:val="000000"/>
                <w:kern w:val="0"/>
                <w:sz w:val="22"/>
                <w:highlight w:val="none"/>
              </w:rPr>
              <w:t>iVMS8200(WFTS)</w:t>
            </w:r>
          </w:p>
        </w:tc>
        <w:tc>
          <w:tcPr>
            <w:tcW w:w="709" w:type="dxa"/>
            <w:shd w:val="clear" w:color="000000" w:fill="FFFFFF"/>
            <w:vAlign w:val="center"/>
          </w:tcPr>
          <w:p w14:paraId="5C5C18F8">
            <w:pPr>
              <w:widowControl/>
              <w:jc w:val="center"/>
              <w:rPr>
                <w:color w:val="000000"/>
                <w:kern w:val="0"/>
                <w:sz w:val="22"/>
                <w:highlight w:val="none"/>
              </w:rPr>
            </w:pPr>
            <w:r>
              <w:rPr>
                <w:color w:val="000000"/>
                <w:kern w:val="0"/>
                <w:sz w:val="22"/>
                <w:highlight w:val="none"/>
              </w:rPr>
              <w:t>项</w:t>
            </w:r>
          </w:p>
        </w:tc>
        <w:tc>
          <w:tcPr>
            <w:tcW w:w="646" w:type="dxa"/>
            <w:shd w:val="clear" w:color="000000" w:fill="FFFFFF"/>
            <w:vAlign w:val="center"/>
          </w:tcPr>
          <w:p w14:paraId="5436D914">
            <w:pPr>
              <w:widowControl/>
              <w:jc w:val="center"/>
              <w:rPr>
                <w:color w:val="000000"/>
                <w:kern w:val="0"/>
                <w:sz w:val="22"/>
                <w:highlight w:val="none"/>
              </w:rPr>
            </w:pPr>
            <w:r>
              <w:rPr>
                <w:color w:val="000000"/>
                <w:kern w:val="0"/>
                <w:sz w:val="22"/>
                <w:highlight w:val="none"/>
              </w:rPr>
              <w:t>1</w:t>
            </w:r>
          </w:p>
        </w:tc>
      </w:tr>
      <w:tr w14:paraId="73BE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50DD75FE">
            <w:pPr>
              <w:widowControl/>
              <w:jc w:val="center"/>
              <w:rPr>
                <w:color w:val="000000"/>
                <w:kern w:val="0"/>
                <w:sz w:val="22"/>
                <w:highlight w:val="none"/>
              </w:rPr>
            </w:pPr>
            <w:r>
              <w:rPr>
                <w:color w:val="000000"/>
                <w:kern w:val="0"/>
                <w:sz w:val="22"/>
                <w:highlight w:val="none"/>
              </w:rPr>
              <w:t>4</w:t>
            </w:r>
          </w:p>
        </w:tc>
        <w:tc>
          <w:tcPr>
            <w:tcW w:w="3187" w:type="dxa"/>
            <w:gridSpan w:val="2"/>
            <w:shd w:val="clear" w:color="000000" w:fill="FFFFFF"/>
            <w:vAlign w:val="center"/>
          </w:tcPr>
          <w:p w14:paraId="5B047E25">
            <w:pPr>
              <w:widowControl/>
              <w:jc w:val="left"/>
              <w:rPr>
                <w:color w:val="000000"/>
                <w:kern w:val="0"/>
                <w:sz w:val="22"/>
                <w:highlight w:val="none"/>
              </w:rPr>
            </w:pPr>
            <w:r>
              <w:rPr>
                <w:color w:val="000000"/>
                <w:kern w:val="0"/>
                <w:sz w:val="22"/>
                <w:highlight w:val="none"/>
              </w:rPr>
              <w:t>千兆网络交换机</w:t>
            </w:r>
          </w:p>
        </w:tc>
        <w:tc>
          <w:tcPr>
            <w:tcW w:w="2977" w:type="dxa"/>
            <w:shd w:val="clear" w:color="000000" w:fill="FFFFFF"/>
            <w:vAlign w:val="center"/>
          </w:tcPr>
          <w:p w14:paraId="5668285B">
            <w:pPr>
              <w:widowControl/>
              <w:jc w:val="center"/>
              <w:rPr>
                <w:color w:val="000000"/>
                <w:kern w:val="0"/>
                <w:sz w:val="22"/>
                <w:highlight w:val="none"/>
              </w:rPr>
            </w:pPr>
            <w:r>
              <w:rPr>
                <w:color w:val="000000"/>
                <w:kern w:val="0"/>
                <w:sz w:val="22"/>
                <w:highlight w:val="none"/>
              </w:rPr>
              <w:t>S5110-28P</w:t>
            </w:r>
          </w:p>
        </w:tc>
        <w:tc>
          <w:tcPr>
            <w:tcW w:w="709" w:type="dxa"/>
            <w:shd w:val="clear" w:color="000000" w:fill="FFFFFF"/>
            <w:vAlign w:val="center"/>
          </w:tcPr>
          <w:p w14:paraId="74E11FDE">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7B908EAA">
            <w:pPr>
              <w:widowControl/>
              <w:jc w:val="center"/>
              <w:rPr>
                <w:color w:val="000000"/>
                <w:kern w:val="0"/>
                <w:sz w:val="22"/>
                <w:highlight w:val="none"/>
              </w:rPr>
            </w:pPr>
            <w:r>
              <w:rPr>
                <w:color w:val="000000"/>
                <w:kern w:val="0"/>
                <w:sz w:val="22"/>
                <w:highlight w:val="none"/>
              </w:rPr>
              <w:t>1</w:t>
            </w:r>
          </w:p>
        </w:tc>
      </w:tr>
      <w:tr w14:paraId="617A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5F4E8CE7">
            <w:pPr>
              <w:widowControl/>
              <w:jc w:val="center"/>
              <w:rPr>
                <w:color w:val="000000"/>
                <w:kern w:val="0"/>
                <w:sz w:val="22"/>
                <w:highlight w:val="none"/>
              </w:rPr>
            </w:pPr>
            <w:r>
              <w:rPr>
                <w:color w:val="000000"/>
                <w:kern w:val="0"/>
                <w:sz w:val="22"/>
                <w:highlight w:val="none"/>
              </w:rPr>
              <w:t>5</w:t>
            </w:r>
          </w:p>
        </w:tc>
        <w:tc>
          <w:tcPr>
            <w:tcW w:w="3187" w:type="dxa"/>
            <w:gridSpan w:val="2"/>
            <w:shd w:val="clear" w:color="000000" w:fill="FFFFFF"/>
            <w:vAlign w:val="center"/>
          </w:tcPr>
          <w:p w14:paraId="63806909">
            <w:pPr>
              <w:widowControl/>
              <w:jc w:val="left"/>
              <w:rPr>
                <w:color w:val="000000"/>
                <w:kern w:val="0"/>
                <w:sz w:val="22"/>
                <w:highlight w:val="none"/>
              </w:rPr>
            </w:pPr>
            <w:r>
              <w:rPr>
                <w:color w:val="000000"/>
                <w:kern w:val="0"/>
                <w:sz w:val="22"/>
                <w:highlight w:val="none"/>
              </w:rPr>
              <w:t>千兆光模块</w:t>
            </w:r>
          </w:p>
        </w:tc>
        <w:tc>
          <w:tcPr>
            <w:tcW w:w="2977" w:type="dxa"/>
            <w:shd w:val="clear" w:color="000000" w:fill="FFFFFF"/>
            <w:vAlign w:val="center"/>
          </w:tcPr>
          <w:p w14:paraId="504A666B">
            <w:pPr>
              <w:widowControl/>
              <w:jc w:val="center"/>
              <w:rPr>
                <w:color w:val="000000"/>
                <w:kern w:val="0"/>
                <w:sz w:val="22"/>
                <w:highlight w:val="none"/>
              </w:rPr>
            </w:pPr>
            <w:r>
              <w:rPr>
                <w:color w:val="000000"/>
                <w:kern w:val="0"/>
                <w:sz w:val="22"/>
                <w:highlight w:val="none"/>
              </w:rPr>
              <w:t>SFP-GE-LH4O-SM1310</w:t>
            </w:r>
          </w:p>
        </w:tc>
        <w:tc>
          <w:tcPr>
            <w:tcW w:w="709" w:type="dxa"/>
            <w:shd w:val="clear" w:color="000000" w:fill="FFFFFF"/>
            <w:vAlign w:val="center"/>
          </w:tcPr>
          <w:p w14:paraId="51480324">
            <w:pPr>
              <w:widowControl/>
              <w:jc w:val="center"/>
              <w:rPr>
                <w:color w:val="000000"/>
                <w:kern w:val="0"/>
                <w:sz w:val="22"/>
                <w:highlight w:val="none"/>
              </w:rPr>
            </w:pPr>
            <w:r>
              <w:rPr>
                <w:color w:val="000000"/>
                <w:kern w:val="0"/>
                <w:sz w:val="22"/>
                <w:highlight w:val="none"/>
              </w:rPr>
              <w:t>个</w:t>
            </w:r>
          </w:p>
        </w:tc>
        <w:tc>
          <w:tcPr>
            <w:tcW w:w="646" w:type="dxa"/>
            <w:shd w:val="clear" w:color="000000" w:fill="FFFFFF"/>
            <w:vAlign w:val="center"/>
          </w:tcPr>
          <w:p w14:paraId="52AD67F9">
            <w:pPr>
              <w:widowControl/>
              <w:jc w:val="center"/>
              <w:rPr>
                <w:color w:val="000000"/>
                <w:kern w:val="0"/>
                <w:sz w:val="22"/>
                <w:highlight w:val="none"/>
              </w:rPr>
            </w:pPr>
            <w:r>
              <w:rPr>
                <w:color w:val="000000"/>
                <w:kern w:val="0"/>
                <w:sz w:val="22"/>
                <w:highlight w:val="none"/>
              </w:rPr>
              <w:t>2</w:t>
            </w:r>
          </w:p>
        </w:tc>
      </w:tr>
      <w:tr w14:paraId="61ED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restart"/>
            <w:shd w:val="clear" w:color="000000" w:fill="FFFFFF"/>
            <w:vAlign w:val="center"/>
          </w:tcPr>
          <w:p w14:paraId="39FA3109">
            <w:pPr>
              <w:widowControl/>
              <w:jc w:val="center"/>
              <w:rPr>
                <w:color w:val="000000"/>
                <w:kern w:val="0"/>
                <w:sz w:val="22"/>
                <w:highlight w:val="none"/>
              </w:rPr>
            </w:pPr>
            <w:r>
              <w:rPr>
                <w:color w:val="000000"/>
                <w:kern w:val="0"/>
                <w:sz w:val="22"/>
                <w:highlight w:val="none"/>
              </w:rPr>
              <w:t>6</w:t>
            </w:r>
          </w:p>
        </w:tc>
        <w:tc>
          <w:tcPr>
            <w:tcW w:w="3187" w:type="dxa"/>
            <w:gridSpan w:val="2"/>
            <w:vMerge w:val="restart"/>
            <w:shd w:val="clear" w:color="000000" w:fill="FFFFFF"/>
            <w:vAlign w:val="center"/>
          </w:tcPr>
          <w:p w14:paraId="4E38020E">
            <w:pPr>
              <w:widowControl/>
              <w:jc w:val="left"/>
              <w:rPr>
                <w:color w:val="000000"/>
                <w:kern w:val="0"/>
                <w:sz w:val="22"/>
                <w:highlight w:val="none"/>
              </w:rPr>
            </w:pPr>
            <w:r>
              <w:rPr>
                <w:color w:val="000000"/>
                <w:kern w:val="0"/>
                <w:sz w:val="22"/>
                <w:highlight w:val="none"/>
              </w:rPr>
              <w:t>卡口数据上传汇集库功能</w:t>
            </w:r>
          </w:p>
        </w:tc>
        <w:tc>
          <w:tcPr>
            <w:tcW w:w="2977" w:type="dxa"/>
            <w:shd w:val="clear" w:color="000000" w:fill="FFFFFF"/>
            <w:vAlign w:val="center"/>
          </w:tcPr>
          <w:p w14:paraId="55B3C07B">
            <w:pPr>
              <w:widowControl/>
              <w:jc w:val="center"/>
              <w:rPr>
                <w:color w:val="000000"/>
                <w:kern w:val="0"/>
                <w:sz w:val="22"/>
                <w:highlight w:val="none"/>
              </w:rPr>
            </w:pPr>
            <w:r>
              <w:rPr>
                <w:color w:val="000000"/>
                <w:kern w:val="0"/>
                <w:sz w:val="22"/>
                <w:highlight w:val="none"/>
              </w:rPr>
              <w:t>iVMS8200（PSA）（推送模块）</w:t>
            </w:r>
          </w:p>
        </w:tc>
        <w:tc>
          <w:tcPr>
            <w:tcW w:w="709" w:type="dxa"/>
            <w:shd w:val="clear" w:color="000000" w:fill="FFFFFF"/>
            <w:vAlign w:val="center"/>
          </w:tcPr>
          <w:p w14:paraId="6BEC1003">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5A2F416B">
            <w:pPr>
              <w:widowControl/>
              <w:jc w:val="center"/>
              <w:rPr>
                <w:color w:val="000000"/>
                <w:kern w:val="0"/>
                <w:sz w:val="22"/>
                <w:highlight w:val="none"/>
              </w:rPr>
            </w:pPr>
            <w:r>
              <w:rPr>
                <w:color w:val="000000"/>
                <w:kern w:val="0"/>
                <w:sz w:val="22"/>
                <w:highlight w:val="none"/>
              </w:rPr>
              <w:t>2</w:t>
            </w:r>
          </w:p>
        </w:tc>
      </w:tr>
      <w:tr w14:paraId="2302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vMerge w:val="continue"/>
            <w:vAlign w:val="center"/>
          </w:tcPr>
          <w:p w14:paraId="70B92A3C">
            <w:pPr>
              <w:widowControl/>
              <w:jc w:val="left"/>
              <w:rPr>
                <w:color w:val="000000"/>
                <w:kern w:val="0"/>
                <w:sz w:val="22"/>
                <w:highlight w:val="none"/>
              </w:rPr>
            </w:pPr>
          </w:p>
        </w:tc>
        <w:tc>
          <w:tcPr>
            <w:tcW w:w="3187" w:type="dxa"/>
            <w:gridSpan w:val="2"/>
            <w:vMerge w:val="continue"/>
            <w:vAlign w:val="center"/>
          </w:tcPr>
          <w:p w14:paraId="0A9622C8">
            <w:pPr>
              <w:widowControl/>
              <w:jc w:val="left"/>
              <w:rPr>
                <w:color w:val="000000"/>
                <w:kern w:val="0"/>
                <w:sz w:val="22"/>
                <w:highlight w:val="none"/>
              </w:rPr>
            </w:pPr>
          </w:p>
        </w:tc>
        <w:tc>
          <w:tcPr>
            <w:tcW w:w="2977" w:type="dxa"/>
            <w:shd w:val="clear" w:color="000000" w:fill="FFFFFF"/>
            <w:vAlign w:val="center"/>
          </w:tcPr>
          <w:p w14:paraId="3CC1042F">
            <w:pPr>
              <w:widowControl/>
              <w:jc w:val="center"/>
              <w:rPr>
                <w:color w:val="000000"/>
                <w:kern w:val="0"/>
                <w:sz w:val="22"/>
                <w:highlight w:val="none"/>
              </w:rPr>
            </w:pPr>
            <w:r>
              <w:rPr>
                <w:color w:val="000000"/>
                <w:kern w:val="0"/>
                <w:sz w:val="22"/>
                <w:highlight w:val="none"/>
              </w:rPr>
              <w:t>NF8460M4</w:t>
            </w:r>
          </w:p>
        </w:tc>
        <w:tc>
          <w:tcPr>
            <w:tcW w:w="709" w:type="dxa"/>
            <w:shd w:val="clear" w:color="000000" w:fill="FFFFFF"/>
            <w:vAlign w:val="center"/>
          </w:tcPr>
          <w:p w14:paraId="53CA5B63">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1520B66A">
            <w:pPr>
              <w:widowControl/>
              <w:jc w:val="center"/>
              <w:rPr>
                <w:color w:val="000000"/>
                <w:kern w:val="0"/>
                <w:sz w:val="22"/>
                <w:highlight w:val="none"/>
              </w:rPr>
            </w:pPr>
            <w:r>
              <w:rPr>
                <w:color w:val="000000"/>
                <w:kern w:val="0"/>
                <w:sz w:val="22"/>
                <w:highlight w:val="none"/>
              </w:rPr>
              <w:t>2</w:t>
            </w:r>
          </w:p>
        </w:tc>
      </w:tr>
      <w:tr w14:paraId="3EA5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3C4C1EDD">
            <w:pPr>
              <w:widowControl/>
              <w:jc w:val="center"/>
              <w:rPr>
                <w:b/>
                <w:bCs/>
                <w:color w:val="000000"/>
                <w:kern w:val="0"/>
                <w:sz w:val="22"/>
                <w:highlight w:val="none"/>
              </w:rPr>
            </w:pPr>
            <w:r>
              <w:rPr>
                <w:b/>
                <w:bCs/>
                <w:color w:val="000000"/>
                <w:kern w:val="0"/>
                <w:sz w:val="22"/>
                <w:highlight w:val="none"/>
              </w:rPr>
              <w:t>三</w:t>
            </w:r>
          </w:p>
        </w:tc>
        <w:tc>
          <w:tcPr>
            <w:tcW w:w="3187" w:type="dxa"/>
            <w:gridSpan w:val="2"/>
            <w:shd w:val="clear" w:color="000000" w:fill="FFFFFF"/>
            <w:vAlign w:val="center"/>
          </w:tcPr>
          <w:p w14:paraId="4F48CEEA">
            <w:pPr>
              <w:widowControl/>
              <w:jc w:val="left"/>
              <w:rPr>
                <w:b/>
                <w:bCs/>
                <w:color w:val="000000"/>
                <w:kern w:val="0"/>
                <w:sz w:val="22"/>
                <w:highlight w:val="none"/>
              </w:rPr>
            </w:pPr>
            <w:r>
              <w:rPr>
                <w:b/>
                <w:bCs/>
                <w:color w:val="000000"/>
                <w:kern w:val="0"/>
                <w:sz w:val="22"/>
                <w:highlight w:val="none"/>
              </w:rPr>
              <w:t>监控设备拆除及加装</w:t>
            </w:r>
          </w:p>
        </w:tc>
        <w:tc>
          <w:tcPr>
            <w:tcW w:w="2977" w:type="dxa"/>
            <w:shd w:val="clear" w:color="000000" w:fill="FFFFFF"/>
            <w:vAlign w:val="center"/>
          </w:tcPr>
          <w:p w14:paraId="3736BD8D">
            <w:pPr>
              <w:widowControl/>
              <w:jc w:val="center"/>
              <w:rPr>
                <w:b/>
                <w:bCs/>
                <w:color w:val="000000"/>
                <w:kern w:val="0"/>
                <w:sz w:val="22"/>
                <w:highlight w:val="none"/>
              </w:rPr>
            </w:pPr>
            <w:r>
              <w:rPr>
                <w:b/>
                <w:bCs/>
                <w:color w:val="000000"/>
                <w:kern w:val="0"/>
                <w:sz w:val="22"/>
                <w:highlight w:val="none"/>
              </w:rPr>
              <w:t>规格型号</w:t>
            </w:r>
          </w:p>
        </w:tc>
        <w:tc>
          <w:tcPr>
            <w:tcW w:w="709" w:type="dxa"/>
            <w:shd w:val="clear" w:color="000000" w:fill="FFFFFF"/>
            <w:vAlign w:val="center"/>
          </w:tcPr>
          <w:p w14:paraId="4A129C32">
            <w:pPr>
              <w:widowControl/>
              <w:jc w:val="center"/>
              <w:rPr>
                <w:b/>
                <w:bCs/>
                <w:color w:val="000000"/>
                <w:kern w:val="0"/>
                <w:sz w:val="22"/>
                <w:highlight w:val="none"/>
              </w:rPr>
            </w:pPr>
            <w:r>
              <w:rPr>
                <w:b/>
                <w:bCs/>
                <w:color w:val="000000"/>
                <w:kern w:val="0"/>
                <w:sz w:val="22"/>
                <w:highlight w:val="none"/>
              </w:rPr>
              <w:t>单位</w:t>
            </w:r>
          </w:p>
        </w:tc>
        <w:tc>
          <w:tcPr>
            <w:tcW w:w="646" w:type="dxa"/>
            <w:shd w:val="clear" w:color="000000" w:fill="FFFFFF"/>
            <w:vAlign w:val="center"/>
          </w:tcPr>
          <w:p w14:paraId="46FEF910">
            <w:pPr>
              <w:widowControl/>
              <w:jc w:val="center"/>
              <w:rPr>
                <w:b/>
                <w:bCs/>
                <w:color w:val="000000"/>
                <w:kern w:val="0"/>
                <w:sz w:val="22"/>
                <w:highlight w:val="none"/>
              </w:rPr>
            </w:pPr>
            <w:r>
              <w:rPr>
                <w:b/>
                <w:bCs/>
                <w:color w:val="000000"/>
                <w:kern w:val="0"/>
                <w:sz w:val="22"/>
                <w:highlight w:val="none"/>
              </w:rPr>
              <w:t>数量</w:t>
            </w:r>
          </w:p>
        </w:tc>
      </w:tr>
      <w:tr w14:paraId="2E86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79A0A9E">
            <w:pPr>
              <w:widowControl/>
              <w:jc w:val="center"/>
              <w:rPr>
                <w:color w:val="000000"/>
                <w:kern w:val="0"/>
                <w:sz w:val="22"/>
                <w:highlight w:val="none"/>
              </w:rPr>
            </w:pPr>
            <w:r>
              <w:rPr>
                <w:color w:val="000000"/>
                <w:kern w:val="0"/>
                <w:sz w:val="22"/>
                <w:highlight w:val="none"/>
              </w:rPr>
              <w:t>1</w:t>
            </w:r>
          </w:p>
        </w:tc>
        <w:tc>
          <w:tcPr>
            <w:tcW w:w="3187" w:type="dxa"/>
            <w:gridSpan w:val="2"/>
            <w:shd w:val="clear" w:color="000000" w:fill="FFFFFF"/>
            <w:vAlign w:val="center"/>
          </w:tcPr>
          <w:p w14:paraId="6B965A03">
            <w:pPr>
              <w:widowControl/>
              <w:jc w:val="left"/>
              <w:rPr>
                <w:color w:val="000000"/>
                <w:kern w:val="0"/>
                <w:sz w:val="22"/>
                <w:highlight w:val="none"/>
              </w:rPr>
            </w:pPr>
            <w:r>
              <w:rPr>
                <w:color w:val="000000"/>
                <w:kern w:val="0"/>
                <w:sz w:val="22"/>
                <w:highlight w:val="none"/>
              </w:rPr>
              <w:t>高清网络摄像机(用于枪式防护罩）拆除</w:t>
            </w:r>
          </w:p>
        </w:tc>
        <w:tc>
          <w:tcPr>
            <w:tcW w:w="2977" w:type="dxa"/>
            <w:shd w:val="clear" w:color="000000" w:fill="FFFFFF"/>
            <w:vAlign w:val="center"/>
          </w:tcPr>
          <w:p w14:paraId="020826CB">
            <w:pPr>
              <w:widowControl/>
              <w:jc w:val="center"/>
              <w:rPr>
                <w:color w:val="000000"/>
                <w:kern w:val="0"/>
                <w:sz w:val="22"/>
                <w:highlight w:val="none"/>
              </w:rPr>
            </w:pPr>
            <w:r>
              <w:rPr>
                <w:color w:val="000000"/>
                <w:kern w:val="0"/>
                <w:sz w:val="22"/>
                <w:highlight w:val="none"/>
              </w:rPr>
              <w:t>含摄像机、防护罩、镜头、云台的拆除</w:t>
            </w:r>
          </w:p>
        </w:tc>
        <w:tc>
          <w:tcPr>
            <w:tcW w:w="709" w:type="dxa"/>
            <w:shd w:val="clear" w:color="000000" w:fill="FFFFFF"/>
            <w:vAlign w:val="center"/>
          </w:tcPr>
          <w:p w14:paraId="0DC4FD69">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593A5972">
            <w:pPr>
              <w:widowControl/>
              <w:jc w:val="center"/>
              <w:rPr>
                <w:color w:val="000000"/>
                <w:kern w:val="0"/>
                <w:sz w:val="22"/>
                <w:highlight w:val="none"/>
              </w:rPr>
            </w:pPr>
            <w:r>
              <w:rPr>
                <w:color w:val="000000"/>
                <w:kern w:val="0"/>
                <w:sz w:val="22"/>
                <w:highlight w:val="none"/>
              </w:rPr>
              <w:t>165</w:t>
            </w:r>
          </w:p>
        </w:tc>
      </w:tr>
      <w:tr w14:paraId="4DBF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22B89CE">
            <w:pPr>
              <w:widowControl/>
              <w:jc w:val="center"/>
              <w:rPr>
                <w:color w:val="000000"/>
                <w:kern w:val="0"/>
                <w:sz w:val="22"/>
                <w:highlight w:val="none"/>
              </w:rPr>
            </w:pPr>
            <w:r>
              <w:rPr>
                <w:color w:val="000000"/>
                <w:kern w:val="0"/>
                <w:sz w:val="22"/>
                <w:highlight w:val="none"/>
              </w:rPr>
              <w:t>2</w:t>
            </w:r>
          </w:p>
        </w:tc>
        <w:tc>
          <w:tcPr>
            <w:tcW w:w="3187" w:type="dxa"/>
            <w:gridSpan w:val="2"/>
            <w:shd w:val="clear" w:color="000000" w:fill="FFFFFF"/>
            <w:vAlign w:val="center"/>
          </w:tcPr>
          <w:p w14:paraId="0B529D60">
            <w:pPr>
              <w:widowControl/>
              <w:jc w:val="left"/>
              <w:rPr>
                <w:color w:val="000000"/>
                <w:kern w:val="0"/>
                <w:sz w:val="22"/>
                <w:highlight w:val="none"/>
              </w:rPr>
            </w:pPr>
            <w:r>
              <w:rPr>
                <w:color w:val="000000"/>
                <w:kern w:val="0"/>
                <w:sz w:val="22"/>
                <w:highlight w:val="none"/>
              </w:rPr>
              <w:t>高清网络摄像机(用于球形防护罩）拆除</w:t>
            </w:r>
          </w:p>
        </w:tc>
        <w:tc>
          <w:tcPr>
            <w:tcW w:w="2977" w:type="dxa"/>
            <w:shd w:val="clear" w:color="000000" w:fill="FFFFFF"/>
            <w:vAlign w:val="center"/>
          </w:tcPr>
          <w:p w14:paraId="7B6C10F6">
            <w:pPr>
              <w:widowControl/>
              <w:jc w:val="center"/>
              <w:rPr>
                <w:color w:val="000000"/>
                <w:kern w:val="0"/>
                <w:sz w:val="22"/>
                <w:highlight w:val="none"/>
              </w:rPr>
            </w:pPr>
            <w:r>
              <w:rPr>
                <w:color w:val="000000"/>
                <w:kern w:val="0"/>
                <w:sz w:val="22"/>
                <w:highlight w:val="none"/>
              </w:rPr>
              <w:t>含摄像机、防护罩、镜头、云台的拆除</w:t>
            </w:r>
          </w:p>
        </w:tc>
        <w:tc>
          <w:tcPr>
            <w:tcW w:w="709" w:type="dxa"/>
            <w:shd w:val="clear" w:color="000000" w:fill="FFFFFF"/>
            <w:vAlign w:val="center"/>
          </w:tcPr>
          <w:p w14:paraId="7BD3AA32">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023531AF">
            <w:pPr>
              <w:widowControl/>
              <w:jc w:val="center"/>
              <w:rPr>
                <w:color w:val="000000"/>
                <w:kern w:val="0"/>
                <w:sz w:val="22"/>
                <w:highlight w:val="none"/>
              </w:rPr>
            </w:pPr>
            <w:r>
              <w:rPr>
                <w:color w:val="000000"/>
                <w:kern w:val="0"/>
                <w:sz w:val="22"/>
                <w:highlight w:val="none"/>
              </w:rPr>
              <w:t>444</w:t>
            </w:r>
          </w:p>
        </w:tc>
      </w:tr>
      <w:tr w14:paraId="2A221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506549FB">
            <w:pPr>
              <w:widowControl/>
              <w:jc w:val="center"/>
              <w:rPr>
                <w:color w:val="000000"/>
                <w:kern w:val="0"/>
                <w:sz w:val="22"/>
                <w:highlight w:val="none"/>
              </w:rPr>
            </w:pPr>
            <w:r>
              <w:rPr>
                <w:color w:val="000000"/>
                <w:kern w:val="0"/>
                <w:sz w:val="22"/>
                <w:highlight w:val="none"/>
              </w:rPr>
              <w:t>3</w:t>
            </w:r>
          </w:p>
        </w:tc>
        <w:tc>
          <w:tcPr>
            <w:tcW w:w="3187" w:type="dxa"/>
            <w:gridSpan w:val="2"/>
            <w:shd w:val="clear" w:color="000000" w:fill="FFFFFF"/>
            <w:vAlign w:val="center"/>
          </w:tcPr>
          <w:p w14:paraId="58D40696">
            <w:pPr>
              <w:widowControl/>
              <w:jc w:val="left"/>
              <w:rPr>
                <w:color w:val="000000"/>
                <w:kern w:val="0"/>
                <w:sz w:val="22"/>
                <w:highlight w:val="none"/>
              </w:rPr>
            </w:pPr>
            <w:r>
              <w:rPr>
                <w:color w:val="000000"/>
                <w:kern w:val="0"/>
                <w:sz w:val="22"/>
                <w:highlight w:val="none"/>
              </w:rPr>
              <w:t>正反向全景摄像机拆除</w:t>
            </w:r>
          </w:p>
        </w:tc>
        <w:tc>
          <w:tcPr>
            <w:tcW w:w="2977" w:type="dxa"/>
            <w:shd w:val="clear" w:color="000000" w:fill="FFFFFF"/>
            <w:vAlign w:val="center"/>
          </w:tcPr>
          <w:p w14:paraId="590D919E">
            <w:pPr>
              <w:widowControl/>
              <w:jc w:val="center"/>
              <w:rPr>
                <w:color w:val="000000"/>
                <w:kern w:val="0"/>
                <w:sz w:val="22"/>
                <w:highlight w:val="none"/>
              </w:rPr>
            </w:pPr>
            <w:r>
              <w:rPr>
                <w:color w:val="000000"/>
                <w:kern w:val="0"/>
                <w:sz w:val="22"/>
                <w:highlight w:val="none"/>
              </w:rPr>
              <w:t>含摄像机、防护罩、镜头、云台的拆除</w:t>
            </w:r>
          </w:p>
        </w:tc>
        <w:tc>
          <w:tcPr>
            <w:tcW w:w="709" w:type="dxa"/>
            <w:shd w:val="clear" w:color="000000" w:fill="FFFFFF"/>
            <w:vAlign w:val="center"/>
          </w:tcPr>
          <w:p w14:paraId="78982E2A">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01300450">
            <w:pPr>
              <w:widowControl/>
              <w:jc w:val="center"/>
              <w:rPr>
                <w:color w:val="000000"/>
                <w:kern w:val="0"/>
                <w:sz w:val="22"/>
                <w:highlight w:val="none"/>
              </w:rPr>
            </w:pPr>
            <w:r>
              <w:rPr>
                <w:color w:val="000000"/>
                <w:kern w:val="0"/>
                <w:sz w:val="22"/>
                <w:highlight w:val="none"/>
              </w:rPr>
              <w:t>1</w:t>
            </w:r>
          </w:p>
        </w:tc>
      </w:tr>
      <w:tr w14:paraId="421F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91A683C">
            <w:pPr>
              <w:widowControl/>
              <w:jc w:val="center"/>
              <w:rPr>
                <w:color w:val="000000"/>
                <w:kern w:val="0"/>
                <w:sz w:val="22"/>
                <w:highlight w:val="none"/>
              </w:rPr>
            </w:pPr>
            <w:r>
              <w:rPr>
                <w:color w:val="000000"/>
                <w:kern w:val="0"/>
                <w:sz w:val="22"/>
                <w:highlight w:val="none"/>
              </w:rPr>
              <w:t>4</w:t>
            </w:r>
          </w:p>
        </w:tc>
        <w:tc>
          <w:tcPr>
            <w:tcW w:w="3187" w:type="dxa"/>
            <w:gridSpan w:val="2"/>
            <w:shd w:val="clear" w:color="000000" w:fill="FFFFFF"/>
            <w:vAlign w:val="center"/>
          </w:tcPr>
          <w:p w14:paraId="051DD002">
            <w:pPr>
              <w:widowControl/>
              <w:jc w:val="left"/>
              <w:rPr>
                <w:color w:val="000000"/>
                <w:kern w:val="0"/>
                <w:sz w:val="22"/>
                <w:highlight w:val="none"/>
              </w:rPr>
            </w:pPr>
            <w:r>
              <w:rPr>
                <w:rFonts w:hint="eastAsia"/>
                <w:color w:val="000000"/>
                <w:kern w:val="0"/>
                <w:sz w:val="22"/>
                <w:highlight w:val="none"/>
              </w:rPr>
              <w:t>高清网络摄像机拆除</w:t>
            </w:r>
          </w:p>
        </w:tc>
        <w:tc>
          <w:tcPr>
            <w:tcW w:w="2977" w:type="dxa"/>
            <w:shd w:val="clear" w:color="000000" w:fill="FFFFFF"/>
            <w:vAlign w:val="center"/>
          </w:tcPr>
          <w:p w14:paraId="63C17E84">
            <w:pPr>
              <w:widowControl/>
              <w:jc w:val="center"/>
              <w:rPr>
                <w:color w:val="000000"/>
                <w:kern w:val="0"/>
                <w:sz w:val="22"/>
                <w:highlight w:val="none"/>
              </w:rPr>
            </w:pPr>
            <w:r>
              <w:rPr>
                <w:color w:val="000000"/>
                <w:kern w:val="0"/>
                <w:sz w:val="22"/>
                <w:highlight w:val="none"/>
              </w:rPr>
              <w:t>含摄像机、防护罩、镜头、云台的拆除</w:t>
            </w:r>
          </w:p>
        </w:tc>
        <w:tc>
          <w:tcPr>
            <w:tcW w:w="709" w:type="dxa"/>
            <w:shd w:val="clear" w:color="000000" w:fill="FFFFFF"/>
            <w:vAlign w:val="center"/>
          </w:tcPr>
          <w:p w14:paraId="111F8B16">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02278B82">
            <w:pPr>
              <w:widowControl/>
              <w:jc w:val="center"/>
              <w:rPr>
                <w:color w:val="000000"/>
                <w:kern w:val="0"/>
                <w:sz w:val="22"/>
                <w:highlight w:val="none"/>
              </w:rPr>
            </w:pPr>
            <w:r>
              <w:rPr>
                <w:color w:val="000000"/>
                <w:kern w:val="0"/>
                <w:sz w:val="22"/>
                <w:highlight w:val="none"/>
              </w:rPr>
              <w:t>32</w:t>
            </w:r>
          </w:p>
        </w:tc>
      </w:tr>
      <w:tr w14:paraId="22BE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56996A12">
            <w:pPr>
              <w:widowControl/>
              <w:jc w:val="center"/>
              <w:rPr>
                <w:b/>
                <w:bCs/>
                <w:color w:val="000000"/>
                <w:kern w:val="0"/>
                <w:sz w:val="22"/>
                <w:highlight w:val="none"/>
              </w:rPr>
            </w:pPr>
            <w:r>
              <w:rPr>
                <w:b/>
                <w:bCs/>
                <w:color w:val="000000"/>
                <w:kern w:val="0"/>
                <w:sz w:val="22"/>
                <w:highlight w:val="none"/>
              </w:rPr>
              <w:t>5</w:t>
            </w:r>
          </w:p>
        </w:tc>
        <w:tc>
          <w:tcPr>
            <w:tcW w:w="3187" w:type="dxa"/>
            <w:gridSpan w:val="2"/>
            <w:shd w:val="clear" w:color="000000" w:fill="FFFFFF"/>
            <w:vAlign w:val="center"/>
          </w:tcPr>
          <w:p w14:paraId="56870E3A">
            <w:pPr>
              <w:widowControl/>
              <w:jc w:val="left"/>
              <w:rPr>
                <w:color w:val="000000"/>
                <w:kern w:val="0"/>
                <w:sz w:val="22"/>
                <w:highlight w:val="none"/>
              </w:rPr>
            </w:pPr>
            <w:r>
              <w:rPr>
                <w:color w:val="000000"/>
                <w:kern w:val="0"/>
                <w:sz w:val="22"/>
                <w:highlight w:val="none"/>
              </w:rPr>
              <w:t>高清网络摄像机(用于枪式防护罩）加装</w:t>
            </w:r>
          </w:p>
        </w:tc>
        <w:tc>
          <w:tcPr>
            <w:tcW w:w="2977" w:type="dxa"/>
            <w:shd w:val="clear" w:color="000000" w:fill="FFFFFF"/>
            <w:vAlign w:val="center"/>
          </w:tcPr>
          <w:p w14:paraId="1639B12C">
            <w:pPr>
              <w:widowControl/>
              <w:jc w:val="center"/>
              <w:rPr>
                <w:color w:val="000000"/>
                <w:kern w:val="0"/>
                <w:sz w:val="22"/>
                <w:highlight w:val="none"/>
              </w:rPr>
            </w:pPr>
            <w:r>
              <w:rPr>
                <w:color w:val="000000"/>
                <w:kern w:val="0"/>
                <w:sz w:val="22"/>
                <w:highlight w:val="none"/>
              </w:rPr>
              <w:t>含摄像机、防护罩、镜头、横臂安装</w:t>
            </w:r>
          </w:p>
        </w:tc>
        <w:tc>
          <w:tcPr>
            <w:tcW w:w="709" w:type="dxa"/>
            <w:shd w:val="clear" w:color="000000" w:fill="FFFFFF"/>
            <w:vAlign w:val="center"/>
          </w:tcPr>
          <w:p w14:paraId="3E4EA041">
            <w:pPr>
              <w:widowControl/>
              <w:jc w:val="center"/>
              <w:rPr>
                <w:color w:val="000000"/>
                <w:kern w:val="0"/>
                <w:sz w:val="22"/>
                <w:highlight w:val="none"/>
              </w:rPr>
            </w:pPr>
            <w:r>
              <w:rPr>
                <w:color w:val="000000"/>
                <w:kern w:val="0"/>
                <w:sz w:val="22"/>
                <w:highlight w:val="none"/>
              </w:rPr>
              <w:t>套</w:t>
            </w:r>
          </w:p>
        </w:tc>
        <w:tc>
          <w:tcPr>
            <w:tcW w:w="646" w:type="dxa"/>
            <w:shd w:val="clear" w:color="000000" w:fill="FFFFFF"/>
            <w:vAlign w:val="center"/>
          </w:tcPr>
          <w:p w14:paraId="6966AB16">
            <w:pPr>
              <w:widowControl/>
              <w:jc w:val="center"/>
              <w:rPr>
                <w:color w:val="000000"/>
                <w:kern w:val="0"/>
                <w:sz w:val="22"/>
                <w:highlight w:val="none"/>
              </w:rPr>
            </w:pPr>
            <w:r>
              <w:rPr>
                <w:color w:val="000000"/>
                <w:kern w:val="0"/>
                <w:sz w:val="22"/>
                <w:highlight w:val="none"/>
              </w:rPr>
              <w:t>4</w:t>
            </w:r>
          </w:p>
        </w:tc>
      </w:tr>
      <w:tr w14:paraId="222BE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D14FAFD">
            <w:pPr>
              <w:widowControl/>
              <w:jc w:val="center"/>
              <w:rPr>
                <w:b/>
                <w:bCs/>
                <w:color w:val="000000"/>
                <w:kern w:val="0"/>
                <w:sz w:val="22"/>
                <w:highlight w:val="none"/>
              </w:rPr>
            </w:pPr>
            <w:r>
              <w:rPr>
                <w:b/>
                <w:bCs/>
                <w:color w:val="000000"/>
                <w:kern w:val="0"/>
                <w:sz w:val="22"/>
                <w:highlight w:val="none"/>
              </w:rPr>
              <w:t>四</w:t>
            </w:r>
          </w:p>
        </w:tc>
        <w:tc>
          <w:tcPr>
            <w:tcW w:w="3187" w:type="dxa"/>
            <w:gridSpan w:val="2"/>
            <w:shd w:val="clear" w:color="000000" w:fill="FFFFFF"/>
            <w:vAlign w:val="center"/>
          </w:tcPr>
          <w:p w14:paraId="28EDBF69">
            <w:pPr>
              <w:widowControl/>
              <w:jc w:val="left"/>
              <w:rPr>
                <w:b/>
                <w:bCs/>
                <w:color w:val="000000"/>
                <w:kern w:val="0"/>
                <w:sz w:val="22"/>
                <w:highlight w:val="none"/>
              </w:rPr>
            </w:pPr>
            <w:r>
              <w:rPr>
                <w:b/>
                <w:bCs/>
                <w:color w:val="000000"/>
                <w:kern w:val="0"/>
                <w:sz w:val="22"/>
                <w:highlight w:val="none"/>
              </w:rPr>
              <w:t>监控杆体迁移</w:t>
            </w:r>
          </w:p>
        </w:tc>
        <w:tc>
          <w:tcPr>
            <w:tcW w:w="2977" w:type="dxa"/>
            <w:shd w:val="clear" w:color="000000" w:fill="FFFFFF"/>
            <w:vAlign w:val="center"/>
          </w:tcPr>
          <w:p w14:paraId="43D4F097">
            <w:pPr>
              <w:widowControl/>
              <w:jc w:val="center"/>
              <w:rPr>
                <w:b/>
                <w:bCs/>
                <w:color w:val="000000"/>
                <w:kern w:val="0"/>
                <w:sz w:val="22"/>
                <w:highlight w:val="none"/>
              </w:rPr>
            </w:pPr>
            <w:r>
              <w:rPr>
                <w:b/>
                <w:bCs/>
                <w:color w:val="000000"/>
                <w:kern w:val="0"/>
                <w:sz w:val="22"/>
                <w:highlight w:val="none"/>
              </w:rPr>
              <w:t>规格型号</w:t>
            </w:r>
          </w:p>
        </w:tc>
        <w:tc>
          <w:tcPr>
            <w:tcW w:w="709" w:type="dxa"/>
            <w:shd w:val="clear" w:color="000000" w:fill="FFFFFF"/>
            <w:vAlign w:val="center"/>
          </w:tcPr>
          <w:p w14:paraId="5B1EBBB4">
            <w:pPr>
              <w:widowControl/>
              <w:jc w:val="center"/>
              <w:rPr>
                <w:b/>
                <w:bCs/>
                <w:color w:val="000000"/>
                <w:kern w:val="0"/>
                <w:sz w:val="22"/>
                <w:highlight w:val="none"/>
              </w:rPr>
            </w:pPr>
            <w:r>
              <w:rPr>
                <w:b/>
                <w:bCs/>
                <w:color w:val="000000"/>
                <w:kern w:val="0"/>
                <w:sz w:val="22"/>
                <w:highlight w:val="none"/>
              </w:rPr>
              <w:t>单位</w:t>
            </w:r>
          </w:p>
        </w:tc>
        <w:tc>
          <w:tcPr>
            <w:tcW w:w="646" w:type="dxa"/>
            <w:shd w:val="clear" w:color="000000" w:fill="FFFFFF"/>
            <w:vAlign w:val="center"/>
          </w:tcPr>
          <w:p w14:paraId="4513C2FB">
            <w:pPr>
              <w:widowControl/>
              <w:jc w:val="center"/>
              <w:rPr>
                <w:b/>
                <w:bCs/>
                <w:color w:val="000000"/>
                <w:kern w:val="0"/>
                <w:sz w:val="22"/>
                <w:highlight w:val="none"/>
              </w:rPr>
            </w:pPr>
            <w:r>
              <w:rPr>
                <w:b/>
                <w:bCs/>
                <w:color w:val="000000"/>
                <w:kern w:val="0"/>
                <w:sz w:val="22"/>
                <w:highlight w:val="none"/>
              </w:rPr>
              <w:t>数量</w:t>
            </w:r>
          </w:p>
        </w:tc>
      </w:tr>
      <w:tr w14:paraId="1C9C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882BF1C">
            <w:pPr>
              <w:widowControl/>
              <w:jc w:val="center"/>
              <w:rPr>
                <w:color w:val="000000"/>
                <w:kern w:val="0"/>
                <w:sz w:val="22"/>
                <w:highlight w:val="none"/>
              </w:rPr>
            </w:pPr>
            <w:r>
              <w:rPr>
                <w:color w:val="000000"/>
                <w:kern w:val="0"/>
                <w:sz w:val="22"/>
                <w:highlight w:val="none"/>
              </w:rPr>
              <w:t>1</w:t>
            </w:r>
          </w:p>
        </w:tc>
        <w:tc>
          <w:tcPr>
            <w:tcW w:w="3187" w:type="dxa"/>
            <w:gridSpan w:val="2"/>
            <w:shd w:val="clear" w:color="000000" w:fill="FFFFFF"/>
            <w:vAlign w:val="center"/>
          </w:tcPr>
          <w:p w14:paraId="1AEA40C8">
            <w:pPr>
              <w:widowControl/>
              <w:jc w:val="left"/>
              <w:rPr>
                <w:color w:val="000000"/>
                <w:kern w:val="0"/>
                <w:sz w:val="22"/>
                <w:highlight w:val="none"/>
              </w:rPr>
            </w:pPr>
            <w:r>
              <w:rPr>
                <w:color w:val="000000"/>
                <w:kern w:val="0"/>
                <w:sz w:val="22"/>
                <w:highlight w:val="none"/>
              </w:rPr>
              <w:t>杆体拆除</w:t>
            </w:r>
          </w:p>
        </w:tc>
        <w:tc>
          <w:tcPr>
            <w:tcW w:w="2977" w:type="dxa"/>
            <w:shd w:val="clear" w:color="000000" w:fill="FFFFFF"/>
            <w:vAlign w:val="center"/>
          </w:tcPr>
          <w:p w14:paraId="27C4078F">
            <w:pPr>
              <w:widowControl/>
              <w:jc w:val="left"/>
              <w:rPr>
                <w:color w:val="000000"/>
                <w:kern w:val="0"/>
                <w:sz w:val="22"/>
                <w:highlight w:val="none"/>
              </w:rPr>
            </w:pPr>
            <w:r>
              <w:rPr>
                <w:color w:val="000000"/>
                <w:kern w:val="0"/>
                <w:sz w:val="22"/>
                <w:highlight w:val="none"/>
              </w:rPr>
              <w:t>1.杆体从原位置拆除。</w:t>
            </w:r>
            <w:r>
              <w:rPr>
                <w:color w:val="000000"/>
                <w:kern w:val="0"/>
                <w:sz w:val="22"/>
                <w:highlight w:val="none"/>
              </w:rPr>
              <w:br w:type="textWrapping"/>
            </w:r>
            <w:r>
              <w:rPr>
                <w:color w:val="000000"/>
                <w:kern w:val="0"/>
                <w:sz w:val="22"/>
                <w:highlight w:val="none"/>
              </w:rPr>
              <w:t>2.杆体拆除后需清理地面钢铁结构及碎渣杂物，将杆体基础顶面修整至低于周边路面一个面包砖的厚度，重新铺设面包砖，使恢复后路面与周边路边齐平。</w:t>
            </w:r>
            <w:r>
              <w:rPr>
                <w:color w:val="000000"/>
                <w:kern w:val="0"/>
                <w:sz w:val="22"/>
                <w:highlight w:val="none"/>
              </w:rPr>
              <w:br w:type="textWrapping"/>
            </w:r>
            <w:r>
              <w:rPr>
                <w:color w:val="000000"/>
                <w:kern w:val="0"/>
                <w:sz w:val="22"/>
                <w:highlight w:val="none"/>
              </w:rPr>
              <w:t>3.电源线按规范接续后埋地保护，确保监控系统供电回路连续完整。</w:t>
            </w:r>
            <w:r>
              <w:rPr>
                <w:color w:val="000000"/>
                <w:kern w:val="0"/>
                <w:sz w:val="22"/>
                <w:highlight w:val="none"/>
              </w:rPr>
              <w:br w:type="textWrapping"/>
            </w:r>
            <w:r>
              <w:rPr>
                <w:color w:val="000000"/>
                <w:kern w:val="0"/>
                <w:sz w:val="22"/>
                <w:highlight w:val="none"/>
              </w:rPr>
              <w:t>4.杆体运输至新位置。</w:t>
            </w:r>
            <w:r>
              <w:rPr>
                <w:color w:val="000000"/>
                <w:kern w:val="0"/>
                <w:sz w:val="22"/>
                <w:highlight w:val="none"/>
              </w:rPr>
              <w:br w:type="textWrapping"/>
            </w:r>
            <w:r>
              <w:rPr>
                <w:color w:val="000000"/>
                <w:kern w:val="0"/>
                <w:sz w:val="22"/>
                <w:highlight w:val="none"/>
              </w:rPr>
              <w:t>5.暂定为12根，数量以实际发生为准。</w:t>
            </w:r>
          </w:p>
        </w:tc>
        <w:tc>
          <w:tcPr>
            <w:tcW w:w="709" w:type="dxa"/>
            <w:shd w:val="clear" w:color="000000" w:fill="FFFFFF"/>
            <w:vAlign w:val="center"/>
          </w:tcPr>
          <w:p w14:paraId="2662B6B1">
            <w:pPr>
              <w:widowControl/>
              <w:jc w:val="center"/>
              <w:rPr>
                <w:color w:val="000000"/>
                <w:kern w:val="0"/>
                <w:sz w:val="22"/>
                <w:highlight w:val="none"/>
              </w:rPr>
            </w:pPr>
            <w:r>
              <w:rPr>
                <w:color w:val="000000"/>
                <w:kern w:val="0"/>
                <w:sz w:val="22"/>
                <w:highlight w:val="none"/>
              </w:rPr>
              <w:t>根</w:t>
            </w:r>
          </w:p>
        </w:tc>
        <w:tc>
          <w:tcPr>
            <w:tcW w:w="646" w:type="dxa"/>
            <w:shd w:val="clear" w:color="000000" w:fill="FFFFFF"/>
            <w:vAlign w:val="center"/>
          </w:tcPr>
          <w:p w14:paraId="3407718E">
            <w:pPr>
              <w:widowControl/>
              <w:jc w:val="center"/>
              <w:rPr>
                <w:color w:val="000000"/>
                <w:kern w:val="0"/>
                <w:sz w:val="22"/>
                <w:highlight w:val="none"/>
              </w:rPr>
            </w:pPr>
            <w:r>
              <w:rPr>
                <w:color w:val="000000"/>
                <w:kern w:val="0"/>
                <w:sz w:val="22"/>
                <w:highlight w:val="none"/>
              </w:rPr>
              <w:t>12</w:t>
            </w:r>
          </w:p>
        </w:tc>
      </w:tr>
      <w:tr w14:paraId="0236E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A7DAD82">
            <w:pPr>
              <w:widowControl/>
              <w:jc w:val="center"/>
              <w:rPr>
                <w:color w:val="000000"/>
                <w:kern w:val="0"/>
                <w:sz w:val="22"/>
                <w:highlight w:val="none"/>
              </w:rPr>
            </w:pPr>
            <w:r>
              <w:rPr>
                <w:color w:val="000000"/>
                <w:kern w:val="0"/>
                <w:sz w:val="22"/>
                <w:highlight w:val="none"/>
              </w:rPr>
              <w:t>2</w:t>
            </w:r>
          </w:p>
        </w:tc>
        <w:tc>
          <w:tcPr>
            <w:tcW w:w="3187" w:type="dxa"/>
            <w:gridSpan w:val="2"/>
            <w:shd w:val="clear" w:color="000000" w:fill="FFFFFF"/>
            <w:vAlign w:val="center"/>
          </w:tcPr>
          <w:p w14:paraId="3276303D">
            <w:pPr>
              <w:widowControl/>
              <w:jc w:val="left"/>
              <w:rPr>
                <w:color w:val="000000"/>
                <w:kern w:val="0"/>
                <w:sz w:val="22"/>
                <w:highlight w:val="none"/>
              </w:rPr>
            </w:pPr>
            <w:r>
              <w:rPr>
                <w:color w:val="000000"/>
                <w:kern w:val="0"/>
                <w:sz w:val="22"/>
                <w:highlight w:val="none"/>
              </w:rPr>
              <w:t>杆体迁移后安装</w:t>
            </w:r>
          </w:p>
        </w:tc>
        <w:tc>
          <w:tcPr>
            <w:tcW w:w="2977" w:type="dxa"/>
            <w:shd w:val="clear" w:color="000000" w:fill="FFFFFF"/>
            <w:vAlign w:val="center"/>
          </w:tcPr>
          <w:p w14:paraId="7B257018">
            <w:pPr>
              <w:widowControl/>
              <w:jc w:val="left"/>
              <w:rPr>
                <w:color w:val="000000"/>
                <w:kern w:val="0"/>
                <w:sz w:val="22"/>
                <w:highlight w:val="none"/>
              </w:rPr>
            </w:pPr>
            <w:r>
              <w:rPr>
                <w:color w:val="000000"/>
                <w:kern w:val="0"/>
                <w:sz w:val="22"/>
                <w:highlight w:val="none"/>
              </w:rPr>
              <w:t>1.杆体位置拆除面包砖路面，拆除路面面积：1.44m²。</w:t>
            </w:r>
            <w:r>
              <w:rPr>
                <w:color w:val="000000"/>
                <w:kern w:val="0"/>
                <w:sz w:val="22"/>
                <w:highlight w:val="none"/>
              </w:rPr>
              <w:br w:type="textWrapping"/>
            </w:r>
            <w:r>
              <w:rPr>
                <w:color w:val="000000"/>
                <w:kern w:val="0"/>
                <w:sz w:val="22"/>
                <w:highlight w:val="none"/>
              </w:rPr>
              <w:t>2.杆体位置人工挖土方，土方尺寸：1.2m*1.2m*1.2m。</w:t>
            </w:r>
            <w:r>
              <w:rPr>
                <w:color w:val="000000"/>
                <w:kern w:val="0"/>
                <w:sz w:val="22"/>
                <w:highlight w:val="none"/>
              </w:rPr>
              <w:br w:type="textWrapping"/>
            </w:r>
            <w:r>
              <w:rPr>
                <w:color w:val="000000"/>
                <w:kern w:val="0"/>
                <w:sz w:val="22"/>
                <w:highlight w:val="none"/>
              </w:rPr>
              <w:t>3.制作安装杆体无筋混凝土设备基础，尺寸：1.2m*1.2m*1.2m。</w:t>
            </w:r>
            <w:r>
              <w:rPr>
                <w:color w:val="000000"/>
                <w:kern w:val="0"/>
                <w:sz w:val="22"/>
                <w:highlight w:val="none"/>
              </w:rPr>
              <w:br w:type="textWrapping"/>
            </w:r>
            <w:r>
              <w:rPr>
                <w:color w:val="000000"/>
                <w:kern w:val="0"/>
                <w:sz w:val="22"/>
                <w:highlight w:val="none"/>
              </w:rPr>
              <w:t>4.杆体迁移后重新立杆。</w:t>
            </w:r>
            <w:r>
              <w:rPr>
                <w:color w:val="000000"/>
                <w:kern w:val="0"/>
                <w:sz w:val="22"/>
                <w:highlight w:val="none"/>
              </w:rPr>
              <w:br w:type="textWrapping"/>
            </w:r>
            <w:r>
              <w:rPr>
                <w:color w:val="000000"/>
                <w:kern w:val="0"/>
                <w:sz w:val="22"/>
                <w:highlight w:val="none"/>
              </w:rPr>
              <w:t>5.杆上摄像机、室外分线箱、箱内设备随杆体一同迁移。</w:t>
            </w:r>
            <w:r>
              <w:rPr>
                <w:color w:val="000000"/>
                <w:kern w:val="0"/>
                <w:sz w:val="22"/>
                <w:highlight w:val="none"/>
              </w:rPr>
              <w:br w:type="textWrapping"/>
            </w:r>
            <w:r>
              <w:rPr>
                <w:color w:val="000000"/>
                <w:kern w:val="0"/>
                <w:sz w:val="22"/>
                <w:highlight w:val="none"/>
              </w:rPr>
              <w:t>6.杆体立杆后做防雷接地。</w:t>
            </w:r>
          </w:p>
        </w:tc>
        <w:tc>
          <w:tcPr>
            <w:tcW w:w="709" w:type="dxa"/>
            <w:shd w:val="clear" w:color="000000" w:fill="FFFFFF"/>
            <w:vAlign w:val="center"/>
          </w:tcPr>
          <w:p w14:paraId="664A440C">
            <w:pPr>
              <w:widowControl/>
              <w:jc w:val="center"/>
              <w:rPr>
                <w:color w:val="000000"/>
                <w:kern w:val="0"/>
                <w:sz w:val="22"/>
                <w:highlight w:val="none"/>
              </w:rPr>
            </w:pPr>
            <w:r>
              <w:rPr>
                <w:color w:val="000000"/>
                <w:kern w:val="0"/>
                <w:sz w:val="22"/>
                <w:highlight w:val="none"/>
              </w:rPr>
              <w:t>项</w:t>
            </w:r>
          </w:p>
        </w:tc>
        <w:tc>
          <w:tcPr>
            <w:tcW w:w="646" w:type="dxa"/>
            <w:shd w:val="clear" w:color="000000" w:fill="FFFFFF"/>
            <w:vAlign w:val="center"/>
          </w:tcPr>
          <w:p w14:paraId="4A217FF6">
            <w:pPr>
              <w:widowControl/>
              <w:jc w:val="center"/>
              <w:rPr>
                <w:color w:val="000000"/>
                <w:kern w:val="0"/>
                <w:sz w:val="22"/>
                <w:highlight w:val="none"/>
              </w:rPr>
            </w:pPr>
            <w:r>
              <w:rPr>
                <w:color w:val="000000"/>
                <w:kern w:val="0"/>
                <w:sz w:val="22"/>
                <w:highlight w:val="none"/>
              </w:rPr>
              <w:t>12</w:t>
            </w:r>
          </w:p>
        </w:tc>
      </w:tr>
      <w:tr w14:paraId="3962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F497ED0">
            <w:pPr>
              <w:widowControl/>
              <w:jc w:val="center"/>
              <w:rPr>
                <w:color w:val="000000"/>
                <w:kern w:val="0"/>
                <w:sz w:val="22"/>
                <w:highlight w:val="none"/>
              </w:rPr>
            </w:pPr>
            <w:r>
              <w:rPr>
                <w:color w:val="000000"/>
                <w:kern w:val="0"/>
                <w:sz w:val="22"/>
                <w:highlight w:val="none"/>
              </w:rPr>
              <w:t>3</w:t>
            </w:r>
          </w:p>
        </w:tc>
        <w:tc>
          <w:tcPr>
            <w:tcW w:w="3187" w:type="dxa"/>
            <w:gridSpan w:val="2"/>
            <w:shd w:val="clear" w:color="000000" w:fill="FFFFFF"/>
            <w:vAlign w:val="center"/>
          </w:tcPr>
          <w:p w14:paraId="1192BCCC">
            <w:pPr>
              <w:widowControl/>
              <w:jc w:val="left"/>
              <w:rPr>
                <w:color w:val="000000"/>
                <w:kern w:val="0"/>
                <w:sz w:val="22"/>
                <w:highlight w:val="none"/>
              </w:rPr>
            </w:pPr>
            <w:r>
              <w:rPr>
                <w:color w:val="000000"/>
                <w:kern w:val="0"/>
                <w:sz w:val="22"/>
                <w:highlight w:val="none"/>
              </w:rPr>
              <w:t>杆体迁移后取电</w:t>
            </w:r>
          </w:p>
        </w:tc>
        <w:tc>
          <w:tcPr>
            <w:tcW w:w="2977" w:type="dxa"/>
            <w:shd w:val="clear" w:color="000000" w:fill="FFFFFF"/>
            <w:vAlign w:val="center"/>
          </w:tcPr>
          <w:p w14:paraId="45619050">
            <w:pPr>
              <w:widowControl/>
              <w:jc w:val="left"/>
              <w:rPr>
                <w:color w:val="000000"/>
                <w:kern w:val="0"/>
                <w:sz w:val="22"/>
                <w:highlight w:val="none"/>
              </w:rPr>
            </w:pPr>
            <w:r>
              <w:rPr>
                <w:color w:val="000000"/>
                <w:kern w:val="0"/>
                <w:sz w:val="22"/>
                <w:highlight w:val="none"/>
              </w:rPr>
              <w:t>1.拆除面包砖路面，长度50米，宽度0.5米，路面面积：25m²。</w:t>
            </w:r>
            <w:r>
              <w:rPr>
                <w:color w:val="000000"/>
                <w:kern w:val="0"/>
                <w:sz w:val="22"/>
                <w:highlight w:val="none"/>
              </w:rPr>
              <w:br w:type="textWrapping"/>
            </w:r>
            <w:r>
              <w:rPr>
                <w:color w:val="000000"/>
                <w:kern w:val="0"/>
                <w:sz w:val="22"/>
                <w:highlight w:val="none"/>
              </w:rPr>
              <w:t>2.人工挖土方，尺寸：宽0.5m*深0.7m*长度50m。</w:t>
            </w:r>
            <w:r>
              <w:rPr>
                <w:color w:val="000000"/>
                <w:kern w:val="0"/>
                <w:sz w:val="22"/>
                <w:highlight w:val="none"/>
              </w:rPr>
              <w:br w:type="textWrapping"/>
            </w:r>
            <w:r>
              <w:rPr>
                <w:color w:val="000000"/>
                <w:kern w:val="0"/>
                <w:sz w:val="22"/>
                <w:highlight w:val="none"/>
              </w:rPr>
              <w:t>3.地埋铺设镀锌钢管DN25,铺设长度50m。</w:t>
            </w:r>
            <w:r>
              <w:rPr>
                <w:color w:val="000000"/>
                <w:kern w:val="0"/>
                <w:sz w:val="22"/>
                <w:highlight w:val="none"/>
              </w:rPr>
              <w:br w:type="textWrapping"/>
            </w:r>
            <w:r>
              <w:rPr>
                <w:color w:val="000000"/>
                <w:kern w:val="0"/>
                <w:sz w:val="22"/>
                <w:highlight w:val="none"/>
              </w:rPr>
              <w:t>4.穿管铺设YJV 3*6电源线，长度55m。</w:t>
            </w:r>
            <w:r>
              <w:rPr>
                <w:color w:val="000000"/>
                <w:kern w:val="0"/>
                <w:sz w:val="22"/>
                <w:highlight w:val="none"/>
              </w:rPr>
              <w:br w:type="textWrapping"/>
            </w:r>
            <w:r>
              <w:rPr>
                <w:color w:val="000000"/>
                <w:kern w:val="0"/>
                <w:sz w:val="22"/>
                <w:highlight w:val="none"/>
              </w:rPr>
              <w:t>5.线管铺设后人工回填土并夯实。</w:t>
            </w:r>
            <w:r>
              <w:rPr>
                <w:color w:val="000000"/>
                <w:kern w:val="0"/>
                <w:sz w:val="22"/>
                <w:highlight w:val="none"/>
              </w:rPr>
              <w:br w:type="textWrapping"/>
            </w:r>
            <w:r>
              <w:rPr>
                <w:color w:val="000000"/>
                <w:kern w:val="0"/>
                <w:sz w:val="22"/>
                <w:highlight w:val="none"/>
              </w:rPr>
              <w:t>6.面包砖铺设，恢复原样，面包砖利旧使用。</w:t>
            </w:r>
          </w:p>
        </w:tc>
        <w:tc>
          <w:tcPr>
            <w:tcW w:w="709" w:type="dxa"/>
            <w:shd w:val="clear" w:color="000000" w:fill="FFFFFF"/>
            <w:vAlign w:val="center"/>
          </w:tcPr>
          <w:p w14:paraId="4AEA1B5D">
            <w:pPr>
              <w:widowControl/>
              <w:jc w:val="center"/>
              <w:rPr>
                <w:color w:val="000000"/>
                <w:kern w:val="0"/>
                <w:sz w:val="22"/>
                <w:highlight w:val="none"/>
              </w:rPr>
            </w:pPr>
            <w:r>
              <w:rPr>
                <w:color w:val="000000"/>
                <w:kern w:val="0"/>
                <w:sz w:val="22"/>
                <w:highlight w:val="none"/>
              </w:rPr>
              <w:t>项</w:t>
            </w:r>
          </w:p>
        </w:tc>
        <w:tc>
          <w:tcPr>
            <w:tcW w:w="646" w:type="dxa"/>
            <w:shd w:val="clear" w:color="000000" w:fill="FFFFFF"/>
            <w:vAlign w:val="center"/>
          </w:tcPr>
          <w:p w14:paraId="12289182">
            <w:pPr>
              <w:widowControl/>
              <w:jc w:val="center"/>
              <w:rPr>
                <w:color w:val="000000"/>
                <w:kern w:val="0"/>
                <w:sz w:val="22"/>
                <w:highlight w:val="none"/>
              </w:rPr>
            </w:pPr>
            <w:r>
              <w:rPr>
                <w:color w:val="000000"/>
                <w:kern w:val="0"/>
                <w:sz w:val="22"/>
                <w:highlight w:val="none"/>
              </w:rPr>
              <w:t>12</w:t>
            </w:r>
          </w:p>
        </w:tc>
      </w:tr>
      <w:tr w14:paraId="738C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23A136E3">
            <w:pPr>
              <w:widowControl/>
              <w:jc w:val="center"/>
              <w:rPr>
                <w:b/>
                <w:bCs/>
                <w:color w:val="000000"/>
                <w:kern w:val="0"/>
                <w:sz w:val="22"/>
                <w:highlight w:val="none"/>
              </w:rPr>
            </w:pPr>
            <w:r>
              <w:rPr>
                <w:b/>
                <w:bCs/>
                <w:color w:val="000000"/>
                <w:kern w:val="0"/>
                <w:sz w:val="22"/>
                <w:highlight w:val="none"/>
              </w:rPr>
              <w:t>五</w:t>
            </w:r>
          </w:p>
        </w:tc>
        <w:tc>
          <w:tcPr>
            <w:tcW w:w="3187" w:type="dxa"/>
            <w:gridSpan w:val="2"/>
            <w:shd w:val="clear" w:color="000000" w:fill="FFFFFF"/>
            <w:vAlign w:val="center"/>
          </w:tcPr>
          <w:p w14:paraId="7AC37376">
            <w:pPr>
              <w:widowControl/>
              <w:jc w:val="left"/>
              <w:rPr>
                <w:b/>
                <w:bCs/>
                <w:color w:val="000000"/>
                <w:kern w:val="0"/>
                <w:sz w:val="22"/>
                <w:highlight w:val="none"/>
              </w:rPr>
            </w:pPr>
            <w:r>
              <w:rPr>
                <w:b/>
                <w:bCs/>
                <w:color w:val="000000"/>
                <w:kern w:val="0"/>
                <w:sz w:val="22"/>
                <w:highlight w:val="none"/>
              </w:rPr>
              <w:t>监控杆体拆除</w:t>
            </w:r>
          </w:p>
        </w:tc>
        <w:tc>
          <w:tcPr>
            <w:tcW w:w="2977" w:type="dxa"/>
            <w:shd w:val="clear" w:color="000000" w:fill="FFFFFF"/>
            <w:vAlign w:val="center"/>
          </w:tcPr>
          <w:p w14:paraId="37315D45">
            <w:pPr>
              <w:widowControl/>
              <w:jc w:val="center"/>
              <w:rPr>
                <w:b/>
                <w:bCs/>
                <w:color w:val="000000"/>
                <w:kern w:val="0"/>
                <w:sz w:val="22"/>
                <w:highlight w:val="none"/>
              </w:rPr>
            </w:pPr>
            <w:r>
              <w:rPr>
                <w:b/>
                <w:bCs/>
                <w:color w:val="000000"/>
                <w:kern w:val="0"/>
                <w:sz w:val="22"/>
                <w:highlight w:val="none"/>
              </w:rPr>
              <w:t>规格型号</w:t>
            </w:r>
          </w:p>
        </w:tc>
        <w:tc>
          <w:tcPr>
            <w:tcW w:w="709" w:type="dxa"/>
            <w:shd w:val="clear" w:color="000000" w:fill="FFFFFF"/>
            <w:vAlign w:val="center"/>
          </w:tcPr>
          <w:p w14:paraId="7BD3ED04">
            <w:pPr>
              <w:widowControl/>
              <w:jc w:val="center"/>
              <w:rPr>
                <w:b/>
                <w:bCs/>
                <w:color w:val="000000"/>
                <w:kern w:val="0"/>
                <w:sz w:val="22"/>
                <w:highlight w:val="none"/>
              </w:rPr>
            </w:pPr>
            <w:r>
              <w:rPr>
                <w:b/>
                <w:bCs/>
                <w:color w:val="000000"/>
                <w:kern w:val="0"/>
                <w:sz w:val="22"/>
                <w:highlight w:val="none"/>
              </w:rPr>
              <w:t>单位</w:t>
            </w:r>
          </w:p>
        </w:tc>
        <w:tc>
          <w:tcPr>
            <w:tcW w:w="646" w:type="dxa"/>
            <w:shd w:val="clear" w:color="000000" w:fill="FFFFFF"/>
            <w:vAlign w:val="center"/>
          </w:tcPr>
          <w:p w14:paraId="0C38A133">
            <w:pPr>
              <w:widowControl/>
              <w:jc w:val="center"/>
              <w:rPr>
                <w:b/>
                <w:bCs/>
                <w:color w:val="000000"/>
                <w:kern w:val="0"/>
                <w:sz w:val="22"/>
                <w:highlight w:val="none"/>
              </w:rPr>
            </w:pPr>
            <w:r>
              <w:rPr>
                <w:b/>
                <w:bCs/>
                <w:color w:val="000000"/>
                <w:kern w:val="0"/>
                <w:sz w:val="22"/>
                <w:highlight w:val="none"/>
              </w:rPr>
              <w:t>数量</w:t>
            </w:r>
          </w:p>
        </w:tc>
      </w:tr>
      <w:tr w14:paraId="4B2B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7F8639FE">
            <w:pPr>
              <w:widowControl/>
              <w:jc w:val="center"/>
              <w:rPr>
                <w:b/>
                <w:bCs/>
                <w:color w:val="000000"/>
                <w:kern w:val="0"/>
                <w:sz w:val="22"/>
                <w:highlight w:val="none"/>
              </w:rPr>
            </w:pPr>
            <w:r>
              <w:rPr>
                <w:b/>
                <w:bCs/>
                <w:color w:val="000000"/>
                <w:kern w:val="0"/>
                <w:sz w:val="22"/>
                <w:highlight w:val="none"/>
              </w:rPr>
              <w:t>1</w:t>
            </w:r>
          </w:p>
        </w:tc>
        <w:tc>
          <w:tcPr>
            <w:tcW w:w="3187" w:type="dxa"/>
            <w:gridSpan w:val="2"/>
            <w:shd w:val="clear" w:color="000000" w:fill="FFFFFF"/>
            <w:vAlign w:val="center"/>
          </w:tcPr>
          <w:p w14:paraId="5B6BCD91">
            <w:pPr>
              <w:widowControl/>
              <w:jc w:val="left"/>
              <w:rPr>
                <w:b/>
                <w:bCs/>
                <w:color w:val="000000"/>
                <w:kern w:val="0"/>
                <w:sz w:val="22"/>
                <w:highlight w:val="none"/>
              </w:rPr>
            </w:pPr>
            <w:r>
              <w:rPr>
                <w:b/>
                <w:bCs/>
                <w:color w:val="000000"/>
                <w:kern w:val="0"/>
                <w:sz w:val="22"/>
                <w:highlight w:val="none"/>
              </w:rPr>
              <w:t>杆体拆除</w:t>
            </w:r>
          </w:p>
        </w:tc>
        <w:tc>
          <w:tcPr>
            <w:tcW w:w="2977" w:type="dxa"/>
            <w:shd w:val="clear" w:color="000000" w:fill="FFFFFF"/>
            <w:vAlign w:val="center"/>
          </w:tcPr>
          <w:p w14:paraId="51BA1D19">
            <w:pPr>
              <w:widowControl/>
              <w:jc w:val="left"/>
              <w:rPr>
                <w:color w:val="000000"/>
                <w:kern w:val="0"/>
                <w:sz w:val="22"/>
                <w:highlight w:val="none"/>
              </w:rPr>
            </w:pPr>
            <w:r>
              <w:rPr>
                <w:color w:val="000000"/>
                <w:kern w:val="0"/>
                <w:sz w:val="22"/>
                <w:highlight w:val="none"/>
              </w:rPr>
              <w:t>1.杆体从原位置拆除。</w:t>
            </w:r>
            <w:r>
              <w:rPr>
                <w:color w:val="000000"/>
                <w:kern w:val="0"/>
                <w:sz w:val="22"/>
                <w:highlight w:val="none"/>
              </w:rPr>
              <w:br w:type="textWrapping"/>
            </w:r>
            <w:r>
              <w:rPr>
                <w:color w:val="000000"/>
                <w:kern w:val="0"/>
                <w:sz w:val="22"/>
                <w:highlight w:val="none"/>
              </w:rPr>
              <w:t>2.杆体拆除后需清理地面钢铁结构及碎渣杂物，将杆体基础顶面修整至低于周边路面一个面包砖的厚度，重新铺设面包砖，使恢复后路面与周边路边齐平。</w:t>
            </w:r>
            <w:r>
              <w:rPr>
                <w:color w:val="000000"/>
                <w:kern w:val="0"/>
                <w:sz w:val="22"/>
                <w:highlight w:val="none"/>
              </w:rPr>
              <w:br w:type="textWrapping"/>
            </w:r>
            <w:r>
              <w:rPr>
                <w:color w:val="000000"/>
                <w:kern w:val="0"/>
                <w:sz w:val="22"/>
                <w:highlight w:val="none"/>
              </w:rPr>
              <w:t>3.电源线按规范接续后埋地保护，确保监控系统供电回路连续完整。</w:t>
            </w:r>
            <w:r>
              <w:rPr>
                <w:color w:val="000000"/>
                <w:kern w:val="0"/>
                <w:sz w:val="22"/>
                <w:highlight w:val="none"/>
              </w:rPr>
              <w:br w:type="textWrapping"/>
            </w:r>
            <w:r>
              <w:rPr>
                <w:color w:val="000000"/>
                <w:kern w:val="0"/>
                <w:sz w:val="22"/>
                <w:highlight w:val="none"/>
              </w:rPr>
              <w:t>4.杆体运输至建设单位指定地点存放。</w:t>
            </w:r>
            <w:r>
              <w:rPr>
                <w:color w:val="000000"/>
                <w:kern w:val="0"/>
                <w:sz w:val="22"/>
                <w:highlight w:val="none"/>
              </w:rPr>
              <w:br w:type="textWrapping"/>
            </w:r>
            <w:r>
              <w:rPr>
                <w:color w:val="000000"/>
                <w:kern w:val="0"/>
                <w:sz w:val="22"/>
                <w:highlight w:val="none"/>
              </w:rPr>
              <w:t>5.暂定为40根，数量以实际发生为准。</w:t>
            </w:r>
          </w:p>
        </w:tc>
        <w:tc>
          <w:tcPr>
            <w:tcW w:w="709" w:type="dxa"/>
            <w:shd w:val="clear" w:color="000000" w:fill="FFFFFF"/>
            <w:vAlign w:val="center"/>
          </w:tcPr>
          <w:p w14:paraId="6BFB37B9">
            <w:pPr>
              <w:widowControl/>
              <w:jc w:val="center"/>
              <w:rPr>
                <w:color w:val="000000"/>
                <w:kern w:val="0"/>
                <w:sz w:val="22"/>
                <w:highlight w:val="none"/>
              </w:rPr>
            </w:pPr>
            <w:r>
              <w:rPr>
                <w:color w:val="000000"/>
                <w:kern w:val="0"/>
                <w:sz w:val="22"/>
                <w:highlight w:val="none"/>
              </w:rPr>
              <w:t>根</w:t>
            </w:r>
          </w:p>
        </w:tc>
        <w:tc>
          <w:tcPr>
            <w:tcW w:w="646" w:type="dxa"/>
            <w:shd w:val="clear" w:color="000000" w:fill="FFFFFF"/>
            <w:vAlign w:val="center"/>
          </w:tcPr>
          <w:p w14:paraId="1F95A6C6">
            <w:pPr>
              <w:widowControl/>
              <w:jc w:val="center"/>
              <w:rPr>
                <w:color w:val="000000"/>
                <w:kern w:val="0"/>
                <w:sz w:val="22"/>
                <w:highlight w:val="none"/>
              </w:rPr>
            </w:pPr>
            <w:r>
              <w:rPr>
                <w:color w:val="000000"/>
                <w:kern w:val="0"/>
                <w:sz w:val="22"/>
                <w:highlight w:val="none"/>
              </w:rPr>
              <w:t>40</w:t>
            </w:r>
          </w:p>
        </w:tc>
      </w:tr>
      <w:tr w14:paraId="4754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69DB5015">
            <w:pPr>
              <w:widowControl/>
              <w:jc w:val="center"/>
              <w:rPr>
                <w:b/>
                <w:bCs/>
                <w:color w:val="000000"/>
                <w:kern w:val="0"/>
                <w:sz w:val="22"/>
                <w:highlight w:val="none"/>
              </w:rPr>
            </w:pPr>
            <w:r>
              <w:rPr>
                <w:b/>
                <w:bCs/>
                <w:color w:val="000000"/>
                <w:kern w:val="0"/>
                <w:sz w:val="22"/>
                <w:highlight w:val="none"/>
              </w:rPr>
              <w:t>六</w:t>
            </w:r>
          </w:p>
        </w:tc>
        <w:tc>
          <w:tcPr>
            <w:tcW w:w="3187" w:type="dxa"/>
            <w:gridSpan w:val="2"/>
            <w:shd w:val="clear" w:color="000000" w:fill="FFFFFF"/>
            <w:vAlign w:val="center"/>
          </w:tcPr>
          <w:p w14:paraId="1D9C2EA4">
            <w:pPr>
              <w:widowControl/>
              <w:jc w:val="left"/>
              <w:rPr>
                <w:b/>
                <w:bCs/>
                <w:color w:val="000000"/>
                <w:kern w:val="0"/>
                <w:sz w:val="22"/>
                <w:highlight w:val="none"/>
              </w:rPr>
            </w:pPr>
            <w:r>
              <w:rPr>
                <w:b/>
                <w:bCs/>
                <w:color w:val="000000"/>
                <w:kern w:val="0"/>
                <w:sz w:val="22"/>
                <w:highlight w:val="none"/>
              </w:rPr>
              <w:t>备品备件采购</w:t>
            </w:r>
          </w:p>
        </w:tc>
        <w:tc>
          <w:tcPr>
            <w:tcW w:w="2977" w:type="dxa"/>
            <w:shd w:val="clear" w:color="000000" w:fill="FFFFFF"/>
            <w:vAlign w:val="center"/>
          </w:tcPr>
          <w:p w14:paraId="0BB60A78">
            <w:pPr>
              <w:widowControl/>
              <w:jc w:val="center"/>
              <w:rPr>
                <w:b/>
                <w:bCs/>
                <w:color w:val="000000"/>
                <w:kern w:val="0"/>
                <w:sz w:val="22"/>
                <w:highlight w:val="none"/>
              </w:rPr>
            </w:pPr>
            <w:r>
              <w:rPr>
                <w:b/>
                <w:bCs/>
                <w:color w:val="000000"/>
                <w:kern w:val="0"/>
                <w:sz w:val="22"/>
                <w:highlight w:val="none"/>
              </w:rPr>
              <w:t>规格参数</w:t>
            </w:r>
          </w:p>
        </w:tc>
        <w:tc>
          <w:tcPr>
            <w:tcW w:w="709" w:type="dxa"/>
            <w:shd w:val="clear" w:color="000000" w:fill="FFFFFF"/>
            <w:vAlign w:val="center"/>
          </w:tcPr>
          <w:p w14:paraId="61BC5C9B">
            <w:pPr>
              <w:widowControl/>
              <w:jc w:val="center"/>
              <w:rPr>
                <w:b/>
                <w:bCs/>
                <w:color w:val="000000"/>
                <w:kern w:val="0"/>
                <w:sz w:val="22"/>
                <w:highlight w:val="none"/>
              </w:rPr>
            </w:pPr>
            <w:r>
              <w:rPr>
                <w:b/>
                <w:bCs/>
                <w:color w:val="000000"/>
                <w:kern w:val="0"/>
                <w:sz w:val="22"/>
                <w:highlight w:val="none"/>
              </w:rPr>
              <w:t>单位</w:t>
            </w:r>
          </w:p>
        </w:tc>
        <w:tc>
          <w:tcPr>
            <w:tcW w:w="646" w:type="dxa"/>
            <w:shd w:val="clear" w:color="000000" w:fill="FFFFFF"/>
            <w:vAlign w:val="center"/>
          </w:tcPr>
          <w:p w14:paraId="12399D4C">
            <w:pPr>
              <w:widowControl/>
              <w:jc w:val="center"/>
              <w:rPr>
                <w:b/>
                <w:bCs/>
                <w:color w:val="000000"/>
                <w:kern w:val="0"/>
                <w:sz w:val="22"/>
                <w:highlight w:val="none"/>
              </w:rPr>
            </w:pPr>
            <w:r>
              <w:rPr>
                <w:b/>
                <w:bCs/>
                <w:color w:val="000000"/>
                <w:kern w:val="0"/>
                <w:sz w:val="22"/>
                <w:highlight w:val="none"/>
              </w:rPr>
              <w:t>数量</w:t>
            </w:r>
          </w:p>
        </w:tc>
      </w:tr>
      <w:tr w14:paraId="4F052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03EF202F">
            <w:pPr>
              <w:widowControl/>
              <w:jc w:val="center"/>
              <w:rPr>
                <w:color w:val="000000"/>
                <w:kern w:val="0"/>
                <w:sz w:val="22"/>
                <w:highlight w:val="none"/>
              </w:rPr>
            </w:pPr>
            <w:r>
              <w:rPr>
                <w:color w:val="000000"/>
                <w:kern w:val="0"/>
                <w:sz w:val="22"/>
                <w:highlight w:val="none"/>
              </w:rPr>
              <w:t>1</w:t>
            </w:r>
          </w:p>
        </w:tc>
        <w:tc>
          <w:tcPr>
            <w:tcW w:w="3187" w:type="dxa"/>
            <w:gridSpan w:val="2"/>
            <w:shd w:val="clear" w:color="000000" w:fill="FFFFFF"/>
            <w:vAlign w:val="center"/>
          </w:tcPr>
          <w:p w14:paraId="07B24B39">
            <w:pPr>
              <w:widowControl/>
              <w:jc w:val="left"/>
              <w:rPr>
                <w:color w:val="000000"/>
                <w:kern w:val="0"/>
                <w:sz w:val="22"/>
                <w:highlight w:val="none"/>
              </w:rPr>
            </w:pPr>
            <w:r>
              <w:rPr>
                <w:color w:val="000000"/>
                <w:kern w:val="0"/>
                <w:sz w:val="22"/>
                <w:highlight w:val="none"/>
              </w:rPr>
              <w:t>智能视频监控摄像机采购</w:t>
            </w:r>
          </w:p>
        </w:tc>
        <w:tc>
          <w:tcPr>
            <w:tcW w:w="2977" w:type="dxa"/>
            <w:shd w:val="clear" w:color="000000" w:fill="FFFFFF"/>
            <w:vAlign w:val="center"/>
          </w:tcPr>
          <w:p w14:paraId="5DFC7A42">
            <w:pPr>
              <w:widowControl/>
              <w:jc w:val="left"/>
              <w:rPr>
                <w:color w:val="000000"/>
                <w:kern w:val="0"/>
                <w:sz w:val="22"/>
                <w:highlight w:val="none"/>
              </w:rPr>
            </w:pPr>
            <w:r>
              <w:rPr>
                <w:color w:val="000000"/>
                <w:kern w:val="0"/>
                <w:sz w:val="22"/>
                <w:highlight w:val="none"/>
              </w:rPr>
              <w:t>1、视频OSD支持国标字符叠加和自定义模式可选，图片OSD支持常规和自定义可选。</w:t>
            </w:r>
            <w:r>
              <w:rPr>
                <w:color w:val="000000"/>
                <w:kern w:val="0"/>
                <w:sz w:val="22"/>
                <w:highlight w:val="none"/>
              </w:rPr>
              <w:br w:type="textWrapping"/>
            </w:r>
            <w:r>
              <w:rPr>
                <w:color w:val="000000"/>
                <w:kern w:val="0"/>
                <w:sz w:val="22"/>
                <w:highlight w:val="none"/>
              </w:rPr>
              <w:t>2、满足GB35114《公共安全视频监控联网信息安全技术要求》中前端设备分级（FDWSF）A级要求。</w:t>
            </w:r>
            <w:r>
              <w:rPr>
                <w:color w:val="000000"/>
                <w:kern w:val="0"/>
                <w:sz w:val="22"/>
                <w:highlight w:val="none"/>
              </w:rPr>
              <w:br w:type="textWrapping"/>
            </w:r>
            <w:r>
              <w:rPr>
                <w:color w:val="000000"/>
                <w:kern w:val="0"/>
                <w:sz w:val="22"/>
                <w:highlight w:val="none"/>
              </w:rPr>
              <w:t>3、支持混合抓拍下非机动车、机动车，可上传。</w:t>
            </w:r>
            <w:r>
              <w:rPr>
                <w:color w:val="000000"/>
                <w:kern w:val="0"/>
                <w:sz w:val="22"/>
                <w:highlight w:val="none"/>
              </w:rPr>
              <w:br w:type="textWrapping"/>
            </w:r>
            <w:r>
              <w:rPr>
                <w:color w:val="000000"/>
                <w:kern w:val="0"/>
                <w:sz w:val="22"/>
                <w:highlight w:val="none"/>
              </w:rPr>
              <w:t>4、支持混合检测（全结构化）、人脸抓拍、智能监控三模式切换。</w:t>
            </w:r>
            <w:r>
              <w:rPr>
                <w:color w:val="000000"/>
                <w:kern w:val="0"/>
                <w:sz w:val="22"/>
                <w:highlight w:val="none"/>
              </w:rPr>
              <w:br w:type="textWrapping"/>
            </w:r>
            <w:r>
              <w:rPr>
                <w:color w:val="000000"/>
                <w:kern w:val="0"/>
                <w:sz w:val="22"/>
                <w:highlight w:val="none"/>
              </w:rPr>
              <w:t>5、支持混合检测模式，支持人脸、人体、机动车、非机动车混合检测和抓拍。</w:t>
            </w:r>
            <w:r>
              <w:rPr>
                <w:color w:val="000000"/>
                <w:kern w:val="0"/>
                <w:sz w:val="22"/>
                <w:highlight w:val="none"/>
              </w:rPr>
              <w:br w:type="textWrapping"/>
            </w:r>
            <w:r>
              <w:rPr>
                <w:color w:val="000000"/>
                <w:kern w:val="0"/>
                <w:sz w:val="22"/>
                <w:highlight w:val="none"/>
              </w:rPr>
              <w:t>6、智能监控模式支持周界、绊线、物品遗留、物品丢失、徘徊、奔跑、停车检测、人数统计、人群聚集、音频诊断、视频诊断等智能分析算法。</w:t>
            </w:r>
            <w:r>
              <w:rPr>
                <w:color w:val="000000"/>
                <w:kern w:val="0"/>
                <w:sz w:val="22"/>
                <w:highlight w:val="none"/>
              </w:rPr>
              <w:br w:type="textWrapping"/>
            </w:r>
            <w:r>
              <w:rPr>
                <w:color w:val="000000"/>
                <w:kern w:val="0"/>
                <w:sz w:val="22"/>
                <w:highlight w:val="none"/>
              </w:rPr>
              <w:t>7、人脸抓拍模式，支持人脸检测和抓拍，支持脸人绑定。</w:t>
            </w:r>
            <w:r>
              <w:rPr>
                <w:color w:val="000000"/>
                <w:kern w:val="0"/>
                <w:sz w:val="22"/>
                <w:highlight w:val="none"/>
              </w:rPr>
              <w:br w:type="textWrapping"/>
            </w:r>
            <w:r>
              <w:rPr>
                <w:color w:val="000000"/>
                <w:kern w:val="0"/>
                <w:sz w:val="22"/>
                <w:highlight w:val="none"/>
              </w:rPr>
              <w:t>8、智能监控和人脸抓拍模式最高支持不低于5MP(3200x1800)，混合检测模式最高支持不低于4MP(2560×1440)。</w:t>
            </w:r>
            <w:r>
              <w:rPr>
                <w:color w:val="000000"/>
                <w:kern w:val="0"/>
                <w:sz w:val="22"/>
                <w:highlight w:val="none"/>
              </w:rPr>
              <w:br w:type="textWrapping"/>
            </w:r>
            <w:r>
              <w:rPr>
                <w:color w:val="000000"/>
                <w:kern w:val="0"/>
                <w:sz w:val="22"/>
                <w:highlight w:val="none"/>
              </w:rPr>
              <w:t>9、不低于1/1.8英寸CMOS传感器。</w:t>
            </w:r>
            <w:r>
              <w:rPr>
                <w:color w:val="000000"/>
                <w:kern w:val="0"/>
                <w:sz w:val="22"/>
                <w:highlight w:val="none"/>
              </w:rPr>
              <w:br w:type="textWrapping"/>
            </w:r>
            <w:r>
              <w:rPr>
                <w:color w:val="000000"/>
                <w:kern w:val="0"/>
                <w:sz w:val="22"/>
                <w:highlight w:val="none"/>
              </w:rPr>
              <w:t>10、不低于2.8-12mm电动变焦，支持一键聚焦）。</w:t>
            </w:r>
            <w:r>
              <w:rPr>
                <w:color w:val="000000"/>
                <w:kern w:val="0"/>
                <w:sz w:val="22"/>
                <w:highlight w:val="none"/>
              </w:rPr>
              <w:br w:type="textWrapping"/>
            </w:r>
            <w:r>
              <w:rPr>
                <w:color w:val="000000"/>
                <w:kern w:val="0"/>
                <w:sz w:val="22"/>
                <w:highlight w:val="none"/>
              </w:rPr>
              <w:t>11、自带补光灯，白光（暖光），支持补光变倍匹配。</w:t>
            </w:r>
            <w:r>
              <w:rPr>
                <w:color w:val="000000"/>
                <w:kern w:val="0"/>
                <w:sz w:val="22"/>
                <w:highlight w:val="none"/>
              </w:rPr>
              <w:br w:type="textWrapping"/>
            </w:r>
            <w:r>
              <w:rPr>
                <w:color w:val="000000"/>
                <w:kern w:val="0"/>
                <w:sz w:val="22"/>
                <w:highlight w:val="none"/>
              </w:rPr>
              <w:t>12、照度：彩色≤0.002Lux；黑白≤0.001Lux。</w:t>
            </w:r>
            <w:r>
              <w:rPr>
                <w:color w:val="000000"/>
                <w:kern w:val="0"/>
                <w:sz w:val="22"/>
                <w:highlight w:val="none"/>
              </w:rPr>
              <w:br w:type="textWrapping"/>
            </w:r>
            <w:r>
              <w:rPr>
                <w:color w:val="000000"/>
                <w:kern w:val="0"/>
                <w:sz w:val="22"/>
                <w:highlight w:val="none"/>
              </w:rPr>
              <w:t>13、支持不低于三码流，主码流最高分辨率不低于3200x1800。</w:t>
            </w:r>
            <w:r>
              <w:rPr>
                <w:color w:val="000000"/>
                <w:kern w:val="0"/>
                <w:sz w:val="22"/>
                <w:highlight w:val="none"/>
              </w:rPr>
              <w:br w:type="textWrapping"/>
            </w:r>
            <w:r>
              <w:rPr>
                <w:color w:val="000000"/>
                <w:kern w:val="0"/>
                <w:sz w:val="22"/>
                <w:highlight w:val="none"/>
              </w:rPr>
              <w:t>14、支持3D数字降噪、白平衡、背光补偿、彩转黑、电子快门、宽动态、感兴趣区域、视频翻转、镜像、强光抑制、透雾、图片叠加、隐私遮挡等。</w:t>
            </w:r>
            <w:r>
              <w:rPr>
                <w:color w:val="000000"/>
                <w:kern w:val="0"/>
                <w:sz w:val="22"/>
                <w:highlight w:val="none"/>
              </w:rPr>
              <w:br w:type="textWrapping"/>
            </w:r>
            <w:r>
              <w:rPr>
                <w:color w:val="000000"/>
                <w:kern w:val="0"/>
                <w:sz w:val="22"/>
                <w:highlight w:val="none"/>
              </w:rPr>
              <w:t>15、支持TF卡接口、报警不低于3入2出、音频不低于2入1出、不低于1路RS485。</w:t>
            </w:r>
            <w:r>
              <w:rPr>
                <w:color w:val="000000"/>
                <w:kern w:val="0"/>
                <w:sz w:val="22"/>
                <w:highlight w:val="none"/>
              </w:rPr>
              <w:br w:type="textWrapping"/>
            </w:r>
            <w:r>
              <w:rPr>
                <w:color w:val="000000"/>
                <w:kern w:val="0"/>
                <w:sz w:val="22"/>
                <w:highlight w:val="none"/>
              </w:rPr>
              <w:t>16、内置mic、扬声器。</w:t>
            </w:r>
            <w:r>
              <w:rPr>
                <w:color w:val="000000"/>
                <w:kern w:val="0"/>
                <w:sz w:val="22"/>
                <w:highlight w:val="none"/>
              </w:rPr>
              <w:br w:type="textWrapping"/>
            </w:r>
            <w:r>
              <w:rPr>
                <w:color w:val="000000"/>
                <w:kern w:val="0"/>
                <w:sz w:val="22"/>
                <w:highlight w:val="none"/>
              </w:rPr>
              <w:t>17、支持GAT1400、GB28181-2016、Onvif等协议。</w:t>
            </w:r>
          </w:p>
        </w:tc>
        <w:tc>
          <w:tcPr>
            <w:tcW w:w="709" w:type="dxa"/>
            <w:shd w:val="clear" w:color="000000" w:fill="FFFFFF"/>
            <w:vAlign w:val="center"/>
          </w:tcPr>
          <w:p w14:paraId="39EB2ACA">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0DD5680B">
            <w:pPr>
              <w:widowControl/>
              <w:jc w:val="center"/>
              <w:rPr>
                <w:color w:val="000000"/>
                <w:kern w:val="0"/>
                <w:sz w:val="22"/>
                <w:highlight w:val="none"/>
              </w:rPr>
            </w:pPr>
            <w:r>
              <w:rPr>
                <w:color w:val="000000"/>
                <w:kern w:val="0"/>
                <w:sz w:val="22"/>
                <w:highlight w:val="none"/>
              </w:rPr>
              <w:t>25</w:t>
            </w:r>
          </w:p>
        </w:tc>
      </w:tr>
      <w:tr w14:paraId="41843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0" w:type="auto"/>
            <w:shd w:val="clear" w:color="000000" w:fill="FFFFFF"/>
            <w:vAlign w:val="center"/>
          </w:tcPr>
          <w:p w14:paraId="14B39BAE">
            <w:pPr>
              <w:widowControl/>
              <w:jc w:val="center"/>
              <w:rPr>
                <w:color w:val="000000"/>
                <w:kern w:val="0"/>
                <w:sz w:val="22"/>
                <w:highlight w:val="none"/>
              </w:rPr>
            </w:pPr>
            <w:r>
              <w:rPr>
                <w:color w:val="000000"/>
                <w:kern w:val="0"/>
                <w:sz w:val="22"/>
                <w:highlight w:val="none"/>
              </w:rPr>
              <w:t>2</w:t>
            </w:r>
          </w:p>
        </w:tc>
        <w:tc>
          <w:tcPr>
            <w:tcW w:w="3187" w:type="dxa"/>
            <w:gridSpan w:val="2"/>
            <w:shd w:val="clear" w:color="000000" w:fill="FFFFFF"/>
            <w:vAlign w:val="center"/>
          </w:tcPr>
          <w:p w14:paraId="49682C2A">
            <w:pPr>
              <w:widowControl/>
              <w:jc w:val="left"/>
              <w:rPr>
                <w:color w:val="000000"/>
                <w:kern w:val="0"/>
                <w:sz w:val="22"/>
                <w:highlight w:val="none"/>
              </w:rPr>
            </w:pPr>
            <w:r>
              <w:rPr>
                <w:color w:val="000000"/>
                <w:kern w:val="0"/>
                <w:sz w:val="22"/>
                <w:highlight w:val="none"/>
              </w:rPr>
              <w:t>前</w:t>
            </w:r>
            <w:r>
              <w:rPr>
                <w:rFonts w:hint="eastAsia"/>
                <w:color w:val="000000"/>
                <w:kern w:val="0"/>
                <w:sz w:val="22"/>
                <w:highlight w:val="none"/>
              </w:rPr>
              <w:t>端</w:t>
            </w:r>
            <w:r>
              <w:rPr>
                <w:color w:val="000000"/>
                <w:kern w:val="0"/>
                <w:sz w:val="22"/>
                <w:highlight w:val="none"/>
              </w:rPr>
              <w:t>存储采购</w:t>
            </w:r>
          </w:p>
        </w:tc>
        <w:tc>
          <w:tcPr>
            <w:tcW w:w="2977" w:type="dxa"/>
            <w:shd w:val="clear" w:color="000000" w:fill="FFFFFF"/>
            <w:vAlign w:val="center"/>
          </w:tcPr>
          <w:p w14:paraId="3C732BD0">
            <w:pPr>
              <w:widowControl/>
              <w:jc w:val="left"/>
              <w:rPr>
                <w:color w:val="000000"/>
                <w:kern w:val="0"/>
                <w:sz w:val="22"/>
                <w:highlight w:val="none"/>
              </w:rPr>
            </w:pPr>
            <w:r>
              <w:rPr>
                <w:color w:val="000000"/>
                <w:kern w:val="0"/>
                <w:sz w:val="22"/>
                <w:highlight w:val="none"/>
              </w:rPr>
              <w:t>1、存储接口≥1个SATA接口。</w:t>
            </w:r>
            <w:r>
              <w:rPr>
                <w:color w:val="000000"/>
                <w:kern w:val="0"/>
                <w:sz w:val="22"/>
                <w:highlight w:val="none"/>
              </w:rPr>
              <w:br w:type="textWrapping"/>
            </w:r>
            <w:r>
              <w:rPr>
                <w:color w:val="000000"/>
                <w:kern w:val="0"/>
                <w:sz w:val="22"/>
                <w:highlight w:val="none"/>
              </w:rPr>
              <w:t>2、视频接口≥1个HDMI，≥1个VGA。</w:t>
            </w:r>
            <w:r>
              <w:rPr>
                <w:color w:val="000000"/>
                <w:kern w:val="0"/>
                <w:sz w:val="22"/>
                <w:highlight w:val="none"/>
              </w:rPr>
              <w:br w:type="textWrapping"/>
            </w:r>
            <w:r>
              <w:rPr>
                <w:color w:val="000000"/>
                <w:kern w:val="0"/>
                <w:sz w:val="22"/>
                <w:highlight w:val="none"/>
              </w:rPr>
              <w:t>3、网络接口≥2×千兆自适应以太网口。</w:t>
            </w:r>
            <w:r>
              <w:rPr>
                <w:color w:val="000000"/>
                <w:kern w:val="0"/>
                <w:sz w:val="22"/>
                <w:highlight w:val="none"/>
              </w:rPr>
              <w:br w:type="textWrapping"/>
            </w:r>
            <w:r>
              <w:rPr>
                <w:color w:val="000000"/>
                <w:kern w:val="0"/>
                <w:sz w:val="22"/>
                <w:highlight w:val="none"/>
              </w:rPr>
              <w:t>4、报警接口≥4路报警输入，1路报警输出。</w:t>
            </w:r>
            <w:r>
              <w:rPr>
                <w:color w:val="000000"/>
                <w:kern w:val="0"/>
                <w:sz w:val="22"/>
                <w:highlight w:val="none"/>
              </w:rPr>
              <w:br w:type="textWrapping"/>
            </w:r>
            <w:r>
              <w:rPr>
                <w:color w:val="000000"/>
                <w:kern w:val="0"/>
                <w:sz w:val="22"/>
                <w:highlight w:val="none"/>
              </w:rPr>
              <w:t>5、USB接口≥2个USB。</w:t>
            </w:r>
            <w:r>
              <w:rPr>
                <w:color w:val="000000"/>
                <w:kern w:val="0"/>
                <w:sz w:val="22"/>
                <w:highlight w:val="none"/>
              </w:rPr>
              <w:br w:type="textWrapping"/>
            </w:r>
            <w:r>
              <w:rPr>
                <w:color w:val="000000"/>
                <w:kern w:val="0"/>
                <w:sz w:val="22"/>
                <w:highlight w:val="none"/>
              </w:rPr>
              <w:t>6、输入带宽≥80Mbps。</w:t>
            </w:r>
            <w:r>
              <w:rPr>
                <w:color w:val="000000"/>
                <w:kern w:val="0"/>
                <w:sz w:val="22"/>
                <w:highlight w:val="none"/>
              </w:rPr>
              <w:br w:type="textWrapping"/>
            </w:r>
            <w:r>
              <w:rPr>
                <w:color w:val="000000"/>
                <w:kern w:val="0"/>
                <w:sz w:val="22"/>
                <w:highlight w:val="none"/>
              </w:rPr>
              <w:t>7、输出带宽≥80Mbps。</w:t>
            </w:r>
            <w:r>
              <w:rPr>
                <w:color w:val="000000"/>
                <w:kern w:val="0"/>
                <w:sz w:val="22"/>
                <w:highlight w:val="none"/>
              </w:rPr>
              <w:br w:type="textWrapping"/>
            </w:r>
            <w:r>
              <w:rPr>
                <w:color w:val="000000"/>
                <w:kern w:val="0"/>
                <w:sz w:val="22"/>
                <w:highlight w:val="none"/>
              </w:rPr>
              <w:t>8、接入能力≥8路H.264、H.265格式高清码流接入。</w:t>
            </w:r>
            <w:r>
              <w:rPr>
                <w:color w:val="000000"/>
                <w:kern w:val="0"/>
                <w:sz w:val="22"/>
                <w:highlight w:val="none"/>
              </w:rPr>
              <w:br w:type="textWrapping"/>
            </w:r>
            <w:r>
              <w:rPr>
                <w:color w:val="000000"/>
                <w:kern w:val="0"/>
                <w:sz w:val="22"/>
                <w:highlight w:val="none"/>
              </w:rPr>
              <w:t>9、解码能力≥最大支持24×1080P。</w:t>
            </w:r>
            <w:r>
              <w:rPr>
                <w:color w:val="000000"/>
                <w:kern w:val="0"/>
                <w:sz w:val="22"/>
                <w:highlight w:val="none"/>
              </w:rPr>
              <w:br w:type="textWrapping"/>
            </w:r>
            <w:r>
              <w:rPr>
                <w:color w:val="000000"/>
                <w:kern w:val="0"/>
                <w:sz w:val="22"/>
                <w:highlight w:val="none"/>
              </w:rPr>
              <w:t>10、显示能力≥最大支持4K+1080P异源输出。</w:t>
            </w:r>
            <w:r>
              <w:rPr>
                <w:color w:val="000000"/>
                <w:kern w:val="0"/>
                <w:sz w:val="22"/>
                <w:highlight w:val="none"/>
              </w:rPr>
              <w:br w:type="textWrapping"/>
            </w:r>
            <w:r>
              <w:rPr>
                <w:color w:val="000000"/>
                <w:kern w:val="0"/>
                <w:sz w:val="22"/>
                <w:highlight w:val="none"/>
              </w:rPr>
              <w:t>11、具有存储安全保障功能，当存储压力过高或硬盘出现性能不足时，可优先录像业务存储。</w:t>
            </w:r>
            <w:r>
              <w:rPr>
                <w:color w:val="000000"/>
                <w:kern w:val="0"/>
                <w:sz w:val="22"/>
                <w:highlight w:val="none"/>
              </w:rPr>
              <w:br w:type="textWrapping"/>
            </w:r>
            <w:r>
              <w:rPr>
                <w:color w:val="000000"/>
                <w:kern w:val="0"/>
                <w:sz w:val="22"/>
                <w:highlight w:val="none"/>
              </w:rPr>
              <w:t>12、含1块4TB 监控级硬盘。</w:t>
            </w:r>
          </w:p>
        </w:tc>
        <w:tc>
          <w:tcPr>
            <w:tcW w:w="709" w:type="dxa"/>
            <w:shd w:val="clear" w:color="000000" w:fill="FFFFFF"/>
            <w:vAlign w:val="center"/>
          </w:tcPr>
          <w:p w14:paraId="29649B43">
            <w:pPr>
              <w:widowControl/>
              <w:jc w:val="center"/>
              <w:rPr>
                <w:color w:val="000000"/>
                <w:kern w:val="0"/>
                <w:sz w:val="22"/>
                <w:highlight w:val="none"/>
              </w:rPr>
            </w:pPr>
            <w:r>
              <w:rPr>
                <w:color w:val="000000"/>
                <w:kern w:val="0"/>
                <w:sz w:val="22"/>
                <w:highlight w:val="none"/>
              </w:rPr>
              <w:t>台</w:t>
            </w:r>
          </w:p>
        </w:tc>
        <w:tc>
          <w:tcPr>
            <w:tcW w:w="646" w:type="dxa"/>
            <w:shd w:val="clear" w:color="000000" w:fill="FFFFFF"/>
            <w:vAlign w:val="center"/>
          </w:tcPr>
          <w:p w14:paraId="13A524DF">
            <w:pPr>
              <w:widowControl/>
              <w:jc w:val="center"/>
              <w:rPr>
                <w:color w:val="000000"/>
                <w:kern w:val="0"/>
                <w:sz w:val="22"/>
                <w:highlight w:val="none"/>
              </w:rPr>
            </w:pPr>
            <w:r>
              <w:rPr>
                <w:color w:val="000000"/>
                <w:kern w:val="0"/>
                <w:sz w:val="22"/>
                <w:highlight w:val="none"/>
              </w:rPr>
              <w:t>25</w:t>
            </w:r>
          </w:p>
        </w:tc>
      </w:tr>
    </w:tbl>
    <w:p w14:paraId="081BB0E1">
      <w:pPr>
        <w:keepNext/>
        <w:keepLines/>
        <w:ind w:firstLine="448" w:firstLineChars="200"/>
        <w:outlineLvl w:val="4"/>
        <w:rPr>
          <w:b/>
          <w:bCs/>
          <w:sz w:val="24"/>
          <w:szCs w:val="28"/>
          <w:highlight w:val="none"/>
        </w:rPr>
      </w:pPr>
      <w:r>
        <w:rPr>
          <w:rFonts w:hint="eastAsia"/>
          <w:b/>
          <w:bCs/>
          <w:sz w:val="24"/>
          <w:szCs w:val="28"/>
          <w:highlight w:val="none"/>
        </w:rPr>
        <w:t>（二）平台巡检服务</w:t>
      </w:r>
    </w:p>
    <w:tbl>
      <w:tblPr>
        <w:tblStyle w:val="19"/>
        <w:tblW w:w="5000" w:type="pct"/>
        <w:tblInd w:w="0" w:type="dxa"/>
        <w:tblLayout w:type="autofit"/>
        <w:tblCellMar>
          <w:top w:w="0" w:type="dxa"/>
          <w:left w:w="108" w:type="dxa"/>
          <w:bottom w:w="0" w:type="dxa"/>
          <w:right w:w="108" w:type="dxa"/>
        </w:tblCellMar>
      </w:tblPr>
      <w:tblGrid>
        <w:gridCol w:w="755"/>
        <w:gridCol w:w="1135"/>
        <w:gridCol w:w="5065"/>
        <w:gridCol w:w="698"/>
        <w:gridCol w:w="659"/>
      </w:tblGrid>
      <w:tr w14:paraId="4A13BADC">
        <w:tblPrEx>
          <w:tblCellMar>
            <w:top w:w="0" w:type="dxa"/>
            <w:left w:w="108" w:type="dxa"/>
            <w:bottom w:w="0" w:type="dxa"/>
            <w:right w:w="108" w:type="dxa"/>
          </w:tblCellMar>
        </w:tblPrEx>
        <w:trPr>
          <w:tblHeader/>
        </w:trPr>
        <w:tc>
          <w:tcPr>
            <w:tcW w:w="454" w:type="pct"/>
            <w:tcBorders>
              <w:top w:val="single" w:color="auto" w:sz="4" w:space="0"/>
              <w:left w:val="single" w:color="auto" w:sz="4" w:space="0"/>
              <w:bottom w:val="single" w:color="auto" w:sz="4" w:space="0"/>
              <w:right w:val="single" w:color="auto" w:sz="4" w:space="0"/>
            </w:tcBorders>
            <w:noWrap/>
            <w:vAlign w:val="center"/>
          </w:tcPr>
          <w:p w14:paraId="295D54C6">
            <w:pPr>
              <w:jc w:val="center"/>
              <w:rPr>
                <w:rFonts w:ascii="宋体" w:hAnsi="宋体" w:cs="宋体"/>
                <w:b/>
                <w:bCs/>
                <w:color w:val="000000" w:themeColor="text1"/>
                <w:kern w:val="0"/>
                <w:sz w:val="22"/>
                <w:highlight w:val="none"/>
                <w14:textFill>
                  <w14:solidFill>
                    <w14:schemeClr w14:val="tx1"/>
                  </w14:solidFill>
                </w14:textFill>
              </w:rPr>
            </w:pPr>
            <w:r>
              <w:rPr>
                <w:rFonts w:hint="eastAsia" w:ascii="宋体" w:hAnsi="宋体" w:cs="宋体"/>
                <w:b/>
                <w:bCs/>
                <w:color w:val="000000" w:themeColor="text1"/>
                <w:kern w:val="0"/>
                <w:sz w:val="22"/>
                <w:highlight w:val="none"/>
                <w14:textFill>
                  <w14:solidFill>
                    <w14:schemeClr w14:val="tx1"/>
                  </w14:solidFill>
                </w14:textFill>
              </w:rPr>
              <w:t>序号</w:t>
            </w:r>
          </w:p>
        </w:tc>
        <w:tc>
          <w:tcPr>
            <w:tcW w:w="683" w:type="pct"/>
            <w:tcBorders>
              <w:top w:val="single" w:color="auto" w:sz="4" w:space="0"/>
              <w:left w:val="nil"/>
              <w:bottom w:val="single" w:color="auto" w:sz="4" w:space="0"/>
              <w:right w:val="single" w:color="auto" w:sz="4" w:space="0"/>
            </w:tcBorders>
            <w:noWrap/>
            <w:vAlign w:val="center"/>
          </w:tcPr>
          <w:p w14:paraId="7C89E9C5">
            <w:pPr>
              <w:jc w:val="center"/>
              <w:rPr>
                <w:rFonts w:ascii="宋体" w:hAnsi="宋体" w:cs="宋体"/>
                <w:b/>
                <w:bCs/>
                <w:color w:val="000000" w:themeColor="text1"/>
                <w:kern w:val="0"/>
                <w:sz w:val="22"/>
                <w:highlight w:val="none"/>
                <w14:textFill>
                  <w14:solidFill>
                    <w14:schemeClr w14:val="tx1"/>
                  </w14:solidFill>
                </w14:textFill>
              </w:rPr>
            </w:pPr>
            <w:r>
              <w:rPr>
                <w:rFonts w:hint="eastAsia" w:ascii="宋体" w:hAnsi="宋体" w:cs="宋体"/>
                <w:b/>
                <w:bCs/>
                <w:color w:val="000000" w:themeColor="text1"/>
                <w:kern w:val="0"/>
                <w:sz w:val="22"/>
                <w:highlight w:val="none"/>
                <w14:textFill>
                  <w14:solidFill>
                    <w14:schemeClr w14:val="tx1"/>
                  </w14:solidFill>
                </w14:textFill>
              </w:rPr>
              <w:t>项目名称</w:t>
            </w:r>
          </w:p>
        </w:tc>
        <w:tc>
          <w:tcPr>
            <w:tcW w:w="3047" w:type="pct"/>
            <w:tcBorders>
              <w:top w:val="single" w:color="auto" w:sz="4" w:space="0"/>
              <w:left w:val="nil"/>
              <w:bottom w:val="single" w:color="auto" w:sz="4" w:space="0"/>
              <w:right w:val="single" w:color="auto" w:sz="4" w:space="0"/>
            </w:tcBorders>
            <w:noWrap/>
            <w:vAlign w:val="center"/>
          </w:tcPr>
          <w:p w14:paraId="51DA3376">
            <w:pPr>
              <w:jc w:val="center"/>
              <w:rPr>
                <w:rFonts w:ascii="宋体" w:hAnsi="宋体" w:cs="宋体"/>
                <w:b/>
                <w:bCs/>
                <w:color w:val="000000" w:themeColor="text1"/>
                <w:kern w:val="0"/>
                <w:sz w:val="22"/>
                <w:highlight w:val="none"/>
                <w14:textFill>
                  <w14:solidFill>
                    <w14:schemeClr w14:val="tx1"/>
                  </w14:solidFill>
                </w14:textFill>
              </w:rPr>
            </w:pPr>
            <w:r>
              <w:rPr>
                <w:rFonts w:hint="eastAsia" w:ascii="宋体" w:hAnsi="宋体" w:cs="宋体"/>
                <w:b/>
                <w:bCs/>
                <w:color w:val="000000" w:themeColor="text1"/>
                <w:kern w:val="0"/>
                <w:sz w:val="22"/>
                <w:highlight w:val="none"/>
                <w14:textFill>
                  <w14:solidFill>
                    <w14:schemeClr w14:val="tx1"/>
                  </w14:solidFill>
                </w14:textFill>
              </w:rPr>
              <w:t>运维职责</w:t>
            </w:r>
          </w:p>
        </w:tc>
        <w:tc>
          <w:tcPr>
            <w:tcW w:w="420" w:type="pct"/>
            <w:tcBorders>
              <w:top w:val="single" w:color="auto" w:sz="4" w:space="0"/>
              <w:left w:val="nil"/>
              <w:bottom w:val="single" w:color="auto" w:sz="4" w:space="0"/>
              <w:right w:val="single" w:color="auto" w:sz="4" w:space="0"/>
            </w:tcBorders>
            <w:noWrap/>
            <w:vAlign w:val="center"/>
          </w:tcPr>
          <w:p w14:paraId="3AF50A50">
            <w:pPr>
              <w:jc w:val="center"/>
              <w:rPr>
                <w:rFonts w:ascii="宋体" w:hAnsi="宋体" w:cs="宋体"/>
                <w:b/>
                <w:bCs/>
                <w:color w:val="000000" w:themeColor="text1"/>
                <w:kern w:val="0"/>
                <w:sz w:val="22"/>
                <w:highlight w:val="none"/>
                <w14:textFill>
                  <w14:solidFill>
                    <w14:schemeClr w14:val="tx1"/>
                  </w14:solidFill>
                </w14:textFill>
              </w:rPr>
            </w:pPr>
            <w:r>
              <w:rPr>
                <w:rFonts w:hint="eastAsia" w:ascii="宋体" w:hAnsi="宋体" w:cs="宋体"/>
                <w:b/>
                <w:bCs/>
                <w:color w:val="000000" w:themeColor="text1"/>
                <w:kern w:val="0"/>
                <w:sz w:val="22"/>
                <w:highlight w:val="none"/>
                <w14:textFill>
                  <w14:solidFill>
                    <w14:schemeClr w14:val="tx1"/>
                  </w14:solidFill>
                </w14:textFill>
              </w:rPr>
              <w:t>单位</w:t>
            </w:r>
          </w:p>
        </w:tc>
        <w:tc>
          <w:tcPr>
            <w:tcW w:w="397" w:type="pct"/>
            <w:tcBorders>
              <w:top w:val="single" w:color="auto" w:sz="4" w:space="0"/>
              <w:left w:val="nil"/>
              <w:bottom w:val="single" w:color="auto" w:sz="4" w:space="0"/>
              <w:right w:val="single" w:color="auto" w:sz="4" w:space="0"/>
            </w:tcBorders>
            <w:noWrap/>
            <w:vAlign w:val="center"/>
          </w:tcPr>
          <w:p w14:paraId="65996DBC">
            <w:pPr>
              <w:jc w:val="center"/>
              <w:rPr>
                <w:rFonts w:ascii="宋体" w:hAnsi="宋体" w:cs="宋体"/>
                <w:b/>
                <w:bCs/>
                <w:color w:val="000000" w:themeColor="text1"/>
                <w:kern w:val="0"/>
                <w:sz w:val="22"/>
                <w:highlight w:val="none"/>
                <w14:textFill>
                  <w14:solidFill>
                    <w14:schemeClr w14:val="tx1"/>
                  </w14:solidFill>
                </w14:textFill>
              </w:rPr>
            </w:pPr>
            <w:r>
              <w:rPr>
                <w:rFonts w:hint="eastAsia" w:ascii="宋体" w:hAnsi="宋体" w:cs="宋体"/>
                <w:b/>
                <w:bCs/>
                <w:color w:val="000000" w:themeColor="text1"/>
                <w:kern w:val="0"/>
                <w:sz w:val="22"/>
                <w:highlight w:val="none"/>
                <w14:textFill>
                  <w14:solidFill>
                    <w14:schemeClr w14:val="tx1"/>
                  </w14:solidFill>
                </w14:textFill>
              </w:rPr>
              <w:t>数量</w:t>
            </w:r>
          </w:p>
        </w:tc>
      </w:tr>
      <w:tr w14:paraId="53CC1A63">
        <w:tblPrEx>
          <w:tblCellMar>
            <w:top w:w="0" w:type="dxa"/>
            <w:left w:w="108" w:type="dxa"/>
            <w:bottom w:w="0" w:type="dxa"/>
            <w:right w:w="108" w:type="dxa"/>
          </w:tblCellMar>
        </w:tblPrEx>
        <w:tc>
          <w:tcPr>
            <w:tcW w:w="454" w:type="pct"/>
            <w:tcBorders>
              <w:top w:val="nil"/>
              <w:left w:val="single" w:color="auto" w:sz="4" w:space="0"/>
              <w:bottom w:val="single" w:color="auto" w:sz="4" w:space="0"/>
              <w:right w:val="single" w:color="auto" w:sz="4" w:space="0"/>
            </w:tcBorders>
            <w:noWrap/>
            <w:vAlign w:val="center"/>
          </w:tcPr>
          <w:p w14:paraId="71F46389">
            <w:pPr>
              <w:jc w:val="center"/>
              <w:rPr>
                <w:rFonts w:ascii="宋体" w:hAnsi="宋体" w:cs="宋体"/>
                <w:color w:val="000000" w:themeColor="text1"/>
                <w:kern w:val="0"/>
                <w:sz w:val="22"/>
                <w:highlight w:val="none"/>
                <w14:textFill>
                  <w14:solidFill>
                    <w14:schemeClr w14:val="tx1"/>
                  </w14:solidFill>
                </w14:textFill>
              </w:rPr>
            </w:pPr>
            <w:r>
              <w:rPr>
                <w:rFonts w:ascii="宋体" w:hAnsi="宋体" w:cs="宋体"/>
                <w:color w:val="000000" w:themeColor="text1"/>
                <w:kern w:val="0"/>
                <w:sz w:val="22"/>
                <w:highlight w:val="none"/>
                <w14:textFill>
                  <w14:solidFill>
                    <w14:schemeClr w14:val="tx1"/>
                  </w14:solidFill>
                </w14:textFill>
              </w:rPr>
              <w:t>1</w:t>
            </w:r>
          </w:p>
        </w:tc>
        <w:tc>
          <w:tcPr>
            <w:tcW w:w="683" w:type="pct"/>
            <w:tcBorders>
              <w:top w:val="nil"/>
              <w:left w:val="nil"/>
              <w:bottom w:val="single" w:color="auto" w:sz="4" w:space="0"/>
              <w:right w:val="single" w:color="auto" w:sz="4" w:space="0"/>
            </w:tcBorders>
            <w:vAlign w:val="center"/>
          </w:tcPr>
          <w:p w14:paraId="479B61E6">
            <w:pPr>
              <w:jc w:val="left"/>
              <w:rPr>
                <w:rFonts w:ascii="宋体" w:hAnsi="宋体" w:cs="宋体"/>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t>平台巡检服务</w:t>
            </w:r>
          </w:p>
        </w:tc>
        <w:tc>
          <w:tcPr>
            <w:tcW w:w="3047" w:type="pct"/>
            <w:tcBorders>
              <w:top w:val="nil"/>
              <w:left w:val="nil"/>
              <w:bottom w:val="single" w:color="auto" w:sz="4" w:space="0"/>
              <w:right w:val="single" w:color="auto" w:sz="4" w:space="0"/>
            </w:tcBorders>
            <w:vAlign w:val="center"/>
          </w:tcPr>
          <w:p w14:paraId="2F079A62">
            <w:pPr>
              <w:ind w:left="-25" w:leftChars="-13" w:firstLine="35" w:firstLineChars="17"/>
              <w:jc w:val="left"/>
              <w:rPr>
                <w:rFonts w:ascii="宋体" w:hAnsi="宋体" w:cs="宋体"/>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t>安排2</w:t>
            </w:r>
            <w:r>
              <w:rPr>
                <w:rFonts w:ascii="宋体" w:hAnsi="宋体" w:cs="宋体"/>
                <w:color w:val="000000" w:themeColor="text1"/>
                <w:kern w:val="0"/>
                <w:sz w:val="22"/>
                <w:highlight w:val="none"/>
                <w14:textFill>
                  <w14:solidFill>
                    <w14:schemeClr w14:val="tx1"/>
                  </w14:solidFill>
                </w14:textFill>
              </w:rPr>
              <w:t>名专职平台巡检人员，在采购人认可安全可靠的物理、网络环境下，每天对平台进行巡检，并接受采购人考勤管理；巡检内容包括前端点位完好情况监测，主动发现问题，查看后端存储设备运行状态及性能，识别系统资源利用率、服务可用性及响应时间，检查系统数据完整性，识别系统故障及异常行为，记录巡检情况（问题、响应时间、解决时间等）；服从采购人管理，完成采购人安排的其他运维服务相关工作；</w:t>
            </w:r>
          </w:p>
          <w:p w14:paraId="51BA75AC">
            <w:pPr>
              <w:jc w:val="left"/>
              <w:rPr>
                <w:rFonts w:ascii="宋体" w:hAnsi="宋体" w:cs="宋体"/>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t>日常响应：</w:t>
            </w:r>
            <w:r>
              <w:rPr>
                <w:rFonts w:ascii="宋体" w:hAnsi="宋体" w:cs="宋体"/>
                <w:color w:val="000000" w:themeColor="text1"/>
                <w:kern w:val="0"/>
                <w:sz w:val="22"/>
                <w:highlight w:val="none"/>
                <w14:textFill>
                  <w14:solidFill>
                    <w14:schemeClr w14:val="tx1"/>
                  </w14:solidFill>
                </w14:textFill>
              </w:rPr>
              <w:t>7*8小时响应时间为电话立即响应，10分钟到场；其他时间电话5分钟内响应，1小时到场；</w:t>
            </w:r>
          </w:p>
          <w:p w14:paraId="794119AD">
            <w:pPr>
              <w:jc w:val="left"/>
              <w:rPr>
                <w:rFonts w:ascii="宋体" w:hAnsi="宋体" w:cs="宋体"/>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t>重保响应：</w:t>
            </w:r>
            <w:r>
              <w:rPr>
                <w:rFonts w:ascii="宋体" w:hAnsi="宋体" w:cs="宋体"/>
                <w:color w:val="000000" w:themeColor="text1"/>
                <w:kern w:val="0"/>
                <w:sz w:val="22"/>
                <w:highlight w:val="none"/>
                <w14:textFill>
                  <w14:solidFill>
                    <w14:schemeClr w14:val="tx1"/>
                  </w14:solidFill>
                </w14:textFill>
              </w:rPr>
              <w:t>7*24小时响应时间为电话立即响应，10分钟到场；</w:t>
            </w:r>
          </w:p>
          <w:p w14:paraId="51830C04">
            <w:pPr>
              <w:jc w:val="left"/>
              <w:rPr>
                <w:rFonts w:ascii="宋体" w:hAnsi="宋体" w:cs="宋体"/>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t>采购人特殊任务响应：在“</w:t>
            </w:r>
            <w:r>
              <w:rPr>
                <w:rFonts w:ascii="宋体" w:hAnsi="宋体" w:cs="宋体"/>
                <w:color w:val="000000" w:themeColor="text1"/>
                <w:kern w:val="0"/>
                <w:sz w:val="22"/>
                <w:highlight w:val="none"/>
                <w14:textFill>
                  <w14:solidFill>
                    <w14:schemeClr w14:val="tx1"/>
                  </w14:solidFill>
                </w14:textFill>
              </w:rPr>
              <w:t>7*8小时响应时间为电话立即响应，10分钟到场”的基础上根据采购人具体要求执行；</w:t>
            </w:r>
          </w:p>
          <w:p w14:paraId="2B70CD32">
            <w:pPr>
              <w:jc w:val="left"/>
              <w:rPr>
                <w:rFonts w:ascii="宋体" w:hAnsi="宋体" w:cs="宋体"/>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t>平台巡检人员数量及工作时间需根据采购人工作进行调配，人员信息提前向采购人备案。</w:t>
            </w:r>
          </w:p>
        </w:tc>
        <w:tc>
          <w:tcPr>
            <w:tcW w:w="420" w:type="pct"/>
            <w:tcBorders>
              <w:top w:val="nil"/>
              <w:left w:val="nil"/>
              <w:bottom w:val="single" w:color="auto" w:sz="4" w:space="0"/>
              <w:right w:val="single" w:color="auto" w:sz="4" w:space="0"/>
            </w:tcBorders>
            <w:noWrap/>
            <w:vAlign w:val="center"/>
          </w:tcPr>
          <w:p w14:paraId="217CC58B">
            <w:pPr>
              <w:jc w:val="center"/>
              <w:rPr>
                <w:rFonts w:ascii="宋体" w:hAnsi="宋体" w:cs="宋体"/>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t>项</w:t>
            </w:r>
          </w:p>
        </w:tc>
        <w:tc>
          <w:tcPr>
            <w:tcW w:w="397" w:type="pct"/>
            <w:tcBorders>
              <w:top w:val="nil"/>
              <w:left w:val="nil"/>
              <w:bottom w:val="single" w:color="auto" w:sz="4" w:space="0"/>
              <w:right w:val="single" w:color="auto" w:sz="4" w:space="0"/>
            </w:tcBorders>
            <w:vAlign w:val="center"/>
          </w:tcPr>
          <w:p w14:paraId="4AB318D2">
            <w:pPr>
              <w:jc w:val="center"/>
              <w:rPr>
                <w:rFonts w:ascii="宋体" w:hAnsi="宋体" w:cs="宋体"/>
                <w:color w:val="000000" w:themeColor="text1"/>
                <w:kern w:val="0"/>
                <w:sz w:val="22"/>
                <w:highlight w:val="none"/>
                <w14:textFill>
                  <w14:solidFill>
                    <w14:schemeClr w14:val="tx1"/>
                  </w14:solidFill>
                </w14:textFill>
              </w:rPr>
            </w:pPr>
            <w:r>
              <w:rPr>
                <w:rFonts w:ascii="宋体" w:hAnsi="宋体" w:cs="宋体"/>
                <w:color w:val="000000" w:themeColor="text1"/>
                <w:kern w:val="0"/>
                <w:sz w:val="22"/>
                <w:highlight w:val="none"/>
                <w14:textFill>
                  <w14:solidFill>
                    <w14:schemeClr w14:val="tx1"/>
                  </w14:solidFill>
                </w14:textFill>
              </w:rPr>
              <w:t>1</w:t>
            </w:r>
          </w:p>
        </w:tc>
      </w:tr>
    </w:tbl>
    <w:p w14:paraId="581D2998">
      <w:pPr>
        <w:keepNext/>
        <w:keepLines/>
        <w:ind w:firstLine="448" w:firstLineChars="200"/>
        <w:outlineLvl w:val="4"/>
        <w:rPr>
          <w:b/>
          <w:bCs/>
          <w:sz w:val="24"/>
          <w:szCs w:val="28"/>
          <w:highlight w:val="none"/>
        </w:rPr>
      </w:pPr>
      <w:r>
        <w:rPr>
          <w:rFonts w:hint="eastAsia"/>
          <w:b/>
          <w:bCs/>
          <w:sz w:val="24"/>
          <w:szCs w:val="28"/>
          <w:highlight w:val="none"/>
        </w:rPr>
        <w:t>（三）电力保障服务</w:t>
      </w:r>
    </w:p>
    <w:tbl>
      <w:tblPr>
        <w:tblStyle w:val="19"/>
        <w:tblW w:w="5000" w:type="pct"/>
        <w:tblInd w:w="0" w:type="dxa"/>
        <w:tblLayout w:type="autofit"/>
        <w:tblCellMar>
          <w:top w:w="0" w:type="dxa"/>
          <w:left w:w="108" w:type="dxa"/>
          <w:bottom w:w="0" w:type="dxa"/>
          <w:right w:w="108" w:type="dxa"/>
        </w:tblCellMar>
      </w:tblPr>
      <w:tblGrid>
        <w:gridCol w:w="758"/>
        <w:gridCol w:w="1182"/>
        <w:gridCol w:w="4479"/>
        <w:gridCol w:w="929"/>
        <w:gridCol w:w="964"/>
      </w:tblGrid>
      <w:tr w14:paraId="2DE315B5">
        <w:tblPrEx>
          <w:tblCellMar>
            <w:top w:w="0" w:type="dxa"/>
            <w:left w:w="108" w:type="dxa"/>
            <w:bottom w:w="0" w:type="dxa"/>
            <w:right w:w="108" w:type="dxa"/>
          </w:tblCellMar>
        </w:tblPrEx>
        <w:tc>
          <w:tcPr>
            <w:tcW w:w="456" w:type="pct"/>
            <w:tcBorders>
              <w:top w:val="single" w:color="auto" w:sz="4" w:space="0"/>
              <w:left w:val="single" w:color="auto" w:sz="4" w:space="0"/>
              <w:bottom w:val="single" w:color="auto" w:sz="4" w:space="0"/>
              <w:right w:val="single" w:color="auto" w:sz="4" w:space="0"/>
            </w:tcBorders>
            <w:noWrap/>
            <w:vAlign w:val="center"/>
          </w:tcPr>
          <w:p w14:paraId="71D1A00E">
            <w:pPr>
              <w:jc w:val="center"/>
              <w:rPr>
                <w:rFonts w:ascii="宋体" w:hAnsi="宋体"/>
                <w:b/>
                <w:bCs/>
                <w:color w:val="000000" w:themeColor="text1"/>
                <w:kern w:val="0"/>
                <w:sz w:val="22"/>
                <w:highlight w:val="none"/>
                <w14:textFill>
                  <w14:solidFill>
                    <w14:schemeClr w14:val="tx1"/>
                  </w14:solidFill>
                </w14:textFill>
              </w:rPr>
            </w:pPr>
            <w:r>
              <w:rPr>
                <w:rFonts w:ascii="宋体" w:hAnsi="宋体"/>
                <w:b/>
                <w:bCs/>
                <w:color w:val="000000" w:themeColor="text1"/>
                <w:kern w:val="0"/>
                <w:sz w:val="22"/>
                <w:highlight w:val="none"/>
                <w14:textFill>
                  <w14:solidFill>
                    <w14:schemeClr w14:val="tx1"/>
                  </w14:solidFill>
                </w14:textFill>
              </w:rPr>
              <w:t>序号</w:t>
            </w:r>
          </w:p>
        </w:tc>
        <w:tc>
          <w:tcPr>
            <w:tcW w:w="711" w:type="pct"/>
            <w:tcBorders>
              <w:top w:val="single" w:color="auto" w:sz="4" w:space="0"/>
              <w:left w:val="nil"/>
              <w:bottom w:val="single" w:color="auto" w:sz="4" w:space="0"/>
              <w:right w:val="single" w:color="auto" w:sz="4" w:space="0"/>
            </w:tcBorders>
            <w:noWrap/>
            <w:vAlign w:val="center"/>
          </w:tcPr>
          <w:p w14:paraId="11F63240">
            <w:pPr>
              <w:jc w:val="center"/>
              <w:rPr>
                <w:rFonts w:ascii="宋体" w:hAnsi="宋体"/>
                <w:b/>
                <w:bCs/>
                <w:color w:val="000000" w:themeColor="text1"/>
                <w:kern w:val="0"/>
                <w:sz w:val="22"/>
                <w:highlight w:val="none"/>
                <w14:textFill>
                  <w14:solidFill>
                    <w14:schemeClr w14:val="tx1"/>
                  </w14:solidFill>
                </w14:textFill>
              </w:rPr>
            </w:pPr>
            <w:r>
              <w:rPr>
                <w:rFonts w:ascii="宋体" w:hAnsi="宋体"/>
                <w:b/>
                <w:bCs/>
                <w:color w:val="000000" w:themeColor="text1"/>
                <w:kern w:val="0"/>
                <w:sz w:val="22"/>
                <w:highlight w:val="none"/>
                <w14:textFill>
                  <w14:solidFill>
                    <w14:schemeClr w14:val="tx1"/>
                  </w14:solidFill>
                </w14:textFill>
              </w:rPr>
              <w:t>项目名称</w:t>
            </w:r>
          </w:p>
        </w:tc>
        <w:tc>
          <w:tcPr>
            <w:tcW w:w="2694" w:type="pct"/>
            <w:tcBorders>
              <w:top w:val="single" w:color="auto" w:sz="4" w:space="0"/>
              <w:left w:val="nil"/>
              <w:bottom w:val="single" w:color="auto" w:sz="4" w:space="0"/>
              <w:right w:val="single" w:color="auto" w:sz="4" w:space="0"/>
            </w:tcBorders>
            <w:noWrap/>
            <w:vAlign w:val="center"/>
          </w:tcPr>
          <w:p w14:paraId="2CF269CA">
            <w:pPr>
              <w:ind w:left="163" w:hanging="164" w:hangingChars="80"/>
              <w:jc w:val="center"/>
              <w:rPr>
                <w:rFonts w:ascii="宋体" w:hAnsi="宋体"/>
                <w:b/>
                <w:bCs/>
                <w:color w:val="000000" w:themeColor="text1"/>
                <w:kern w:val="0"/>
                <w:sz w:val="22"/>
                <w:highlight w:val="none"/>
                <w14:textFill>
                  <w14:solidFill>
                    <w14:schemeClr w14:val="tx1"/>
                  </w14:solidFill>
                </w14:textFill>
              </w:rPr>
            </w:pPr>
            <w:r>
              <w:rPr>
                <w:rFonts w:ascii="宋体" w:hAnsi="宋体"/>
                <w:b/>
                <w:bCs/>
                <w:color w:val="000000" w:themeColor="text1"/>
                <w:kern w:val="0"/>
                <w:sz w:val="22"/>
                <w:highlight w:val="none"/>
                <w14:textFill>
                  <w14:solidFill>
                    <w14:schemeClr w14:val="tx1"/>
                  </w14:solidFill>
                </w14:textFill>
              </w:rPr>
              <w:t>服务内容</w:t>
            </w:r>
          </w:p>
        </w:tc>
        <w:tc>
          <w:tcPr>
            <w:tcW w:w="559" w:type="pct"/>
            <w:tcBorders>
              <w:top w:val="single" w:color="auto" w:sz="4" w:space="0"/>
              <w:left w:val="nil"/>
              <w:bottom w:val="single" w:color="auto" w:sz="4" w:space="0"/>
              <w:right w:val="single" w:color="auto" w:sz="4" w:space="0"/>
            </w:tcBorders>
            <w:noWrap/>
            <w:vAlign w:val="center"/>
          </w:tcPr>
          <w:p w14:paraId="6AD1281F">
            <w:pPr>
              <w:jc w:val="center"/>
              <w:rPr>
                <w:rFonts w:ascii="宋体" w:hAnsi="宋体"/>
                <w:b/>
                <w:bCs/>
                <w:color w:val="000000" w:themeColor="text1"/>
                <w:kern w:val="0"/>
                <w:sz w:val="22"/>
                <w:highlight w:val="none"/>
                <w14:textFill>
                  <w14:solidFill>
                    <w14:schemeClr w14:val="tx1"/>
                  </w14:solidFill>
                </w14:textFill>
              </w:rPr>
            </w:pPr>
            <w:r>
              <w:rPr>
                <w:rFonts w:ascii="宋体" w:hAnsi="宋体"/>
                <w:b/>
                <w:bCs/>
                <w:color w:val="000000" w:themeColor="text1"/>
                <w:kern w:val="0"/>
                <w:sz w:val="22"/>
                <w:highlight w:val="none"/>
                <w14:textFill>
                  <w14:solidFill>
                    <w14:schemeClr w14:val="tx1"/>
                  </w14:solidFill>
                </w14:textFill>
              </w:rPr>
              <w:t>单位</w:t>
            </w:r>
          </w:p>
        </w:tc>
        <w:tc>
          <w:tcPr>
            <w:tcW w:w="580" w:type="pct"/>
            <w:tcBorders>
              <w:top w:val="single" w:color="auto" w:sz="4" w:space="0"/>
              <w:left w:val="nil"/>
              <w:bottom w:val="single" w:color="auto" w:sz="4" w:space="0"/>
              <w:right w:val="single" w:color="auto" w:sz="4" w:space="0"/>
            </w:tcBorders>
            <w:noWrap/>
            <w:vAlign w:val="center"/>
          </w:tcPr>
          <w:p w14:paraId="74FD20E0">
            <w:pPr>
              <w:jc w:val="center"/>
              <w:rPr>
                <w:rFonts w:ascii="宋体" w:hAnsi="宋体"/>
                <w:b/>
                <w:bCs/>
                <w:color w:val="000000" w:themeColor="text1"/>
                <w:kern w:val="0"/>
                <w:sz w:val="22"/>
                <w:highlight w:val="none"/>
                <w14:textFill>
                  <w14:solidFill>
                    <w14:schemeClr w14:val="tx1"/>
                  </w14:solidFill>
                </w14:textFill>
              </w:rPr>
            </w:pPr>
            <w:r>
              <w:rPr>
                <w:rFonts w:ascii="宋体" w:hAnsi="宋体"/>
                <w:b/>
                <w:bCs/>
                <w:color w:val="000000" w:themeColor="text1"/>
                <w:kern w:val="0"/>
                <w:sz w:val="22"/>
                <w:highlight w:val="none"/>
                <w14:textFill>
                  <w14:solidFill>
                    <w14:schemeClr w14:val="tx1"/>
                  </w14:solidFill>
                </w14:textFill>
              </w:rPr>
              <w:t>数量</w:t>
            </w:r>
          </w:p>
        </w:tc>
      </w:tr>
      <w:tr w14:paraId="6606C98D">
        <w:tblPrEx>
          <w:tblCellMar>
            <w:top w:w="0" w:type="dxa"/>
            <w:left w:w="108" w:type="dxa"/>
            <w:bottom w:w="0" w:type="dxa"/>
            <w:right w:w="108" w:type="dxa"/>
          </w:tblCellMar>
        </w:tblPrEx>
        <w:trPr>
          <w:trHeight w:val="1029" w:hRule="atLeast"/>
        </w:trPr>
        <w:tc>
          <w:tcPr>
            <w:tcW w:w="456" w:type="pct"/>
            <w:tcBorders>
              <w:top w:val="nil"/>
              <w:left w:val="single" w:color="auto" w:sz="4" w:space="0"/>
              <w:bottom w:val="single" w:color="auto" w:sz="4" w:space="0"/>
              <w:right w:val="single" w:color="auto" w:sz="4" w:space="0"/>
            </w:tcBorders>
            <w:noWrap/>
            <w:vAlign w:val="center"/>
          </w:tcPr>
          <w:p w14:paraId="7BC47C9E">
            <w:pPr>
              <w:jc w:val="center"/>
              <w:rPr>
                <w:rFonts w:ascii="宋体" w:hAnsi="宋体"/>
                <w:color w:val="000000" w:themeColor="text1"/>
                <w:kern w:val="0"/>
                <w:sz w:val="22"/>
                <w:highlight w:val="none"/>
                <w14:textFill>
                  <w14:solidFill>
                    <w14:schemeClr w14:val="tx1"/>
                  </w14:solidFill>
                </w14:textFill>
              </w:rPr>
            </w:pPr>
            <w:r>
              <w:rPr>
                <w:rFonts w:ascii="宋体" w:hAnsi="宋体"/>
                <w:color w:val="000000" w:themeColor="text1"/>
                <w:kern w:val="0"/>
                <w:sz w:val="22"/>
                <w:highlight w:val="none"/>
                <w14:textFill>
                  <w14:solidFill>
                    <w14:schemeClr w14:val="tx1"/>
                  </w14:solidFill>
                </w14:textFill>
              </w:rPr>
              <w:t>1</w:t>
            </w:r>
          </w:p>
        </w:tc>
        <w:tc>
          <w:tcPr>
            <w:tcW w:w="711" w:type="pct"/>
            <w:tcBorders>
              <w:top w:val="nil"/>
              <w:left w:val="nil"/>
              <w:bottom w:val="single" w:color="auto" w:sz="4" w:space="0"/>
              <w:right w:val="single" w:color="auto" w:sz="4" w:space="0"/>
            </w:tcBorders>
            <w:vAlign w:val="center"/>
          </w:tcPr>
          <w:p w14:paraId="3BEDBE9F">
            <w:pPr>
              <w:jc w:val="left"/>
              <w:rPr>
                <w:rFonts w:ascii="宋体" w:hAnsi="宋体"/>
                <w:color w:val="000000" w:themeColor="text1"/>
                <w:kern w:val="0"/>
                <w:sz w:val="22"/>
                <w:highlight w:val="none"/>
                <w14:textFill>
                  <w14:solidFill>
                    <w14:schemeClr w14:val="tx1"/>
                  </w14:solidFill>
                </w14:textFill>
              </w:rPr>
            </w:pPr>
            <w:r>
              <w:rPr>
                <w:rFonts w:ascii="宋体" w:hAnsi="宋体"/>
                <w:color w:val="000000" w:themeColor="text1"/>
                <w:kern w:val="0"/>
                <w:sz w:val="22"/>
                <w:highlight w:val="none"/>
                <w14:textFill>
                  <w14:solidFill>
                    <w14:schemeClr w14:val="tx1"/>
                  </w14:solidFill>
                </w14:textFill>
              </w:rPr>
              <w:t>电力保障服务</w:t>
            </w:r>
          </w:p>
        </w:tc>
        <w:tc>
          <w:tcPr>
            <w:tcW w:w="2694" w:type="pct"/>
            <w:tcBorders>
              <w:top w:val="nil"/>
              <w:left w:val="nil"/>
              <w:bottom w:val="single" w:color="auto" w:sz="4" w:space="0"/>
              <w:right w:val="single" w:color="auto" w:sz="4" w:space="0"/>
            </w:tcBorders>
            <w:vAlign w:val="center"/>
          </w:tcPr>
          <w:p w14:paraId="2AB6B21B">
            <w:pPr>
              <w:jc w:val="left"/>
              <w:rPr>
                <w:rFonts w:ascii="宋体" w:hAnsi="宋体"/>
                <w:color w:val="000000" w:themeColor="text1"/>
                <w:kern w:val="0"/>
                <w:sz w:val="22"/>
                <w:highlight w:val="none"/>
                <w14:textFill>
                  <w14:solidFill>
                    <w14:schemeClr w14:val="tx1"/>
                  </w14:solidFill>
                </w14:textFill>
              </w:rPr>
            </w:pPr>
            <w:r>
              <w:rPr>
                <w:rFonts w:ascii="宋体" w:hAnsi="宋体"/>
                <w:color w:val="000000" w:themeColor="text1"/>
                <w:kern w:val="0"/>
                <w:sz w:val="22"/>
                <w:highlight w:val="none"/>
                <w14:textFill>
                  <w14:solidFill>
                    <w14:schemeClr w14:val="tx1"/>
                  </w14:solidFill>
                </w14:textFill>
              </w:rPr>
              <w:t>包含运维范围内前端设备的用电供应，中标供应商应保证前端设备电力供应，保障正常运行，并负责前端监控设备的电路保障。</w:t>
            </w:r>
          </w:p>
        </w:tc>
        <w:tc>
          <w:tcPr>
            <w:tcW w:w="559" w:type="pct"/>
            <w:tcBorders>
              <w:top w:val="nil"/>
              <w:left w:val="nil"/>
              <w:bottom w:val="single" w:color="auto" w:sz="4" w:space="0"/>
              <w:right w:val="single" w:color="auto" w:sz="4" w:space="0"/>
            </w:tcBorders>
            <w:noWrap/>
            <w:vAlign w:val="center"/>
          </w:tcPr>
          <w:p w14:paraId="3DDB6F34">
            <w:pPr>
              <w:jc w:val="center"/>
              <w:rPr>
                <w:rFonts w:ascii="宋体" w:hAnsi="宋体"/>
                <w:color w:val="000000" w:themeColor="text1"/>
                <w:kern w:val="0"/>
                <w:sz w:val="22"/>
                <w:highlight w:val="none"/>
                <w14:textFill>
                  <w14:solidFill>
                    <w14:schemeClr w14:val="tx1"/>
                  </w14:solidFill>
                </w14:textFill>
              </w:rPr>
            </w:pPr>
            <w:r>
              <w:rPr>
                <w:rFonts w:ascii="宋体" w:hAnsi="宋体"/>
                <w:color w:val="000000" w:themeColor="text1"/>
                <w:kern w:val="0"/>
                <w:sz w:val="22"/>
                <w:highlight w:val="none"/>
                <w14:textFill>
                  <w14:solidFill>
                    <w14:schemeClr w14:val="tx1"/>
                  </w14:solidFill>
                </w14:textFill>
              </w:rPr>
              <w:t>项</w:t>
            </w:r>
          </w:p>
        </w:tc>
        <w:tc>
          <w:tcPr>
            <w:tcW w:w="580" w:type="pct"/>
            <w:tcBorders>
              <w:top w:val="nil"/>
              <w:left w:val="nil"/>
              <w:bottom w:val="single" w:color="auto" w:sz="4" w:space="0"/>
              <w:right w:val="single" w:color="auto" w:sz="4" w:space="0"/>
            </w:tcBorders>
            <w:vAlign w:val="center"/>
          </w:tcPr>
          <w:p w14:paraId="2645FCFA">
            <w:pPr>
              <w:jc w:val="center"/>
              <w:rPr>
                <w:rFonts w:ascii="宋体" w:hAnsi="宋体"/>
                <w:color w:val="000000" w:themeColor="text1"/>
                <w:kern w:val="0"/>
                <w:sz w:val="22"/>
                <w:highlight w:val="none"/>
                <w14:textFill>
                  <w14:solidFill>
                    <w14:schemeClr w14:val="tx1"/>
                  </w14:solidFill>
                </w14:textFill>
              </w:rPr>
            </w:pPr>
            <w:r>
              <w:rPr>
                <w:rFonts w:ascii="宋体" w:hAnsi="宋体"/>
                <w:color w:val="000000" w:themeColor="text1"/>
                <w:kern w:val="0"/>
                <w:sz w:val="22"/>
                <w:highlight w:val="none"/>
                <w14:textFill>
                  <w14:solidFill>
                    <w14:schemeClr w14:val="tx1"/>
                  </w14:solidFill>
                </w14:textFill>
              </w:rPr>
              <w:t>1</w:t>
            </w:r>
          </w:p>
        </w:tc>
      </w:tr>
    </w:tbl>
    <w:p w14:paraId="2D6F120C">
      <w:pPr>
        <w:keepNext/>
        <w:keepLines/>
        <w:ind w:firstLine="448" w:firstLineChars="200"/>
        <w:outlineLvl w:val="4"/>
        <w:rPr>
          <w:b/>
          <w:bCs/>
          <w:sz w:val="24"/>
          <w:szCs w:val="28"/>
          <w:highlight w:val="none"/>
        </w:rPr>
      </w:pPr>
      <w:r>
        <w:rPr>
          <w:rFonts w:hint="eastAsia"/>
          <w:b/>
          <w:bCs/>
          <w:sz w:val="24"/>
          <w:szCs w:val="28"/>
          <w:highlight w:val="none"/>
        </w:rPr>
        <w:t>（四）网络链路保障服务</w:t>
      </w:r>
    </w:p>
    <w:tbl>
      <w:tblPr>
        <w:tblStyle w:val="19"/>
        <w:tblW w:w="5000" w:type="pct"/>
        <w:tblInd w:w="0" w:type="dxa"/>
        <w:tblLayout w:type="autofit"/>
        <w:tblCellMar>
          <w:top w:w="0" w:type="dxa"/>
          <w:left w:w="108" w:type="dxa"/>
          <w:bottom w:w="0" w:type="dxa"/>
          <w:right w:w="108" w:type="dxa"/>
        </w:tblCellMar>
      </w:tblPr>
      <w:tblGrid>
        <w:gridCol w:w="1662"/>
        <w:gridCol w:w="1662"/>
        <w:gridCol w:w="1662"/>
        <w:gridCol w:w="1663"/>
        <w:gridCol w:w="1663"/>
      </w:tblGrid>
      <w:tr w14:paraId="777B2EE0">
        <w:tblPrEx>
          <w:tblCellMar>
            <w:top w:w="0" w:type="dxa"/>
            <w:left w:w="108" w:type="dxa"/>
            <w:bottom w:w="0" w:type="dxa"/>
            <w:right w:w="108" w:type="dxa"/>
          </w:tblCellMar>
        </w:tblPrEx>
        <w:trPr>
          <w:trHeight w:val="270" w:hRule="atLeast"/>
        </w:trPr>
        <w:tc>
          <w:tcPr>
            <w:tcW w:w="1000" w:type="pct"/>
            <w:tcBorders>
              <w:top w:val="single" w:color="auto" w:sz="4" w:space="0"/>
              <w:left w:val="single" w:color="auto" w:sz="4" w:space="0"/>
              <w:bottom w:val="single" w:color="auto" w:sz="4" w:space="0"/>
              <w:right w:val="single" w:color="auto" w:sz="4" w:space="0"/>
            </w:tcBorders>
            <w:vAlign w:val="center"/>
          </w:tcPr>
          <w:p w14:paraId="19141873">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序号</w:t>
            </w:r>
          </w:p>
        </w:tc>
        <w:tc>
          <w:tcPr>
            <w:tcW w:w="1000" w:type="pct"/>
            <w:tcBorders>
              <w:top w:val="single" w:color="auto" w:sz="4" w:space="0"/>
              <w:left w:val="nil"/>
              <w:bottom w:val="single" w:color="auto" w:sz="4" w:space="0"/>
              <w:right w:val="single" w:color="auto" w:sz="4" w:space="0"/>
            </w:tcBorders>
            <w:vAlign w:val="center"/>
          </w:tcPr>
          <w:p w14:paraId="32FAAF32">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项目名称</w:t>
            </w:r>
          </w:p>
        </w:tc>
        <w:tc>
          <w:tcPr>
            <w:tcW w:w="1000" w:type="pct"/>
            <w:tcBorders>
              <w:top w:val="single" w:color="auto" w:sz="4" w:space="0"/>
              <w:left w:val="nil"/>
              <w:bottom w:val="single" w:color="auto" w:sz="4" w:space="0"/>
              <w:right w:val="single" w:color="auto" w:sz="4" w:space="0"/>
            </w:tcBorders>
            <w:vAlign w:val="center"/>
          </w:tcPr>
          <w:p w14:paraId="561FEC93">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带宽</w:t>
            </w:r>
          </w:p>
        </w:tc>
        <w:tc>
          <w:tcPr>
            <w:tcW w:w="1000" w:type="pct"/>
            <w:tcBorders>
              <w:top w:val="single" w:color="auto" w:sz="4" w:space="0"/>
              <w:left w:val="nil"/>
              <w:bottom w:val="single" w:color="auto" w:sz="4" w:space="0"/>
              <w:right w:val="single" w:color="auto" w:sz="4" w:space="0"/>
            </w:tcBorders>
            <w:vAlign w:val="center"/>
          </w:tcPr>
          <w:p w14:paraId="21C3B452">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时长</w:t>
            </w:r>
          </w:p>
        </w:tc>
        <w:tc>
          <w:tcPr>
            <w:tcW w:w="1000" w:type="pct"/>
            <w:tcBorders>
              <w:top w:val="single" w:color="auto" w:sz="4" w:space="0"/>
              <w:left w:val="nil"/>
              <w:bottom w:val="single" w:color="auto" w:sz="4" w:space="0"/>
              <w:right w:val="single" w:color="auto" w:sz="4" w:space="0"/>
            </w:tcBorders>
            <w:vAlign w:val="center"/>
          </w:tcPr>
          <w:p w14:paraId="6BE97D5C">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数量</w:t>
            </w:r>
          </w:p>
        </w:tc>
      </w:tr>
      <w:tr w14:paraId="75919DE9">
        <w:tblPrEx>
          <w:tblCellMar>
            <w:top w:w="0" w:type="dxa"/>
            <w:left w:w="108" w:type="dxa"/>
            <w:bottom w:w="0" w:type="dxa"/>
            <w:right w:w="108" w:type="dxa"/>
          </w:tblCellMar>
        </w:tblPrEx>
        <w:trPr>
          <w:trHeight w:val="270" w:hRule="atLeast"/>
        </w:trPr>
        <w:tc>
          <w:tcPr>
            <w:tcW w:w="5000" w:type="pct"/>
            <w:gridSpan w:val="5"/>
            <w:tcBorders>
              <w:top w:val="single" w:color="auto" w:sz="4" w:space="0"/>
              <w:left w:val="single" w:color="auto" w:sz="4" w:space="0"/>
              <w:bottom w:val="single" w:color="auto" w:sz="4" w:space="0"/>
              <w:right w:val="single" w:color="auto" w:sz="4" w:space="0"/>
            </w:tcBorders>
            <w:vAlign w:val="center"/>
          </w:tcPr>
          <w:p w14:paraId="4BC23C56">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第</w:t>
            </w:r>
            <w:r>
              <w:rPr>
                <w:rFonts w:hint="eastAsia" w:ascii="宋体" w:hAnsi="宋体" w:cs="宋体"/>
                <w:b/>
                <w:bCs/>
                <w:color w:val="000000"/>
                <w:kern w:val="0"/>
                <w:sz w:val="22"/>
                <w:highlight w:val="none"/>
              </w:rPr>
              <w:t>6</w:t>
            </w:r>
            <w:r>
              <w:rPr>
                <w:rFonts w:ascii="宋体" w:hAnsi="宋体" w:cs="宋体"/>
                <w:b/>
                <w:bCs/>
                <w:color w:val="000000"/>
                <w:kern w:val="0"/>
                <w:sz w:val="22"/>
                <w:highlight w:val="none"/>
              </w:rPr>
              <w:t>包</w:t>
            </w:r>
          </w:p>
        </w:tc>
      </w:tr>
      <w:tr w14:paraId="06287672">
        <w:tblPrEx>
          <w:tblCellMar>
            <w:top w:w="0" w:type="dxa"/>
            <w:left w:w="108" w:type="dxa"/>
            <w:bottom w:w="0" w:type="dxa"/>
            <w:right w:w="108" w:type="dxa"/>
          </w:tblCellMar>
        </w:tblPrEx>
        <w:trPr>
          <w:trHeight w:val="270" w:hRule="atLeast"/>
        </w:trPr>
        <w:tc>
          <w:tcPr>
            <w:tcW w:w="1000" w:type="pct"/>
            <w:tcBorders>
              <w:top w:val="nil"/>
              <w:left w:val="single" w:color="auto" w:sz="4" w:space="0"/>
              <w:bottom w:val="single" w:color="auto" w:sz="4" w:space="0"/>
              <w:right w:val="single" w:color="auto" w:sz="4" w:space="0"/>
            </w:tcBorders>
            <w:vAlign w:val="center"/>
          </w:tcPr>
          <w:p w14:paraId="6E63D858">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1000" w:type="pct"/>
            <w:tcBorders>
              <w:top w:val="nil"/>
              <w:left w:val="nil"/>
              <w:bottom w:val="single" w:color="auto" w:sz="4" w:space="0"/>
              <w:right w:val="single" w:color="auto" w:sz="4" w:space="0"/>
            </w:tcBorders>
            <w:vAlign w:val="center"/>
          </w:tcPr>
          <w:p w14:paraId="076FACF8">
            <w:pPr>
              <w:widowControl/>
              <w:jc w:val="center"/>
              <w:rPr>
                <w:rFonts w:ascii="宋体" w:hAnsi="宋体" w:cs="宋体"/>
                <w:color w:val="000000"/>
                <w:kern w:val="0"/>
                <w:sz w:val="22"/>
                <w:highlight w:val="none"/>
              </w:rPr>
            </w:pPr>
            <w:r>
              <w:rPr>
                <w:rFonts w:ascii="宋体" w:hAnsi="宋体" w:cs="宋体"/>
                <w:color w:val="000000"/>
                <w:kern w:val="0"/>
                <w:sz w:val="22"/>
                <w:highlight w:val="none"/>
              </w:rPr>
              <w:t>百兆链路</w:t>
            </w:r>
          </w:p>
        </w:tc>
        <w:tc>
          <w:tcPr>
            <w:tcW w:w="1000" w:type="pct"/>
            <w:tcBorders>
              <w:top w:val="nil"/>
              <w:left w:val="nil"/>
              <w:bottom w:val="single" w:color="auto" w:sz="4" w:space="0"/>
              <w:right w:val="single" w:color="auto" w:sz="4" w:space="0"/>
            </w:tcBorders>
            <w:vAlign w:val="center"/>
          </w:tcPr>
          <w:p w14:paraId="624B6974">
            <w:pPr>
              <w:widowControl/>
              <w:jc w:val="center"/>
              <w:rPr>
                <w:rFonts w:ascii="宋体" w:hAnsi="宋体" w:cs="宋体"/>
                <w:color w:val="000000"/>
                <w:kern w:val="0"/>
                <w:sz w:val="22"/>
                <w:highlight w:val="none"/>
              </w:rPr>
            </w:pPr>
            <w:r>
              <w:rPr>
                <w:rFonts w:ascii="宋体" w:hAnsi="宋体" w:cs="宋体"/>
                <w:color w:val="000000"/>
                <w:kern w:val="0"/>
                <w:sz w:val="22"/>
                <w:highlight w:val="none"/>
              </w:rPr>
              <w:t>100M</w:t>
            </w:r>
          </w:p>
        </w:tc>
        <w:tc>
          <w:tcPr>
            <w:tcW w:w="1000" w:type="pct"/>
            <w:tcBorders>
              <w:top w:val="nil"/>
              <w:left w:val="nil"/>
              <w:bottom w:val="single" w:color="auto" w:sz="4" w:space="0"/>
              <w:right w:val="single" w:color="auto" w:sz="4" w:space="0"/>
            </w:tcBorders>
            <w:vAlign w:val="center"/>
          </w:tcPr>
          <w:p w14:paraId="02196C4C">
            <w:pPr>
              <w:widowControl/>
              <w:jc w:val="center"/>
              <w:rPr>
                <w:rFonts w:ascii="宋体" w:hAnsi="宋体" w:cs="宋体"/>
                <w:color w:val="000000"/>
                <w:kern w:val="0"/>
                <w:sz w:val="22"/>
                <w:highlight w:val="none"/>
              </w:rPr>
            </w:pPr>
            <w:r>
              <w:rPr>
                <w:rFonts w:ascii="宋体" w:hAnsi="宋体" w:cs="宋体"/>
                <w:color w:val="000000"/>
                <w:kern w:val="0"/>
                <w:sz w:val="22"/>
                <w:highlight w:val="none"/>
              </w:rPr>
              <w:t>12个月</w:t>
            </w:r>
          </w:p>
        </w:tc>
        <w:tc>
          <w:tcPr>
            <w:tcW w:w="1000" w:type="pct"/>
            <w:tcBorders>
              <w:top w:val="nil"/>
              <w:left w:val="nil"/>
              <w:bottom w:val="single" w:color="auto" w:sz="4" w:space="0"/>
              <w:right w:val="single" w:color="auto" w:sz="4" w:space="0"/>
            </w:tcBorders>
            <w:noWrap/>
            <w:vAlign w:val="center"/>
          </w:tcPr>
          <w:p w14:paraId="245C5B54">
            <w:pPr>
              <w:widowControl/>
              <w:jc w:val="center"/>
              <w:rPr>
                <w:rFonts w:ascii="宋体" w:hAnsi="宋体" w:cs="宋体"/>
                <w:color w:val="000000"/>
                <w:kern w:val="0"/>
                <w:sz w:val="22"/>
                <w:highlight w:val="none"/>
              </w:rPr>
            </w:pPr>
            <w:r>
              <w:rPr>
                <w:rFonts w:hint="eastAsia" w:ascii="宋体" w:hAnsi="宋体" w:cs="宋体"/>
                <w:color w:val="000000"/>
                <w:kern w:val="0"/>
                <w:sz w:val="22"/>
                <w:highlight w:val="none"/>
              </w:rPr>
              <w:t>269</w:t>
            </w:r>
          </w:p>
        </w:tc>
      </w:tr>
      <w:tr w14:paraId="7785522D">
        <w:tblPrEx>
          <w:tblCellMar>
            <w:top w:w="0" w:type="dxa"/>
            <w:left w:w="108" w:type="dxa"/>
            <w:bottom w:w="0" w:type="dxa"/>
            <w:right w:w="108" w:type="dxa"/>
          </w:tblCellMar>
        </w:tblPrEx>
        <w:trPr>
          <w:trHeight w:val="270" w:hRule="atLeast"/>
        </w:trPr>
        <w:tc>
          <w:tcPr>
            <w:tcW w:w="1000" w:type="pct"/>
            <w:tcBorders>
              <w:top w:val="nil"/>
              <w:left w:val="single" w:color="auto" w:sz="4" w:space="0"/>
              <w:bottom w:val="single" w:color="auto" w:sz="4" w:space="0"/>
              <w:right w:val="single" w:color="auto" w:sz="4" w:space="0"/>
            </w:tcBorders>
            <w:vAlign w:val="center"/>
          </w:tcPr>
          <w:p w14:paraId="59549E1F">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1000" w:type="pct"/>
            <w:tcBorders>
              <w:top w:val="nil"/>
              <w:left w:val="nil"/>
              <w:bottom w:val="single" w:color="auto" w:sz="4" w:space="0"/>
              <w:right w:val="single" w:color="auto" w:sz="4" w:space="0"/>
            </w:tcBorders>
            <w:vAlign w:val="center"/>
          </w:tcPr>
          <w:p w14:paraId="1E42F9A2">
            <w:pPr>
              <w:widowControl/>
              <w:jc w:val="center"/>
              <w:rPr>
                <w:rFonts w:ascii="宋体" w:hAnsi="宋体" w:cs="宋体"/>
                <w:color w:val="000000"/>
                <w:kern w:val="0"/>
                <w:sz w:val="22"/>
                <w:highlight w:val="none"/>
              </w:rPr>
            </w:pPr>
            <w:r>
              <w:rPr>
                <w:rFonts w:ascii="宋体" w:hAnsi="宋体" w:cs="宋体"/>
                <w:color w:val="000000"/>
                <w:kern w:val="0"/>
                <w:sz w:val="22"/>
                <w:highlight w:val="none"/>
              </w:rPr>
              <w:t>千兆链路</w:t>
            </w:r>
          </w:p>
        </w:tc>
        <w:tc>
          <w:tcPr>
            <w:tcW w:w="1000" w:type="pct"/>
            <w:tcBorders>
              <w:top w:val="nil"/>
              <w:left w:val="nil"/>
              <w:bottom w:val="single" w:color="auto" w:sz="4" w:space="0"/>
              <w:right w:val="single" w:color="auto" w:sz="4" w:space="0"/>
            </w:tcBorders>
            <w:vAlign w:val="center"/>
          </w:tcPr>
          <w:p w14:paraId="0A6F84AF">
            <w:pPr>
              <w:widowControl/>
              <w:jc w:val="center"/>
              <w:rPr>
                <w:rFonts w:ascii="宋体" w:hAnsi="宋体" w:cs="宋体"/>
                <w:color w:val="000000"/>
                <w:kern w:val="0"/>
                <w:sz w:val="22"/>
                <w:highlight w:val="none"/>
              </w:rPr>
            </w:pPr>
            <w:r>
              <w:rPr>
                <w:rFonts w:ascii="宋体" w:hAnsi="宋体" w:cs="宋体"/>
                <w:color w:val="000000"/>
                <w:kern w:val="0"/>
                <w:sz w:val="22"/>
                <w:highlight w:val="none"/>
              </w:rPr>
              <w:t>1000M</w:t>
            </w:r>
          </w:p>
        </w:tc>
        <w:tc>
          <w:tcPr>
            <w:tcW w:w="1000" w:type="pct"/>
            <w:tcBorders>
              <w:top w:val="nil"/>
              <w:left w:val="nil"/>
              <w:bottom w:val="single" w:color="auto" w:sz="4" w:space="0"/>
              <w:right w:val="single" w:color="auto" w:sz="4" w:space="0"/>
            </w:tcBorders>
            <w:vAlign w:val="center"/>
          </w:tcPr>
          <w:p w14:paraId="7341F654">
            <w:pPr>
              <w:widowControl/>
              <w:jc w:val="center"/>
              <w:rPr>
                <w:rFonts w:ascii="宋体" w:hAnsi="宋体" w:cs="宋体"/>
                <w:color w:val="000000"/>
                <w:kern w:val="0"/>
                <w:sz w:val="22"/>
                <w:highlight w:val="none"/>
              </w:rPr>
            </w:pPr>
            <w:r>
              <w:rPr>
                <w:rFonts w:ascii="宋体" w:hAnsi="宋体" w:cs="宋体"/>
                <w:color w:val="000000"/>
                <w:kern w:val="0"/>
                <w:sz w:val="22"/>
                <w:highlight w:val="none"/>
              </w:rPr>
              <w:t>12个月</w:t>
            </w:r>
          </w:p>
        </w:tc>
        <w:tc>
          <w:tcPr>
            <w:tcW w:w="1000" w:type="pct"/>
            <w:tcBorders>
              <w:top w:val="nil"/>
              <w:left w:val="nil"/>
              <w:bottom w:val="single" w:color="auto" w:sz="4" w:space="0"/>
              <w:right w:val="single" w:color="auto" w:sz="4" w:space="0"/>
            </w:tcBorders>
            <w:noWrap/>
            <w:vAlign w:val="center"/>
          </w:tcPr>
          <w:p w14:paraId="4493DCAA">
            <w:pPr>
              <w:widowControl/>
              <w:jc w:val="center"/>
              <w:rPr>
                <w:rFonts w:ascii="宋体" w:hAnsi="宋体" w:cs="宋体"/>
                <w:color w:val="000000"/>
                <w:kern w:val="0"/>
                <w:sz w:val="22"/>
                <w:highlight w:val="none"/>
              </w:rPr>
            </w:pPr>
            <w:r>
              <w:rPr>
                <w:rFonts w:hint="eastAsia" w:ascii="宋体" w:hAnsi="宋体" w:cs="宋体"/>
                <w:color w:val="000000"/>
                <w:kern w:val="0"/>
                <w:sz w:val="22"/>
                <w:highlight w:val="none"/>
              </w:rPr>
              <w:t>4</w:t>
            </w:r>
          </w:p>
        </w:tc>
      </w:tr>
      <w:tr w14:paraId="5B5B633B">
        <w:tblPrEx>
          <w:tblCellMar>
            <w:top w:w="0" w:type="dxa"/>
            <w:left w:w="108" w:type="dxa"/>
            <w:bottom w:w="0" w:type="dxa"/>
            <w:right w:w="108" w:type="dxa"/>
          </w:tblCellMar>
        </w:tblPrEx>
        <w:trPr>
          <w:trHeight w:val="270" w:hRule="atLeast"/>
        </w:trPr>
        <w:tc>
          <w:tcPr>
            <w:tcW w:w="1000" w:type="pct"/>
            <w:tcBorders>
              <w:top w:val="nil"/>
              <w:left w:val="single" w:color="auto" w:sz="4" w:space="0"/>
              <w:bottom w:val="single" w:color="auto" w:sz="4" w:space="0"/>
              <w:right w:val="single" w:color="auto" w:sz="4" w:space="0"/>
            </w:tcBorders>
            <w:noWrap/>
            <w:vAlign w:val="center"/>
          </w:tcPr>
          <w:p w14:paraId="50AE822E">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1000" w:type="pct"/>
            <w:tcBorders>
              <w:top w:val="nil"/>
              <w:left w:val="nil"/>
              <w:bottom w:val="single" w:color="auto" w:sz="4" w:space="0"/>
              <w:right w:val="single" w:color="auto" w:sz="4" w:space="0"/>
            </w:tcBorders>
            <w:vAlign w:val="center"/>
          </w:tcPr>
          <w:p w14:paraId="51C50609">
            <w:pPr>
              <w:widowControl/>
              <w:jc w:val="center"/>
              <w:rPr>
                <w:rFonts w:ascii="宋体" w:hAnsi="宋体" w:cs="宋体"/>
                <w:color w:val="000000"/>
                <w:kern w:val="0"/>
                <w:sz w:val="22"/>
                <w:highlight w:val="none"/>
              </w:rPr>
            </w:pPr>
            <w:r>
              <w:rPr>
                <w:rFonts w:ascii="宋体" w:hAnsi="宋体" w:cs="宋体"/>
                <w:color w:val="000000"/>
                <w:kern w:val="0"/>
                <w:sz w:val="22"/>
                <w:highlight w:val="none"/>
              </w:rPr>
              <w:t>万兆链路</w:t>
            </w:r>
          </w:p>
        </w:tc>
        <w:tc>
          <w:tcPr>
            <w:tcW w:w="1000" w:type="pct"/>
            <w:tcBorders>
              <w:top w:val="nil"/>
              <w:left w:val="nil"/>
              <w:bottom w:val="single" w:color="auto" w:sz="4" w:space="0"/>
              <w:right w:val="single" w:color="auto" w:sz="4" w:space="0"/>
            </w:tcBorders>
            <w:vAlign w:val="center"/>
          </w:tcPr>
          <w:p w14:paraId="0E85739F">
            <w:pPr>
              <w:widowControl/>
              <w:jc w:val="center"/>
              <w:rPr>
                <w:rFonts w:ascii="宋体" w:hAnsi="宋体" w:cs="宋体"/>
                <w:color w:val="000000"/>
                <w:kern w:val="0"/>
                <w:sz w:val="22"/>
                <w:highlight w:val="none"/>
              </w:rPr>
            </w:pPr>
            <w:r>
              <w:rPr>
                <w:rFonts w:ascii="宋体" w:hAnsi="宋体" w:cs="宋体"/>
                <w:color w:val="000000"/>
                <w:kern w:val="0"/>
                <w:sz w:val="22"/>
                <w:highlight w:val="none"/>
              </w:rPr>
              <w:t>10000M</w:t>
            </w:r>
          </w:p>
        </w:tc>
        <w:tc>
          <w:tcPr>
            <w:tcW w:w="1000" w:type="pct"/>
            <w:tcBorders>
              <w:top w:val="nil"/>
              <w:left w:val="nil"/>
              <w:bottom w:val="single" w:color="auto" w:sz="4" w:space="0"/>
              <w:right w:val="single" w:color="auto" w:sz="4" w:space="0"/>
            </w:tcBorders>
            <w:vAlign w:val="center"/>
          </w:tcPr>
          <w:p w14:paraId="30B140E7">
            <w:pPr>
              <w:widowControl/>
              <w:jc w:val="center"/>
              <w:rPr>
                <w:rFonts w:ascii="宋体" w:hAnsi="宋体" w:cs="宋体"/>
                <w:color w:val="000000"/>
                <w:kern w:val="0"/>
                <w:sz w:val="22"/>
                <w:highlight w:val="none"/>
              </w:rPr>
            </w:pPr>
            <w:r>
              <w:rPr>
                <w:rFonts w:ascii="宋体" w:hAnsi="宋体" w:cs="宋体"/>
                <w:color w:val="000000"/>
                <w:kern w:val="0"/>
                <w:sz w:val="22"/>
                <w:highlight w:val="none"/>
              </w:rPr>
              <w:t>12个月</w:t>
            </w:r>
          </w:p>
        </w:tc>
        <w:tc>
          <w:tcPr>
            <w:tcW w:w="1000" w:type="pct"/>
            <w:tcBorders>
              <w:top w:val="nil"/>
              <w:left w:val="nil"/>
              <w:bottom w:val="single" w:color="auto" w:sz="4" w:space="0"/>
              <w:right w:val="single" w:color="auto" w:sz="4" w:space="0"/>
            </w:tcBorders>
            <w:noWrap/>
            <w:vAlign w:val="center"/>
          </w:tcPr>
          <w:p w14:paraId="1B13A2DB">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39D9F9D1">
        <w:tblPrEx>
          <w:tblCellMar>
            <w:top w:w="0" w:type="dxa"/>
            <w:left w:w="108" w:type="dxa"/>
            <w:bottom w:w="0" w:type="dxa"/>
            <w:right w:w="108" w:type="dxa"/>
          </w:tblCellMar>
        </w:tblPrEx>
        <w:trPr>
          <w:trHeight w:val="270" w:hRule="atLeast"/>
        </w:trPr>
        <w:tc>
          <w:tcPr>
            <w:tcW w:w="5000" w:type="pct"/>
            <w:gridSpan w:val="5"/>
            <w:tcBorders>
              <w:top w:val="single" w:color="auto" w:sz="4" w:space="0"/>
              <w:left w:val="single" w:color="auto" w:sz="4" w:space="0"/>
              <w:bottom w:val="single" w:color="auto" w:sz="4" w:space="0"/>
              <w:right w:val="single" w:color="auto" w:sz="4" w:space="0"/>
            </w:tcBorders>
            <w:vAlign w:val="center"/>
          </w:tcPr>
          <w:p w14:paraId="5BFAA6B3">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第</w:t>
            </w:r>
            <w:r>
              <w:rPr>
                <w:rFonts w:hint="eastAsia" w:ascii="宋体" w:hAnsi="宋体" w:cs="宋体"/>
                <w:b/>
                <w:bCs/>
                <w:color w:val="000000"/>
                <w:kern w:val="0"/>
                <w:sz w:val="22"/>
                <w:highlight w:val="none"/>
              </w:rPr>
              <w:t>7</w:t>
            </w:r>
            <w:r>
              <w:rPr>
                <w:rFonts w:ascii="宋体" w:hAnsi="宋体" w:cs="宋体"/>
                <w:b/>
                <w:bCs/>
                <w:color w:val="000000"/>
                <w:kern w:val="0"/>
                <w:sz w:val="22"/>
                <w:highlight w:val="none"/>
              </w:rPr>
              <w:t>包</w:t>
            </w:r>
          </w:p>
        </w:tc>
      </w:tr>
      <w:tr w14:paraId="7370B5F6">
        <w:tblPrEx>
          <w:tblCellMar>
            <w:top w:w="0" w:type="dxa"/>
            <w:left w:w="108" w:type="dxa"/>
            <w:bottom w:w="0" w:type="dxa"/>
            <w:right w:w="108" w:type="dxa"/>
          </w:tblCellMar>
        </w:tblPrEx>
        <w:trPr>
          <w:trHeight w:val="270" w:hRule="atLeast"/>
        </w:trPr>
        <w:tc>
          <w:tcPr>
            <w:tcW w:w="1000" w:type="pct"/>
            <w:tcBorders>
              <w:top w:val="nil"/>
              <w:left w:val="single" w:color="auto" w:sz="4" w:space="0"/>
              <w:bottom w:val="single" w:color="auto" w:sz="4" w:space="0"/>
              <w:right w:val="single" w:color="auto" w:sz="4" w:space="0"/>
            </w:tcBorders>
            <w:vAlign w:val="center"/>
          </w:tcPr>
          <w:p w14:paraId="7A51AA21">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1000" w:type="pct"/>
            <w:tcBorders>
              <w:top w:val="nil"/>
              <w:left w:val="nil"/>
              <w:bottom w:val="single" w:color="auto" w:sz="4" w:space="0"/>
              <w:right w:val="single" w:color="auto" w:sz="4" w:space="0"/>
            </w:tcBorders>
            <w:vAlign w:val="center"/>
          </w:tcPr>
          <w:p w14:paraId="29F8A0B6">
            <w:pPr>
              <w:widowControl/>
              <w:jc w:val="center"/>
              <w:rPr>
                <w:rFonts w:ascii="宋体" w:hAnsi="宋体" w:cs="宋体"/>
                <w:color w:val="000000"/>
                <w:kern w:val="0"/>
                <w:sz w:val="22"/>
                <w:highlight w:val="none"/>
              </w:rPr>
            </w:pPr>
            <w:r>
              <w:rPr>
                <w:rFonts w:ascii="宋体" w:hAnsi="宋体" w:cs="宋体"/>
                <w:color w:val="000000"/>
                <w:kern w:val="0"/>
                <w:sz w:val="22"/>
                <w:highlight w:val="none"/>
              </w:rPr>
              <w:t>百兆链路</w:t>
            </w:r>
          </w:p>
        </w:tc>
        <w:tc>
          <w:tcPr>
            <w:tcW w:w="1000" w:type="pct"/>
            <w:tcBorders>
              <w:top w:val="nil"/>
              <w:left w:val="nil"/>
              <w:bottom w:val="single" w:color="auto" w:sz="4" w:space="0"/>
              <w:right w:val="single" w:color="auto" w:sz="4" w:space="0"/>
            </w:tcBorders>
            <w:vAlign w:val="center"/>
          </w:tcPr>
          <w:p w14:paraId="423A2F2C">
            <w:pPr>
              <w:widowControl/>
              <w:jc w:val="center"/>
              <w:rPr>
                <w:rFonts w:ascii="宋体" w:hAnsi="宋体" w:cs="宋体"/>
                <w:color w:val="000000"/>
                <w:kern w:val="0"/>
                <w:sz w:val="22"/>
                <w:highlight w:val="none"/>
              </w:rPr>
            </w:pPr>
            <w:r>
              <w:rPr>
                <w:rFonts w:ascii="宋体" w:hAnsi="宋体" w:cs="宋体"/>
                <w:color w:val="000000"/>
                <w:kern w:val="0"/>
                <w:sz w:val="22"/>
                <w:highlight w:val="none"/>
              </w:rPr>
              <w:t>100M</w:t>
            </w:r>
          </w:p>
        </w:tc>
        <w:tc>
          <w:tcPr>
            <w:tcW w:w="1000" w:type="pct"/>
            <w:tcBorders>
              <w:top w:val="nil"/>
              <w:left w:val="nil"/>
              <w:bottom w:val="single" w:color="auto" w:sz="4" w:space="0"/>
              <w:right w:val="single" w:color="auto" w:sz="4" w:space="0"/>
            </w:tcBorders>
            <w:vAlign w:val="center"/>
          </w:tcPr>
          <w:p w14:paraId="4D3088A5">
            <w:pPr>
              <w:widowControl/>
              <w:jc w:val="center"/>
              <w:rPr>
                <w:rFonts w:ascii="宋体" w:hAnsi="宋体" w:cs="宋体"/>
                <w:color w:val="000000"/>
                <w:kern w:val="0"/>
                <w:sz w:val="22"/>
                <w:highlight w:val="none"/>
              </w:rPr>
            </w:pPr>
            <w:r>
              <w:rPr>
                <w:rFonts w:ascii="宋体" w:hAnsi="宋体" w:cs="宋体"/>
                <w:color w:val="000000"/>
                <w:kern w:val="0"/>
                <w:sz w:val="22"/>
                <w:highlight w:val="none"/>
              </w:rPr>
              <w:t>12个月</w:t>
            </w:r>
          </w:p>
        </w:tc>
        <w:tc>
          <w:tcPr>
            <w:tcW w:w="1000" w:type="pct"/>
            <w:tcBorders>
              <w:top w:val="nil"/>
              <w:left w:val="nil"/>
              <w:bottom w:val="single" w:color="auto" w:sz="4" w:space="0"/>
              <w:right w:val="single" w:color="auto" w:sz="4" w:space="0"/>
            </w:tcBorders>
            <w:noWrap/>
            <w:vAlign w:val="center"/>
          </w:tcPr>
          <w:p w14:paraId="59F6FDBA">
            <w:pPr>
              <w:widowControl/>
              <w:jc w:val="center"/>
              <w:rPr>
                <w:rFonts w:ascii="宋体" w:hAnsi="宋体" w:cs="宋体"/>
                <w:color w:val="000000"/>
                <w:kern w:val="0"/>
                <w:sz w:val="22"/>
                <w:highlight w:val="none"/>
              </w:rPr>
            </w:pPr>
            <w:r>
              <w:rPr>
                <w:rFonts w:hint="eastAsia" w:ascii="宋体" w:hAnsi="宋体" w:cs="宋体"/>
                <w:color w:val="000000"/>
                <w:kern w:val="0"/>
                <w:sz w:val="22"/>
                <w:highlight w:val="none"/>
              </w:rPr>
              <w:t>419</w:t>
            </w:r>
          </w:p>
        </w:tc>
      </w:tr>
      <w:tr w14:paraId="051DF430">
        <w:tblPrEx>
          <w:tblCellMar>
            <w:top w:w="0" w:type="dxa"/>
            <w:left w:w="108" w:type="dxa"/>
            <w:bottom w:w="0" w:type="dxa"/>
            <w:right w:w="108" w:type="dxa"/>
          </w:tblCellMar>
        </w:tblPrEx>
        <w:trPr>
          <w:trHeight w:val="270" w:hRule="atLeast"/>
        </w:trPr>
        <w:tc>
          <w:tcPr>
            <w:tcW w:w="1000" w:type="pct"/>
            <w:tcBorders>
              <w:top w:val="nil"/>
              <w:left w:val="single" w:color="auto" w:sz="4" w:space="0"/>
              <w:bottom w:val="single" w:color="auto" w:sz="4" w:space="0"/>
              <w:right w:val="single" w:color="auto" w:sz="4" w:space="0"/>
            </w:tcBorders>
            <w:vAlign w:val="center"/>
          </w:tcPr>
          <w:p w14:paraId="4601A610">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1000" w:type="pct"/>
            <w:tcBorders>
              <w:top w:val="nil"/>
              <w:left w:val="nil"/>
              <w:bottom w:val="single" w:color="auto" w:sz="4" w:space="0"/>
              <w:right w:val="single" w:color="auto" w:sz="4" w:space="0"/>
            </w:tcBorders>
            <w:vAlign w:val="center"/>
          </w:tcPr>
          <w:p w14:paraId="484C8BDA">
            <w:pPr>
              <w:widowControl/>
              <w:jc w:val="center"/>
              <w:rPr>
                <w:rFonts w:ascii="宋体" w:hAnsi="宋体" w:cs="宋体"/>
                <w:color w:val="000000"/>
                <w:kern w:val="0"/>
                <w:sz w:val="22"/>
                <w:highlight w:val="none"/>
              </w:rPr>
            </w:pPr>
            <w:r>
              <w:rPr>
                <w:rFonts w:ascii="宋体" w:hAnsi="宋体" w:cs="宋体"/>
                <w:color w:val="000000"/>
                <w:kern w:val="0"/>
                <w:sz w:val="22"/>
                <w:highlight w:val="none"/>
              </w:rPr>
              <w:t>千兆链路</w:t>
            </w:r>
          </w:p>
        </w:tc>
        <w:tc>
          <w:tcPr>
            <w:tcW w:w="1000" w:type="pct"/>
            <w:tcBorders>
              <w:top w:val="nil"/>
              <w:left w:val="nil"/>
              <w:bottom w:val="single" w:color="auto" w:sz="4" w:space="0"/>
              <w:right w:val="single" w:color="auto" w:sz="4" w:space="0"/>
            </w:tcBorders>
            <w:vAlign w:val="center"/>
          </w:tcPr>
          <w:p w14:paraId="3B9E1472">
            <w:pPr>
              <w:widowControl/>
              <w:jc w:val="center"/>
              <w:rPr>
                <w:rFonts w:ascii="宋体" w:hAnsi="宋体" w:cs="宋体"/>
                <w:color w:val="000000"/>
                <w:kern w:val="0"/>
                <w:sz w:val="22"/>
                <w:highlight w:val="none"/>
              </w:rPr>
            </w:pPr>
            <w:r>
              <w:rPr>
                <w:rFonts w:ascii="宋体" w:hAnsi="宋体" w:cs="宋体"/>
                <w:color w:val="000000"/>
                <w:kern w:val="0"/>
                <w:sz w:val="22"/>
                <w:highlight w:val="none"/>
              </w:rPr>
              <w:t>1000M</w:t>
            </w:r>
          </w:p>
        </w:tc>
        <w:tc>
          <w:tcPr>
            <w:tcW w:w="1000" w:type="pct"/>
            <w:tcBorders>
              <w:top w:val="nil"/>
              <w:left w:val="nil"/>
              <w:bottom w:val="single" w:color="auto" w:sz="4" w:space="0"/>
              <w:right w:val="single" w:color="auto" w:sz="4" w:space="0"/>
            </w:tcBorders>
            <w:vAlign w:val="center"/>
          </w:tcPr>
          <w:p w14:paraId="3A83229F">
            <w:pPr>
              <w:widowControl/>
              <w:jc w:val="center"/>
              <w:rPr>
                <w:rFonts w:ascii="宋体" w:hAnsi="宋体" w:cs="宋体"/>
                <w:color w:val="000000"/>
                <w:kern w:val="0"/>
                <w:sz w:val="22"/>
                <w:highlight w:val="none"/>
              </w:rPr>
            </w:pPr>
            <w:r>
              <w:rPr>
                <w:rFonts w:ascii="宋体" w:hAnsi="宋体" w:cs="宋体"/>
                <w:color w:val="000000"/>
                <w:kern w:val="0"/>
                <w:sz w:val="22"/>
                <w:highlight w:val="none"/>
              </w:rPr>
              <w:t>12个月</w:t>
            </w:r>
          </w:p>
        </w:tc>
        <w:tc>
          <w:tcPr>
            <w:tcW w:w="1000" w:type="pct"/>
            <w:tcBorders>
              <w:top w:val="nil"/>
              <w:left w:val="nil"/>
              <w:bottom w:val="single" w:color="auto" w:sz="4" w:space="0"/>
              <w:right w:val="single" w:color="auto" w:sz="4" w:space="0"/>
            </w:tcBorders>
            <w:noWrap/>
            <w:vAlign w:val="center"/>
          </w:tcPr>
          <w:p w14:paraId="53D3F2FF">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7DD9710D">
        <w:tblPrEx>
          <w:tblCellMar>
            <w:top w:w="0" w:type="dxa"/>
            <w:left w:w="108" w:type="dxa"/>
            <w:bottom w:w="0" w:type="dxa"/>
            <w:right w:w="108" w:type="dxa"/>
          </w:tblCellMar>
        </w:tblPrEx>
        <w:trPr>
          <w:trHeight w:val="270" w:hRule="atLeast"/>
        </w:trPr>
        <w:tc>
          <w:tcPr>
            <w:tcW w:w="1000" w:type="pct"/>
            <w:tcBorders>
              <w:top w:val="nil"/>
              <w:left w:val="single" w:color="auto" w:sz="4" w:space="0"/>
              <w:bottom w:val="single" w:color="auto" w:sz="4" w:space="0"/>
              <w:right w:val="single" w:color="auto" w:sz="4" w:space="0"/>
            </w:tcBorders>
            <w:noWrap/>
            <w:vAlign w:val="center"/>
          </w:tcPr>
          <w:p w14:paraId="692D76DA">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1000" w:type="pct"/>
            <w:tcBorders>
              <w:top w:val="nil"/>
              <w:left w:val="nil"/>
              <w:bottom w:val="single" w:color="auto" w:sz="4" w:space="0"/>
              <w:right w:val="single" w:color="auto" w:sz="4" w:space="0"/>
            </w:tcBorders>
            <w:vAlign w:val="center"/>
          </w:tcPr>
          <w:p w14:paraId="103589DA">
            <w:pPr>
              <w:widowControl/>
              <w:jc w:val="center"/>
              <w:rPr>
                <w:rFonts w:ascii="宋体" w:hAnsi="宋体" w:cs="宋体"/>
                <w:color w:val="000000"/>
                <w:kern w:val="0"/>
                <w:sz w:val="22"/>
                <w:highlight w:val="none"/>
              </w:rPr>
            </w:pPr>
            <w:r>
              <w:rPr>
                <w:rFonts w:ascii="宋体" w:hAnsi="宋体" w:cs="宋体"/>
                <w:color w:val="000000"/>
                <w:kern w:val="0"/>
                <w:sz w:val="22"/>
                <w:highlight w:val="none"/>
              </w:rPr>
              <w:t>万兆链路</w:t>
            </w:r>
          </w:p>
        </w:tc>
        <w:tc>
          <w:tcPr>
            <w:tcW w:w="1000" w:type="pct"/>
            <w:tcBorders>
              <w:top w:val="nil"/>
              <w:left w:val="nil"/>
              <w:bottom w:val="single" w:color="auto" w:sz="4" w:space="0"/>
              <w:right w:val="single" w:color="auto" w:sz="4" w:space="0"/>
            </w:tcBorders>
            <w:vAlign w:val="center"/>
          </w:tcPr>
          <w:p w14:paraId="70F61EF3">
            <w:pPr>
              <w:widowControl/>
              <w:jc w:val="center"/>
              <w:rPr>
                <w:rFonts w:ascii="宋体" w:hAnsi="宋体" w:cs="宋体"/>
                <w:color w:val="000000"/>
                <w:kern w:val="0"/>
                <w:sz w:val="22"/>
                <w:highlight w:val="none"/>
              </w:rPr>
            </w:pPr>
            <w:r>
              <w:rPr>
                <w:rFonts w:ascii="宋体" w:hAnsi="宋体" w:cs="宋体"/>
                <w:color w:val="000000"/>
                <w:kern w:val="0"/>
                <w:sz w:val="22"/>
                <w:highlight w:val="none"/>
              </w:rPr>
              <w:t>10000M</w:t>
            </w:r>
          </w:p>
        </w:tc>
        <w:tc>
          <w:tcPr>
            <w:tcW w:w="1000" w:type="pct"/>
            <w:tcBorders>
              <w:top w:val="nil"/>
              <w:left w:val="nil"/>
              <w:bottom w:val="single" w:color="auto" w:sz="4" w:space="0"/>
              <w:right w:val="single" w:color="auto" w:sz="4" w:space="0"/>
            </w:tcBorders>
            <w:vAlign w:val="center"/>
          </w:tcPr>
          <w:p w14:paraId="2D0E374E">
            <w:pPr>
              <w:widowControl/>
              <w:jc w:val="center"/>
              <w:rPr>
                <w:rFonts w:ascii="宋体" w:hAnsi="宋体" w:cs="宋体"/>
                <w:color w:val="000000"/>
                <w:kern w:val="0"/>
                <w:sz w:val="22"/>
                <w:highlight w:val="none"/>
              </w:rPr>
            </w:pPr>
            <w:r>
              <w:rPr>
                <w:rFonts w:ascii="宋体" w:hAnsi="宋体" w:cs="宋体"/>
                <w:color w:val="000000"/>
                <w:kern w:val="0"/>
                <w:sz w:val="22"/>
                <w:highlight w:val="none"/>
              </w:rPr>
              <w:t>12个月</w:t>
            </w:r>
          </w:p>
        </w:tc>
        <w:tc>
          <w:tcPr>
            <w:tcW w:w="1000" w:type="pct"/>
            <w:tcBorders>
              <w:top w:val="nil"/>
              <w:left w:val="nil"/>
              <w:bottom w:val="single" w:color="auto" w:sz="4" w:space="0"/>
              <w:right w:val="single" w:color="auto" w:sz="4" w:space="0"/>
            </w:tcBorders>
            <w:noWrap/>
            <w:vAlign w:val="center"/>
          </w:tcPr>
          <w:p w14:paraId="156C7BE3">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bl>
    <w:p w14:paraId="19D30BC4">
      <w:pPr>
        <w:adjustRightInd w:val="0"/>
        <w:snapToGrid w:val="0"/>
        <w:spacing w:line="288" w:lineRule="auto"/>
        <w:ind w:firstLine="448" w:firstLineChars="200"/>
        <w:rPr>
          <w:sz w:val="24"/>
          <w:highlight w:val="none"/>
        </w:rPr>
      </w:pPr>
    </w:p>
    <w:p w14:paraId="50772469">
      <w:pPr>
        <w:keepNext/>
        <w:keepLines/>
        <w:ind w:firstLine="448" w:firstLineChars="200"/>
        <w:outlineLvl w:val="4"/>
        <w:rPr>
          <w:b/>
          <w:bCs/>
          <w:sz w:val="24"/>
          <w:szCs w:val="28"/>
          <w:highlight w:val="none"/>
        </w:rPr>
      </w:pPr>
      <w:r>
        <w:rPr>
          <w:rFonts w:hint="eastAsia"/>
          <w:b/>
          <w:bCs/>
          <w:sz w:val="24"/>
          <w:szCs w:val="28"/>
          <w:highlight w:val="none"/>
        </w:rPr>
        <w:t>（五）机柜租赁保障服务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9"/>
        <w:gridCol w:w="2248"/>
        <w:gridCol w:w="1629"/>
        <w:gridCol w:w="3186"/>
      </w:tblGrid>
      <w:tr w14:paraId="32B47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46" w:type="pct"/>
            <w:vAlign w:val="center"/>
          </w:tcPr>
          <w:p w14:paraId="05BCB18E">
            <w:pPr>
              <w:widowControl/>
              <w:jc w:val="center"/>
              <w:rPr>
                <w:rFonts w:eastAsia="等线"/>
                <w:b/>
                <w:bCs/>
                <w:color w:val="000000"/>
                <w:kern w:val="0"/>
                <w:sz w:val="22"/>
                <w:highlight w:val="none"/>
              </w:rPr>
            </w:pPr>
            <w:r>
              <w:rPr>
                <w:rFonts w:ascii="宋体" w:hAnsi="宋体"/>
                <w:b/>
                <w:bCs/>
                <w:color w:val="000000"/>
                <w:kern w:val="0"/>
                <w:sz w:val="22"/>
                <w:highlight w:val="none"/>
              </w:rPr>
              <w:t>序号</w:t>
            </w:r>
          </w:p>
        </w:tc>
        <w:tc>
          <w:tcPr>
            <w:tcW w:w="1354" w:type="pct"/>
            <w:vAlign w:val="center"/>
          </w:tcPr>
          <w:p w14:paraId="32F44D28">
            <w:pPr>
              <w:widowControl/>
              <w:jc w:val="center"/>
              <w:rPr>
                <w:rFonts w:eastAsia="等线"/>
                <w:b/>
                <w:bCs/>
                <w:color w:val="000000"/>
                <w:kern w:val="0"/>
                <w:sz w:val="22"/>
                <w:highlight w:val="none"/>
              </w:rPr>
            </w:pPr>
            <w:r>
              <w:rPr>
                <w:rFonts w:ascii="宋体" w:hAnsi="宋体"/>
                <w:b/>
                <w:bCs/>
                <w:color w:val="000000"/>
                <w:kern w:val="0"/>
                <w:sz w:val="22"/>
                <w:highlight w:val="none"/>
              </w:rPr>
              <w:t>项目名称</w:t>
            </w:r>
          </w:p>
        </w:tc>
        <w:tc>
          <w:tcPr>
            <w:tcW w:w="981" w:type="pct"/>
            <w:vAlign w:val="center"/>
          </w:tcPr>
          <w:p w14:paraId="6140D6B0">
            <w:pPr>
              <w:widowControl/>
              <w:jc w:val="center"/>
              <w:rPr>
                <w:rFonts w:eastAsia="等线"/>
                <w:b/>
                <w:bCs/>
                <w:color w:val="000000"/>
                <w:kern w:val="0"/>
                <w:sz w:val="22"/>
                <w:highlight w:val="none"/>
              </w:rPr>
            </w:pPr>
            <w:r>
              <w:rPr>
                <w:rFonts w:ascii="宋体" w:hAnsi="宋体"/>
                <w:b/>
                <w:bCs/>
                <w:color w:val="000000"/>
                <w:kern w:val="0"/>
                <w:sz w:val="22"/>
                <w:highlight w:val="none"/>
              </w:rPr>
              <w:t>数量</w:t>
            </w:r>
          </w:p>
        </w:tc>
        <w:tc>
          <w:tcPr>
            <w:tcW w:w="1919" w:type="pct"/>
            <w:vAlign w:val="center"/>
          </w:tcPr>
          <w:p w14:paraId="0F791201">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租赁时间（月）</w:t>
            </w:r>
          </w:p>
        </w:tc>
      </w:tr>
      <w:tr w14:paraId="3478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4"/>
            <w:vAlign w:val="center"/>
          </w:tcPr>
          <w:p w14:paraId="4F7AC8DA">
            <w:pPr>
              <w:widowControl/>
              <w:jc w:val="center"/>
              <w:rPr>
                <w:rFonts w:eastAsia="等线"/>
                <w:color w:val="000000"/>
                <w:kern w:val="0"/>
                <w:sz w:val="22"/>
                <w:highlight w:val="none"/>
              </w:rPr>
            </w:pPr>
            <w:r>
              <w:rPr>
                <w:rFonts w:ascii="宋体" w:hAnsi="宋体" w:cs="宋体"/>
                <w:b/>
                <w:bCs/>
                <w:color w:val="000000"/>
                <w:kern w:val="0"/>
                <w:sz w:val="22"/>
                <w:highlight w:val="none"/>
              </w:rPr>
              <w:t>第</w:t>
            </w:r>
            <w:r>
              <w:rPr>
                <w:rFonts w:hint="eastAsia" w:ascii="宋体" w:hAnsi="宋体" w:cs="宋体"/>
                <w:b/>
                <w:bCs/>
                <w:color w:val="000000"/>
                <w:kern w:val="0"/>
                <w:sz w:val="22"/>
                <w:highlight w:val="none"/>
              </w:rPr>
              <w:t>6</w:t>
            </w:r>
            <w:r>
              <w:rPr>
                <w:rFonts w:ascii="宋体" w:hAnsi="宋体" w:cs="宋体"/>
                <w:b/>
                <w:bCs/>
                <w:color w:val="000000"/>
                <w:kern w:val="0"/>
                <w:sz w:val="22"/>
                <w:highlight w:val="none"/>
              </w:rPr>
              <w:t>包</w:t>
            </w:r>
          </w:p>
        </w:tc>
      </w:tr>
      <w:tr w14:paraId="49D2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46" w:type="pct"/>
            <w:vAlign w:val="center"/>
          </w:tcPr>
          <w:p w14:paraId="020E1C51">
            <w:pPr>
              <w:widowControl/>
              <w:jc w:val="center"/>
              <w:rPr>
                <w:rFonts w:eastAsia="等线"/>
                <w:color w:val="000000"/>
                <w:kern w:val="0"/>
                <w:sz w:val="22"/>
                <w:highlight w:val="none"/>
              </w:rPr>
            </w:pPr>
            <w:r>
              <w:rPr>
                <w:rFonts w:eastAsia="等线"/>
                <w:color w:val="000000"/>
                <w:kern w:val="0"/>
                <w:sz w:val="22"/>
                <w:highlight w:val="none"/>
              </w:rPr>
              <w:t>1</w:t>
            </w:r>
          </w:p>
        </w:tc>
        <w:tc>
          <w:tcPr>
            <w:tcW w:w="1354" w:type="pct"/>
            <w:vAlign w:val="center"/>
          </w:tcPr>
          <w:p w14:paraId="7260F57D">
            <w:pPr>
              <w:widowControl/>
              <w:jc w:val="center"/>
              <w:rPr>
                <w:rFonts w:ascii="宋体" w:hAnsi="宋体" w:cs="宋体"/>
                <w:color w:val="000000"/>
                <w:kern w:val="0"/>
                <w:sz w:val="22"/>
                <w:highlight w:val="none"/>
              </w:rPr>
            </w:pPr>
            <w:r>
              <w:rPr>
                <w:rFonts w:ascii="宋体" w:hAnsi="宋体" w:cs="宋体"/>
                <w:color w:val="000000"/>
                <w:kern w:val="0"/>
                <w:sz w:val="22"/>
                <w:highlight w:val="none"/>
              </w:rPr>
              <w:t>机柜租赁</w:t>
            </w:r>
            <w:r>
              <w:rPr>
                <w:rFonts w:hint="eastAsia" w:ascii="宋体" w:hAnsi="宋体" w:cs="宋体"/>
                <w:color w:val="000000"/>
                <w:kern w:val="0"/>
                <w:sz w:val="22"/>
                <w:highlight w:val="none"/>
              </w:rPr>
              <w:t>保障服务</w:t>
            </w:r>
          </w:p>
        </w:tc>
        <w:tc>
          <w:tcPr>
            <w:tcW w:w="981" w:type="pct"/>
            <w:vAlign w:val="center"/>
          </w:tcPr>
          <w:p w14:paraId="0CB6A0BF">
            <w:pPr>
              <w:widowControl/>
              <w:jc w:val="center"/>
              <w:rPr>
                <w:rFonts w:eastAsia="等线"/>
                <w:color w:val="000000"/>
                <w:kern w:val="0"/>
                <w:sz w:val="22"/>
                <w:highlight w:val="none"/>
              </w:rPr>
            </w:pPr>
            <w:r>
              <w:rPr>
                <w:rFonts w:eastAsia="等线"/>
                <w:color w:val="000000"/>
                <w:kern w:val="0"/>
                <w:sz w:val="22"/>
                <w:highlight w:val="none"/>
              </w:rPr>
              <w:t>4</w:t>
            </w:r>
          </w:p>
        </w:tc>
        <w:tc>
          <w:tcPr>
            <w:tcW w:w="1919" w:type="pct"/>
            <w:vAlign w:val="center"/>
          </w:tcPr>
          <w:p w14:paraId="55416BD1">
            <w:pPr>
              <w:widowControl/>
              <w:jc w:val="center"/>
              <w:rPr>
                <w:rFonts w:eastAsia="等线"/>
                <w:color w:val="000000"/>
                <w:kern w:val="0"/>
                <w:sz w:val="22"/>
                <w:highlight w:val="none"/>
              </w:rPr>
            </w:pPr>
            <w:r>
              <w:rPr>
                <w:rFonts w:eastAsia="等线"/>
                <w:color w:val="000000"/>
                <w:kern w:val="0"/>
                <w:sz w:val="22"/>
                <w:highlight w:val="none"/>
              </w:rPr>
              <w:t xml:space="preserve">12 </w:t>
            </w:r>
          </w:p>
        </w:tc>
      </w:tr>
      <w:tr w14:paraId="7452A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4"/>
            <w:vAlign w:val="center"/>
          </w:tcPr>
          <w:p w14:paraId="1E0D03AC">
            <w:pPr>
              <w:widowControl/>
              <w:jc w:val="center"/>
              <w:rPr>
                <w:rFonts w:eastAsia="等线"/>
                <w:color w:val="000000"/>
                <w:kern w:val="0"/>
                <w:sz w:val="22"/>
                <w:highlight w:val="none"/>
              </w:rPr>
            </w:pPr>
            <w:r>
              <w:rPr>
                <w:rFonts w:ascii="宋体" w:hAnsi="宋体" w:cs="宋体"/>
                <w:b/>
                <w:bCs/>
                <w:color w:val="000000"/>
                <w:kern w:val="0"/>
                <w:sz w:val="22"/>
                <w:highlight w:val="none"/>
              </w:rPr>
              <w:t>第</w:t>
            </w:r>
            <w:r>
              <w:rPr>
                <w:rFonts w:hint="eastAsia" w:ascii="宋体" w:hAnsi="宋体" w:cs="宋体"/>
                <w:b/>
                <w:bCs/>
                <w:color w:val="000000"/>
                <w:kern w:val="0"/>
                <w:sz w:val="22"/>
                <w:highlight w:val="none"/>
              </w:rPr>
              <w:t>7</w:t>
            </w:r>
            <w:r>
              <w:rPr>
                <w:rFonts w:ascii="宋体" w:hAnsi="宋体" w:cs="宋体"/>
                <w:b/>
                <w:bCs/>
                <w:color w:val="000000"/>
                <w:kern w:val="0"/>
                <w:sz w:val="22"/>
                <w:highlight w:val="none"/>
              </w:rPr>
              <w:t>包</w:t>
            </w:r>
          </w:p>
        </w:tc>
      </w:tr>
      <w:tr w14:paraId="0823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46" w:type="pct"/>
            <w:vAlign w:val="center"/>
          </w:tcPr>
          <w:p w14:paraId="230AEB71">
            <w:pPr>
              <w:widowControl/>
              <w:jc w:val="center"/>
              <w:rPr>
                <w:rFonts w:eastAsia="等线"/>
                <w:color w:val="000000"/>
                <w:kern w:val="0"/>
                <w:sz w:val="22"/>
                <w:highlight w:val="none"/>
              </w:rPr>
            </w:pPr>
            <w:r>
              <w:rPr>
                <w:rFonts w:hint="eastAsia" w:eastAsia="等线"/>
                <w:color w:val="000000"/>
                <w:kern w:val="0"/>
                <w:sz w:val="22"/>
                <w:highlight w:val="none"/>
              </w:rPr>
              <w:t>2</w:t>
            </w:r>
          </w:p>
        </w:tc>
        <w:tc>
          <w:tcPr>
            <w:tcW w:w="1354" w:type="pct"/>
            <w:vAlign w:val="center"/>
          </w:tcPr>
          <w:p w14:paraId="74F70678">
            <w:pPr>
              <w:widowControl/>
              <w:jc w:val="center"/>
              <w:rPr>
                <w:rFonts w:ascii="宋体" w:hAnsi="宋体" w:cs="宋体"/>
                <w:color w:val="000000"/>
                <w:kern w:val="0"/>
                <w:sz w:val="22"/>
                <w:highlight w:val="none"/>
              </w:rPr>
            </w:pPr>
            <w:r>
              <w:rPr>
                <w:rFonts w:ascii="宋体" w:hAnsi="宋体" w:cs="宋体"/>
                <w:color w:val="000000"/>
                <w:kern w:val="0"/>
                <w:sz w:val="22"/>
                <w:highlight w:val="none"/>
              </w:rPr>
              <w:t>机柜租赁</w:t>
            </w:r>
            <w:r>
              <w:rPr>
                <w:rFonts w:hint="eastAsia" w:ascii="宋体" w:hAnsi="宋体" w:cs="宋体"/>
                <w:color w:val="000000"/>
                <w:kern w:val="0"/>
                <w:sz w:val="22"/>
                <w:highlight w:val="none"/>
              </w:rPr>
              <w:t>保障服务</w:t>
            </w:r>
          </w:p>
        </w:tc>
        <w:tc>
          <w:tcPr>
            <w:tcW w:w="981" w:type="pct"/>
            <w:vAlign w:val="center"/>
          </w:tcPr>
          <w:p w14:paraId="43C0212E">
            <w:pPr>
              <w:widowControl/>
              <w:jc w:val="center"/>
              <w:rPr>
                <w:rFonts w:eastAsia="等线"/>
                <w:color w:val="000000"/>
                <w:kern w:val="0"/>
                <w:sz w:val="22"/>
                <w:highlight w:val="none"/>
              </w:rPr>
            </w:pPr>
            <w:r>
              <w:rPr>
                <w:rFonts w:hint="eastAsia" w:eastAsia="等线"/>
                <w:color w:val="000000"/>
                <w:kern w:val="0"/>
                <w:sz w:val="22"/>
                <w:highlight w:val="none"/>
              </w:rPr>
              <w:t>8</w:t>
            </w:r>
          </w:p>
        </w:tc>
        <w:tc>
          <w:tcPr>
            <w:tcW w:w="1919" w:type="pct"/>
            <w:vAlign w:val="center"/>
          </w:tcPr>
          <w:p w14:paraId="3CC5B7A7">
            <w:pPr>
              <w:widowControl/>
              <w:jc w:val="center"/>
              <w:rPr>
                <w:rFonts w:eastAsia="等线"/>
                <w:color w:val="000000"/>
                <w:kern w:val="0"/>
                <w:sz w:val="22"/>
                <w:highlight w:val="none"/>
              </w:rPr>
            </w:pPr>
            <w:r>
              <w:rPr>
                <w:rFonts w:hint="eastAsia" w:eastAsia="等线"/>
                <w:color w:val="000000"/>
                <w:kern w:val="0"/>
                <w:sz w:val="22"/>
                <w:highlight w:val="none"/>
              </w:rPr>
              <w:t>12</w:t>
            </w:r>
          </w:p>
        </w:tc>
      </w:tr>
    </w:tbl>
    <w:p w14:paraId="51716544">
      <w:pPr>
        <w:adjustRightInd w:val="0"/>
        <w:snapToGrid w:val="0"/>
        <w:spacing w:line="288" w:lineRule="auto"/>
        <w:ind w:firstLine="448" w:firstLineChars="200"/>
        <w:rPr>
          <w:sz w:val="24"/>
          <w:highlight w:val="none"/>
        </w:rPr>
      </w:pPr>
    </w:p>
    <w:p w14:paraId="0646C2D0">
      <w:pPr>
        <w:adjustRightInd w:val="0"/>
        <w:snapToGrid w:val="0"/>
        <w:spacing w:line="288" w:lineRule="auto"/>
        <w:ind w:firstLine="448" w:firstLineChars="200"/>
        <w:rPr>
          <w:sz w:val="24"/>
          <w:highlight w:val="none"/>
        </w:rPr>
      </w:pPr>
      <w:r>
        <w:rPr>
          <w:rFonts w:hint="eastAsia"/>
          <w:sz w:val="24"/>
          <w:highlight w:val="none"/>
        </w:rPr>
        <w:t>中标供应商确定中标后，须对本包运维范围内涉及软硬件设备及配套设施进行核查，与本运维工程量清单进行对比，将对比结果提交采购人进行确认，以采购人确认结果为本包最终运维工程量清单。</w:t>
      </w:r>
    </w:p>
    <w:p w14:paraId="63AC689F">
      <w:pPr>
        <w:keepNext/>
        <w:keepLines/>
        <w:adjustRightInd w:val="0"/>
        <w:snapToGrid w:val="0"/>
        <w:spacing w:line="288" w:lineRule="auto"/>
        <w:outlineLvl w:val="2"/>
        <w:rPr>
          <w:rFonts w:ascii="Cambria" w:hAnsi="Cambria"/>
          <w:b/>
          <w:bCs/>
          <w:sz w:val="24"/>
          <w:szCs w:val="28"/>
          <w:highlight w:val="none"/>
        </w:rPr>
      </w:pPr>
    </w:p>
    <w:p w14:paraId="68368B67">
      <w:pPr>
        <w:keepNext/>
        <w:keepLines/>
        <w:adjustRightInd w:val="0"/>
        <w:snapToGrid w:val="0"/>
        <w:spacing w:line="288" w:lineRule="auto"/>
        <w:outlineLvl w:val="2"/>
        <w:rPr>
          <w:b/>
          <w:bCs/>
          <w:sz w:val="24"/>
          <w:szCs w:val="32"/>
          <w:highlight w:val="none"/>
        </w:rPr>
      </w:pPr>
      <w:r>
        <w:rPr>
          <w:rFonts w:hint="eastAsia"/>
          <w:b/>
          <w:bCs/>
          <w:sz w:val="24"/>
          <w:szCs w:val="32"/>
          <w:highlight w:val="none"/>
        </w:rPr>
        <w:t>第二包技术要求：</w:t>
      </w:r>
    </w:p>
    <w:p w14:paraId="0F8EE0FD">
      <w:pPr>
        <w:keepNext/>
        <w:keepLines/>
        <w:adjustRightInd w:val="0"/>
        <w:snapToGrid w:val="0"/>
        <w:spacing w:line="288" w:lineRule="auto"/>
        <w:ind w:firstLine="448" w:firstLineChars="200"/>
        <w:outlineLvl w:val="3"/>
        <w:rPr>
          <w:rFonts w:ascii="Cambria" w:hAnsi="Cambria"/>
          <w:b/>
          <w:bCs/>
          <w:sz w:val="24"/>
          <w:szCs w:val="28"/>
          <w:highlight w:val="none"/>
        </w:rPr>
      </w:pPr>
      <w:r>
        <w:rPr>
          <w:rFonts w:hint="eastAsia" w:ascii="Cambria" w:hAnsi="Cambria"/>
          <w:b/>
          <w:bCs/>
          <w:sz w:val="24"/>
          <w:szCs w:val="28"/>
          <w:highlight w:val="none"/>
        </w:rPr>
        <w:t>一、服务规模及内容</w:t>
      </w:r>
    </w:p>
    <w:p w14:paraId="7759F2F8">
      <w:pPr>
        <w:adjustRightInd w:val="0"/>
        <w:snapToGrid w:val="0"/>
        <w:spacing w:line="288" w:lineRule="auto"/>
        <w:ind w:firstLine="448" w:firstLineChars="200"/>
        <w:rPr>
          <w:rFonts w:ascii="宋体" w:hAnsi="宋体"/>
          <w:sz w:val="24"/>
          <w:szCs w:val="24"/>
          <w:highlight w:val="none"/>
        </w:rPr>
      </w:pPr>
      <w:r>
        <w:rPr>
          <w:rFonts w:hint="eastAsia" w:ascii="宋体" w:hAnsi="宋体"/>
          <w:sz w:val="24"/>
          <w:szCs w:val="24"/>
          <w:highlight w:val="none"/>
        </w:rPr>
        <w:t>本包运维内容涉及前端设备、网络链路及后端设备的全面维护。其中，前端设备包括视频监控摄像机、前端交换机、前端存储设备、杆体配套设施、供电系统等。</w:t>
      </w:r>
    </w:p>
    <w:p w14:paraId="50CB029D">
      <w:pPr>
        <w:adjustRightInd w:val="0"/>
        <w:snapToGrid w:val="0"/>
        <w:spacing w:line="288" w:lineRule="auto"/>
        <w:ind w:firstLine="448" w:firstLineChars="200"/>
        <w:rPr>
          <w:rFonts w:ascii="宋体" w:hAnsi="宋体"/>
          <w:sz w:val="24"/>
          <w:szCs w:val="24"/>
          <w:highlight w:val="none"/>
        </w:rPr>
      </w:pPr>
      <w:r>
        <w:rPr>
          <w:rFonts w:ascii="宋体" w:hAnsi="宋体"/>
          <w:sz w:val="24"/>
          <w:szCs w:val="24"/>
          <w:highlight w:val="none"/>
        </w:rPr>
        <w:t>网络链路包括前端点位-科电石化机房百兆链路、科电石化机房-派出所千兆链路、科电石化机房-联通IDC机房万兆链路的日常维护和通信保障</w:t>
      </w:r>
      <w:r>
        <w:rPr>
          <w:rFonts w:hint="eastAsia" w:ascii="宋体" w:hAnsi="宋体"/>
          <w:sz w:val="24"/>
          <w:szCs w:val="24"/>
          <w:highlight w:val="none"/>
        </w:rPr>
        <w:t>。</w:t>
      </w:r>
    </w:p>
    <w:p w14:paraId="173017E1">
      <w:pPr>
        <w:adjustRightInd w:val="0"/>
        <w:snapToGrid w:val="0"/>
        <w:spacing w:line="288" w:lineRule="auto"/>
        <w:ind w:firstLine="448" w:firstLineChars="200"/>
        <w:rPr>
          <w:rFonts w:ascii="宋体" w:hAnsi="宋体"/>
          <w:sz w:val="24"/>
          <w:szCs w:val="24"/>
          <w:highlight w:val="none"/>
        </w:rPr>
      </w:pPr>
      <w:r>
        <w:rPr>
          <w:rFonts w:hint="eastAsia" w:ascii="宋体" w:hAnsi="宋体"/>
          <w:sz w:val="24"/>
          <w:szCs w:val="24"/>
          <w:highlight w:val="none"/>
        </w:rPr>
        <w:t>后端设备包括视频监控系统平台、电子卡口后台处理系统、服务器、存储设备、其他相关网络设备，以及机柜租赁保障服务。运维服务内容如下表所示：</w:t>
      </w:r>
    </w:p>
    <w:tbl>
      <w:tblPr>
        <w:tblStyle w:val="19"/>
        <w:tblW w:w="5000" w:type="pct"/>
        <w:tblInd w:w="0" w:type="dxa"/>
        <w:tblLayout w:type="autofit"/>
        <w:tblCellMar>
          <w:top w:w="0" w:type="dxa"/>
          <w:left w:w="57" w:type="dxa"/>
          <w:bottom w:w="0" w:type="dxa"/>
          <w:right w:w="57" w:type="dxa"/>
        </w:tblCellMar>
      </w:tblPr>
      <w:tblGrid>
        <w:gridCol w:w="777"/>
        <w:gridCol w:w="6035"/>
        <w:gridCol w:w="710"/>
        <w:gridCol w:w="790"/>
      </w:tblGrid>
      <w:tr w14:paraId="7CE6E21F">
        <w:tblPrEx>
          <w:tblCellMar>
            <w:top w:w="0" w:type="dxa"/>
            <w:left w:w="57" w:type="dxa"/>
            <w:bottom w:w="0" w:type="dxa"/>
            <w:right w:w="57" w:type="dxa"/>
          </w:tblCellMar>
        </w:tblPrEx>
        <w:trPr>
          <w:tblHeader/>
        </w:trPr>
        <w:tc>
          <w:tcPr>
            <w:tcW w:w="468" w:type="pct"/>
            <w:tcBorders>
              <w:top w:val="single" w:color="auto" w:sz="4" w:space="0"/>
              <w:left w:val="single" w:color="auto" w:sz="4" w:space="0"/>
              <w:bottom w:val="single" w:color="auto" w:sz="4" w:space="0"/>
              <w:right w:val="single" w:color="auto" w:sz="4" w:space="0"/>
            </w:tcBorders>
            <w:vAlign w:val="center"/>
          </w:tcPr>
          <w:p w14:paraId="2B10DA39">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序号</w:t>
            </w:r>
          </w:p>
        </w:tc>
        <w:tc>
          <w:tcPr>
            <w:tcW w:w="3630" w:type="pct"/>
            <w:tcBorders>
              <w:top w:val="single" w:color="auto" w:sz="4" w:space="0"/>
              <w:left w:val="nil"/>
              <w:bottom w:val="single" w:color="auto" w:sz="4" w:space="0"/>
              <w:right w:val="single" w:color="auto" w:sz="4" w:space="0"/>
            </w:tcBorders>
            <w:vAlign w:val="center"/>
          </w:tcPr>
          <w:p w14:paraId="40907B1F">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运维服务内容</w:t>
            </w:r>
          </w:p>
        </w:tc>
        <w:tc>
          <w:tcPr>
            <w:tcW w:w="427" w:type="pct"/>
            <w:tcBorders>
              <w:top w:val="single" w:color="auto" w:sz="4" w:space="0"/>
              <w:left w:val="nil"/>
              <w:bottom w:val="single" w:color="auto" w:sz="4" w:space="0"/>
              <w:right w:val="single" w:color="auto" w:sz="4" w:space="0"/>
            </w:tcBorders>
            <w:vAlign w:val="center"/>
          </w:tcPr>
          <w:p w14:paraId="01D039DE">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单位</w:t>
            </w:r>
          </w:p>
        </w:tc>
        <w:tc>
          <w:tcPr>
            <w:tcW w:w="475" w:type="pct"/>
            <w:tcBorders>
              <w:top w:val="single" w:color="auto" w:sz="4" w:space="0"/>
              <w:left w:val="nil"/>
              <w:bottom w:val="single" w:color="auto" w:sz="4" w:space="0"/>
              <w:right w:val="single" w:color="auto" w:sz="4" w:space="0"/>
            </w:tcBorders>
            <w:vAlign w:val="center"/>
          </w:tcPr>
          <w:p w14:paraId="2C48B8D1">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数量</w:t>
            </w:r>
          </w:p>
        </w:tc>
      </w:tr>
      <w:tr w14:paraId="70BD4EBF">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407DB8F2">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一</w:t>
            </w:r>
          </w:p>
        </w:tc>
        <w:tc>
          <w:tcPr>
            <w:tcW w:w="3630" w:type="pct"/>
            <w:tcBorders>
              <w:top w:val="nil"/>
              <w:left w:val="nil"/>
              <w:bottom w:val="single" w:color="auto" w:sz="4" w:space="0"/>
              <w:right w:val="single" w:color="auto" w:sz="4" w:space="0"/>
            </w:tcBorders>
            <w:noWrap/>
            <w:vAlign w:val="center"/>
          </w:tcPr>
          <w:p w14:paraId="322CF528">
            <w:pPr>
              <w:widowControl/>
              <w:jc w:val="left"/>
              <w:rPr>
                <w:rFonts w:ascii="宋体" w:hAnsi="宋体" w:cs="宋体"/>
                <w:b/>
                <w:bCs/>
                <w:color w:val="000000"/>
                <w:kern w:val="0"/>
                <w:sz w:val="22"/>
                <w:highlight w:val="none"/>
              </w:rPr>
            </w:pPr>
            <w:r>
              <w:rPr>
                <w:rFonts w:ascii="宋体" w:hAnsi="宋体" w:cs="宋体"/>
                <w:b/>
                <w:bCs/>
                <w:color w:val="000000"/>
                <w:kern w:val="0"/>
                <w:sz w:val="22"/>
                <w:highlight w:val="none"/>
              </w:rPr>
              <w:t>前端设备运维及改造</w:t>
            </w:r>
          </w:p>
        </w:tc>
        <w:tc>
          <w:tcPr>
            <w:tcW w:w="427" w:type="pct"/>
            <w:tcBorders>
              <w:top w:val="nil"/>
              <w:left w:val="nil"/>
              <w:bottom w:val="single" w:color="auto" w:sz="4" w:space="0"/>
              <w:right w:val="single" w:color="auto" w:sz="4" w:space="0"/>
            </w:tcBorders>
            <w:vAlign w:val="center"/>
          </w:tcPr>
          <w:p w14:paraId="01C5BFD3">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　</w:t>
            </w:r>
          </w:p>
        </w:tc>
        <w:tc>
          <w:tcPr>
            <w:tcW w:w="475" w:type="pct"/>
            <w:tcBorders>
              <w:top w:val="nil"/>
              <w:left w:val="nil"/>
              <w:bottom w:val="single" w:color="auto" w:sz="4" w:space="0"/>
              <w:right w:val="single" w:color="auto" w:sz="4" w:space="0"/>
            </w:tcBorders>
            <w:vAlign w:val="center"/>
          </w:tcPr>
          <w:p w14:paraId="1A5CAF49">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　</w:t>
            </w:r>
          </w:p>
        </w:tc>
      </w:tr>
      <w:tr w14:paraId="7158E32E">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2982F451">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（一）</w:t>
            </w:r>
          </w:p>
        </w:tc>
        <w:tc>
          <w:tcPr>
            <w:tcW w:w="3630" w:type="pct"/>
            <w:tcBorders>
              <w:top w:val="nil"/>
              <w:left w:val="nil"/>
              <w:bottom w:val="single" w:color="auto" w:sz="4" w:space="0"/>
              <w:right w:val="single" w:color="auto" w:sz="4" w:space="0"/>
            </w:tcBorders>
            <w:vAlign w:val="center"/>
          </w:tcPr>
          <w:p w14:paraId="1FE395E1">
            <w:pPr>
              <w:widowControl/>
              <w:rPr>
                <w:rFonts w:ascii="宋体" w:hAnsi="宋体" w:cs="宋体"/>
                <w:b/>
                <w:bCs/>
                <w:color w:val="000000"/>
                <w:kern w:val="0"/>
                <w:sz w:val="22"/>
                <w:highlight w:val="none"/>
              </w:rPr>
            </w:pPr>
            <w:r>
              <w:rPr>
                <w:rFonts w:ascii="宋体" w:hAnsi="宋体" w:cs="宋体"/>
                <w:b/>
                <w:bCs/>
                <w:color w:val="000000"/>
                <w:kern w:val="0"/>
                <w:sz w:val="22"/>
                <w:highlight w:val="none"/>
              </w:rPr>
              <w:t>前端设备运维服务</w:t>
            </w:r>
          </w:p>
        </w:tc>
        <w:tc>
          <w:tcPr>
            <w:tcW w:w="427" w:type="pct"/>
            <w:tcBorders>
              <w:top w:val="nil"/>
              <w:left w:val="nil"/>
              <w:bottom w:val="single" w:color="auto" w:sz="4" w:space="0"/>
              <w:right w:val="single" w:color="auto" w:sz="4" w:space="0"/>
            </w:tcBorders>
            <w:vAlign w:val="center"/>
          </w:tcPr>
          <w:p w14:paraId="78F99308">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c>
          <w:tcPr>
            <w:tcW w:w="475" w:type="pct"/>
            <w:tcBorders>
              <w:top w:val="nil"/>
              <w:left w:val="nil"/>
              <w:bottom w:val="single" w:color="auto" w:sz="4" w:space="0"/>
              <w:right w:val="single" w:color="auto" w:sz="4" w:space="0"/>
            </w:tcBorders>
            <w:vAlign w:val="center"/>
          </w:tcPr>
          <w:p w14:paraId="198A7FE3">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r>
      <w:tr w14:paraId="186CCBB8">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7A1052FE">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3630" w:type="pct"/>
            <w:tcBorders>
              <w:top w:val="nil"/>
              <w:left w:val="nil"/>
              <w:bottom w:val="single" w:color="auto" w:sz="4" w:space="0"/>
              <w:right w:val="single" w:color="auto" w:sz="4" w:space="0"/>
            </w:tcBorders>
            <w:vAlign w:val="center"/>
          </w:tcPr>
          <w:p w14:paraId="5F4CE111">
            <w:pPr>
              <w:widowControl/>
              <w:rPr>
                <w:rFonts w:ascii="宋体" w:hAnsi="宋体" w:cs="宋体"/>
                <w:color w:val="000000"/>
                <w:kern w:val="0"/>
                <w:sz w:val="22"/>
                <w:highlight w:val="none"/>
              </w:rPr>
            </w:pPr>
            <w:r>
              <w:rPr>
                <w:rFonts w:ascii="宋体" w:hAnsi="宋体" w:cs="宋体"/>
                <w:color w:val="000000"/>
                <w:kern w:val="0"/>
                <w:sz w:val="22"/>
                <w:highlight w:val="none"/>
              </w:rPr>
              <w:t>视频监控杆体（含杆体迁移）</w:t>
            </w:r>
          </w:p>
        </w:tc>
        <w:tc>
          <w:tcPr>
            <w:tcW w:w="427" w:type="pct"/>
            <w:tcBorders>
              <w:top w:val="nil"/>
              <w:left w:val="nil"/>
              <w:bottom w:val="single" w:color="auto" w:sz="4" w:space="0"/>
              <w:right w:val="single" w:color="auto" w:sz="4" w:space="0"/>
            </w:tcBorders>
            <w:vAlign w:val="center"/>
          </w:tcPr>
          <w:p w14:paraId="236340B0">
            <w:pPr>
              <w:widowControl/>
              <w:jc w:val="center"/>
              <w:rPr>
                <w:rFonts w:ascii="宋体" w:hAnsi="宋体" w:cs="宋体"/>
                <w:color w:val="000000"/>
                <w:kern w:val="0"/>
                <w:sz w:val="22"/>
                <w:highlight w:val="none"/>
              </w:rPr>
            </w:pPr>
            <w:r>
              <w:rPr>
                <w:rFonts w:ascii="宋体" w:hAnsi="宋体" w:cs="宋体"/>
                <w:color w:val="000000"/>
                <w:kern w:val="0"/>
                <w:sz w:val="22"/>
                <w:highlight w:val="none"/>
              </w:rPr>
              <w:t>根</w:t>
            </w:r>
          </w:p>
        </w:tc>
        <w:tc>
          <w:tcPr>
            <w:tcW w:w="475" w:type="pct"/>
            <w:tcBorders>
              <w:top w:val="nil"/>
              <w:left w:val="nil"/>
              <w:bottom w:val="single" w:color="auto" w:sz="4" w:space="0"/>
              <w:right w:val="single" w:color="auto" w:sz="4" w:space="0"/>
            </w:tcBorders>
            <w:vAlign w:val="center"/>
          </w:tcPr>
          <w:p w14:paraId="31B56EEA">
            <w:pPr>
              <w:widowControl/>
              <w:jc w:val="center"/>
              <w:rPr>
                <w:rFonts w:ascii="宋体" w:hAnsi="宋体" w:cs="宋体"/>
                <w:color w:val="000000"/>
                <w:kern w:val="0"/>
                <w:sz w:val="22"/>
                <w:highlight w:val="none"/>
              </w:rPr>
            </w:pPr>
            <w:r>
              <w:rPr>
                <w:rFonts w:ascii="宋体" w:hAnsi="宋体" w:cs="宋体"/>
                <w:color w:val="000000"/>
                <w:kern w:val="0"/>
                <w:sz w:val="22"/>
                <w:highlight w:val="none"/>
              </w:rPr>
              <w:t>71</w:t>
            </w:r>
          </w:p>
        </w:tc>
      </w:tr>
      <w:tr w14:paraId="1B1FC649">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20D01AFA">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3630" w:type="pct"/>
            <w:tcBorders>
              <w:top w:val="nil"/>
              <w:left w:val="nil"/>
              <w:bottom w:val="single" w:color="auto" w:sz="4" w:space="0"/>
              <w:right w:val="single" w:color="auto" w:sz="4" w:space="0"/>
            </w:tcBorders>
            <w:vAlign w:val="center"/>
          </w:tcPr>
          <w:p w14:paraId="6AA7A715">
            <w:pPr>
              <w:widowControl/>
              <w:rPr>
                <w:rFonts w:ascii="宋体" w:hAnsi="宋体" w:cs="宋体"/>
                <w:color w:val="000000"/>
                <w:kern w:val="0"/>
                <w:sz w:val="22"/>
                <w:highlight w:val="none"/>
              </w:rPr>
            </w:pPr>
            <w:r>
              <w:rPr>
                <w:rFonts w:ascii="宋体" w:hAnsi="宋体" w:cs="宋体"/>
                <w:color w:val="000000"/>
                <w:kern w:val="0"/>
                <w:sz w:val="22"/>
                <w:highlight w:val="none"/>
              </w:rPr>
              <w:t>视频监控摄像机（含高点摄像机、智能摄像机、杆体迁移摄像机）</w:t>
            </w:r>
          </w:p>
        </w:tc>
        <w:tc>
          <w:tcPr>
            <w:tcW w:w="427" w:type="pct"/>
            <w:tcBorders>
              <w:top w:val="nil"/>
              <w:left w:val="nil"/>
              <w:bottom w:val="single" w:color="auto" w:sz="4" w:space="0"/>
              <w:right w:val="single" w:color="auto" w:sz="4" w:space="0"/>
            </w:tcBorders>
            <w:vAlign w:val="center"/>
          </w:tcPr>
          <w:p w14:paraId="3CC1CEA9">
            <w:pPr>
              <w:widowControl/>
              <w:jc w:val="center"/>
              <w:rPr>
                <w:rFonts w:ascii="宋体" w:hAnsi="宋体" w:cs="宋体"/>
                <w:color w:val="000000"/>
                <w:kern w:val="0"/>
                <w:sz w:val="22"/>
                <w:highlight w:val="none"/>
              </w:rPr>
            </w:pPr>
            <w:r>
              <w:rPr>
                <w:rFonts w:ascii="宋体" w:hAnsi="宋体" w:cs="宋体"/>
                <w:color w:val="000000"/>
                <w:kern w:val="0"/>
                <w:sz w:val="22"/>
                <w:highlight w:val="none"/>
              </w:rPr>
              <w:t>个</w:t>
            </w:r>
          </w:p>
        </w:tc>
        <w:tc>
          <w:tcPr>
            <w:tcW w:w="475" w:type="pct"/>
            <w:tcBorders>
              <w:top w:val="nil"/>
              <w:left w:val="nil"/>
              <w:bottom w:val="single" w:color="auto" w:sz="4" w:space="0"/>
              <w:right w:val="single" w:color="auto" w:sz="4" w:space="0"/>
            </w:tcBorders>
            <w:vAlign w:val="center"/>
          </w:tcPr>
          <w:p w14:paraId="7221F0CC">
            <w:pPr>
              <w:widowControl/>
              <w:jc w:val="center"/>
              <w:rPr>
                <w:rFonts w:ascii="宋体" w:hAnsi="宋体" w:cs="宋体"/>
                <w:color w:val="000000"/>
                <w:kern w:val="0"/>
                <w:sz w:val="22"/>
                <w:highlight w:val="none"/>
              </w:rPr>
            </w:pPr>
            <w:r>
              <w:rPr>
                <w:rFonts w:ascii="宋体" w:hAnsi="宋体" w:cs="宋体"/>
                <w:color w:val="000000"/>
                <w:kern w:val="0"/>
                <w:sz w:val="22"/>
                <w:highlight w:val="none"/>
              </w:rPr>
              <w:t>157</w:t>
            </w:r>
          </w:p>
        </w:tc>
      </w:tr>
      <w:tr w14:paraId="2C0452FB">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2D06A1E2">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3630" w:type="pct"/>
            <w:tcBorders>
              <w:top w:val="nil"/>
              <w:left w:val="nil"/>
              <w:bottom w:val="single" w:color="auto" w:sz="4" w:space="0"/>
              <w:right w:val="single" w:color="auto" w:sz="4" w:space="0"/>
            </w:tcBorders>
            <w:vAlign w:val="center"/>
          </w:tcPr>
          <w:p w14:paraId="727D19E4">
            <w:pPr>
              <w:widowControl/>
              <w:rPr>
                <w:rFonts w:ascii="宋体" w:hAnsi="宋体" w:cs="宋体"/>
                <w:color w:val="000000"/>
                <w:kern w:val="0"/>
                <w:sz w:val="22"/>
                <w:highlight w:val="none"/>
              </w:rPr>
            </w:pPr>
            <w:r>
              <w:rPr>
                <w:rFonts w:ascii="宋体" w:hAnsi="宋体" w:cs="宋体"/>
                <w:color w:val="000000"/>
                <w:kern w:val="0"/>
                <w:sz w:val="22"/>
                <w:highlight w:val="none"/>
              </w:rPr>
              <w:t>卡口相机</w:t>
            </w:r>
          </w:p>
        </w:tc>
        <w:tc>
          <w:tcPr>
            <w:tcW w:w="427" w:type="pct"/>
            <w:tcBorders>
              <w:top w:val="nil"/>
              <w:left w:val="nil"/>
              <w:bottom w:val="single" w:color="auto" w:sz="4" w:space="0"/>
              <w:right w:val="single" w:color="auto" w:sz="4" w:space="0"/>
            </w:tcBorders>
            <w:vAlign w:val="center"/>
          </w:tcPr>
          <w:p w14:paraId="445721E9">
            <w:pPr>
              <w:widowControl/>
              <w:jc w:val="center"/>
              <w:rPr>
                <w:rFonts w:ascii="宋体" w:hAnsi="宋体" w:cs="宋体"/>
                <w:color w:val="000000"/>
                <w:kern w:val="0"/>
                <w:sz w:val="22"/>
                <w:highlight w:val="none"/>
              </w:rPr>
            </w:pPr>
            <w:r>
              <w:rPr>
                <w:rFonts w:ascii="宋体" w:hAnsi="宋体" w:cs="宋体"/>
                <w:color w:val="000000"/>
                <w:kern w:val="0"/>
                <w:sz w:val="22"/>
                <w:highlight w:val="none"/>
              </w:rPr>
              <w:t>个</w:t>
            </w:r>
          </w:p>
        </w:tc>
        <w:tc>
          <w:tcPr>
            <w:tcW w:w="475" w:type="pct"/>
            <w:tcBorders>
              <w:top w:val="nil"/>
              <w:left w:val="nil"/>
              <w:bottom w:val="single" w:color="auto" w:sz="4" w:space="0"/>
              <w:right w:val="single" w:color="auto" w:sz="4" w:space="0"/>
            </w:tcBorders>
            <w:vAlign w:val="center"/>
          </w:tcPr>
          <w:p w14:paraId="5DBCB8A4">
            <w:pPr>
              <w:widowControl/>
              <w:jc w:val="center"/>
              <w:rPr>
                <w:rFonts w:ascii="宋体" w:hAnsi="宋体" w:cs="宋体"/>
                <w:color w:val="000000"/>
                <w:kern w:val="0"/>
                <w:sz w:val="22"/>
                <w:highlight w:val="none"/>
              </w:rPr>
            </w:pPr>
            <w:r>
              <w:rPr>
                <w:rFonts w:ascii="宋体" w:hAnsi="宋体" w:cs="宋体"/>
                <w:color w:val="000000"/>
                <w:kern w:val="0"/>
                <w:sz w:val="22"/>
                <w:highlight w:val="none"/>
              </w:rPr>
              <w:t>22</w:t>
            </w:r>
          </w:p>
        </w:tc>
      </w:tr>
      <w:tr w14:paraId="4A521B21">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3CF03423">
            <w:pPr>
              <w:widowControl/>
              <w:jc w:val="center"/>
              <w:rPr>
                <w:rFonts w:ascii="宋体" w:hAnsi="宋体" w:cs="宋体"/>
                <w:color w:val="000000"/>
                <w:kern w:val="0"/>
                <w:sz w:val="22"/>
                <w:highlight w:val="none"/>
              </w:rPr>
            </w:pPr>
            <w:r>
              <w:rPr>
                <w:rFonts w:ascii="宋体" w:hAnsi="宋体" w:cs="宋体"/>
                <w:color w:val="000000"/>
                <w:kern w:val="0"/>
                <w:sz w:val="22"/>
                <w:highlight w:val="none"/>
              </w:rPr>
              <w:t>4</w:t>
            </w:r>
          </w:p>
        </w:tc>
        <w:tc>
          <w:tcPr>
            <w:tcW w:w="3630" w:type="pct"/>
            <w:tcBorders>
              <w:top w:val="nil"/>
              <w:left w:val="nil"/>
              <w:bottom w:val="single" w:color="auto" w:sz="4" w:space="0"/>
              <w:right w:val="single" w:color="auto" w:sz="4" w:space="0"/>
            </w:tcBorders>
            <w:vAlign w:val="center"/>
          </w:tcPr>
          <w:p w14:paraId="660CEB18">
            <w:pPr>
              <w:widowControl/>
              <w:rPr>
                <w:rFonts w:ascii="宋体" w:hAnsi="宋体" w:cs="宋体"/>
                <w:color w:val="000000"/>
                <w:kern w:val="0"/>
                <w:sz w:val="22"/>
                <w:highlight w:val="none"/>
              </w:rPr>
            </w:pPr>
            <w:r>
              <w:rPr>
                <w:rFonts w:ascii="宋体" w:hAnsi="宋体" w:cs="宋体"/>
                <w:color w:val="000000"/>
                <w:kern w:val="0"/>
                <w:sz w:val="22"/>
                <w:highlight w:val="none"/>
              </w:rPr>
              <w:t>卡口正反向全景摄像机</w:t>
            </w:r>
          </w:p>
        </w:tc>
        <w:tc>
          <w:tcPr>
            <w:tcW w:w="427" w:type="pct"/>
            <w:tcBorders>
              <w:top w:val="nil"/>
              <w:left w:val="nil"/>
              <w:bottom w:val="single" w:color="auto" w:sz="4" w:space="0"/>
              <w:right w:val="single" w:color="auto" w:sz="4" w:space="0"/>
            </w:tcBorders>
            <w:vAlign w:val="center"/>
          </w:tcPr>
          <w:p w14:paraId="18A3E365">
            <w:pPr>
              <w:widowControl/>
              <w:jc w:val="center"/>
              <w:rPr>
                <w:rFonts w:ascii="宋体" w:hAnsi="宋体" w:cs="宋体"/>
                <w:color w:val="000000"/>
                <w:kern w:val="0"/>
                <w:sz w:val="22"/>
                <w:highlight w:val="none"/>
              </w:rPr>
            </w:pPr>
            <w:r>
              <w:rPr>
                <w:rFonts w:ascii="宋体" w:hAnsi="宋体" w:cs="宋体"/>
                <w:color w:val="000000"/>
                <w:kern w:val="0"/>
                <w:sz w:val="22"/>
                <w:highlight w:val="none"/>
              </w:rPr>
              <w:t>个</w:t>
            </w:r>
          </w:p>
        </w:tc>
        <w:tc>
          <w:tcPr>
            <w:tcW w:w="475" w:type="pct"/>
            <w:tcBorders>
              <w:top w:val="nil"/>
              <w:left w:val="nil"/>
              <w:bottom w:val="single" w:color="auto" w:sz="4" w:space="0"/>
              <w:right w:val="single" w:color="auto" w:sz="4" w:space="0"/>
            </w:tcBorders>
            <w:vAlign w:val="center"/>
          </w:tcPr>
          <w:p w14:paraId="62574DD7">
            <w:pPr>
              <w:widowControl/>
              <w:jc w:val="center"/>
              <w:rPr>
                <w:rFonts w:ascii="宋体" w:hAnsi="宋体" w:cs="宋体"/>
                <w:color w:val="000000"/>
                <w:kern w:val="0"/>
                <w:sz w:val="22"/>
                <w:highlight w:val="none"/>
              </w:rPr>
            </w:pPr>
            <w:r>
              <w:rPr>
                <w:rFonts w:ascii="宋体" w:hAnsi="宋体" w:cs="宋体"/>
                <w:color w:val="000000"/>
                <w:kern w:val="0"/>
                <w:sz w:val="22"/>
                <w:highlight w:val="none"/>
              </w:rPr>
              <w:t>20</w:t>
            </w:r>
          </w:p>
        </w:tc>
      </w:tr>
      <w:tr w14:paraId="641E42D5">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4AE79BA7">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（二）</w:t>
            </w:r>
          </w:p>
        </w:tc>
        <w:tc>
          <w:tcPr>
            <w:tcW w:w="3630" w:type="pct"/>
            <w:tcBorders>
              <w:top w:val="nil"/>
              <w:left w:val="nil"/>
              <w:bottom w:val="single" w:color="auto" w:sz="4" w:space="0"/>
              <w:right w:val="single" w:color="auto" w:sz="4" w:space="0"/>
            </w:tcBorders>
            <w:vAlign w:val="center"/>
          </w:tcPr>
          <w:p w14:paraId="324B2744">
            <w:pPr>
              <w:widowControl/>
              <w:rPr>
                <w:rFonts w:ascii="宋体" w:hAnsi="宋体" w:cs="宋体"/>
                <w:b/>
                <w:bCs/>
                <w:color w:val="000000"/>
                <w:kern w:val="0"/>
                <w:sz w:val="22"/>
                <w:highlight w:val="none"/>
              </w:rPr>
            </w:pPr>
            <w:r>
              <w:rPr>
                <w:rFonts w:ascii="宋体" w:hAnsi="宋体" w:cs="宋体"/>
                <w:b/>
                <w:bCs/>
                <w:color w:val="000000"/>
                <w:kern w:val="0"/>
                <w:sz w:val="22"/>
                <w:highlight w:val="none"/>
              </w:rPr>
              <w:t>杆体拆除及迁移工作</w:t>
            </w:r>
          </w:p>
        </w:tc>
        <w:tc>
          <w:tcPr>
            <w:tcW w:w="427" w:type="pct"/>
            <w:tcBorders>
              <w:top w:val="nil"/>
              <w:left w:val="nil"/>
              <w:bottom w:val="single" w:color="auto" w:sz="4" w:space="0"/>
              <w:right w:val="single" w:color="auto" w:sz="4" w:space="0"/>
            </w:tcBorders>
            <w:vAlign w:val="center"/>
          </w:tcPr>
          <w:p w14:paraId="082E2E21">
            <w:pPr>
              <w:widowControl/>
              <w:jc w:val="center"/>
              <w:rPr>
                <w:rFonts w:ascii="宋体" w:hAnsi="宋体" w:cs="宋体"/>
                <w:color w:val="000000"/>
                <w:kern w:val="0"/>
                <w:sz w:val="22"/>
                <w:highlight w:val="none"/>
              </w:rPr>
            </w:pPr>
            <w:r>
              <w:rPr>
                <w:rFonts w:ascii="宋体" w:hAnsi="宋体" w:cs="宋体"/>
                <w:color w:val="000000"/>
                <w:kern w:val="0"/>
                <w:sz w:val="22"/>
                <w:highlight w:val="none"/>
              </w:rPr>
              <w:t>根</w:t>
            </w:r>
          </w:p>
        </w:tc>
        <w:tc>
          <w:tcPr>
            <w:tcW w:w="475" w:type="pct"/>
            <w:tcBorders>
              <w:top w:val="nil"/>
              <w:left w:val="nil"/>
              <w:bottom w:val="single" w:color="auto" w:sz="4" w:space="0"/>
              <w:right w:val="single" w:color="auto" w:sz="4" w:space="0"/>
            </w:tcBorders>
            <w:vAlign w:val="center"/>
          </w:tcPr>
          <w:p w14:paraId="6EAC53F8">
            <w:pPr>
              <w:widowControl/>
              <w:jc w:val="center"/>
              <w:rPr>
                <w:rFonts w:ascii="宋体" w:hAnsi="宋体" w:cs="宋体"/>
                <w:color w:val="000000"/>
                <w:kern w:val="0"/>
                <w:sz w:val="22"/>
                <w:highlight w:val="none"/>
              </w:rPr>
            </w:pPr>
            <w:r>
              <w:rPr>
                <w:rFonts w:ascii="宋体" w:hAnsi="宋体" w:cs="宋体"/>
                <w:color w:val="000000"/>
                <w:kern w:val="0"/>
                <w:sz w:val="22"/>
                <w:highlight w:val="none"/>
              </w:rPr>
              <w:t>6</w:t>
            </w:r>
          </w:p>
        </w:tc>
      </w:tr>
      <w:tr w14:paraId="337F1A17">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77F6DB63">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二</w:t>
            </w:r>
          </w:p>
        </w:tc>
        <w:tc>
          <w:tcPr>
            <w:tcW w:w="3630" w:type="pct"/>
            <w:tcBorders>
              <w:top w:val="nil"/>
              <w:left w:val="nil"/>
              <w:bottom w:val="single" w:color="auto" w:sz="4" w:space="0"/>
              <w:right w:val="single" w:color="auto" w:sz="4" w:space="0"/>
            </w:tcBorders>
            <w:vAlign w:val="center"/>
          </w:tcPr>
          <w:p w14:paraId="544B6863">
            <w:pPr>
              <w:widowControl/>
              <w:rPr>
                <w:rFonts w:ascii="宋体" w:hAnsi="宋体" w:cs="宋体"/>
                <w:b/>
                <w:bCs/>
                <w:color w:val="000000"/>
                <w:kern w:val="0"/>
                <w:sz w:val="22"/>
                <w:highlight w:val="none"/>
              </w:rPr>
            </w:pPr>
            <w:r>
              <w:rPr>
                <w:rFonts w:ascii="宋体" w:hAnsi="宋体" w:cs="宋体"/>
                <w:b/>
                <w:bCs/>
                <w:color w:val="000000"/>
                <w:kern w:val="0"/>
                <w:sz w:val="22"/>
                <w:highlight w:val="none"/>
              </w:rPr>
              <w:t>网络链路保障服务</w:t>
            </w:r>
          </w:p>
        </w:tc>
        <w:tc>
          <w:tcPr>
            <w:tcW w:w="427" w:type="pct"/>
            <w:tcBorders>
              <w:top w:val="nil"/>
              <w:left w:val="nil"/>
              <w:bottom w:val="single" w:color="auto" w:sz="4" w:space="0"/>
              <w:right w:val="single" w:color="auto" w:sz="4" w:space="0"/>
            </w:tcBorders>
            <w:vAlign w:val="center"/>
          </w:tcPr>
          <w:p w14:paraId="6BF08EE1">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c>
          <w:tcPr>
            <w:tcW w:w="475" w:type="pct"/>
            <w:tcBorders>
              <w:top w:val="nil"/>
              <w:left w:val="nil"/>
              <w:bottom w:val="single" w:color="auto" w:sz="4" w:space="0"/>
              <w:right w:val="single" w:color="auto" w:sz="4" w:space="0"/>
            </w:tcBorders>
            <w:vAlign w:val="center"/>
          </w:tcPr>
          <w:p w14:paraId="06A643AE">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r>
      <w:tr w14:paraId="2E4B256F">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2E18C0D2">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3630" w:type="pct"/>
            <w:tcBorders>
              <w:top w:val="nil"/>
              <w:left w:val="nil"/>
              <w:bottom w:val="single" w:color="auto" w:sz="4" w:space="0"/>
              <w:right w:val="single" w:color="auto" w:sz="4" w:space="0"/>
            </w:tcBorders>
            <w:vAlign w:val="center"/>
          </w:tcPr>
          <w:p w14:paraId="06A9F150">
            <w:pPr>
              <w:widowControl/>
              <w:rPr>
                <w:rFonts w:ascii="宋体" w:hAnsi="宋体" w:cs="宋体"/>
                <w:color w:val="000000"/>
                <w:kern w:val="0"/>
                <w:sz w:val="22"/>
                <w:highlight w:val="none"/>
              </w:rPr>
            </w:pPr>
            <w:r>
              <w:rPr>
                <w:rFonts w:ascii="宋体" w:hAnsi="宋体" w:cs="宋体"/>
                <w:color w:val="000000"/>
                <w:kern w:val="0"/>
                <w:sz w:val="22"/>
                <w:highlight w:val="none"/>
              </w:rPr>
              <w:t>前端点位-科电石化机房百兆光纤链路</w:t>
            </w:r>
          </w:p>
        </w:tc>
        <w:tc>
          <w:tcPr>
            <w:tcW w:w="427" w:type="pct"/>
            <w:tcBorders>
              <w:top w:val="nil"/>
              <w:left w:val="nil"/>
              <w:bottom w:val="single" w:color="auto" w:sz="4" w:space="0"/>
              <w:right w:val="single" w:color="auto" w:sz="4" w:space="0"/>
            </w:tcBorders>
            <w:vAlign w:val="center"/>
          </w:tcPr>
          <w:p w14:paraId="409B464E">
            <w:pPr>
              <w:widowControl/>
              <w:jc w:val="center"/>
              <w:rPr>
                <w:rFonts w:ascii="宋体" w:hAnsi="宋体" w:cs="宋体"/>
                <w:color w:val="000000"/>
                <w:kern w:val="0"/>
                <w:sz w:val="22"/>
                <w:highlight w:val="none"/>
              </w:rPr>
            </w:pPr>
            <w:r>
              <w:rPr>
                <w:rFonts w:ascii="宋体" w:hAnsi="宋体" w:cs="宋体"/>
                <w:color w:val="000000"/>
                <w:kern w:val="0"/>
                <w:sz w:val="22"/>
                <w:highlight w:val="none"/>
              </w:rPr>
              <w:t>条</w:t>
            </w:r>
          </w:p>
        </w:tc>
        <w:tc>
          <w:tcPr>
            <w:tcW w:w="475" w:type="pct"/>
            <w:tcBorders>
              <w:top w:val="nil"/>
              <w:left w:val="nil"/>
              <w:bottom w:val="single" w:color="auto" w:sz="4" w:space="0"/>
              <w:right w:val="single" w:color="auto" w:sz="4" w:space="0"/>
            </w:tcBorders>
            <w:vAlign w:val="center"/>
          </w:tcPr>
          <w:p w14:paraId="1FE4F9AD">
            <w:pPr>
              <w:widowControl/>
              <w:jc w:val="center"/>
              <w:rPr>
                <w:rFonts w:ascii="宋体" w:hAnsi="宋体" w:cs="宋体"/>
                <w:color w:val="000000"/>
                <w:kern w:val="0"/>
                <w:sz w:val="22"/>
                <w:highlight w:val="none"/>
              </w:rPr>
            </w:pPr>
            <w:r>
              <w:rPr>
                <w:rFonts w:ascii="宋体" w:hAnsi="宋体" w:cs="宋体"/>
                <w:color w:val="000000"/>
                <w:kern w:val="0"/>
                <w:sz w:val="22"/>
                <w:highlight w:val="none"/>
              </w:rPr>
              <w:t>81</w:t>
            </w:r>
          </w:p>
        </w:tc>
      </w:tr>
      <w:tr w14:paraId="3BD3D7BB">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13E7E706">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3630" w:type="pct"/>
            <w:tcBorders>
              <w:top w:val="nil"/>
              <w:left w:val="nil"/>
              <w:bottom w:val="single" w:color="auto" w:sz="4" w:space="0"/>
              <w:right w:val="single" w:color="auto" w:sz="4" w:space="0"/>
            </w:tcBorders>
            <w:vAlign w:val="center"/>
          </w:tcPr>
          <w:p w14:paraId="42968089">
            <w:pPr>
              <w:widowControl/>
              <w:rPr>
                <w:rFonts w:ascii="宋体" w:hAnsi="宋体" w:cs="宋体"/>
                <w:color w:val="000000"/>
                <w:kern w:val="0"/>
                <w:sz w:val="22"/>
                <w:highlight w:val="none"/>
              </w:rPr>
            </w:pPr>
            <w:r>
              <w:rPr>
                <w:rFonts w:ascii="宋体" w:hAnsi="宋体" w:cs="宋体"/>
                <w:color w:val="000000"/>
                <w:kern w:val="0"/>
                <w:sz w:val="22"/>
                <w:highlight w:val="none"/>
              </w:rPr>
              <w:t>科电石化机房-派出所千兆光纤链路</w:t>
            </w:r>
          </w:p>
        </w:tc>
        <w:tc>
          <w:tcPr>
            <w:tcW w:w="427" w:type="pct"/>
            <w:tcBorders>
              <w:top w:val="nil"/>
              <w:left w:val="nil"/>
              <w:bottom w:val="single" w:color="auto" w:sz="4" w:space="0"/>
              <w:right w:val="single" w:color="auto" w:sz="4" w:space="0"/>
            </w:tcBorders>
            <w:vAlign w:val="center"/>
          </w:tcPr>
          <w:p w14:paraId="22CDD9D1">
            <w:pPr>
              <w:widowControl/>
              <w:jc w:val="center"/>
              <w:rPr>
                <w:rFonts w:ascii="宋体" w:hAnsi="宋体" w:cs="宋体"/>
                <w:color w:val="000000"/>
                <w:kern w:val="0"/>
                <w:sz w:val="22"/>
                <w:highlight w:val="none"/>
              </w:rPr>
            </w:pPr>
            <w:r>
              <w:rPr>
                <w:rFonts w:ascii="宋体" w:hAnsi="宋体" w:cs="宋体"/>
                <w:color w:val="000000"/>
                <w:kern w:val="0"/>
                <w:sz w:val="22"/>
                <w:highlight w:val="none"/>
              </w:rPr>
              <w:t>条</w:t>
            </w:r>
          </w:p>
        </w:tc>
        <w:tc>
          <w:tcPr>
            <w:tcW w:w="475" w:type="pct"/>
            <w:tcBorders>
              <w:top w:val="nil"/>
              <w:left w:val="nil"/>
              <w:bottom w:val="single" w:color="auto" w:sz="4" w:space="0"/>
              <w:right w:val="single" w:color="auto" w:sz="4" w:space="0"/>
            </w:tcBorders>
            <w:vAlign w:val="center"/>
          </w:tcPr>
          <w:p w14:paraId="4E29FCCB">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09149334">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4907EE8F">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3630" w:type="pct"/>
            <w:tcBorders>
              <w:top w:val="nil"/>
              <w:left w:val="nil"/>
              <w:bottom w:val="single" w:color="auto" w:sz="4" w:space="0"/>
              <w:right w:val="single" w:color="auto" w:sz="4" w:space="0"/>
            </w:tcBorders>
            <w:vAlign w:val="center"/>
          </w:tcPr>
          <w:p w14:paraId="5057C4AE">
            <w:pPr>
              <w:widowControl/>
              <w:rPr>
                <w:rFonts w:ascii="宋体" w:hAnsi="宋体" w:cs="宋体"/>
                <w:color w:val="000000"/>
                <w:kern w:val="0"/>
                <w:sz w:val="22"/>
                <w:highlight w:val="none"/>
              </w:rPr>
            </w:pPr>
            <w:r>
              <w:rPr>
                <w:rFonts w:ascii="宋体" w:hAnsi="宋体" w:cs="宋体"/>
                <w:color w:val="000000"/>
                <w:kern w:val="0"/>
                <w:sz w:val="22"/>
                <w:highlight w:val="none"/>
              </w:rPr>
              <w:t>科电石化机房-联通IDC机房万兆光纤链路</w:t>
            </w:r>
          </w:p>
        </w:tc>
        <w:tc>
          <w:tcPr>
            <w:tcW w:w="427" w:type="pct"/>
            <w:tcBorders>
              <w:top w:val="nil"/>
              <w:left w:val="nil"/>
              <w:bottom w:val="single" w:color="auto" w:sz="4" w:space="0"/>
              <w:right w:val="single" w:color="auto" w:sz="4" w:space="0"/>
            </w:tcBorders>
            <w:vAlign w:val="center"/>
          </w:tcPr>
          <w:p w14:paraId="52213428">
            <w:pPr>
              <w:widowControl/>
              <w:jc w:val="center"/>
              <w:rPr>
                <w:rFonts w:ascii="宋体" w:hAnsi="宋体" w:cs="宋体"/>
                <w:color w:val="000000"/>
                <w:kern w:val="0"/>
                <w:sz w:val="22"/>
                <w:highlight w:val="none"/>
              </w:rPr>
            </w:pPr>
            <w:r>
              <w:rPr>
                <w:rFonts w:ascii="宋体" w:hAnsi="宋体" w:cs="宋体"/>
                <w:color w:val="000000"/>
                <w:kern w:val="0"/>
                <w:sz w:val="22"/>
                <w:highlight w:val="none"/>
              </w:rPr>
              <w:t>条</w:t>
            </w:r>
          </w:p>
        </w:tc>
        <w:tc>
          <w:tcPr>
            <w:tcW w:w="475" w:type="pct"/>
            <w:tcBorders>
              <w:top w:val="nil"/>
              <w:left w:val="nil"/>
              <w:bottom w:val="single" w:color="auto" w:sz="4" w:space="0"/>
              <w:right w:val="single" w:color="auto" w:sz="4" w:space="0"/>
            </w:tcBorders>
            <w:vAlign w:val="center"/>
          </w:tcPr>
          <w:p w14:paraId="5EDAC06A">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0C87D985">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755FEC8E">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三</w:t>
            </w:r>
          </w:p>
        </w:tc>
        <w:tc>
          <w:tcPr>
            <w:tcW w:w="3630" w:type="pct"/>
            <w:tcBorders>
              <w:top w:val="nil"/>
              <w:left w:val="nil"/>
              <w:bottom w:val="single" w:color="auto" w:sz="4" w:space="0"/>
              <w:right w:val="single" w:color="auto" w:sz="4" w:space="0"/>
            </w:tcBorders>
            <w:vAlign w:val="center"/>
          </w:tcPr>
          <w:p w14:paraId="7C030C67">
            <w:pPr>
              <w:widowControl/>
              <w:rPr>
                <w:rFonts w:ascii="宋体" w:hAnsi="宋体" w:cs="宋体"/>
                <w:b/>
                <w:bCs/>
                <w:color w:val="000000"/>
                <w:kern w:val="0"/>
                <w:sz w:val="22"/>
                <w:highlight w:val="none"/>
              </w:rPr>
            </w:pPr>
            <w:r>
              <w:rPr>
                <w:rFonts w:ascii="宋体" w:hAnsi="宋体" w:cs="宋体"/>
                <w:b/>
                <w:bCs/>
                <w:color w:val="000000"/>
                <w:kern w:val="0"/>
                <w:sz w:val="22"/>
                <w:highlight w:val="none"/>
              </w:rPr>
              <w:t>后端设备运维服务</w:t>
            </w:r>
          </w:p>
        </w:tc>
        <w:tc>
          <w:tcPr>
            <w:tcW w:w="427" w:type="pct"/>
            <w:tcBorders>
              <w:top w:val="nil"/>
              <w:left w:val="nil"/>
              <w:bottom w:val="single" w:color="auto" w:sz="4" w:space="0"/>
              <w:right w:val="single" w:color="auto" w:sz="4" w:space="0"/>
            </w:tcBorders>
            <w:vAlign w:val="center"/>
          </w:tcPr>
          <w:p w14:paraId="1BFFBF56">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c>
          <w:tcPr>
            <w:tcW w:w="475" w:type="pct"/>
            <w:tcBorders>
              <w:top w:val="nil"/>
              <w:left w:val="nil"/>
              <w:bottom w:val="single" w:color="auto" w:sz="4" w:space="0"/>
              <w:right w:val="single" w:color="auto" w:sz="4" w:space="0"/>
            </w:tcBorders>
            <w:vAlign w:val="center"/>
          </w:tcPr>
          <w:p w14:paraId="3D5BF9B8">
            <w:pPr>
              <w:widowControl/>
              <w:jc w:val="center"/>
              <w:rPr>
                <w:rFonts w:ascii="宋体" w:hAnsi="宋体" w:cs="宋体"/>
                <w:color w:val="000000"/>
                <w:kern w:val="0"/>
                <w:sz w:val="22"/>
                <w:highlight w:val="none"/>
              </w:rPr>
            </w:pPr>
            <w:r>
              <w:rPr>
                <w:rFonts w:ascii="宋体" w:hAnsi="宋体" w:cs="宋体"/>
                <w:color w:val="000000"/>
                <w:kern w:val="0"/>
                <w:sz w:val="22"/>
                <w:highlight w:val="none"/>
              </w:rPr>
              <w:t>　</w:t>
            </w:r>
          </w:p>
        </w:tc>
      </w:tr>
      <w:tr w14:paraId="414BEB37">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52B07657">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3630" w:type="pct"/>
            <w:tcBorders>
              <w:top w:val="nil"/>
              <w:left w:val="nil"/>
              <w:bottom w:val="single" w:color="auto" w:sz="4" w:space="0"/>
              <w:right w:val="single" w:color="auto" w:sz="4" w:space="0"/>
            </w:tcBorders>
            <w:vAlign w:val="center"/>
          </w:tcPr>
          <w:p w14:paraId="56B8DC31">
            <w:pPr>
              <w:widowControl/>
              <w:rPr>
                <w:rFonts w:ascii="宋体" w:hAnsi="宋体" w:cs="宋体"/>
                <w:color w:val="000000"/>
                <w:kern w:val="0"/>
                <w:sz w:val="22"/>
                <w:highlight w:val="none"/>
              </w:rPr>
            </w:pPr>
            <w:r>
              <w:rPr>
                <w:rFonts w:ascii="宋体" w:hAnsi="宋体" w:cs="宋体"/>
                <w:color w:val="000000"/>
                <w:kern w:val="0"/>
                <w:sz w:val="22"/>
                <w:highlight w:val="none"/>
              </w:rPr>
              <w:t>视频监控系统平台</w:t>
            </w:r>
          </w:p>
        </w:tc>
        <w:tc>
          <w:tcPr>
            <w:tcW w:w="427" w:type="pct"/>
            <w:tcBorders>
              <w:top w:val="nil"/>
              <w:left w:val="nil"/>
              <w:bottom w:val="single" w:color="auto" w:sz="4" w:space="0"/>
              <w:right w:val="single" w:color="auto" w:sz="4" w:space="0"/>
            </w:tcBorders>
            <w:vAlign w:val="center"/>
          </w:tcPr>
          <w:p w14:paraId="0CE435EC">
            <w:pPr>
              <w:widowControl/>
              <w:jc w:val="center"/>
              <w:rPr>
                <w:rFonts w:ascii="宋体" w:hAnsi="宋体" w:cs="宋体"/>
                <w:color w:val="000000"/>
                <w:kern w:val="0"/>
                <w:sz w:val="22"/>
                <w:highlight w:val="none"/>
              </w:rPr>
            </w:pPr>
            <w:r>
              <w:rPr>
                <w:rFonts w:ascii="宋体" w:hAnsi="宋体" w:cs="宋体"/>
                <w:color w:val="000000"/>
                <w:kern w:val="0"/>
                <w:sz w:val="22"/>
                <w:highlight w:val="none"/>
              </w:rPr>
              <w:t>套</w:t>
            </w:r>
          </w:p>
        </w:tc>
        <w:tc>
          <w:tcPr>
            <w:tcW w:w="475" w:type="pct"/>
            <w:tcBorders>
              <w:top w:val="nil"/>
              <w:left w:val="nil"/>
              <w:bottom w:val="single" w:color="auto" w:sz="4" w:space="0"/>
              <w:right w:val="single" w:color="auto" w:sz="4" w:space="0"/>
            </w:tcBorders>
            <w:vAlign w:val="center"/>
          </w:tcPr>
          <w:p w14:paraId="29F5445A">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63A312F1">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188B7181">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3630" w:type="pct"/>
            <w:tcBorders>
              <w:top w:val="nil"/>
              <w:left w:val="nil"/>
              <w:bottom w:val="single" w:color="auto" w:sz="4" w:space="0"/>
              <w:right w:val="single" w:color="auto" w:sz="4" w:space="0"/>
            </w:tcBorders>
            <w:vAlign w:val="center"/>
          </w:tcPr>
          <w:p w14:paraId="388E1125">
            <w:pPr>
              <w:widowControl/>
              <w:rPr>
                <w:rFonts w:ascii="宋体" w:hAnsi="宋体" w:cs="宋体"/>
                <w:color w:val="000000"/>
                <w:kern w:val="0"/>
                <w:sz w:val="22"/>
                <w:highlight w:val="none"/>
              </w:rPr>
            </w:pPr>
            <w:r>
              <w:rPr>
                <w:rFonts w:ascii="宋体" w:hAnsi="宋体" w:cs="宋体"/>
                <w:color w:val="000000"/>
                <w:kern w:val="0"/>
                <w:sz w:val="22"/>
                <w:highlight w:val="none"/>
              </w:rPr>
              <w:t>视频监控存储系统</w:t>
            </w:r>
          </w:p>
        </w:tc>
        <w:tc>
          <w:tcPr>
            <w:tcW w:w="427" w:type="pct"/>
            <w:tcBorders>
              <w:top w:val="nil"/>
              <w:left w:val="nil"/>
              <w:bottom w:val="single" w:color="auto" w:sz="4" w:space="0"/>
              <w:right w:val="single" w:color="auto" w:sz="4" w:space="0"/>
            </w:tcBorders>
            <w:vAlign w:val="center"/>
          </w:tcPr>
          <w:p w14:paraId="3D348385">
            <w:pPr>
              <w:widowControl/>
              <w:jc w:val="center"/>
              <w:rPr>
                <w:rFonts w:ascii="宋体" w:hAnsi="宋体" w:cs="宋体"/>
                <w:color w:val="000000"/>
                <w:kern w:val="0"/>
                <w:sz w:val="22"/>
                <w:highlight w:val="none"/>
              </w:rPr>
            </w:pPr>
            <w:r>
              <w:rPr>
                <w:rFonts w:ascii="宋体" w:hAnsi="宋体" w:cs="宋体"/>
                <w:color w:val="000000"/>
                <w:kern w:val="0"/>
                <w:sz w:val="22"/>
                <w:highlight w:val="none"/>
              </w:rPr>
              <w:t>套</w:t>
            </w:r>
          </w:p>
        </w:tc>
        <w:tc>
          <w:tcPr>
            <w:tcW w:w="475" w:type="pct"/>
            <w:tcBorders>
              <w:top w:val="nil"/>
              <w:left w:val="nil"/>
              <w:bottom w:val="single" w:color="auto" w:sz="4" w:space="0"/>
              <w:right w:val="single" w:color="auto" w:sz="4" w:space="0"/>
            </w:tcBorders>
            <w:vAlign w:val="center"/>
          </w:tcPr>
          <w:p w14:paraId="22A65F4F">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04C6CBC3">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021A9F11">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3630" w:type="pct"/>
            <w:tcBorders>
              <w:top w:val="nil"/>
              <w:left w:val="nil"/>
              <w:bottom w:val="single" w:color="auto" w:sz="4" w:space="0"/>
              <w:right w:val="single" w:color="auto" w:sz="4" w:space="0"/>
            </w:tcBorders>
            <w:vAlign w:val="center"/>
          </w:tcPr>
          <w:p w14:paraId="5254F7C9">
            <w:pPr>
              <w:widowControl/>
              <w:rPr>
                <w:rFonts w:ascii="宋体" w:hAnsi="宋体" w:cs="宋体"/>
                <w:color w:val="000000"/>
                <w:kern w:val="0"/>
                <w:sz w:val="22"/>
                <w:highlight w:val="none"/>
              </w:rPr>
            </w:pPr>
            <w:r>
              <w:rPr>
                <w:rFonts w:ascii="宋体" w:hAnsi="宋体" w:cs="宋体"/>
                <w:color w:val="000000"/>
                <w:kern w:val="0"/>
                <w:sz w:val="22"/>
                <w:highlight w:val="none"/>
              </w:rPr>
              <w:t>电子卡口后台处理系统</w:t>
            </w:r>
          </w:p>
        </w:tc>
        <w:tc>
          <w:tcPr>
            <w:tcW w:w="427" w:type="pct"/>
            <w:tcBorders>
              <w:top w:val="nil"/>
              <w:left w:val="nil"/>
              <w:bottom w:val="single" w:color="auto" w:sz="4" w:space="0"/>
              <w:right w:val="single" w:color="auto" w:sz="4" w:space="0"/>
            </w:tcBorders>
            <w:vAlign w:val="center"/>
          </w:tcPr>
          <w:p w14:paraId="20B2C519">
            <w:pPr>
              <w:widowControl/>
              <w:jc w:val="center"/>
              <w:rPr>
                <w:rFonts w:ascii="宋体" w:hAnsi="宋体" w:cs="宋体"/>
                <w:color w:val="000000"/>
                <w:kern w:val="0"/>
                <w:sz w:val="22"/>
                <w:highlight w:val="none"/>
              </w:rPr>
            </w:pPr>
            <w:r>
              <w:rPr>
                <w:rFonts w:ascii="宋体" w:hAnsi="宋体" w:cs="宋体"/>
                <w:color w:val="000000"/>
                <w:kern w:val="0"/>
                <w:sz w:val="22"/>
                <w:highlight w:val="none"/>
              </w:rPr>
              <w:t>套</w:t>
            </w:r>
          </w:p>
        </w:tc>
        <w:tc>
          <w:tcPr>
            <w:tcW w:w="475" w:type="pct"/>
            <w:tcBorders>
              <w:top w:val="nil"/>
              <w:left w:val="nil"/>
              <w:bottom w:val="single" w:color="auto" w:sz="4" w:space="0"/>
              <w:right w:val="single" w:color="auto" w:sz="4" w:space="0"/>
            </w:tcBorders>
            <w:vAlign w:val="center"/>
          </w:tcPr>
          <w:p w14:paraId="054009DB">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62119E55">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5983A9F7">
            <w:pPr>
              <w:widowControl/>
              <w:jc w:val="center"/>
              <w:rPr>
                <w:rFonts w:ascii="宋体" w:hAnsi="宋体" w:cs="宋体"/>
                <w:color w:val="000000"/>
                <w:kern w:val="0"/>
                <w:sz w:val="22"/>
                <w:highlight w:val="none"/>
              </w:rPr>
            </w:pPr>
            <w:r>
              <w:rPr>
                <w:rFonts w:ascii="宋体" w:hAnsi="宋体" w:cs="宋体"/>
                <w:color w:val="000000"/>
                <w:kern w:val="0"/>
                <w:sz w:val="22"/>
                <w:highlight w:val="none"/>
              </w:rPr>
              <w:t>4</w:t>
            </w:r>
          </w:p>
        </w:tc>
        <w:tc>
          <w:tcPr>
            <w:tcW w:w="3630" w:type="pct"/>
            <w:tcBorders>
              <w:top w:val="nil"/>
              <w:left w:val="nil"/>
              <w:bottom w:val="single" w:color="auto" w:sz="4" w:space="0"/>
              <w:right w:val="single" w:color="auto" w:sz="4" w:space="0"/>
            </w:tcBorders>
            <w:vAlign w:val="center"/>
          </w:tcPr>
          <w:p w14:paraId="2B1C566D">
            <w:pPr>
              <w:widowControl/>
              <w:rPr>
                <w:rFonts w:ascii="宋体" w:hAnsi="宋体" w:cs="宋体"/>
                <w:color w:val="000000"/>
                <w:kern w:val="0"/>
                <w:sz w:val="22"/>
                <w:highlight w:val="none"/>
              </w:rPr>
            </w:pPr>
            <w:r>
              <w:rPr>
                <w:rFonts w:ascii="宋体" w:hAnsi="宋体" w:cs="宋体"/>
                <w:color w:val="000000"/>
                <w:kern w:val="0"/>
                <w:sz w:val="22"/>
                <w:highlight w:val="none"/>
              </w:rPr>
              <w:t>电子卡口存储系统</w:t>
            </w:r>
          </w:p>
        </w:tc>
        <w:tc>
          <w:tcPr>
            <w:tcW w:w="427" w:type="pct"/>
            <w:tcBorders>
              <w:top w:val="nil"/>
              <w:left w:val="nil"/>
              <w:bottom w:val="single" w:color="auto" w:sz="4" w:space="0"/>
              <w:right w:val="single" w:color="auto" w:sz="4" w:space="0"/>
            </w:tcBorders>
            <w:vAlign w:val="center"/>
          </w:tcPr>
          <w:p w14:paraId="792C6A70">
            <w:pPr>
              <w:widowControl/>
              <w:jc w:val="center"/>
              <w:rPr>
                <w:rFonts w:ascii="宋体" w:hAnsi="宋体" w:cs="宋体"/>
                <w:color w:val="000000"/>
                <w:kern w:val="0"/>
                <w:sz w:val="22"/>
                <w:highlight w:val="none"/>
              </w:rPr>
            </w:pPr>
            <w:r>
              <w:rPr>
                <w:rFonts w:ascii="宋体" w:hAnsi="宋体" w:cs="宋体"/>
                <w:color w:val="000000"/>
                <w:kern w:val="0"/>
                <w:sz w:val="22"/>
                <w:highlight w:val="none"/>
              </w:rPr>
              <w:t>套</w:t>
            </w:r>
          </w:p>
        </w:tc>
        <w:tc>
          <w:tcPr>
            <w:tcW w:w="475" w:type="pct"/>
            <w:tcBorders>
              <w:top w:val="nil"/>
              <w:left w:val="nil"/>
              <w:bottom w:val="single" w:color="auto" w:sz="4" w:space="0"/>
              <w:right w:val="single" w:color="auto" w:sz="4" w:space="0"/>
            </w:tcBorders>
            <w:vAlign w:val="center"/>
          </w:tcPr>
          <w:p w14:paraId="37FC3889">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7EB4387B">
        <w:tblPrEx>
          <w:tblCellMar>
            <w:top w:w="0" w:type="dxa"/>
            <w:left w:w="57" w:type="dxa"/>
            <w:bottom w:w="0" w:type="dxa"/>
            <w:right w:w="57" w:type="dxa"/>
          </w:tblCellMar>
        </w:tblPrEx>
        <w:tc>
          <w:tcPr>
            <w:tcW w:w="468" w:type="pct"/>
            <w:tcBorders>
              <w:top w:val="nil"/>
              <w:left w:val="single" w:color="auto" w:sz="4" w:space="0"/>
              <w:bottom w:val="single" w:color="auto" w:sz="4" w:space="0"/>
              <w:right w:val="single" w:color="auto" w:sz="4" w:space="0"/>
            </w:tcBorders>
            <w:vAlign w:val="center"/>
          </w:tcPr>
          <w:p w14:paraId="58F4166B">
            <w:pPr>
              <w:widowControl/>
              <w:jc w:val="center"/>
              <w:rPr>
                <w:rFonts w:ascii="宋体" w:hAnsi="宋体" w:cs="宋体"/>
                <w:color w:val="000000"/>
                <w:kern w:val="0"/>
                <w:sz w:val="22"/>
                <w:highlight w:val="none"/>
              </w:rPr>
            </w:pPr>
            <w:r>
              <w:rPr>
                <w:rFonts w:ascii="宋体" w:hAnsi="宋体" w:cs="宋体"/>
                <w:color w:val="000000"/>
                <w:kern w:val="0"/>
                <w:sz w:val="22"/>
                <w:highlight w:val="none"/>
              </w:rPr>
              <w:t>5</w:t>
            </w:r>
          </w:p>
        </w:tc>
        <w:tc>
          <w:tcPr>
            <w:tcW w:w="3630" w:type="pct"/>
            <w:tcBorders>
              <w:top w:val="nil"/>
              <w:left w:val="nil"/>
              <w:bottom w:val="single" w:color="auto" w:sz="4" w:space="0"/>
              <w:right w:val="single" w:color="auto" w:sz="4" w:space="0"/>
            </w:tcBorders>
            <w:vAlign w:val="center"/>
          </w:tcPr>
          <w:p w14:paraId="270CE429">
            <w:pPr>
              <w:widowControl/>
              <w:rPr>
                <w:rFonts w:ascii="宋体" w:hAnsi="宋体" w:cs="宋体"/>
                <w:color w:val="000000"/>
                <w:kern w:val="0"/>
                <w:sz w:val="22"/>
                <w:highlight w:val="none"/>
              </w:rPr>
            </w:pPr>
            <w:r>
              <w:rPr>
                <w:rFonts w:ascii="宋体" w:hAnsi="宋体" w:cs="宋体"/>
                <w:color w:val="000000"/>
                <w:kern w:val="0"/>
                <w:sz w:val="22"/>
                <w:highlight w:val="none"/>
              </w:rPr>
              <w:t>机柜租赁</w:t>
            </w:r>
          </w:p>
        </w:tc>
        <w:tc>
          <w:tcPr>
            <w:tcW w:w="427" w:type="pct"/>
            <w:tcBorders>
              <w:top w:val="nil"/>
              <w:left w:val="nil"/>
              <w:bottom w:val="single" w:color="auto" w:sz="4" w:space="0"/>
              <w:right w:val="single" w:color="auto" w:sz="4" w:space="0"/>
            </w:tcBorders>
            <w:vAlign w:val="center"/>
          </w:tcPr>
          <w:p w14:paraId="3499B1D7">
            <w:pPr>
              <w:widowControl/>
              <w:jc w:val="center"/>
              <w:rPr>
                <w:rFonts w:ascii="宋体" w:hAnsi="宋体" w:cs="宋体"/>
                <w:color w:val="000000"/>
                <w:kern w:val="0"/>
                <w:sz w:val="22"/>
                <w:highlight w:val="none"/>
              </w:rPr>
            </w:pPr>
            <w:r>
              <w:rPr>
                <w:rFonts w:ascii="宋体" w:hAnsi="宋体" w:cs="宋体"/>
                <w:color w:val="000000"/>
                <w:kern w:val="0"/>
                <w:sz w:val="22"/>
                <w:highlight w:val="none"/>
              </w:rPr>
              <w:t>个</w:t>
            </w:r>
          </w:p>
        </w:tc>
        <w:tc>
          <w:tcPr>
            <w:tcW w:w="475" w:type="pct"/>
            <w:tcBorders>
              <w:top w:val="nil"/>
              <w:left w:val="nil"/>
              <w:bottom w:val="single" w:color="auto" w:sz="4" w:space="0"/>
              <w:right w:val="single" w:color="auto" w:sz="4" w:space="0"/>
            </w:tcBorders>
            <w:vAlign w:val="center"/>
          </w:tcPr>
          <w:p w14:paraId="074860BF">
            <w:pPr>
              <w:widowControl/>
              <w:jc w:val="center"/>
              <w:rPr>
                <w:rFonts w:ascii="宋体" w:hAnsi="宋体" w:cs="宋体"/>
                <w:color w:val="000000"/>
                <w:kern w:val="0"/>
                <w:sz w:val="22"/>
                <w:highlight w:val="none"/>
              </w:rPr>
            </w:pPr>
            <w:r>
              <w:rPr>
                <w:rFonts w:ascii="宋体" w:hAnsi="宋体" w:cs="宋体"/>
                <w:color w:val="000000"/>
                <w:kern w:val="0"/>
                <w:sz w:val="22"/>
                <w:highlight w:val="none"/>
              </w:rPr>
              <w:t>8</w:t>
            </w:r>
          </w:p>
        </w:tc>
      </w:tr>
    </w:tbl>
    <w:p w14:paraId="62E7B041">
      <w:pPr>
        <w:adjustRightInd w:val="0"/>
        <w:snapToGrid w:val="0"/>
        <w:spacing w:line="288" w:lineRule="auto"/>
        <w:ind w:firstLine="448" w:firstLineChars="200"/>
        <w:rPr>
          <w:rFonts w:ascii="宋体" w:hAnsi="宋体"/>
          <w:sz w:val="24"/>
          <w:szCs w:val="24"/>
          <w:highlight w:val="none"/>
        </w:rPr>
      </w:pPr>
    </w:p>
    <w:p w14:paraId="6D61AB44">
      <w:pPr>
        <w:keepNext/>
        <w:keepLines/>
        <w:adjustRightInd w:val="0"/>
        <w:snapToGrid w:val="0"/>
        <w:spacing w:line="288" w:lineRule="auto"/>
        <w:ind w:firstLine="448" w:firstLineChars="200"/>
        <w:outlineLvl w:val="3"/>
        <w:rPr>
          <w:rFonts w:ascii="Cambria" w:hAnsi="Cambria"/>
          <w:b/>
          <w:bCs/>
          <w:sz w:val="24"/>
          <w:szCs w:val="28"/>
          <w:highlight w:val="none"/>
        </w:rPr>
      </w:pPr>
      <w:r>
        <w:rPr>
          <w:rFonts w:hint="eastAsia" w:ascii="Cambria" w:hAnsi="Cambria"/>
          <w:b/>
          <w:bCs/>
          <w:sz w:val="24"/>
          <w:szCs w:val="28"/>
          <w:highlight w:val="none"/>
        </w:rPr>
        <w:t>二、运维服务要求</w:t>
      </w:r>
    </w:p>
    <w:p w14:paraId="56F440FE">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（一）前端设备维护</w:t>
      </w:r>
    </w:p>
    <w:p w14:paraId="736E42B0">
      <w:pPr>
        <w:autoSpaceDE w:val="0"/>
        <w:autoSpaceDN w:val="0"/>
        <w:adjustRightInd w:val="0"/>
        <w:snapToGrid w:val="0"/>
        <w:spacing w:line="288" w:lineRule="auto"/>
        <w:ind w:firstLine="448" w:firstLineChars="200"/>
        <w:rPr>
          <w:sz w:val="24"/>
          <w:highlight w:val="none"/>
        </w:rPr>
      </w:pPr>
      <w:r>
        <w:rPr>
          <w:rFonts w:hint="eastAsia"/>
          <w:sz w:val="24"/>
          <w:highlight w:val="none"/>
        </w:rPr>
        <w:t>中标供应商需对前端视频监控的监控杆体、杆上设备、监控点位取电路由进行日常维护，确保设备正常运行，有效支持公安业务应用需求，满足前端设备月均完好率不低于97%；确保运维人员、运维对象及其周边车辆和人员的生命财产安全。</w:t>
      </w:r>
    </w:p>
    <w:p w14:paraId="680141C9">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（二）</w:t>
      </w:r>
      <w:r>
        <w:rPr>
          <w:b/>
          <w:bCs/>
          <w:sz w:val="24"/>
          <w:szCs w:val="28"/>
          <w:highlight w:val="none"/>
        </w:rPr>
        <w:t>杆体拆除与迁移</w:t>
      </w:r>
    </w:p>
    <w:p w14:paraId="1345B2EF">
      <w:pPr>
        <w:autoSpaceDE w:val="0"/>
        <w:autoSpaceDN w:val="0"/>
        <w:adjustRightInd w:val="0"/>
        <w:snapToGrid w:val="0"/>
        <w:spacing w:line="288" w:lineRule="auto"/>
        <w:ind w:firstLine="448" w:firstLineChars="200"/>
        <w:rPr>
          <w:sz w:val="24"/>
          <w:highlight w:val="none"/>
        </w:rPr>
      </w:pPr>
      <w:r>
        <w:rPr>
          <w:rFonts w:hint="eastAsia"/>
          <w:sz w:val="24"/>
          <w:highlight w:val="none"/>
        </w:rPr>
        <w:t>中标供应商应根据招标人要求将运维范围外指定点位的杆体拆除，并迁移至新位置重新立杆。</w:t>
      </w:r>
    </w:p>
    <w:p w14:paraId="73EE386A">
      <w:pPr>
        <w:autoSpaceDE w:val="0"/>
        <w:autoSpaceDN w:val="0"/>
        <w:adjustRightInd w:val="0"/>
        <w:snapToGrid w:val="0"/>
        <w:spacing w:line="288" w:lineRule="auto"/>
        <w:ind w:firstLine="448" w:firstLineChars="200"/>
        <w:rPr>
          <w:sz w:val="24"/>
          <w:highlight w:val="none"/>
        </w:rPr>
      </w:pPr>
      <w:r>
        <w:rPr>
          <w:rFonts w:hint="eastAsia"/>
          <w:sz w:val="24"/>
          <w:highlight w:val="none"/>
        </w:rPr>
        <w:t>杆体需从原位置拆除，拆除后需清理地面钢铁结构及碎渣杂物，将杆体基础顶面修整至低于周边路面一个面包砖的厚度，重新铺设面包砖，使恢复后路面与周边路边齐平。电源线按规范接续后埋地保护，确保监控系统供电回路连续完整。</w:t>
      </w:r>
    </w:p>
    <w:p w14:paraId="14F72030">
      <w:pPr>
        <w:autoSpaceDE w:val="0"/>
        <w:autoSpaceDN w:val="0"/>
        <w:adjustRightInd w:val="0"/>
        <w:snapToGrid w:val="0"/>
        <w:spacing w:line="288" w:lineRule="auto"/>
        <w:ind w:firstLine="448" w:firstLineChars="200"/>
        <w:rPr>
          <w:sz w:val="24"/>
          <w:highlight w:val="none"/>
        </w:rPr>
      </w:pPr>
      <w:r>
        <w:rPr>
          <w:rFonts w:hint="eastAsia"/>
          <w:sz w:val="24"/>
          <w:highlight w:val="none"/>
        </w:rPr>
        <w:t>重新立杆需要重新制作并安装杆体基础、立杆，并重新取电，其中包含的人工费、机械费、材料费由运维服务方承担。参与拆除、迁移工作人员应具备高空作业证、电工证等相关操作证件。</w:t>
      </w:r>
    </w:p>
    <w:p w14:paraId="679A97A5">
      <w:pPr>
        <w:autoSpaceDE w:val="0"/>
        <w:autoSpaceDN w:val="0"/>
        <w:adjustRightInd w:val="0"/>
        <w:snapToGrid w:val="0"/>
        <w:spacing w:line="288" w:lineRule="auto"/>
        <w:ind w:firstLine="448" w:firstLineChars="200"/>
        <w:rPr>
          <w:sz w:val="24"/>
          <w:highlight w:val="none"/>
        </w:rPr>
      </w:pPr>
      <w:r>
        <w:rPr>
          <w:rFonts w:hint="eastAsia"/>
          <w:sz w:val="24"/>
          <w:highlight w:val="none"/>
        </w:rPr>
        <w:t>迁移杆体上的摄像机（含摄像机、护罩、镜头、监控标识牌）、室外分线箱、箱内设备（室外分线箱中的PDU电源插座、电源防雷、工业交换机、前端存储）随杆体一同迁移，所迁移杆体的杆体维护、前端设备维护、前端设备供电、前端网络链路包含在运维范围内。</w:t>
      </w:r>
    </w:p>
    <w:p w14:paraId="30B87659">
      <w:pPr>
        <w:autoSpaceDE w:val="0"/>
        <w:autoSpaceDN w:val="0"/>
        <w:adjustRightInd w:val="0"/>
        <w:snapToGrid w:val="0"/>
        <w:spacing w:line="288" w:lineRule="auto"/>
        <w:ind w:firstLine="448" w:firstLineChars="200"/>
        <w:rPr>
          <w:sz w:val="24"/>
          <w:highlight w:val="none"/>
        </w:rPr>
      </w:pPr>
      <w:r>
        <w:rPr>
          <w:rFonts w:hint="eastAsia"/>
          <w:sz w:val="24"/>
          <w:highlight w:val="none"/>
        </w:rPr>
        <w:t>在运维期间，杆体拆除、迁移的位置与数量，以实际发生为准。</w:t>
      </w:r>
    </w:p>
    <w:p w14:paraId="2FA11344">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（三）网络链路保障</w:t>
      </w:r>
    </w:p>
    <w:p w14:paraId="516CF6DC">
      <w:pPr>
        <w:autoSpaceDE w:val="0"/>
        <w:autoSpaceDN w:val="0"/>
        <w:adjustRightInd w:val="0"/>
        <w:snapToGrid w:val="0"/>
        <w:spacing w:line="288" w:lineRule="auto"/>
        <w:ind w:firstLine="448" w:firstLineChars="200"/>
        <w:rPr>
          <w:sz w:val="24"/>
          <w:highlight w:val="none"/>
        </w:rPr>
      </w:pPr>
      <w:r>
        <w:rPr>
          <w:rFonts w:hint="eastAsia"/>
          <w:sz w:val="24"/>
          <w:highlight w:val="none"/>
        </w:rPr>
        <w:t>本包保障服务涉及视频监控百兆链路81条，千兆链路1条，万兆链路1条。以上网络链路由中标供应商负责，可根据实际情况与采购人要求进行调整，满足网络通畅要求。因特殊情况暂时无法接通有线链路的，可使用无线传输设备，无线传输设备比例最高不得超过百兆链路总数的</w:t>
      </w:r>
      <w:r>
        <w:rPr>
          <w:sz w:val="24"/>
          <w:highlight w:val="none"/>
        </w:rPr>
        <w:t>2%</w:t>
      </w:r>
      <w:r>
        <w:rPr>
          <w:rFonts w:hint="eastAsia"/>
          <w:sz w:val="24"/>
          <w:highlight w:val="none"/>
        </w:rPr>
        <w:t>。</w:t>
      </w:r>
    </w:p>
    <w:p w14:paraId="5C4749FC">
      <w:pPr>
        <w:autoSpaceDE w:val="0"/>
        <w:autoSpaceDN w:val="0"/>
        <w:adjustRightInd w:val="0"/>
        <w:snapToGrid w:val="0"/>
        <w:spacing w:line="288" w:lineRule="auto"/>
        <w:ind w:firstLine="448" w:firstLineChars="200"/>
        <w:rPr>
          <w:sz w:val="24"/>
          <w:highlight w:val="none"/>
        </w:rPr>
      </w:pPr>
      <w:r>
        <w:rPr>
          <w:rFonts w:hint="eastAsia"/>
          <w:sz w:val="24"/>
          <w:highlight w:val="none"/>
        </w:rPr>
        <w:t>运维服务期间，招标人有权替换中标供应商租用的网络链路，替换的网络链路费用按替换时长从运维费用中核减。</w:t>
      </w:r>
    </w:p>
    <w:p w14:paraId="35EE3040">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（四）后端设备维护</w:t>
      </w:r>
    </w:p>
    <w:p w14:paraId="0DBDC9B7">
      <w:pPr>
        <w:autoSpaceDE w:val="0"/>
        <w:autoSpaceDN w:val="0"/>
        <w:adjustRightInd w:val="0"/>
        <w:snapToGrid w:val="0"/>
        <w:spacing w:line="288" w:lineRule="auto"/>
        <w:ind w:firstLine="448" w:firstLineChars="200"/>
        <w:rPr>
          <w:sz w:val="24"/>
          <w:highlight w:val="none"/>
        </w:rPr>
      </w:pPr>
      <w:r>
        <w:rPr>
          <w:sz w:val="24"/>
          <w:highlight w:val="none"/>
        </w:rPr>
        <w:t>本包后端设备维护包括后端视频监控系统平台、视频监控存储设备、电子卡口后台处理系统、电子卡口存储系统、服务器、存储硬盘、网络交换机等，目前</w:t>
      </w:r>
      <w:r>
        <w:rPr>
          <w:rFonts w:hint="eastAsia"/>
          <w:sz w:val="24"/>
          <w:highlight w:val="none"/>
        </w:rPr>
        <w:t>托管在</w:t>
      </w:r>
      <w:r>
        <w:rPr>
          <w:sz w:val="24"/>
          <w:highlight w:val="none"/>
        </w:rPr>
        <w:t>科电石化机房中，</w:t>
      </w:r>
      <w:r>
        <w:rPr>
          <w:rFonts w:hint="eastAsia"/>
          <w:sz w:val="24"/>
          <w:highlight w:val="none"/>
        </w:rPr>
        <w:t>中标供应商</w:t>
      </w:r>
      <w:r>
        <w:rPr>
          <w:sz w:val="24"/>
          <w:highlight w:val="none"/>
        </w:rPr>
        <w:t>需进行日常维护</w:t>
      </w:r>
      <w:r>
        <w:rPr>
          <w:rFonts w:hint="eastAsia"/>
          <w:sz w:val="24"/>
          <w:highlight w:val="none"/>
        </w:rPr>
        <w:t>，</w:t>
      </w:r>
      <w:r>
        <w:rPr>
          <w:sz w:val="24"/>
          <w:highlight w:val="none"/>
        </w:rPr>
        <w:t>确保系统正常运行并支付机柜租赁费用。以上后端设备发生故障无法修复后，该设备的更换由</w:t>
      </w:r>
      <w:r>
        <w:rPr>
          <w:rFonts w:hint="eastAsia"/>
          <w:sz w:val="24"/>
          <w:highlight w:val="none"/>
        </w:rPr>
        <w:t>中标供应商</w:t>
      </w:r>
      <w:r>
        <w:rPr>
          <w:sz w:val="24"/>
          <w:highlight w:val="none"/>
        </w:rPr>
        <w:t>无偿提供，确保系统正常运行</w:t>
      </w:r>
      <w:r>
        <w:rPr>
          <w:rFonts w:hint="eastAsia"/>
          <w:sz w:val="24"/>
          <w:highlight w:val="none"/>
        </w:rPr>
        <w:t>。</w:t>
      </w:r>
    </w:p>
    <w:p w14:paraId="44F02961">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（五）设备供电保障</w:t>
      </w:r>
    </w:p>
    <w:p w14:paraId="4C70350C">
      <w:pPr>
        <w:autoSpaceDE w:val="0"/>
        <w:autoSpaceDN w:val="0"/>
        <w:adjustRightInd w:val="0"/>
        <w:snapToGrid w:val="0"/>
        <w:spacing w:line="288" w:lineRule="auto"/>
        <w:ind w:firstLine="448" w:firstLineChars="200"/>
        <w:rPr>
          <w:sz w:val="24"/>
          <w:highlight w:val="none"/>
        </w:rPr>
      </w:pPr>
      <w:r>
        <w:rPr>
          <w:rFonts w:hint="eastAsia"/>
          <w:sz w:val="24"/>
          <w:highlight w:val="none"/>
        </w:rPr>
        <w:t>中标供应商应保障本次运维范围内前后端设备的电力正常供应和用电安全，并负责维护前端监控设备至取电点之间的供电路由。后端设备电力供应包含在机柜租赁保障服务中。</w:t>
      </w:r>
    </w:p>
    <w:p w14:paraId="07AFD9CA">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（六）运维边界</w:t>
      </w:r>
    </w:p>
    <w:p w14:paraId="0042D85A">
      <w:pPr>
        <w:autoSpaceDE w:val="0"/>
        <w:autoSpaceDN w:val="0"/>
        <w:adjustRightInd w:val="0"/>
        <w:snapToGrid w:val="0"/>
        <w:spacing w:line="288" w:lineRule="auto"/>
        <w:ind w:firstLine="448" w:firstLineChars="200"/>
        <w:rPr>
          <w:sz w:val="24"/>
          <w:highlight w:val="none"/>
        </w:rPr>
      </w:pPr>
      <w:r>
        <w:rPr>
          <w:rFonts w:hint="eastAsia"/>
          <w:sz w:val="24"/>
          <w:highlight w:val="none"/>
        </w:rPr>
        <w:t>本包视频监控系统运维服务对象包括前端、网络链路及后台，其中前端运维服务对象包括前端监控杆体、杆上所有设备、取电点至监控杆体之间的取电路由。</w:t>
      </w:r>
      <w:r>
        <w:rPr>
          <w:sz w:val="24"/>
          <w:highlight w:val="none"/>
        </w:rPr>
        <w:t>网络链路</w:t>
      </w:r>
      <w:r>
        <w:rPr>
          <w:rFonts w:hint="eastAsia"/>
          <w:sz w:val="24"/>
          <w:highlight w:val="none"/>
        </w:rPr>
        <w:t>包括</w:t>
      </w:r>
      <w:r>
        <w:rPr>
          <w:sz w:val="24"/>
          <w:highlight w:val="none"/>
        </w:rPr>
        <w:t>前端点位至科电石化机房百兆链路，科电石化机房至派出所千兆链路，科电石化机房至联通IDC机房万兆链路</w:t>
      </w:r>
      <w:r>
        <w:rPr>
          <w:rFonts w:hint="eastAsia"/>
          <w:sz w:val="24"/>
          <w:highlight w:val="none"/>
        </w:rPr>
        <w:t>。</w:t>
      </w:r>
      <w:r>
        <w:rPr>
          <w:sz w:val="24"/>
          <w:highlight w:val="none"/>
        </w:rPr>
        <w:t>后端</w:t>
      </w:r>
      <w:r>
        <w:rPr>
          <w:rFonts w:hint="eastAsia"/>
          <w:sz w:val="24"/>
          <w:highlight w:val="none"/>
        </w:rPr>
        <w:t>包括视频监控系统平台、电子卡口后台处理系统、存储设备、服务器</w:t>
      </w:r>
      <w:r>
        <w:rPr>
          <w:sz w:val="24"/>
          <w:highlight w:val="none"/>
        </w:rPr>
        <w:t>及网络设备</w:t>
      </w:r>
      <w:r>
        <w:rPr>
          <w:rFonts w:hint="eastAsia"/>
          <w:sz w:val="24"/>
          <w:highlight w:val="none"/>
        </w:rPr>
        <w:t>托管在</w:t>
      </w:r>
      <w:r>
        <w:rPr>
          <w:sz w:val="24"/>
          <w:highlight w:val="none"/>
        </w:rPr>
        <w:t>科电石化机房中</w:t>
      </w:r>
      <w:r>
        <w:rPr>
          <w:rFonts w:hint="eastAsia"/>
          <w:sz w:val="24"/>
          <w:highlight w:val="none"/>
        </w:rPr>
        <w:t>，具体运维边界如下表所示：</w:t>
      </w:r>
    </w:p>
    <w:tbl>
      <w:tblPr>
        <w:tblStyle w:val="19"/>
        <w:tblW w:w="5000" w:type="pct"/>
        <w:tblInd w:w="0" w:type="dxa"/>
        <w:tblLayout w:type="autofit"/>
        <w:tblCellMar>
          <w:top w:w="0" w:type="dxa"/>
          <w:left w:w="108" w:type="dxa"/>
          <w:bottom w:w="0" w:type="dxa"/>
          <w:right w:w="108" w:type="dxa"/>
        </w:tblCellMar>
      </w:tblPr>
      <w:tblGrid>
        <w:gridCol w:w="947"/>
        <w:gridCol w:w="1099"/>
        <w:gridCol w:w="6266"/>
      </w:tblGrid>
      <w:tr w14:paraId="234F9223">
        <w:tblPrEx>
          <w:tblCellMar>
            <w:top w:w="0" w:type="dxa"/>
            <w:left w:w="108" w:type="dxa"/>
            <w:bottom w:w="0" w:type="dxa"/>
            <w:right w:w="108" w:type="dxa"/>
          </w:tblCellMar>
        </w:tblPrEx>
        <w:trPr>
          <w:trHeight w:val="285" w:hRule="atLeast"/>
          <w:tblHeader/>
        </w:trPr>
        <w:tc>
          <w:tcPr>
            <w:tcW w:w="570" w:type="pct"/>
            <w:tcBorders>
              <w:top w:val="single" w:color="auto" w:sz="4" w:space="0"/>
              <w:left w:val="single" w:color="auto" w:sz="4" w:space="0"/>
              <w:bottom w:val="single" w:color="auto" w:sz="4" w:space="0"/>
              <w:right w:val="single" w:color="auto" w:sz="4" w:space="0"/>
            </w:tcBorders>
            <w:noWrap/>
            <w:vAlign w:val="center"/>
          </w:tcPr>
          <w:p w14:paraId="1F72B07E">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序号</w:t>
            </w:r>
          </w:p>
        </w:tc>
        <w:tc>
          <w:tcPr>
            <w:tcW w:w="661" w:type="pct"/>
            <w:tcBorders>
              <w:top w:val="single" w:color="auto" w:sz="4" w:space="0"/>
              <w:left w:val="nil"/>
              <w:bottom w:val="single" w:color="auto" w:sz="4" w:space="0"/>
              <w:right w:val="single" w:color="auto" w:sz="4" w:space="0"/>
            </w:tcBorders>
            <w:noWrap/>
            <w:vAlign w:val="center"/>
          </w:tcPr>
          <w:p w14:paraId="0DE9834E">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位置</w:t>
            </w:r>
          </w:p>
        </w:tc>
        <w:tc>
          <w:tcPr>
            <w:tcW w:w="3769" w:type="pct"/>
            <w:tcBorders>
              <w:top w:val="single" w:color="auto" w:sz="4" w:space="0"/>
              <w:left w:val="nil"/>
              <w:bottom w:val="single" w:color="auto" w:sz="4" w:space="0"/>
              <w:right w:val="single" w:color="auto" w:sz="4" w:space="0"/>
            </w:tcBorders>
            <w:noWrap/>
            <w:vAlign w:val="center"/>
          </w:tcPr>
          <w:p w14:paraId="525F0BAB">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运维边界</w:t>
            </w:r>
          </w:p>
        </w:tc>
      </w:tr>
      <w:tr w14:paraId="057D1F4A">
        <w:tblPrEx>
          <w:tblCellMar>
            <w:top w:w="0" w:type="dxa"/>
            <w:left w:w="108" w:type="dxa"/>
            <w:bottom w:w="0" w:type="dxa"/>
            <w:right w:w="108" w:type="dxa"/>
          </w:tblCellMar>
        </w:tblPrEx>
        <w:trPr>
          <w:trHeight w:val="285" w:hRule="atLeast"/>
        </w:trPr>
        <w:tc>
          <w:tcPr>
            <w:tcW w:w="5000" w:type="pct"/>
            <w:gridSpan w:val="3"/>
            <w:tcBorders>
              <w:top w:val="single" w:color="auto" w:sz="4" w:space="0"/>
              <w:left w:val="single" w:color="auto" w:sz="4" w:space="0"/>
              <w:bottom w:val="single" w:color="auto" w:sz="4" w:space="0"/>
              <w:right w:val="single" w:color="auto" w:sz="4" w:space="0"/>
            </w:tcBorders>
            <w:noWrap/>
            <w:vAlign w:val="center"/>
          </w:tcPr>
          <w:p w14:paraId="3EA61B96">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第8包</w:t>
            </w:r>
          </w:p>
        </w:tc>
      </w:tr>
      <w:tr w14:paraId="1BE7EC2B">
        <w:tblPrEx>
          <w:tblCellMar>
            <w:top w:w="0" w:type="dxa"/>
            <w:left w:w="108" w:type="dxa"/>
            <w:bottom w:w="0" w:type="dxa"/>
            <w:right w:w="108" w:type="dxa"/>
          </w:tblCellMar>
        </w:tblPrEx>
        <w:trPr>
          <w:trHeight w:val="1425" w:hRule="atLeast"/>
        </w:trPr>
        <w:tc>
          <w:tcPr>
            <w:tcW w:w="570" w:type="pct"/>
            <w:tcBorders>
              <w:top w:val="nil"/>
              <w:left w:val="single" w:color="auto" w:sz="4" w:space="0"/>
              <w:bottom w:val="single" w:color="auto" w:sz="4" w:space="0"/>
              <w:right w:val="single" w:color="auto" w:sz="4" w:space="0"/>
            </w:tcBorders>
            <w:noWrap/>
            <w:vAlign w:val="center"/>
          </w:tcPr>
          <w:p w14:paraId="2C260C89">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661" w:type="pct"/>
            <w:tcBorders>
              <w:top w:val="nil"/>
              <w:left w:val="nil"/>
              <w:bottom w:val="single" w:color="auto" w:sz="4" w:space="0"/>
              <w:right w:val="single" w:color="auto" w:sz="4" w:space="0"/>
            </w:tcBorders>
            <w:noWrap/>
            <w:vAlign w:val="center"/>
          </w:tcPr>
          <w:p w14:paraId="4ABBB584">
            <w:pPr>
              <w:widowControl/>
              <w:jc w:val="center"/>
              <w:rPr>
                <w:rFonts w:ascii="宋体" w:hAnsi="宋体" w:cs="宋体"/>
                <w:color w:val="000000"/>
                <w:kern w:val="0"/>
                <w:sz w:val="22"/>
                <w:highlight w:val="none"/>
              </w:rPr>
            </w:pPr>
            <w:r>
              <w:rPr>
                <w:rFonts w:ascii="宋体" w:hAnsi="宋体" w:cs="宋体"/>
                <w:color w:val="000000"/>
                <w:kern w:val="0"/>
                <w:sz w:val="22"/>
                <w:highlight w:val="none"/>
              </w:rPr>
              <w:t>前端</w:t>
            </w:r>
          </w:p>
        </w:tc>
        <w:tc>
          <w:tcPr>
            <w:tcW w:w="3769" w:type="pct"/>
            <w:tcBorders>
              <w:top w:val="nil"/>
              <w:left w:val="nil"/>
              <w:bottom w:val="single" w:color="auto" w:sz="4" w:space="0"/>
              <w:right w:val="single" w:color="auto" w:sz="4" w:space="0"/>
            </w:tcBorders>
            <w:vAlign w:val="center"/>
          </w:tcPr>
          <w:p w14:paraId="1E2F6950">
            <w:pPr>
              <w:widowControl/>
              <w:jc w:val="left"/>
              <w:rPr>
                <w:rFonts w:ascii="宋体" w:hAnsi="宋体" w:cs="宋体"/>
                <w:color w:val="000000"/>
                <w:kern w:val="0"/>
                <w:sz w:val="22"/>
                <w:highlight w:val="none"/>
              </w:rPr>
            </w:pPr>
            <w:r>
              <w:rPr>
                <w:rFonts w:ascii="宋体" w:hAnsi="宋体" w:cs="宋体"/>
                <w:color w:val="000000"/>
                <w:kern w:val="0"/>
                <w:sz w:val="22"/>
                <w:highlight w:val="none"/>
              </w:rPr>
              <w:t>监控杆体及杆上设备、抱杆机箱及箱内设备、监控杆体抱杆箱中光端盒端口至杆上设备之间网络、监控杆体之间至取电点的取电路由，运维服务方应负责前端监控设备的电路保障；</w:t>
            </w:r>
            <w:r>
              <w:rPr>
                <w:rFonts w:ascii="宋体" w:hAnsi="宋体" w:cs="宋体"/>
                <w:color w:val="000000"/>
                <w:kern w:val="0"/>
                <w:sz w:val="22"/>
                <w:highlight w:val="none"/>
              </w:rPr>
              <w:br w:type="textWrapping"/>
            </w:r>
            <w:r>
              <w:rPr>
                <w:rFonts w:ascii="宋体" w:hAnsi="宋体" w:cs="宋体"/>
                <w:color w:val="000000"/>
                <w:kern w:val="0"/>
                <w:sz w:val="22"/>
                <w:highlight w:val="none"/>
              </w:rPr>
              <w:t>第三方单位提供并加装的智能摄像机的维修工作，不在</w:t>
            </w:r>
            <w:r>
              <w:rPr>
                <w:rFonts w:hint="eastAsia" w:ascii="宋体" w:hAnsi="宋体" w:cs="宋体"/>
                <w:color w:val="000000"/>
                <w:kern w:val="0"/>
                <w:sz w:val="22"/>
                <w:highlight w:val="none"/>
              </w:rPr>
              <w:t>本包</w:t>
            </w:r>
            <w:r>
              <w:rPr>
                <w:rFonts w:ascii="宋体" w:hAnsi="宋体" w:cs="宋体"/>
                <w:color w:val="000000"/>
                <w:kern w:val="0"/>
                <w:sz w:val="22"/>
                <w:highlight w:val="none"/>
              </w:rPr>
              <w:t>运维服务范围内。</w:t>
            </w:r>
          </w:p>
        </w:tc>
      </w:tr>
      <w:tr w14:paraId="67823BCC">
        <w:tblPrEx>
          <w:tblCellMar>
            <w:top w:w="0" w:type="dxa"/>
            <w:left w:w="108" w:type="dxa"/>
            <w:bottom w:w="0" w:type="dxa"/>
            <w:right w:w="108" w:type="dxa"/>
          </w:tblCellMar>
        </w:tblPrEx>
        <w:trPr>
          <w:trHeight w:val="570" w:hRule="atLeast"/>
        </w:trPr>
        <w:tc>
          <w:tcPr>
            <w:tcW w:w="570" w:type="pct"/>
            <w:tcBorders>
              <w:top w:val="nil"/>
              <w:left w:val="single" w:color="auto" w:sz="4" w:space="0"/>
              <w:bottom w:val="single" w:color="auto" w:sz="4" w:space="0"/>
              <w:right w:val="single" w:color="auto" w:sz="4" w:space="0"/>
            </w:tcBorders>
            <w:noWrap/>
            <w:vAlign w:val="center"/>
          </w:tcPr>
          <w:p w14:paraId="2B5BF9C0">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661" w:type="pct"/>
            <w:tcBorders>
              <w:top w:val="nil"/>
              <w:left w:val="nil"/>
              <w:bottom w:val="single" w:color="auto" w:sz="4" w:space="0"/>
              <w:right w:val="single" w:color="auto" w:sz="4" w:space="0"/>
            </w:tcBorders>
            <w:noWrap/>
            <w:vAlign w:val="center"/>
          </w:tcPr>
          <w:p w14:paraId="02890336">
            <w:pPr>
              <w:widowControl/>
              <w:jc w:val="center"/>
              <w:rPr>
                <w:rFonts w:ascii="宋体" w:hAnsi="宋体" w:cs="宋体"/>
                <w:color w:val="000000"/>
                <w:kern w:val="0"/>
                <w:sz w:val="22"/>
                <w:highlight w:val="none"/>
              </w:rPr>
            </w:pPr>
            <w:r>
              <w:rPr>
                <w:rFonts w:ascii="宋体" w:hAnsi="宋体" w:cs="宋体"/>
                <w:color w:val="000000"/>
                <w:kern w:val="0"/>
                <w:sz w:val="22"/>
                <w:highlight w:val="none"/>
              </w:rPr>
              <w:t>前端链路</w:t>
            </w:r>
          </w:p>
        </w:tc>
        <w:tc>
          <w:tcPr>
            <w:tcW w:w="3769" w:type="pct"/>
            <w:tcBorders>
              <w:top w:val="nil"/>
              <w:left w:val="nil"/>
              <w:bottom w:val="single" w:color="auto" w:sz="4" w:space="0"/>
              <w:right w:val="single" w:color="auto" w:sz="4" w:space="0"/>
            </w:tcBorders>
            <w:vAlign w:val="center"/>
          </w:tcPr>
          <w:p w14:paraId="5D4CD488">
            <w:pPr>
              <w:widowControl/>
              <w:jc w:val="left"/>
              <w:rPr>
                <w:rFonts w:ascii="宋体" w:hAnsi="宋体" w:cs="宋体"/>
                <w:color w:val="000000"/>
                <w:kern w:val="0"/>
                <w:sz w:val="22"/>
                <w:highlight w:val="none"/>
              </w:rPr>
            </w:pPr>
            <w:r>
              <w:rPr>
                <w:rFonts w:ascii="宋体" w:hAnsi="宋体" w:cs="宋体"/>
                <w:color w:val="000000"/>
                <w:kern w:val="0"/>
                <w:sz w:val="22"/>
                <w:highlight w:val="none"/>
              </w:rPr>
              <w:t>监控杆体抱杆箱与科电石化汇聚机房之间的网络链路。</w:t>
            </w:r>
          </w:p>
        </w:tc>
      </w:tr>
      <w:tr w14:paraId="43B706EA">
        <w:tblPrEx>
          <w:tblCellMar>
            <w:top w:w="0" w:type="dxa"/>
            <w:left w:w="108" w:type="dxa"/>
            <w:bottom w:w="0" w:type="dxa"/>
            <w:right w:w="108" w:type="dxa"/>
          </w:tblCellMar>
        </w:tblPrEx>
        <w:trPr>
          <w:trHeight w:val="855" w:hRule="atLeast"/>
        </w:trPr>
        <w:tc>
          <w:tcPr>
            <w:tcW w:w="570" w:type="pct"/>
            <w:tcBorders>
              <w:top w:val="nil"/>
              <w:left w:val="single" w:color="auto" w:sz="4" w:space="0"/>
              <w:bottom w:val="single" w:color="auto" w:sz="4" w:space="0"/>
              <w:right w:val="single" w:color="auto" w:sz="4" w:space="0"/>
            </w:tcBorders>
            <w:noWrap/>
            <w:vAlign w:val="center"/>
          </w:tcPr>
          <w:p w14:paraId="0A3D0284">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661" w:type="pct"/>
            <w:tcBorders>
              <w:top w:val="nil"/>
              <w:left w:val="nil"/>
              <w:bottom w:val="single" w:color="auto" w:sz="4" w:space="0"/>
              <w:right w:val="single" w:color="auto" w:sz="4" w:space="0"/>
            </w:tcBorders>
            <w:noWrap/>
            <w:vAlign w:val="center"/>
          </w:tcPr>
          <w:p w14:paraId="619629AA">
            <w:pPr>
              <w:widowControl/>
              <w:jc w:val="center"/>
              <w:rPr>
                <w:rFonts w:ascii="宋体" w:hAnsi="宋体" w:cs="宋体"/>
                <w:color w:val="000000"/>
                <w:kern w:val="0"/>
                <w:sz w:val="22"/>
                <w:highlight w:val="none"/>
              </w:rPr>
            </w:pPr>
            <w:r>
              <w:rPr>
                <w:rFonts w:ascii="宋体" w:hAnsi="宋体" w:cs="宋体"/>
                <w:color w:val="000000"/>
                <w:kern w:val="0"/>
                <w:sz w:val="22"/>
                <w:highlight w:val="none"/>
              </w:rPr>
              <w:t>派出所</w:t>
            </w:r>
          </w:p>
        </w:tc>
        <w:tc>
          <w:tcPr>
            <w:tcW w:w="3769" w:type="pct"/>
            <w:tcBorders>
              <w:top w:val="nil"/>
              <w:left w:val="nil"/>
              <w:bottom w:val="single" w:color="auto" w:sz="4" w:space="0"/>
              <w:right w:val="single" w:color="auto" w:sz="4" w:space="0"/>
            </w:tcBorders>
            <w:vAlign w:val="center"/>
          </w:tcPr>
          <w:p w14:paraId="58C942F0">
            <w:pPr>
              <w:widowControl/>
              <w:jc w:val="left"/>
              <w:rPr>
                <w:rFonts w:ascii="宋体" w:hAnsi="宋体" w:cs="宋体"/>
                <w:color w:val="000000"/>
                <w:kern w:val="0"/>
                <w:sz w:val="22"/>
                <w:highlight w:val="none"/>
              </w:rPr>
            </w:pPr>
            <w:r>
              <w:rPr>
                <w:rFonts w:ascii="宋体" w:hAnsi="宋体" w:cs="宋体"/>
                <w:color w:val="000000"/>
                <w:kern w:val="0"/>
                <w:sz w:val="22"/>
                <w:highlight w:val="none"/>
              </w:rPr>
              <w:t>科电石化机房至港中派出所间千兆光纤链路</w:t>
            </w:r>
            <w:r>
              <w:rPr>
                <w:rFonts w:hint="eastAsia" w:ascii="宋体" w:hAnsi="宋体" w:cs="宋体"/>
                <w:color w:val="000000"/>
                <w:kern w:val="0"/>
                <w:sz w:val="22"/>
                <w:highlight w:val="none"/>
              </w:rPr>
              <w:t>；</w:t>
            </w:r>
          </w:p>
          <w:p w14:paraId="3C19C568">
            <w:pPr>
              <w:widowControl/>
              <w:jc w:val="left"/>
              <w:rPr>
                <w:rFonts w:ascii="宋体" w:hAnsi="宋体" w:cs="宋体"/>
                <w:color w:val="000000"/>
                <w:kern w:val="0"/>
                <w:sz w:val="22"/>
                <w:highlight w:val="none"/>
              </w:rPr>
            </w:pPr>
            <w:r>
              <w:rPr>
                <w:rFonts w:hint="eastAsia" w:ascii="宋体" w:hAnsi="宋体" w:cs="宋体"/>
                <w:color w:val="000000"/>
                <w:kern w:val="0"/>
                <w:sz w:val="22"/>
                <w:highlight w:val="none"/>
              </w:rPr>
              <w:t>该</w:t>
            </w:r>
            <w:r>
              <w:rPr>
                <w:rFonts w:ascii="宋体" w:hAnsi="宋体" w:cs="宋体"/>
                <w:color w:val="000000"/>
                <w:kern w:val="0"/>
                <w:sz w:val="22"/>
                <w:highlight w:val="none"/>
              </w:rPr>
              <w:t>派出所视频专网交换机及与其连接的其他设备不在本</w:t>
            </w:r>
            <w:r>
              <w:rPr>
                <w:rFonts w:hint="eastAsia" w:ascii="宋体" w:hAnsi="宋体" w:cs="宋体"/>
                <w:color w:val="000000"/>
                <w:kern w:val="0"/>
                <w:sz w:val="22"/>
                <w:highlight w:val="none"/>
              </w:rPr>
              <w:t>包</w:t>
            </w:r>
            <w:r>
              <w:rPr>
                <w:rFonts w:ascii="宋体" w:hAnsi="宋体" w:cs="宋体"/>
                <w:color w:val="000000"/>
                <w:kern w:val="0"/>
                <w:sz w:val="22"/>
                <w:highlight w:val="none"/>
              </w:rPr>
              <w:t>运维范围内</w:t>
            </w:r>
            <w:r>
              <w:rPr>
                <w:rFonts w:hint="eastAsia" w:ascii="宋体" w:hAnsi="宋体" w:cs="宋体"/>
                <w:color w:val="000000"/>
                <w:kern w:val="0"/>
                <w:sz w:val="22"/>
                <w:highlight w:val="none"/>
              </w:rPr>
              <w:t>。</w:t>
            </w:r>
          </w:p>
        </w:tc>
      </w:tr>
      <w:tr w14:paraId="629D54BF">
        <w:tblPrEx>
          <w:tblCellMar>
            <w:top w:w="0" w:type="dxa"/>
            <w:left w:w="108" w:type="dxa"/>
            <w:bottom w:w="0" w:type="dxa"/>
            <w:right w:w="108" w:type="dxa"/>
          </w:tblCellMar>
        </w:tblPrEx>
        <w:trPr>
          <w:trHeight w:val="1140" w:hRule="atLeast"/>
        </w:trPr>
        <w:tc>
          <w:tcPr>
            <w:tcW w:w="570" w:type="pct"/>
            <w:tcBorders>
              <w:top w:val="nil"/>
              <w:left w:val="single" w:color="auto" w:sz="4" w:space="0"/>
              <w:bottom w:val="single" w:color="auto" w:sz="4" w:space="0"/>
              <w:right w:val="single" w:color="auto" w:sz="4" w:space="0"/>
            </w:tcBorders>
            <w:noWrap/>
            <w:vAlign w:val="center"/>
          </w:tcPr>
          <w:p w14:paraId="5F911A92">
            <w:pPr>
              <w:widowControl/>
              <w:jc w:val="center"/>
              <w:rPr>
                <w:rFonts w:ascii="宋体" w:hAnsi="宋体" w:cs="宋体"/>
                <w:color w:val="000000"/>
                <w:kern w:val="0"/>
                <w:sz w:val="22"/>
                <w:highlight w:val="none"/>
              </w:rPr>
            </w:pPr>
            <w:r>
              <w:rPr>
                <w:rFonts w:ascii="宋体" w:hAnsi="宋体" w:cs="宋体"/>
                <w:color w:val="000000"/>
                <w:kern w:val="0"/>
                <w:sz w:val="22"/>
                <w:highlight w:val="none"/>
              </w:rPr>
              <w:t>4</w:t>
            </w:r>
          </w:p>
        </w:tc>
        <w:tc>
          <w:tcPr>
            <w:tcW w:w="661" w:type="pct"/>
            <w:tcBorders>
              <w:top w:val="nil"/>
              <w:left w:val="nil"/>
              <w:bottom w:val="single" w:color="auto" w:sz="4" w:space="0"/>
              <w:right w:val="single" w:color="auto" w:sz="4" w:space="0"/>
            </w:tcBorders>
            <w:noWrap/>
            <w:vAlign w:val="center"/>
          </w:tcPr>
          <w:p w14:paraId="5CB52B87">
            <w:pPr>
              <w:widowControl/>
              <w:jc w:val="center"/>
              <w:rPr>
                <w:rFonts w:ascii="宋体" w:hAnsi="宋体" w:cs="宋体"/>
                <w:color w:val="000000"/>
                <w:kern w:val="0"/>
                <w:sz w:val="22"/>
                <w:highlight w:val="none"/>
              </w:rPr>
            </w:pPr>
            <w:r>
              <w:rPr>
                <w:rFonts w:ascii="宋体" w:hAnsi="宋体" w:cs="宋体"/>
                <w:color w:val="000000"/>
                <w:kern w:val="0"/>
                <w:sz w:val="22"/>
                <w:highlight w:val="none"/>
              </w:rPr>
              <w:t>后端</w:t>
            </w:r>
          </w:p>
        </w:tc>
        <w:tc>
          <w:tcPr>
            <w:tcW w:w="3769" w:type="pct"/>
            <w:tcBorders>
              <w:top w:val="nil"/>
              <w:left w:val="nil"/>
              <w:bottom w:val="single" w:color="auto" w:sz="4" w:space="0"/>
              <w:right w:val="single" w:color="auto" w:sz="4" w:space="0"/>
            </w:tcBorders>
            <w:vAlign w:val="center"/>
          </w:tcPr>
          <w:p w14:paraId="2D53C7BD">
            <w:pPr>
              <w:widowControl/>
              <w:jc w:val="left"/>
              <w:rPr>
                <w:rFonts w:ascii="宋体" w:hAnsi="宋体" w:cs="宋体"/>
                <w:color w:val="000000"/>
                <w:kern w:val="0"/>
                <w:sz w:val="22"/>
                <w:highlight w:val="none"/>
              </w:rPr>
            </w:pPr>
            <w:r>
              <w:rPr>
                <w:rFonts w:hint="eastAsia" w:ascii="宋体" w:hAnsi="宋体" w:cs="宋体"/>
                <w:color w:val="000000"/>
                <w:kern w:val="0"/>
                <w:sz w:val="22"/>
                <w:highlight w:val="none"/>
              </w:rPr>
              <w:t>科电石化机房中，与本包相关的视频监控平台、电子卡口后台处理系统、存储系统、服务器、软件功能模块、交换机、光模块等；</w:t>
            </w:r>
          </w:p>
          <w:p w14:paraId="02227482">
            <w:pPr>
              <w:widowControl/>
              <w:jc w:val="left"/>
              <w:rPr>
                <w:rFonts w:ascii="宋体" w:hAnsi="宋体" w:cs="宋体"/>
                <w:color w:val="000000"/>
                <w:kern w:val="0"/>
                <w:sz w:val="22"/>
                <w:highlight w:val="none"/>
              </w:rPr>
            </w:pPr>
            <w:r>
              <w:rPr>
                <w:rFonts w:hint="eastAsia" w:ascii="宋体" w:hAnsi="宋体" w:cs="宋体"/>
                <w:color w:val="000000"/>
                <w:kern w:val="0"/>
                <w:sz w:val="22"/>
                <w:highlight w:val="none"/>
              </w:rPr>
              <w:t>科电石化至联通IDC机房视频专网交换机对应光口间的网络链路；</w:t>
            </w:r>
          </w:p>
          <w:p w14:paraId="7EDC4057">
            <w:pPr>
              <w:widowControl/>
              <w:jc w:val="left"/>
              <w:rPr>
                <w:rFonts w:ascii="宋体" w:hAnsi="宋体" w:cs="宋体"/>
                <w:color w:val="000000"/>
                <w:kern w:val="0"/>
                <w:sz w:val="22"/>
                <w:highlight w:val="none"/>
              </w:rPr>
            </w:pPr>
            <w:r>
              <w:rPr>
                <w:rFonts w:hint="eastAsia" w:ascii="宋体" w:hAnsi="宋体" w:cs="宋体"/>
                <w:color w:val="000000"/>
                <w:kern w:val="0"/>
                <w:sz w:val="22"/>
                <w:highlight w:val="none"/>
              </w:rPr>
              <w:t>该联通IDC机房视频专网交换机及与其连接的其他设备不在本包运维范围内。</w:t>
            </w:r>
          </w:p>
        </w:tc>
      </w:tr>
    </w:tbl>
    <w:p w14:paraId="48C91FFE">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（七）运维保障方案</w:t>
      </w:r>
    </w:p>
    <w:p w14:paraId="66DD2FBC">
      <w:pPr>
        <w:adjustRightInd w:val="0"/>
        <w:snapToGrid w:val="0"/>
        <w:spacing w:line="288" w:lineRule="auto"/>
        <w:ind w:firstLine="448" w:firstLineChars="200"/>
        <w:rPr>
          <w:sz w:val="24"/>
          <w:highlight w:val="none"/>
        </w:rPr>
      </w:pPr>
      <w:r>
        <w:rPr>
          <w:rFonts w:hint="eastAsia"/>
          <w:sz w:val="24"/>
          <w:highlight w:val="none"/>
        </w:rPr>
        <w:t>中标供应商应提供一套完整运维方案，实现运维全流程留痕、智能化管理，对日常运维工作、定期巡检工作、故障处理流程、运维成果文档进行集中统一管控，并能根据采购人需求、实际运维工作特点，对运维系统进行流程调整、定制开发。</w:t>
      </w:r>
    </w:p>
    <w:p w14:paraId="4E7D1EAE">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1、统一服务台建设</w:t>
      </w:r>
    </w:p>
    <w:p w14:paraId="310EDBD1">
      <w:pPr>
        <w:adjustRightInd w:val="0"/>
        <w:snapToGrid w:val="0"/>
        <w:spacing w:line="288" w:lineRule="auto"/>
        <w:ind w:firstLine="448" w:firstLineChars="200"/>
        <w:rPr>
          <w:sz w:val="24"/>
          <w:highlight w:val="none"/>
        </w:rPr>
      </w:pPr>
      <w:r>
        <w:rPr>
          <w:rFonts w:hint="eastAsia"/>
          <w:sz w:val="24"/>
          <w:highlight w:val="none"/>
        </w:rPr>
        <w:t>中标供应商须设立并提供全天候的服务热线电话和故障申告电话，确保每天24小时不间断地受理与本包相关的所有服务需求。该服务包括但</w:t>
      </w:r>
      <w:r>
        <w:rPr>
          <w:sz w:val="24"/>
          <w:highlight w:val="none"/>
        </w:rPr>
        <w:t>不限于视频监控系统、电子卡口后台处理系统、后端存储设备、网络及链路等方面的疑难问题解答、技术指导以及故障申告处理</w:t>
      </w:r>
      <w:r>
        <w:rPr>
          <w:rFonts w:hint="eastAsia"/>
          <w:sz w:val="24"/>
          <w:highlight w:val="none"/>
        </w:rPr>
        <w:t>。</w:t>
      </w:r>
    </w:p>
    <w:p w14:paraId="2213BC44">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2、运维交接</w:t>
      </w:r>
    </w:p>
    <w:p w14:paraId="6A2A4049">
      <w:pPr>
        <w:adjustRightInd w:val="0"/>
        <w:snapToGrid w:val="0"/>
        <w:spacing w:line="288" w:lineRule="auto"/>
        <w:ind w:firstLine="448" w:firstLineChars="200"/>
        <w:rPr>
          <w:sz w:val="24"/>
          <w:highlight w:val="none"/>
        </w:rPr>
      </w:pPr>
      <w:r>
        <w:rPr>
          <w:rFonts w:hint="eastAsia"/>
          <w:sz w:val="24"/>
          <w:highlight w:val="none"/>
        </w:rPr>
        <w:t>中标供应商应在中标后与采购人进行资料交接，并对资料进行整理，包括但不限于：点位名称、设备编号、设备厂家、IP地址、安装位置、当前状态、状态描述、设备照片等文档材料。</w:t>
      </w:r>
    </w:p>
    <w:p w14:paraId="71F12A93">
      <w:pPr>
        <w:adjustRightInd w:val="0"/>
        <w:snapToGrid w:val="0"/>
        <w:spacing w:line="288" w:lineRule="auto"/>
        <w:ind w:firstLine="448" w:firstLineChars="200"/>
        <w:rPr>
          <w:sz w:val="24"/>
          <w:highlight w:val="none"/>
        </w:rPr>
      </w:pPr>
      <w:r>
        <w:rPr>
          <w:rFonts w:hint="eastAsia"/>
          <w:sz w:val="24"/>
          <w:highlight w:val="none"/>
        </w:rPr>
        <w:t>中标供应商应在中标后对本包运维范围内涉及软硬件设备及配套设施，进行核查，与采购人提供工程量清单及点位明细、资产核查报告明细进行对比，将对比结果提交采购人进行确认，以采购人确认结果为本包最终运维工程量清单及点位明细；针对中标供应商核查过程中发现设备缺失的情况（如设备分线箱、监控标识牌等），应使用采购人提供的备品备件进行补充、修复。</w:t>
      </w:r>
    </w:p>
    <w:p w14:paraId="4BFB457C">
      <w:pPr>
        <w:adjustRightInd w:val="0"/>
        <w:snapToGrid w:val="0"/>
        <w:spacing w:line="288" w:lineRule="auto"/>
        <w:ind w:firstLine="448" w:firstLineChars="200"/>
        <w:rPr>
          <w:sz w:val="24"/>
          <w:highlight w:val="none"/>
        </w:rPr>
      </w:pPr>
      <w:r>
        <w:rPr>
          <w:rFonts w:hint="eastAsia"/>
          <w:sz w:val="24"/>
          <w:highlight w:val="none"/>
        </w:rPr>
        <w:t>中标供应商应完善运维范围内前端监控点位“一机一档”表格，确保表格内容与实际情况一致。应完善运行维护机制，确保本包安全、稳定、正常运行。</w:t>
      </w:r>
    </w:p>
    <w:p w14:paraId="01A57819">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3、日常维护服务</w:t>
      </w:r>
    </w:p>
    <w:p w14:paraId="43FD0696">
      <w:pPr>
        <w:adjustRightInd w:val="0"/>
        <w:snapToGrid w:val="0"/>
        <w:spacing w:line="288" w:lineRule="auto"/>
        <w:ind w:firstLine="448" w:firstLineChars="200"/>
        <w:rPr>
          <w:sz w:val="24"/>
          <w:highlight w:val="none"/>
        </w:rPr>
      </w:pPr>
      <w:r>
        <w:rPr>
          <w:rFonts w:hint="eastAsia"/>
          <w:sz w:val="24"/>
          <w:highlight w:val="none"/>
        </w:rPr>
        <w:t>中标供应商须安排平台巡检人员、维护的专职队伍和车辆等必要设备设施，为本次运维项目进行日常维护工作。</w:t>
      </w:r>
    </w:p>
    <w:p w14:paraId="5CF2887A">
      <w:pPr>
        <w:adjustRightInd w:val="0"/>
        <w:snapToGrid w:val="0"/>
        <w:spacing w:line="288" w:lineRule="auto"/>
        <w:ind w:firstLine="448" w:firstLineChars="200"/>
        <w:rPr>
          <w:sz w:val="24"/>
          <w:highlight w:val="none"/>
        </w:rPr>
      </w:pPr>
      <w:r>
        <w:rPr>
          <w:rFonts w:hint="eastAsia"/>
          <w:sz w:val="24"/>
          <w:highlight w:val="none"/>
        </w:rPr>
        <w:t>平台巡检人员日常运维工作：</w:t>
      </w:r>
    </w:p>
    <w:p w14:paraId="5F6A8969">
      <w:pPr>
        <w:adjustRightInd w:val="0"/>
        <w:snapToGrid w:val="0"/>
        <w:spacing w:line="288" w:lineRule="auto"/>
        <w:ind w:firstLine="448" w:firstLineChars="200"/>
        <w:rPr>
          <w:sz w:val="24"/>
          <w:highlight w:val="none"/>
        </w:rPr>
      </w:pPr>
      <w:r>
        <w:rPr>
          <w:rFonts w:hint="eastAsia"/>
          <w:sz w:val="24"/>
          <w:highlight w:val="none"/>
        </w:rPr>
        <w:t>（1）</w:t>
      </w:r>
      <w:r>
        <w:rPr>
          <w:sz w:val="24"/>
          <w:highlight w:val="none"/>
        </w:rPr>
        <w:t>运维服务方应指定</w:t>
      </w:r>
      <w:r>
        <w:rPr>
          <w:rFonts w:hint="eastAsia"/>
          <w:sz w:val="24"/>
          <w:highlight w:val="none"/>
        </w:rPr>
        <w:t>1</w:t>
      </w:r>
      <w:r>
        <w:rPr>
          <w:sz w:val="24"/>
          <w:highlight w:val="none"/>
        </w:rPr>
        <w:t>名专职平台巡检人员，在</w:t>
      </w:r>
      <w:r>
        <w:rPr>
          <w:rFonts w:hint="eastAsia"/>
          <w:sz w:val="24"/>
          <w:highlight w:val="none"/>
        </w:rPr>
        <w:t>采购人</w:t>
      </w:r>
      <w:r>
        <w:rPr>
          <w:sz w:val="24"/>
          <w:highlight w:val="none"/>
        </w:rPr>
        <w:t>认可的安全可靠的物理、网络环境下，进行平台巡检工作。每日通过指定</w:t>
      </w:r>
      <w:r>
        <w:rPr>
          <w:rFonts w:hint="eastAsia"/>
          <w:sz w:val="24"/>
          <w:highlight w:val="none"/>
        </w:rPr>
        <w:t>考核</w:t>
      </w:r>
      <w:r>
        <w:rPr>
          <w:sz w:val="24"/>
          <w:highlight w:val="none"/>
        </w:rPr>
        <w:t>平台查看前端设备完好情况，校对前端视频监控画面时间、地点、名称等信息；检查平台数据完整性，监控每天的网络连通性、占用流量等运行状态；通过接听故障申告电话或主动发现的方式受理前端故障，并进行初步判断，填报《故障派修单》，联系电话支持工程师并配合其分析故障原因、提出解决方案；外场服务人员或技术支持工程师前往事故发生地点后，在平台端配合其维修工作。平台巡检人员信息提前向建设单位备案，服从</w:t>
      </w:r>
      <w:r>
        <w:rPr>
          <w:rFonts w:hint="eastAsia"/>
          <w:sz w:val="24"/>
          <w:highlight w:val="none"/>
        </w:rPr>
        <w:t>采购人</w:t>
      </w:r>
      <w:r>
        <w:rPr>
          <w:sz w:val="24"/>
          <w:highlight w:val="none"/>
        </w:rPr>
        <w:t>管理（含考勤管理等），完成</w:t>
      </w:r>
      <w:r>
        <w:rPr>
          <w:rFonts w:hint="eastAsia"/>
          <w:sz w:val="24"/>
          <w:highlight w:val="none"/>
        </w:rPr>
        <w:t>采购人</w:t>
      </w:r>
      <w:r>
        <w:rPr>
          <w:sz w:val="24"/>
          <w:highlight w:val="none"/>
        </w:rPr>
        <w:t>安排的其他运维服务相关工作；应配置备用平台巡检人员，保证每天平台巡检工作不间断执行。</w:t>
      </w:r>
    </w:p>
    <w:p w14:paraId="152659DD">
      <w:pPr>
        <w:adjustRightInd w:val="0"/>
        <w:snapToGrid w:val="0"/>
        <w:spacing w:line="288" w:lineRule="auto"/>
        <w:ind w:firstLine="448" w:firstLineChars="200"/>
        <w:rPr>
          <w:sz w:val="24"/>
          <w:highlight w:val="none"/>
        </w:rPr>
      </w:pPr>
      <w:r>
        <w:rPr>
          <w:rFonts w:hint="eastAsia"/>
          <w:sz w:val="24"/>
          <w:highlight w:val="none"/>
        </w:rPr>
        <w:t>（2）</w:t>
      </w:r>
      <w:r>
        <w:rPr>
          <w:sz w:val="24"/>
          <w:highlight w:val="none"/>
        </w:rPr>
        <w:t>按滨海分局的要求填报、整理运维资料，填报《运维值班日志》、《前端摄像机日完好率统计表》、《</w:t>
      </w:r>
      <w:r>
        <w:rPr>
          <w:rFonts w:hint="eastAsia"/>
          <w:sz w:val="24"/>
          <w:highlight w:val="none"/>
        </w:rPr>
        <w:t>季度运维报告</w:t>
      </w:r>
      <w:r>
        <w:rPr>
          <w:sz w:val="24"/>
          <w:highlight w:val="none"/>
        </w:rPr>
        <w:t>》等。</w:t>
      </w:r>
    </w:p>
    <w:p w14:paraId="7B522928">
      <w:pPr>
        <w:adjustRightInd w:val="0"/>
        <w:snapToGrid w:val="0"/>
        <w:spacing w:line="288" w:lineRule="auto"/>
        <w:ind w:firstLine="448" w:firstLineChars="200"/>
        <w:rPr>
          <w:sz w:val="24"/>
          <w:highlight w:val="none"/>
        </w:rPr>
      </w:pPr>
      <w:r>
        <w:rPr>
          <w:rFonts w:hint="eastAsia"/>
          <w:sz w:val="24"/>
          <w:highlight w:val="none"/>
        </w:rPr>
        <w:t>（3）</w:t>
      </w:r>
      <w:r>
        <w:rPr>
          <w:sz w:val="24"/>
          <w:highlight w:val="none"/>
        </w:rPr>
        <w:t>须按照</w:t>
      </w:r>
      <w:r>
        <w:rPr>
          <w:rFonts w:hint="eastAsia"/>
          <w:sz w:val="24"/>
          <w:highlight w:val="none"/>
        </w:rPr>
        <w:t>《公安视频图像屏幕显示信息叠加规范》（</w:t>
      </w:r>
      <w:r>
        <w:rPr>
          <w:sz w:val="24"/>
          <w:highlight w:val="none"/>
        </w:rPr>
        <w:t>GA/T751-2024）和天津市公安局对视频数据治理要求整理日常运维资料，结合实际运维情况和</w:t>
      </w:r>
      <w:r>
        <w:rPr>
          <w:rFonts w:hint="eastAsia"/>
          <w:sz w:val="24"/>
          <w:highlight w:val="none"/>
        </w:rPr>
        <w:t>采购人</w:t>
      </w:r>
      <w:r>
        <w:rPr>
          <w:sz w:val="24"/>
          <w:highlight w:val="none"/>
        </w:rPr>
        <w:t>需求及时对视频监控一机一档资料进行调整，确保数据真实准确，运维资料整理内容包括但不限于设备名称、设备厂商、行政区域、监控点位类型、设备型号、点位俗称、IPV4 地址、IPV6 地址、MAC地址、摄像机类型、摄像机功能类型、补光属性、摄像机编码格式、安装地址、经纬度（需精确到小数点后6位）、摄像机位置类型、监控方位、联网属性、所属辖区公安机关、安装时间、管理单位、管理单位联系方式、录像保存天数、设备状态、所属部门/行业、维护单位、维护责任人、维修/维护记录、资料照片（现场杆体正面照、独立设备近照、杆体现场环境区域全景照、取电点现场环境区域全景照）等信息。</w:t>
      </w:r>
    </w:p>
    <w:p w14:paraId="1A01D460">
      <w:pPr>
        <w:adjustRightInd w:val="0"/>
        <w:snapToGrid w:val="0"/>
        <w:spacing w:line="288" w:lineRule="auto"/>
        <w:ind w:firstLine="448" w:firstLineChars="200"/>
        <w:rPr>
          <w:sz w:val="24"/>
          <w:highlight w:val="none"/>
        </w:rPr>
      </w:pPr>
      <w:r>
        <w:rPr>
          <w:rFonts w:hint="eastAsia"/>
          <w:sz w:val="24"/>
          <w:highlight w:val="none"/>
        </w:rPr>
        <w:t>（4）中标供应商</w:t>
      </w:r>
      <w:r>
        <w:rPr>
          <w:sz w:val="24"/>
          <w:highlight w:val="none"/>
        </w:rPr>
        <w:t>应对机房中的存储设备进行日常维护，通过平台检查记录配置信息（网络配置和软件配置），检查硬盘的运行情况等。</w:t>
      </w:r>
    </w:p>
    <w:p w14:paraId="533D2FA1">
      <w:pPr>
        <w:adjustRightInd w:val="0"/>
        <w:snapToGrid w:val="0"/>
        <w:spacing w:line="288" w:lineRule="auto"/>
        <w:ind w:firstLine="448" w:firstLineChars="200"/>
        <w:rPr>
          <w:sz w:val="24"/>
          <w:highlight w:val="none"/>
        </w:rPr>
      </w:pPr>
      <w:r>
        <w:rPr>
          <w:rFonts w:hint="eastAsia"/>
          <w:sz w:val="24"/>
          <w:highlight w:val="none"/>
        </w:rPr>
        <w:t>外场服务人员日常运维工作：</w:t>
      </w:r>
    </w:p>
    <w:p w14:paraId="6D591BA3">
      <w:pPr>
        <w:adjustRightInd w:val="0"/>
        <w:snapToGrid w:val="0"/>
        <w:spacing w:line="288" w:lineRule="auto"/>
        <w:ind w:firstLine="448" w:firstLineChars="200"/>
        <w:rPr>
          <w:sz w:val="24"/>
          <w:highlight w:val="none"/>
        </w:rPr>
      </w:pPr>
      <w:r>
        <w:rPr>
          <w:sz w:val="24"/>
          <w:highlight w:val="none"/>
        </w:rPr>
        <w:t>接收平台巡检人员、技术支持工程师工作指令，听取故障分析结果与解决方案，前往故障发生点位查看，结合现场实际情况，开展故障维修工作。</w:t>
      </w:r>
    </w:p>
    <w:p w14:paraId="0E86287D">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4、定期巡检服务</w:t>
      </w:r>
    </w:p>
    <w:p w14:paraId="4BCC0905">
      <w:pPr>
        <w:adjustRightInd w:val="0"/>
        <w:snapToGrid w:val="0"/>
        <w:spacing w:line="288" w:lineRule="auto"/>
        <w:ind w:firstLine="448" w:firstLineChars="200"/>
        <w:rPr>
          <w:sz w:val="24"/>
          <w:highlight w:val="none"/>
        </w:rPr>
      </w:pPr>
      <w:r>
        <w:rPr>
          <w:rFonts w:hint="eastAsia"/>
          <w:sz w:val="24"/>
          <w:highlight w:val="none"/>
        </w:rPr>
        <w:t>中标供应商需每3个月至少对运维范围内设备和设施进行一次全面的定期巡检，运维服务期内定期巡检不少于4次，且在服务期内平均分配，以确保系统的持续稳定运行和设备的良好状态。</w:t>
      </w:r>
    </w:p>
    <w:p w14:paraId="6D82D4D6">
      <w:pPr>
        <w:adjustRightInd w:val="0"/>
        <w:snapToGrid w:val="0"/>
        <w:spacing w:line="288" w:lineRule="auto"/>
        <w:ind w:firstLine="448" w:firstLineChars="200"/>
        <w:rPr>
          <w:sz w:val="24"/>
          <w:highlight w:val="none"/>
        </w:rPr>
      </w:pPr>
      <w:r>
        <w:rPr>
          <w:rFonts w:hint="eastAsia"/>
          <w:sz w:val="24"/>
          <w:highlight w:val="none"/>
        </w:rPr>
        <w:t>中标供应商需对每次巡检进行详细记录，包括设备状态、发现的问题及处理情况，并形成完整的巡检报告提交给采购人。对于巡检中发现的潜在问题或隐患，应立即采取整改措施，确保设备设施的安全性和可靠性。同时，巡检报告将作为后续运维工作的参考依据，方便进一步优化设备维护策略和巡检计划。</w:t>
      </w:r>
    </w:p>
    <w:p w14:paraId="4F2C15A5">
      <w:pPr>
        <w:adjustRightInd w:val="0"/>
        <w:snapToGrid w:val="0"/>
        <w:spacing w:line="288" w:lineRule="auto"/>
        <w:ind w:firstLine="448" w:firstLineChars="200"/>
        <w:outlineLvl w:val="6"/>
        <w:rPr>
          <w:sz w:val="24"/>
          <w:highlight w:val="none"/>
        </w:rPr>
      </w:pPr>
      <w:r>
        <w:rPr>
          <w:rFonts w:hint="eastAsia"/>
          <w:sz w:val="24"/>
          <w:highlight w:val="none"/>
        </w:rPr>
        <w:t>（1）监控杆体等设施巡检</w:t>
      </w:r>
    </w:p>
    <w:p w14:paraId="6947372D">
      <w:pPr>
        <w:adjustRightInd w:val="0"/>
        <w:snapToGrid w:val="0"/>
        <w:spacing w:line="288" w:lineRule="auto"/>
        <w:ind w:firstLine="448" w:firstLineChars="200"/>
        <w:rPr>
          <w:sz w:val="24"/>
          <w:highlight w:val="none"/>
        </w:rPr>
      </w:pPr>
      <w:r>
        <w:rPr>
          <w:rFonts w:hint="eastAsia"/>
          <w:sz w:val="24"/>
          <w:highlight w:val="none"/>
        </w:rPr>
        <w:t>设施巡检内容包括监控杆体、杆体基础、紧固件和抱杆箱。</w:t>
      </w:r>
    </w:p>
    <w:p w14:paraId="6C1CAA30">
      <w:pPr>
        <w:adjustRightInd w:val="0"/>
        <w:snapToGrid w:val="0"/>
        <w:spacing w:line="288" w:lineRule="auto"/>
        <w:ind w:firstLine="448" w:firstLineChars="200"/>
        <w:outlineLvl w:val="7"/>
        <w:rPr>
          <w:sz w:val="24"/>
          <w:highlight w:val="none"/>
        </w:rPr>
      </w:pPr>
      <w:r>
        <w:rPr>
          <w:rFonts w:hint="eastAsia"/>
          <w:sz w:val="24"/>
          <w:highlight w:val="none"/>
        </w:rPr>
        <w:t>1）监控杆体检查</w:t>
      </w:r>
    </w:p>
    <w:p w14:paraId="22B9E269">
      <w:pPr>
        <w:adjustRightInd w:val="0"/>
        <w:snapToGrid w:val="0"/>
        <w:spacing w:line="288" w:lineRule="auto"/>
        <w:ind w:firstLine="448" w:firstLineChars="200"/>
        <w:rPr>
          <w:sz w:val="24"/>
          <w:highlight w:val="none"/>
        </w:rPr>
      </w:pPr>
      <w:r>
        <w:rPr>
          <w:rFonts w:hint="eastAsia"/>
          <w:sz w:val="24"/>
          <w:highlight w:val="none"/>
        </w:rPr>
        <w:t>保证监控杆体外观完好，满足竖直度要求，无歪斜、倾倒、晃动等现象。</w:t>
      </w:r>
    </w:p>
    <w:p w14:paraId="502F8A12">
      <w:pPr>
        <w:adjustRightInd w:val="0"/>
        <w:snapToGrid w:val="0"/>
        <w:spacing w:line="288" w:lineRule="auto"/>
        <w:ind w:firstLine="448" w:firstLineChars="200"/>
        <w:rPr>
          <w:sz w:val="24"/>
          <w:highlight w:val="none"/>
        </w:rPr>
      </w:pPr>
      <w:r>
        <w:rPr>
          <w:rFonts w:hint="eastAsia"/>
          <w:sz w:val="24"/>
          <w:highlight w:val="none"/>
        </w:rPr>
        <w:t>检查杆柱是否存在因事故碰撞或人为破坏造成的断裂、弯折、凹陷、划痕等现象。</w:t>
      </w:r>
    </w:p>
    <w:p w14:paraId="4AD0A9A8">
      <w:pPr>
        <w:adjustRightInd w:val="0"/>
        <w:snapToGrid w:val="0"/>
        <w:spacing w:line="288" w:lineRule="auto"/>
        <w:ind w:firstLine="448" w:firstLineChars="200"/>
        <w:rPr>
          <w:sz w:val="24"/>
          <w:highlight w:val="none"/>
        </w:rPr>
      </w:pPr>
      <w:r>
        <w:rPr>
          <w:rFonts w:hint="eastAsia"/>
          <w:sz w:val="24"/>
          <w:highlight w:val="none"/>
        </w:rPr>
        <w:t>检查杆柱上是否存在粘贴小广告、喷涂文字图画、动物粪便、口香糖等污物附着的现象。</w:t>
      </w:r>
    </w:p>
    <w:p w14:paraId="4209790F">
      <w:pPr>
        <w:adjustRightInd w:val="0"/>
        <w:snapToGrid w:val="0"/>
        <w:spacing w:line="288" w:lineRule="auto"/>
        <w:ind w:firstLine="448" w:firstLineChars="200"/>
        <w:rPr>
          <w:sz w:val="24"/>
          <w:highlight w:val="none"/>
        </w:rPr>
      </w:pPr>
      <w:r>
        <w:rPr>
          <w:rFonts w:hint="eastAsia"/>
          <w:sz w:val="24"/>
          <w:highlight w:val="none"/>
        </w:rPr>
        <w:t>检查杆体表面是否存在涂层脱落、腐蚀生锈的现象。</w:t>
      </w:r>
    </w:p>
    <w:p w14:paraId="007604ED">
      <w:pPr>
        <w:adjustRightInd w:val="0"/>
        <w:snapToGrid w:val="0"/>
        <w:spacing w:line="288" w:lineRule="auto"/>
        <w:ind w:firstLine="448" w:firstLineChars="200"/>
        <w:rPr>
          <w:sz w:val="24"/>
          <w:highlight w:val="none"/>
        </w:rPr>
      </w:pPr>
      <w:r>
        <w:rPr>
          <w:rFonts w:hint="eastAsia"/>
          <w:sz w:val="24"/>
          <w:highlight w:val="none"/>
        </w:rPr>
        <w:t>检查杆柱上是否存在搭系线缆、晾衣绳和拴挂物品等现象，造成杆柱受力而产生安全隐患。</w:t>
      </w:r>
    </w:p>
    <w:p w14:paraId="4AA7AEB8">
      <w:pPr>
        <w:adjustRightInd w:val="0"/>
        <w:snapToGrid w:val="0"/>
        <w:spacing w:line="288" w:lineRule="auto"/>
        <w:ind w:firstLine="448" w:firstLineChars="200"/>
        <w:rPr>
          <w:sz w:val="24"/>
          <w:highlight w:val="none"/>
        </w:rPr>
      </w:pPr>
      <w:r>
        <w:rPr>
          <w:rFonts w:hint="eastAsia"/>
          <w:sz w:val="24"/>
          <w:highlight w:val="none"/>
        </w:rPr>
        <w:t>检查杆体上安装的附着物是否牢固，是否存在安全隐患。</w:t>
      </w:r>
    </w:p>
    <w:p w14:paraId="1DE6B2A5">
      <w:pPr>
        <w:adjustRightInd w:val="0"/>
        <w:snapToGrid w:val="0"/>
        <w:spacing w:line="288" w:lineRule="auto"/>
        <w:ind w:firstLine="448" w:firstLineChars="200"/>
        <w:rPr>
          <w:sz w:val="24"/>
          <w:highlight w:val="none"/>
        </w:rPr>
      </w:pPr>
      <w:r>
        <w:rPr>
          <w:rFonts w:hint="eastAsia"/>
          <w:sz w:val="24"/>
          <w:highlight w:val="none"/>
        </w:rPr>
        <w:t>检查杆体是否漏电，检查杆体接地装置是否完好，确保杆体周围经过人员的安全。</w:t>
      </w:r>
    </w:p>
    <w:p w14:paraId="3660352A">
      <w:pPr>
        <w:adjustRightInd w:val="0"/>
        <w:snapToGrid w:val="0"/>
        <w:spacing w:line="288" w:lineRule="auto"/>
        <w:ind w:firstLine="448" w:firstLineChars="200"/>
        <w:rPr>
          <w:sz w:val="24"/>
          <w:highlight w:val="none"/>
        </w:rPr>
      </w:pPr>
      <w:r>
        <w:rPr>
          <w:rFonts w:hint="eastAsia"/>
          <w:sz w:val="24"/>
          <w:highlight w:val="none"/>
        </w:rPr>
        <w:t>巡检过程中发现上述问题，中标供应商需采取相应措施进行合理处置，并在48小时内修复。</w:t>
      </w:r>
    </w:p>
    <w:p w14:paraId="23E46234">
      <w:pPr>
        <w:adjustRightInd w:val="0"/>
        <w:snapToGrid w:val="0"/>
        <w:spacing w:line="288" w:lineRule="auto"/>
        <w:ind w:firstLine="448" w:firstLineChars="200"/>
        <w:outlineLvl w:val="7"/>
        <w:rPr>
          <w:sz w:val="24"/>
          <w:highlight w:val="none"/>
        </w:rPr>
      </w:pPr>
      <w:r>
        <w:rPr>
          <w:rFonts w:hint="eastAsia"/>
          <w:sz w:val="24"/>
          <w:highlight w:val="none"/>
        </w:rPr>
        <w:t>2）杆体基础</w:t>
      </w:r>
    </w:p>
    <w:p w14:paraId="0B98257B">
      <w:pPr>
        <w:adjustRightInd w:val="0"/>
        <w:snapToGrid w:val="0"/>
        <w:spacing w:line="288" w:lineRule="auto"/>
        <w:ind w:firstLine="448" w:firstLineChars="200"/>
        <w:rPr>
          <w:sz w:val="24"/>
          <w:highlight w:val="none"/>
        </w:rPr>
      </w:pPr>
      <w:r>
        <w:rPr>
          <w:rFonts w:hint="eastAsia"/>
          <w:sz w:val="24"/>
          <w:highlight w:val="none"/>
        </w:rPr>
        <w:t>通过检查确认监控杆体基础稳固、无安全隐患，对监控设备自身及交通通行不构成安全隐患，对露出地面部分采取妥当措施予以保护。</w:t>
      </w:r>
    </w:p>
    <w:p w14:paraId="66E2A930">
      <w:pPr>
        <w:adjustRightInd w:val="0"/>
        <w:snapToGrid w:val="0"/>
        <w:spacing w:line="288" w:lineRule="auto"/>
        <w:ind w:firstLine="448" w:firstLineChars="200"/>
        <w:rPr>
          <w:sz w:val="24"/>
          <w:highlight w:val="none"/>
        </w:rPr>
      </w:pPr>
      <w:r>
        <w:rPr>
          <w:rFonts w:hint="eastAsia"/>
          <w:sz w:val="24"/>
          <w:highlight w:val="none"/>
        </w:rPr>
        <w:t>针对监控设备杆体基础埋深较浅，易受土层、天气变化影响的情况，检查基础是否松动。</w:t>
      </w:r>
    </w:p>
    <w:p w14:paraId="2081778C">
      <w:pPr>
        <w:adjustRightInd w:val="0"/>
        <w:snapToGrid w:val="0"/>
        <w:spacing w:line="288" w:lineRule="auto"/>
        <w:ind w:firstLine="448" w:firstLineChars="200"/>
        <w:rPr>
          <w:sz w:val="24"/>
          <w:highlight w:val="none"/>
        </w:rPr>
      </w:pPr>
      <w:r>
        <w:rPr>
          <w:rFonts w:hint="eastAsia"/>
          <w:sz w:val="24"/>
          <w:highlight w:val="none"/>
        </w:rPr>
        <w:t>对设置于步道上的杆体，检查其基础混凝土部分是否高于路面、影响车辆和行人通行、存在安全隐患。</w:t>
      </w:r>
    </w:p>
    <w:p w14:paraId="21D3F8EC">
      <w:pPr>
        <w:adjustRightInd w:val="0"/>
        <w:snapToGrid w:val="0"/>
        <w:spacing w:line="288" w:lineRule="auto"/>
        <w:ind w:firstLine="448" w:firstLineChars="200"/>
        <w:rPr>
          <w:sz w:val="24"/>
          <w:highlight w:val="none"/>
        </w:rPr>
      </w:pPr>
      <w:r>
        <w:rPr>
          <w:rFonts w:hint="eastAsia"/>
          <w:sz w:val="24"/>
          <w:highlight w:val="none"/>
        </w:rPr>
        <w:t>检查设备安装或维护过程中，部分损坏的基础是否采取了相应的保护措施。</w:t>
      </w:r>
    </w:p>
    <w:p w14:paraId="5C013F03">
      <w:pPr>
        <w:adjustRightInd w:val="0"/>
        <w:snapToGrid w:val="0"/>
        <w:spacing w:line="288" w:lineRule="auto"/>
        <w:ind w:firstLine="448" w:firstLineChars="200"/>
        <w:rPr>
          <w:sz w:val="24"/>
          <w:highlight w:val="none"/>
        </w:rPr>
      </w:pPr>
      <w:r>
        <w:rPr>
          <w:rFonts w:hint="eastAsia"/>
          <w:sz w:val="24"/>
          <w:highlight w:val="none"/>
        </w:rPr>
        <w:t>检查杆体手井及井盖是否破损，一旦发现破损、存在安全隐患的手井及井盖，巡检人员须进行现场处置，修复破损井盖，消除安全隐患。如现场确认不能立即修复，中标供应商需对手井及井盖进行360度围挡，围挡上应有全天候醒目的安全警示标识。</w:t>
      </w:r>
    </w:p>
    <w:p w14:paraId="36DB48A8">
      <w:pPr>
        <w:adjustRightInd w:val="0"/>
        <w:snapToGrid w:val="0"/>
        <w:spacing w:line="288" w:lineRule="auto"/>
        <w:ind w:firstLine="448" w:firstLineChars="200"/>
        <w:rPr>
          <w:sz w:val="24"/>
          <w:highlight w:val="none"/>
        </w:rPr>
      </w:pPr>
      <w:r>
        <w:rPr>
          <w:rFonts w:hint="eastAsia"/>
          <w:sz w:val="24"/>
          <w:highlight w:val="none"/>
        </w:rPr>
        <w:t>中标供应商在巡检过程中发现存在问题的杆体基础，应第一时间向采购人上报故障，同时采取预防性保护措施，防止发生安全事故及二次伤害，并保证在48小时内修复正常。</w:t>
      </w:r>
    </w:p>
    <w:p w14:paraId="157F2475">
      <w:pPr>
        <w:adjustRightInd w:val="0"/>
        <w:snapToGrid w:val="0"/>
        <w:spacing w:line="288" w:lineRule="auto"/>
        <w:ind w:firstLine="448" w:firstLineChars="200"/>
        <w:outlineLvl w:val="7"/>
        <w:rPr>
          <w:sz w:val="24"/>
          <w:highlight w:val="none"/>
        </w:rPr>
      </w:pPr>
      <w:r>
        <w:rPr>
          <w:rFonts w:hint="eastAsia"/>
          <w:sz w:val="24"/>
          <w:highlight w:val="none"/>
        </w:rPr>
        <w:t>3）紧固件</w:t>
      </w:r>
    </w:p>
    <w:p w14:paraId="49A664A9">
      <w:pPr>
        <w:adjustRightInd w:val="0"/>
        <w:snapToGrid w:val="0"/>
        <w:spacing w:line="288" w:lineRule="auto"/>
        <w:ind w:firstLine="448" w:firstLineChars="200"/>
        <w:rPr>
          <w:sz w:val="24"/>
          <w:highlight w:val="none"/>
        </w:rPr>
      </w:pPr>
      <w:r>
        <w:rPr>
          <w:rFonts w:hint="eastAsia"/>
          <w:sz w:val="24"/>
          <w:highlight w:val="none"/>
        </w:rPr>
        <w:t>巡检过程中检查监控杆体与杆上设备各主要部件之间连接是否牢固、是否有老化锈蚀现象，重点关注监控杆体与基础间地脚螺栓与螺母是否齐全完好、连接紧密，确保非专业人员无法轻易松开。</w:t>
      </w:r>
    </w:p>
    <w:p w14:paraId="0F707E2A">
      <w:pPr>
        <w:adjustRightInd w:val="0"/>
        <w:snapToGrid w:val="0"/>
        <w:spacing w:line="288" w:lineRule="auto"/>
        <w:ind w:firstLine="448" w:firstLineChars="200"/>
        <w:rPr>
          <w:sz w:val="24"/>
          <w:highlight w:val="none"/>
        </w:rPr>
      </w:pPr>
      <w:r>
        <w:rPr>
          <w:rFonts w:hint="eastAsia"/>
          <w:sz w:val="24"/>
          <w:highlight w:val="none"/>
        </w:rPr>
        <w:t>巡检过程中发现此类问题，应第一时间向采购人上报故障，同时采取保护措施，防止发生安全事故及二次伤害，并保证在48小时内尽快修复正常。</w:t>
      </w:r>
    </w:p>
    <w:p w14:paraId="69A4D1C5">
      <w:pPr>
        <w:adjustRightInd w:val="0"/>
        <w:snapToGrid w:val="0"/>
        <w:spacing w:line="288" w:lineRule="auto"/>
        <w:ind w:firstLine="448" w:firstLineChars="200"/>
        <w:outlineLvl w:val="7"/>
        <w:rPr>
          <w:sz w:val="24"/>
          <w:highlight w:val="none"/>
        </w:rPr>
      </w:pPr>
      <w:r>
        <w:rPr>
          <w:rFonts w:hint="eastAsia"/>
          <w:sz w:val="24"/>
          <w:highlight w:val="none"/>
        </w:rPr>
        <w:t>4）抱杆箱</w:t>
      </w:r>
    </w:p>
    <w:p w14:paraId="73105B77">
      <w:pPr>
        <w:adjustRightInd w:val="0"/>
        <w:snapToGrid w:val="0"/>
        <w:spacing w:line="288" w:lineRule="auto"/>
        <w:ind w:firstLine="448" w:firstLineChars="200"/>
        <w:rPr>
          <w:sz w:val="24"/>
          <w:highlight w:val="none"/>
        </w:rPr>
      </w:pPr>
      <w:r>
        <w:rPr>
          <w:rFonts w:hint="eastAsia"/>
          <w:sz w:val="24"/>
          <w:highlight w:val="none"/>
        </w:rPr>
        <w:t>检查抱杆箱表面是否存在破损、变形，机箱整体是否清洁，机箱内部有无渗水现象，箱体内外部有无生锈。</w:t>
      </w:r>
    </w:p>
    <w:p w14:paraId="5591C975">
      <w:pPr>
        <w:adjustRightInd w:val="0"/>
        <w:snapToGrid w:val="0"/>
        <w:spacing w:line="288" w:lineRule="auto"/>
        <w:ind w:firstLine="448" w:firstLineChars="200"/>
        <w:rPr>
          <w:sz w:val="24"/>
          <w:highlight w:val="none"/>
        </w:rPr>
      </w:pPr>
      <w:r>
        <w:rPr>
          <w:rFonts w:hint="eastAsia"/>
          <w:sz w:val="24"/>
          <w:highlight w:val="none"/>
        </w:rPr>
        <w:t>测量抱杆箱的接地性能是否良好，接地电阻是否符合接地规范的要求，小于等于4欧姆。</w:t>
      </w:r>
    </w:p>
    <w:p w14:paraId="54EA76A1">
      <w:pPr>
        <w:adjustRightInd w:val="0"/>
        <w:snapToGrid w:val="0"/>
        <w:spacing w:line="288" w:lineRule="auto"/>
        <w:ind w:firstLine="448" w:firstLineChars="200"/>
        <w:rPr>
          <w:sz w:val="24"/>
          <w:highlight w:val="none"/>
        </w:rPr>
      </w:pPr>
      <w:r>
        <w:rPr>
          <w:rFonts w:hint="eastAsia"/>
          <w:sz w:val="24"/>
          <w:highlight w:val="none"/>
        </w:rPr>
        <w:t>检查机箱门锁是否有被撬动的痕迹，门锁能否正常打开；检查抱杆箱与监控杆体接连是否牢固，查看是否有线缆或抱杆箱坠落的隐患或情况。</w:t>
      </w:r>
    </w:p>
    <w:p w14:paraId="41D5D242">
      <w:pPr>
        <w:adjustRightInd w:val="0"/>
        <w:snapToGrid w:val="0"/>
        <w:spacing w:line="288" w:lineRule="auto"/>
        <w:ind w:firstLine="448" w:firstLineChars="200"/>
        <w:rPr>
          <w:sz w:val="24"/>
          <w:highlight w:val="none"/>
        </w:rPr>
      </w:pPr>
      <w:r>
        <w:rPr>
          <w:rFonts w:hint="eastAsia"/>
          <w:sz w:val="24"/>
          <w:highlight w:val="none"/>
        </w:rPr>
        <w:t>巡检过程中发现上述问题，中标供应商需及时采取相应措施进行合理处置，并保证在48小时内修复。</w:t>
      </w:r>
    </w:p>
    <w:p w14:paraId="42F00AAA">
      <w:pPr>
        <w:adjustRightInd w:val="0"/>
        <w:snapToGrid w:val="0"/>
        <w:spacing w:line="288" w:lineRule="auto"/>
        <w:ind w:firstLine="448" w:firstLineChars="200"/>
        <w:outlineLvl w:val="6"/>
        <w:rPr>
          <w:sz w:val="24"/>
          <w:highlight w:val="none"/>
        </w:rPr>
      </w:pPr>
      <w:r>
        <w:rPr>
          <w:rFonts w:hint="eastAsia"/>
          <w:sz w:val="24"/>
          <w:highlight w:val="none"/>
        </w:rPr>
        <w:t>（2）杆上设备巡检</w:t>
      </w:r>
    </w:p>
    <w:p w14:paraId="0DD5E9B0">
      <w:pPr>
        <w:adjustRightInd w:val="0"/>
        <w:snapToGrid w:val="0"/>
        <w:spacing w:line="288" w:lineRule="auto"/>
        <w:ind w:firstLine="448" w:firstLineChars="200"/>
        <w:rPr>
          <w:sz w:val="24"/>
          <w:highlight w:val="none"/>
        </w:rPr>
      </w:pPr>
      <w:r>
        <w:rPr>
          <w:rFonts w:hint="eastAsia"/>
          <w:sz w:val="24"/>
          <w:highlight w:val="none"/>
        </w:rPr>
        <w:t>杆上设备巡检包括摄像机巡检和抱杆箱内设备巡检。</w:t>
      </w:r>
    </w:p>
    <w:p w14:paraId="6272B4D1">
      <w:pPr>
        <w:adjustRightInd w:val="0"/>
        <w:snapToGrid w:val="0"/>
        <w:spacing w:line="288" w:lineRule="auto"/>
        <w:ind w:firstLine="448" w:firstLineChars="200"/>
        <w:outlineLvl w:val="7"/>
        <w:rPr>
          <w:sz w:val="24"/>
          <w:highlight w:val="none"/>
        </w:rPr>
      </w:pPr>
      <w:r>
        <w:rPr>
          <w:rFonts w:hint="eastAsia"/>
          <w:sz w:val="24"/>
          <w:highlight w:val="none"/>
        </w:rPr>
        <w:t>1）摄像机巡检</w:t>
      </w:r>
    </w:p>
    <w:p w14:paraId="658F9263">
      <w:pPr>
        <w:adjustRightInd w:val="0"/>
        <w:snapToGrid w:val="0"/>
        <w:spacing w:line="288" w:lineRule="auto"/>
        <w:ind w:firstLine="448" w:firstLineChars="200"/>
        <w:rPr>
          <w:sz w:val="24"/>
          <w:highlight w:val="none"/>
        </w:rPr>
      </w:pPr>
      <w:r>
        <w:rPr>
          <w:rFonts w:hint="eastAsia"/>
          <w:sz w:val="24"/>
          <w:highlight w:val="none"/>
        </w:rPr>
        <w:t>核对监控杆体上摄像机等设备数量，检查设备指示灯工作状态是否正常；</w:t>
      </w:r>
    </w:p>
    <w:p w14:paraId="4FEFBF59">
      <w:pPr>
        <w:adjustRightInd w:val="0"/>
        <w:snapToGrid w:val="0"/>
        <w:spacing w:line="288" w:lineRule="auto"/>
        <w:ind w:firstLine="448" w:firstLineChars="200"/>
        <w:rPr>
          <w:sz w:val="24"/>
          <w:highlight w:val="none"/>
        </w:rPr>
      </w:pPr>
      <w:r>
        <w:rPr>
          <w:rFonts w:hint="eastAsia"/>
          <w:sz w:val="24"/>
          <w:highlight w:val="none"/>
        </w:rPr>
        <w:t>观察设备外观有无破损、污渍，固定螺栓有无松动，设备强弱电线缆连接是否异常；</w:t>
      </w:r>
    </w:p>
    <w:p w14:paraId="3B8C9BF0">
      <w:pPr>
        <w:adjustRightInd w:val="0"/>
        <w:snapToGrid w:val="0"/>
        <w:spacing w:line="288" w:lineRule="auto"/>
        <w:ind w:firstLine="448" w:firstLineChars="200"/>
        <w:rPr>
          <w:sz w:val="24"/>
          <w:highlight w:val="none"/>
        </w:rPr>
      </w:pPr>
      <w:r>
        <w:rPr>
          <w:rFonts w:hint="eastAsia"/>
          <w:sz w:val="24"/>
          <w:highlight w:val="none"/>
        </w:rPr>
        <w:t>摄像机线缆有无老化问题，及时进行更换；</w:t>
      </w:r>
    </w:p>
    <w:p w14:paraId="1C472187">
      <w:pPr>
        <w:adjustRightInd w:val="0"/>
        <w:snapToGrid w:val="0"/>
        <w:spacing w:line="288" w:lineRule="auto"/>
        <w:ind w:firstLine="448" w:firstLineChars="200"/>
        <w:rPr>
          <w:sz w:val="24"/>
          <w:highlight w:val="none"/>
        </w:rPr>
      </w:pPr>
      <w:r>
        <w:rPr>
          <w:rFonts w:hint="eastAsia"/>
          <w:sz w:val="24"/>
          <w:highlight w:val="none"/>
        </w:rPr>
        <w:t>检查摄像机监控方向及云台位置是否正常、是否在预置位，云台是否能够正常旋转；</w:t>
      </w:r>
    </w:p>
    <w:p w14:paraId="6FDDFBA0">
      <w:pPr>
        <w:adjustRightInd w:val="0"/>
        <w:snapToGrid w:val="0"/>
        <w:spacing w:line="288" w:lineRule="auto"/>
        <w:ind w:firstLine="448" w:firstLineChars="200"/>
        <w:rPr>
          <w:sz w:val="24"/>
          <w:highlight w:val="none"/>
        </w:rPr>
      </w:pPr>
      <w:r>
        <w:rPr>
          <w:rFonts w:hint="eastAsia"/>
          <w:sz w:val="24"/>
          <w:highlight w:val="none"/>
        </w:rPr>
        <w:t>检测视频图像清晰度是否符合要求，有无过度曝光、模糊等现象。</w:t>
      </w:r>
    </w:p>
    <w:p w14:paraId="320B232F">
      <w:pPr>
        <w:adjustRightInd w:val="0"/>
        <w:snapToGrid w:val="0"/>
        <w:spacing w:line="288" w:lineRule="auto"/>
        <w:ind w:firstLine="448" w:firstLineChars="200"/>
        <w:rPr>
          <w:sz w:val="24"/>
          <w:highlight w:val="none"/>
        </w:rPr>
      </w:pPr>
      <w:r>
        <w:rPr>
          <w:rFonts w:hint="eastAsia"/>
          <w:sz w:val="24"/>
          <w:highlight w:val="none"/>
        </w:rPr>
        <w:t>巡检人员须清洁设备表面污渍，修复破损设备，固定设备螺栓，确保摄像机监控方向、云台位置正常，确保视频图像清晰度符合要求。</w:t>
      </w:r>
    </w:p>
    <w:p w14:paraId="705197DD">
      <w:pPr>
        <w:adjustRightInd w:val="0"/>
        <w:snapToGrid w:val="0"/>
        <w:spacing w:line="288" w:lineRule="auto"/>
        <w:ind w:firstLine="448" w:firstLineChars="200"/>
        <w:outlineLvl w:val="7"/>
        <w:rPr>
          <w:sz w:val="24"/>
          <w:highlight w:val="none"/>
        </w:rPr>
      </w:pPr>
      <w:r>
        <w:rPr>
          <w:rFonts w:hint="eastAsia"/>
          <w:sz w:val="24"/>
          <w:highlight w:val="none"/>
        </w:rPr>
        <w:t>2）抱杆箱内设备巡检</w:t>
      </w:r>
    </w:p>
    <w:p w14:paraId="053BF8AB">
      <w:pPr>
        <w:adjustRightInd w:val="0"/>
        <w:snapToGrid w:val="0"/>
        <w:spacing w:line="288" w:lineRule="auto"/>
        <w:ind w:firstLine="448" w:firstLineChars="200"/>
        <w:rPr>
          <w:sz w:val="24"/>
          <w:highlight w:val="none"/>
        </w:rPr>
      </w:pPr>
      <w:r>
        <w:rPr>
          <w:rFonts w:hint="eastAsia"/>
          <w:sz w:val="24"/>
          <w:highlight w:val="none"/>
        </w:rPr>
        <w:t>机箱内部清洁、除尘，整理箱内线缆；</w:t>
      </w:r>
    </w:p>
    <w:p w14:paraId="68BF6381">
      <w:pPr>
        <w:adjustRightInd w:val="0"/>
        <w:snapToGrid w:val="0"/>
        <w:spacing w:line="288" w:lineRule="auto"/>
        <w:ind w:firstLine="448" w:firstLineChars="200"/>
        <w:rPr>
          <w:sz w:val="24"/>
          <w:highlight w:val="none"/>
        </w:rPr>
      </w:pPr>
      <w:r>
        <w:rPr>
          <w:rFonts w:hint="eastAsia"/>
          <w:sz w:val="24"/>
          <w:highlight w:val="none"/>
        </w:rPr>
        <w:t>箱内电力、网络线缆有无老化问题，及时进行更换；</w:t>
      </w:r>
    </w:p>
    <w:p w14:paraId="11592C39">
      <w:pPr>
        <w:adjustRightInd w:val="0"/>
        <w:snapToGrid w:val="0"/>
        <w:spacing w:line="288" w:lineRule="auto"/>
        <w:ind w:firstLine="448" w:firstLineChars="200"/>
        <w:rPr>
          <w:sz w:val="24"/>
          <w:highlight w:val="none"/>
        </w:rPr>
      </w:pPr>
      <w:r>
        <w:rPr>
          <w:rFonts w:hint="eastAsia"/>
          <w:sz w:val="24"/>
          <w:highlight w:val="none"/>
        </w:rPr>
        <w:t>核对箱内设备数量，检查设备指示灯工作状态是否正常；</w:t>
      </w:r>
    </w:p>
    <w:p w14:paraId="250250D0">
      <w:pPr>
        <w:adjustRightInd w:val="0"/>
        <w:snapToGrid w:val="0"/>
        <w:spacing w:line="288" w:lineRule="auto"/>
        <w:ind w:firstLine="448" w:firstLineChars="200"/>
        <w:rPr>
          <w:sz w:val="24"/>
          <w:highlight w:val="none"/>
        </w:rPr>
      </w:pPr>
      <w:r>
        <w:rPr>
          <w:rFonts w:hint="eastAsia"/>
          <w:sz w:val="24"/>
          <w:highlight w:val="none"/>
        </w:rPr>
        <w:t>检查风扇运行状态，测量箱内运行环境温度；</w:t>
      </w:r>
    </w:p>
    <w:p w14:paraId="64E307B0">
      <w:pPr>
        <w:adjustRightInd w:val="0"/>
        <w:snapToGrid w:val="0"/>
        <w:spacing w:line="288" w:lineRule="auto"/>
        <w:ind w:firstLine="448" w:firstLineChars="200"/>
        <w:rPr>
          <w:sz w:val="24"/>
          <w:highlight w:val="none"/>
        </w:rPr>
      </w:pPr>
      <w:r>
        <w:rPr>
          <w:rFonts w:hint="eastAsia"/>
          <w:sz w:val="24"/>
          <w:highlight w:val="none"/>
        </w:rPr>
        <w:t>测试设备外壳是否带电，检查输入输出电缆的电压是否正常，紧固接线端子；</w:t>
      </w:r>
    </w:p>
    <w:p w14:paraId="74AAD9C1">
      <w:pPr>
        <w:adjustRightInd w:val="0"/>
        <w:snapToGrid w:val="0"/>
        <w:spacing w:line="288" w:lineRule="auto"/>
        <w:ind w:firstLine="448" w:firstLineChars="200"/>
        <w:rPr>
          <w:sz w:val="24"/>
          <w:highlight w:val="none"/>
        </w:rPr>
      </w:pPr>
      <w:r>
        <w:rPr>
          <w:rFonts w:hint="eastAsia"/>
          <w:sz w:val="24"/>
          <w:highlight w:val="none"/>
        </w:rPr>
        <w:t>检查避雷装置是否正常工作。</w:t>
      </w:r>
    </w:p>
    <w:p w14:paraId="5970B3C1">
      <w:pPr>
        <w:adjustRightInd w:val="0"/>
        <w:snapToGrid w:val="0"/>
        <w:spacing w:line="288" w:lineRule="auto"/>
        <w:ind w:firstLine="448" w:firstLineChars="200"/>
        <w:rPr>
          <w:sz w:val="24"/>
          <w:highlight w:val="none"/>
        </w:rPr>
      </w:pPr>
      <w:r>
        <w:rPr>
          <w:rFonts w:hint="eastAsia"/>
          <w:sz w:val="24"/>
          <w:highlight w:val="none"/>
        </w:rPr>
        <w:t>巡检过程中发现上述问题，中标供应商需及时采取相应措施进行合理处置，并保证在48小时内修复。</w:t>
      </w:r>
    </w:p>
    <w:p w14:paraId="53ACC9A8">
      <w:pPr>
        <w:adjustRightInd w:val="0"/>
        <w:snapToGrid w:val="0"/>
        <w:spacing w:line="288" w:lineRule="auto"/>
        <w:ind w:firstLine="448" w:firstLineChars="200"/>
        <w:outlineLvl w:val="6"/>
        <w:rPr>
          <w:sz w:val="24"/>
          <w:highlight w:val="none"/>
        </w:rPr>
      </w:pPr>
      <w:r>
        <w:rPr>
          <w:rFonts w:hint="eastAsia"/>
          <w:sz w:val="24"/>
          <w:highlight w:val="none"/>
        </w:rPr>
        <w:t>（3）前端设备周边环境巡检</w:t>
      </w:r>
    </w:p>
    <w:p w14:paraId="26C10401">
      <w:pPr>
        <w:adjustRightInd w:val="0"/>
        <w:snapToGrid w:val="0"/>
        <w:spacing w:line="288" w:lineRule="auto"/>
        <w:ind w:firstLine="448" w:firstLineChars="200"/>
        <w:rPr>
          <w:sz w:val="24"/>
          <w:highlight w:val="none"/>
        </w:rPr>
      </w:pPr>
      <w:r>
        <w:rPr>
          <w:rFonts w:hint="eastAsia"/>
          <w:sz w:val="24"/>
          <w:highlight w:val="none"/>
        </w:rPr>
        <w:t>巡检内容主要包括确认绿化遮掩、道路施工等是否影响路面视频监控设备的正常使用，如确有影响应立即上报。</w:t>
      </w:r>
    </w:p>
    <w:p w14:paraId="55C36943">
      <w:pPr>
        <w:adjustRightInd w:val="0"/>
        <w:snapToGrid w:val="0"/>
        <w:spacing w:line="288" w:lineRule="auto"/>
        <w:ind w:firstLine="448" w:firstLineChars="200"/>
        <w:rPr>
          <w:sz w:val="24"/>
          <w:highlight w:val="none"/>
        </w:rPr>
      </w:pPr>
      <w:r>
        <w:rPr>
          <w:rFonts w:hint="eastAsia"/>
          <w:sz w:val="24"/>
          <w:highlight w:val="none"/>
        </w:rPr>
        <w:t>通过视频图像质量分析结合现场巡查，巡视树木遮挡等是否对视频监控设备的拍摄造成影响，如有影响中标供应商协调交通主管部门或其他相关单位对遮挡点位的树木进行修剪。</w:t>
      </w:r>
    </w:p>
    <w:p w14:paraId="44AA1372">
      <w:pPr>
        <w:adjustRightInd w:val="0"/>
        <w:snapToGrid w:val="0"/>
        <w:spacing w:line="288" w:lineRule="auto"/>
        <w:ind w:firstLine="448" w:firstLineChars="200"/>
        <w:rPr>
          <w:sz w:val="24"/>
          <w:highlight w:val="none"/>
        </w:rPr>
      </w:pPr>
      <w:r>
        <w:rPr>
          <w:rFonts w:hint="eastAsia"/>
          <w:sz w:val="24"/>
          <w:highlight w:val="none"/>
        </w:rPr>
        <w:t>重点巡检有路面施工的路口，巡检的重点是检查路口机箱内部的供电和网络链路是否正常。</w:t>
      </w:r>
    </w:p>
    <w:p w14:paraId="4BB8C9AA">
      <w:pPr>
        <w:adjustRightInd w:val="0"/>
        <w:snapToGrid w:val="0"/>
        <w:spacing w:line="288" w:lineRule="auto"/>
        <w:ind w:firstLine="448" w:firstLineChars="200"/>
        <w:rPr>
          <w:sz w:val="24"/>
          <w:highlight w:val="none"/>
        </w:rPr>
      </w:pPr>
      <w:r>
        <w:rPr>
          <w:rFonts w:hint="eastAsia"/>
          <w:sz w:val="24"/>
          <w:highlight w:val="none"/>
        </w:rPr>
        <w:t>如果道路路面施工过程中需要对摄像机和杆体进行迁移，中标供应商需配合；如果电力线缆、通信链路或者前端设备遭到破坏，中标供应商即时将现场情况上报采购人，与道路路面施工单位进行协调，协商赔偿事宜。</w:t>
      </w:r>
    </w:p>
    <w:p w14:paraId="0B1D6304">
      <w:pPr>
        <w:adjustRightInd w:val="0"/>
        <w:snapToGrid w:val="0"/>
        <w:spacing w:line="288" w:lineRule="auto"/>
        <w:ind w:firstLine="448" w:firstLineChars="200"/>
        <w:outlineLvl w:val="6"/>
        <w:rPr>
          <w:sz w:val="24"/>
          <w:highlight w:val="none"/>
        </w:rPr>
      </w:pPr>
      <w:r>
        <w:rPr>
          <w:rFonts w:hint="eastAsia"/>
          <w:sz w:val="24"/>
          <w:highlight w:val="none"/>
        </w:rPr>
        <w:t>（4）通信及网络巡检</w:t>
      </w:r>
    </w:p>
    <w:p w14:paraId="016C4548">
      <w:pPr>
        <w:adjustRightInd w:val="0"/>
        <w:snapToGrid w:val="0"/>
        <w:spacing w:line="288" w:lineRule="auto"/>
        <w:ind w:firstLine="448" w:firstLineChars="200"/>
        <w:rPr>
          <w:sz w:val="24"/>
          <w:highlight w:val="none"/>
        </w:rPr>
      </w:pPr>
      <w:r>
        <w:rPr>
          <w:rFonts w:hint="eastAsia"/>
          <w:sz w:val="24"/>
          <w:highlight w:val="none"/>
        </w:rPr>
        <w:t>在不影响网络使用的情况下，须每3个月至少测试一次交换机、链路等相关技术指标。对存在的故障隐患、安全隐患、安装规范问题等立即或在8小时内进行处理。</w:t>
      </w:r>
    </w:p>
    <w:p w14:paraId="31AA90CE">
      <w:pPr>
        <w:adjustRightInd w:val="0"/>
        <w:snapToGrid w:val="0"/>
        <w:spacing w:line="288" w:lineRule="auto"/>
        <w:ind w:firstLine="448" w:firstLineChars="200"/>
        <w:rPr>
          <w:sz w:val="24"/>
          <w:highlight w:val="none"/>
        </w:rPr>
      </w:pPr>
      <w:r>
        <w:rPr>
          <w:rFonts w:hint="eastAsia"/>
          <w:sz w:val="24"/>
          <w:highlight w:val="none"/>
        </w:rPr>
        <w:t>每3个月要对本包视频监控网进行一次巡检，每逢重大节假日之前要进行一次系统巡检，巡检完毕后填写《通信及网络巡检报告》并统一上报给采购人。</w:t>
      </w:r>
    </w:p>
    <w:p w14:paraId="77820AC5">
      <w:pPr>
        <w:adjustRightInd w:val="0"/>
        <w:snapToGrid w:val="0"/>
        <w:spacing w:line="288" w:lineRule="auto"/>
        <w:ind w:firstLine="448" w:firstLineChars="200"/>
        <w:rPr>
          <w:sz w:val="24"/>
          <w:highlight w:val="none"/>
        </w:rPr>
      </w:pPr>
      <w:r>
        <w:rPr>
          <w:rFonts w:hint="eastAsia"/>
          <w:sz w:val="24"/>
          <w:highlight w:val="none"/>
        </w:rPr>
        <w:t>在网络租赁及运维期间，接入点位的空间位置发生变化，中标供应商应免费进行网络链路迁移；采购人因实际业务情况需对接入点网络链路带宽进行调整，网络租赁及中标供应商应免费调整。</w:t>
      </w:r>
    </w:p>
    <w:p w14:paraId="52E42E66">
      <w:pPr>
        <w:adjustRightInd w:val="0"/>
        <w:snapToGrid w:val="0"/>
        <w:spacing w:line="288" w:lineRule="auto"/>
        <w:ind w:firstLine="448" w:firstLineChars="200"/>
        <w:outlineLvl w:val="6"/>
        <w:rPr>
          <w:sz w:val="24"/>
          <w:highlight w:val="none"/>
        </w:rPr>
      </w:pPr>
      <w:r>
        <w:rPr>
          <w:rFonts w:hint="eastAsia"/>
          <w:sz w:val="24"/>
          <w:highlight w:val="none"/>
        </w:rPr>
        <w:t>（5）后端设备巡检</w:t>
      </w:r>
    </w:p>
    <w:p w14:paraId="16D4E6D5">
      <w:pPr>
        <w:adjustRightInd w:val="0"/>
        <w:snapToGrid w:val="0"/>
        <w:spacing w:line="288" w:lineRule="auto"/>
        <w:ind w:firstLine="448" w:firstLineChars="200"/>
        <w:rPr>
          <w:sz w:val="24"/>
          <w:highlight w:val="none"/>
        </w:rPr>
      </w:pPr>
      <w:r>
        <w:rPr>
          <w:rFonts w:hint="eastAsia"/>
          <w:sz w:val="24"/>
          <w:highlight w:val="none"/>
        </w:rPr>
        <w:t>中标供应商对部署在机房中的平台软硬件设备进行定期巡检，检查服务器、存储设备、网络设备等外观，确保无明显异常、损坏；查看设备指示灯、硬盘灯显示状态，判断设备、硬盘等是否正常运行；查看存储设备存储容量使用情况，确保满足视频监控系统数据存储和读取按要求；网络设备查看端口状态指示灯，确认端口连接正常，检查设备配置，确保IP地址等配置正确，检测设备吞吐量、丢包率等性能指标，保证网络传输稳定。</w:t>
      </w:r>
    </w:p>
    <w:p w14:paraId="00A842D0">
      <w:pPr>
        <w:adjustRightInd w:val="0"/>
        <w:snapToGrid w:val="0"/>
        <w:spacing w:line="288" w:lineRule="auto"/>
        <w:ind w:firstLine="448" w:firstLineChars="200"/>
        <w:rPr>
          <w:sz w:val="24"/>
          <w:highlight w:val="none"/>
        </w:rPr>
      </w:pPr>
      <w:r>
        <w:rPr>
          <w:rFonts w:hint="eastAsia"/>
          <w:sz w:val="24"/>
          <w:highlight w:val="none"/>
        </w:rPr>
        <w:t>检查操作系统、视频监控系统平台、电子卡口处理系统平台等软件的运行状态，确保各项功能正常；更新、升级所需补丁，防止存在系统漏洞；检查系统日志，分析是否存在异常事件等。</w:t>
      </w:r>
    </w:p>
    <w:p w14:paraId="5217D956">
      <w:pPr>
        <w:adjustRightInd w:val="0"/>
        <w:snapToGrid w:val="0"/>
        <w:spacing w:line="288" w:lineRule="auto"/>
        <w:ind w:firstLine="448" w:firstLineChars="200"/>
        <w:rPr>
          <w:sz w:val="24"/>
          <w:highlight w:val="none"/>
        </w:rPr>
      </w:pPr>
      <w:r>
        <w:rPr>
          <w:rFonts w:hint="eastAsia"/>
          <w:sz w:val="24"/>
          <w:highlight w:val="none"/>
        </w:rPr>
        <w:t>中标供应商应在运维服务期内对托管在存储机房中的设备进行不少于一次的设备内部不停机清洗除尘工作。</w:t>
      </w:r>
    </w:p>
    <w:p w14:paraId="77F9A5C9">
      <w:pPr>
        <w:adjustRightInd w:val="0"/>
        <w:snapToGrid w:val="0"/>
        <w:spacing w:line="288" w:lineRule="auto"/>
        <w:ind w:firstLine="448" w:firstLineChars="200"/>
        <w:rPr>
          <w:sz w:val="24"/>
          <w:highlight w:val="none"/>
        </w:rPr>
      </w:pPr>
      <w:r>
        <w:rPr>
          <w:rFonts w:hint="eastAsia"/>
          <w:sz w:val="24"/>
          <w:highlight w:val="none"/>
        </w:rPr>
        <w:t>对于巡检中发现的问题，能现场解决的立即解决；无法现场解决的问题详细记录，及时上报采购人并制定解决方案。</w:t>
      </w:r>
    </w:p>
    <w:p w14:paraId="3F5A0AC1">
      <w:pPr>
        <w:adjustRightInd w:val="0"/>
        <w:snapToGrid w:val="0"/>
        <w:spacing w:line="288" w:lineRule="auto"/>
        <w:ind w:firstLine="448" w:firstLineChars="200"/>
        <w:rPr>
          <w:sz w:val="24"/>
          <w:highlight w:val="none"/>
        </w:rPr>
      </w:pPr>
      <w:r>
        <w:rPr>
          <w:rFonts w:hint="eastAsia"/>
          <w:sz w:val="24"/>
          <w:highlight w:val="none"/>
        </w:rPr>
        <w:t>巡检完成后整理巡检记录，编制巡检报告，包括巡检时间、巡检内容、设备型号、巡检结果、发现的问题及处理情况等，纳入运维文档中。。</w:t>
      </w:r>
    </w:p>
    <w:p w14:paraId="7C5B55F7">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5、故障处理要求</w:t>
      </w:r>
    </w:p>
    <w:p w14:paraId="56FDEC5A">
      <w:pPr>
        <w:adjustRightInd w:val="0"/>
        <w:snapToGrid w:val="0"/>
        <w:spacing w:line="288" w:lineRule="auto"/>
        <w:ind w:firstLine="448" w:firstLineChars="200"/>
        <w:outlineLvl w:val="6"/>
        <w:rPr>
          <w:sz w:val="24"/>
          <w:highlight w:val="none"/>
        </w:rPr>
      </w:pPr>
      <w:r>
        <w:rPr>
          <w:rFonts w:hint="eastAsia"/>
          <w:sz w:val="24"/>
          <w:highlight w:val="none"/>
        </w:rPr>
        <w:t>（1）故障响应时间要求</w:t>
      </w:r>
    </w:p>
    <w:p w14:paraId="666109D7">
      <w:pPr>
        <w:adjustRightInd w:val="0"/>
        <w:snapToGrid w:val="0"/>
        <w:spacing w:line="288" w:lineRule="auto"/>
        <w:ind w:firstLine="448" w:firstLineChars="200"/>
        <w:rPr>
          <w:sz w:val="24"/>
          <w:highlight w:val="none"/>
        </w:rPr>
      </w:pPr>
      <w:r>
        <w:rPr>
          <w:rFonts w:hint="eastAsia"/>
          <w:sz w:val="24"/>
          <w:highlight w:val="none"/>
        </w:rPr>
        <w:t>所有故障必须在发生后的30分钟内做出响应，无法在线解决后，维修人员应在2小时内到达故障现场，开展全面的故障排查和初步维修工作。在此阶段，需优先采取临时解决方案，尽量减少对系统和用户的影响，并为全面修复奠定基础。</w:t>
      </w:r>
    </w:p>
    <w:p w14:paraId="33C37272">
      <w:pPr>
        <w:adjustRightInd w:val="0"/>
        <w:snapToGrid w:val="0"/>
        <w:spacing w:line="288" w:lineRule="auto"/>
        <w:ind w:firstLine="448" w:firstLineChars="200"/>
        <w:rPr>
          <w:sz w:val="24"/>
          <w:highlight w:val="none"/>
        </w:rPr>
      </w:pPr>
      <w:r>
        <w:rPr>
          <w:rFonts w:hint="eastAsia"/>
          <w:sz w:val="24"/>
          <w:highlight w:val="none"/>
        </w:rPr>
        <w:t>现场维修完成后，运维团队需继续进行系统监控和性能评估，确保故障得到彻底解决。所有故障在无特殊事件情况下，必须在48小时内完全修复，以恢复系统的正常功能和性能，由于中标供应商原因导致故障在72小时内无法全面修复的，采购人有权利安排第三方单位对该故障进行维修，</w:t>
      </w:r>
      <w:r>
        <w:rPr>
          <w:sz w:val="24"/>
          <w:highlight w:val="none"/>
        </w:rPr>
        <w:t>所产生维修费用由</w:t>
      </w:r>
      <w:r>
        <w:rPr>
          <w:rFonts w:hint="eastAsia"/>
          <w:sz w:val="24"/>
          <w:highlight w:val="none"/>
        </w:rPr>
        <w:t>中标供应商</w:t>
      </w:r>
      <w:r>
        <w:rPr>
          <w:sz w:val="24"/>
          <w:highlight w:val="none"/>
        </w:rPr>
        <w:t>直接支付给第三方单位且经</w:t>
      </w:r>
      <w:r>
        <w:rPr>
          <w:rFonts w:hint="eastAsia"/>
          <w:sz w:val="24"/>
          <w:highlight w:val="none"/>
        </w:rPr>
        <w:t>采购人</w:t>
      </w:r>
      <w:r>
        <w:rPr>
          <w:sz w:val="24"/>
          <w:highlight w:val="none"/>
        </w:rPr>
        <w:t>确认后，</w:t>
      </w:r>
      <w:r>
        <w:rPr>
          <w:rFonts w:hint="eastAsia"/>
          <w:sz w:val="24"/>
          <w:highlight w:val="none"/>
        </w:rPr>
        <w:t>采购人</w:t>
      </w:r>
      <w:r>
        <w:rPr>
          <w:sz w:val="24"/>
          <w:highlight w:val="none"/>
        </w:rPr>
        <w:t>方可继续支付下一期运维费用</w:t>
      </w:r>
      <w:r>
        <w:rPr>
          <w:rFonts w:hint="eastAsia"/>
          <w:sz w:val="24"/>
          <w:highlight w:val="none"/>
        </w:rPr>
        <w:t>。</w:t>
      </w:r>
    </w:p>
    <w:p w14:paraId="6C0A441F">
      <w:pPr>
        <w:adjustRightInd w:val="0"/>
        <w:snapToGrid w:val="0"/>
        <w:spacing w:line="288" w:lineRule="auto"/>
        <w:ind w:firstLine="448" w:firstLineChars="200"/>
        <w:outlineLvl w:val="6"/>
        <w:rPr>
          <w:sz w:val="24"/>
          <w:highlight w:val="none"/>
        </w:rPr>
      </w:pPr>
      <w:r>
        <w:rPr>
          <w:rFonts w:hint="eastAsia"/>
          <w:sz w:val="24"/>
          <w:highlight w:val="none"/>
        </w:rPr>
        <w:t>（2）故障处理原则</w:t>
      </w:r>
    </w:p>
    <w:p w14:paraId="60E448C1">
      <w:pPr>
        <w:adjustRightInd w:val="0"/>
        <w:snapToGrid w:val="0"/>
        <w:spacing w:line="288" w:lineRule="auto"/>
        <w:ind w:firstLine="448" w:firstLineChars="200"/>
        <w:rPr>
          <w:sz w:val="24"/>
          <w:highlight w:val="none"/>
        </w:rPr>
      </w:pPr>
      <w:r>
        <w:rPr>
          <w:rFonts w:hint="eastAsia"/>
          <w:sz w:val="24"/>
          <w:highlight w:val="none"/>
        </w:rPr>
        <w:t>故障处理必须严格遵循“先抢通、后修复”的原则，中标供应商应优先采取最快速有效的措施，以尽快恢复业务的正常运行。</w:t>
      </w:r>
    </w:p>
    <w:p w14:paraId="30C7F8BE">
      <w:pPr>
        <w:adjustRightInd w:val="0"/>
        <w:snapToGrid w:val="0"/>
        <w:spacing w:line="288" w:lineRule="auto"/>
        <w:ind w:firstLine="448" w:firstLineChars="200"/>
        <w:outlineLvl w:val="6"/>
        <w:rPr>
          <w:sz w:val="24"/>
          <w:highlight w:val="none"/>
        </w:rPr>
      </w:pPr>
      <w:r>
        <w:rPr>
          <w:rFonts w:hint="eastAsia"/>
          <w:sz w:val="24"/>
          <w:highlight w:val="none"/>
        </w:rPr>
        <w:t>（3）故障处理流程</w:t>
      </w:r>
    </w:p>
    <w:p w14:paraId="029E68B2">
      <w:pPr>
        <w:adjustRightInd w:val="0"/>
        <w:snapToGrid w:val="0"/>
        <w:spacing w:line="288" w:lineRule="auto"/>
        <w:ind w:firstLine="448" w:firstLineChars="200"/>
        <w:rPr>
          <w:sz w:val="24"/>
          <w:highlight w:val="none"/>
        </w:rPr>
      </w:pPr>
      <w:r>
        <w:rPr>
          <w:rFonts w:hint="eastAsia"/>
          <w:sz w:val="24"/>
          <w:highlight w:val="none"/>
        </w:rPr>
        <w:t>故障处理应严格按照故障初步判断、故障申告、分析处理、总结及相关事宜的流程执行：</w:t>
      </w:r>
    </w:p>
    <w:p w14:paraId="122315B6">
      <w:pPr>
        <w:adjustRightInd w:val="0"/>
        <w:snapToGrid w:val="0"/>
        <w:spacing w:line="288" w:lineRule="auto"/>
        <w:ind w:firstLine="448" w:firstLineChars="200"/>
        <w:outlineLvl w:val="7"/>
        <w:rPr>
          <w:sz w:val="24"/>
          <w:highlight w:val="none"/>
        </w:rPr>
      </w:pPr>
      <w:r>
        <w:rPr>
          <w:rFonts w:hint="eastAsia"/>
          <w:sz w:val="24"/>
          <w:highlight w:val="none"/>
        </w:rPr>
        <w:t>1）故障初步判断</w:t>
      </w:r>
    </w:p>
    <w:p w14:paraId="67049E90">
      <w:pPr>
        <w:adjustRightInd w:val="0"/>
        <w:snapToGrid w:val="0"/>
        <w:spacing w:line="288" w:lineRule="auto"/>
        <w:ind w:firstLine="448" w:firstLineChars="200"/>
        <w:rPr>
          <w:sz w:val="24"/>
          <w:highlight w:val="none"/>
        </w:rPr>
      </w:pPr>
      <w:r>
        <w:rPr>
          <w:rFonts w:hint="eastAsia"/>
          <w:sz w:val="24"/>
          <w:highlight w:val="none"/>
        </w:rPr>
        <w:t>平台巡检人员主动发现故障或电话受理故障时，应识别故障位置，初步判断故障原因。</w:t>
      </w:r>
    </w:p>
    <w:p w14:paraId="3743FB0A">
      <w:pPr>
        <w:adjustRightInd w:val="0"/>
        <w:snapToGrid w:val="0"/>
        <w:spacing w:line="288" w:lineRule="auto"/>
        <w:ind w:firstLine="448" w:firstLineChars="200"/>
        <w:outlineLvl w:val="7"/>
        <w:rPr>
          <w:sz w:val="24"/>
          <w:highlight w:val="none"/>
        </w:rPr>
      </w:pPr>
      <w:r>
        <w:rPr>
          <w:rFonts w:hint="eastAsia"/>
          <w:sz w:val="24"/>
          <w:highlight w:val="none"/>
        </w:rPr>
        <w:t>2）故障申告</w:t>
      </w:r>
    </w:p>
    <w:p w14:paraId="46028AB8">
      <w:pPr>
        <w:adjustRightInd w:val="0"/>
        <w:snapToGrid w:val="0"/>
        <w:spacing w:line="288" w:lineRule="auto"/>
        <w:ind w:firstLine="448" w:firstLineChars="200"/>
        <w:rPr>
          <w:sz w:val="24"/>
          <w:highlight w:val="none"/>
        </w:rPr>
      </w:pPr>
      <w:r>
        <w:rPr>
          <w:rFonts w:hint="eastAsia"/>
          <w:sz w:val="24"/>
          <w:highlight w:val="none"/>
        </w:rPr>
        <w:t>平台巡检人员初步判断故障原因后，电话联系电话支持工程师，后者受理后详细记录并分析故障情况，填写故障派修单。</w:t>
      </w:r>
    </w:p>
    <w:p w14:paraId="6A9097BF">
      <w:pPr>
        <w:adjustRightInd w:val="0"/>
        <w:snapToGrid w:val="0"/>
        <w:spacing w:line="288" w:lineRule="auto"/>
        <w:ind w:firstLine="448" w:firstLineChars="200"/>
        <w:outlineLvl w:val="7"/>
        <w:rPr>
          <w:sz w:val="24"/>
          <w:highlight w:val="none"/>
        </w:rPr>
      </w:pPr>
      <w:r>
        <w:rPr>
          <w:rFonts w:hint="eastAsia"/>
          <w:sz w:val="24"/>
          <w:highlight w:val="none"/>
        </w:rPr>
        <w:t>3）故障分析及解决</w:t>
      </w:r>
    </w:p>
    <w:p w14:paraId="481A7199">
      <w:pPr>
        <w:adjustRightInd w:val="0"/>
        <w:snapToGrid w:val="0"/>
        <w:spacing w:line="288" w:lineRule="auto"/>
        <w:ind w:firstLine="448" w:firstLineChars="200"/>
        <w:rPr>
          <w:sz w:val="24"/>
          <w:highlight w:val="none"/>
        </w:rPr>
      </w:pPr>
      <w:r>
        <w:rPr>
          <w:rFonts w:hint="eastAsia"/>
          <w:sz w:val="24"/>
          <w:highlight w:val="none"/>
        </w:rPr>
        <w:t>如该故障可以远程解决，电话支持工程师提出解决方案，远程指导平台巡检人员完成故障修复，排除故障。一旦问题得以解决，电话支持工程师应撰写详细的故障分析、解决方案以及总结报告，并归档备查。</w:t>
      </w:r>
    </w:p>
    <w:p w14:paraId="3984D40C">
      <w:pPr>
        <w:adjustRightInd w:val="0"/>
        <w:snapToGrid w:val="0"/>
        <w:spacing w:line="288" w:lineRule="auto"/>
        <w:ind w:firstLine="448" w:firstLineChars="200"/>
        <w:rPr>
          <w:sz w:val="24"/>
          <w:highlight w:val="none"/>
        </w:rPr>
      </w:pPr>
      <w:r>
        <w:rPr>
          <w:rFonts w:hint="eastAsia"/>
          <w:sz w:val="24"/>
          <w:highlight w:val="none"/>
        </w:rPr>
        <w:t>如果该故障无法远程解决，电话支持工程师应以故障工单的形式转交技术支持工程师。技术支持工程师在接到故障工单后，进行深入故障分析与初步处理，提出解决方案。需要现场处理的，立即安排外场服务人员或与其一同出发，保证在2小时内到达故障现场。完成故障修复后，及时与平台巡检人员联系确认维修结果。优先使用备品备件进行更换，保证前端点位快速恢复。故障处理过程需记录详细，在任务结束后对工单进行归档。由于特殊事件导致故障无法即时解决的，及时上报采购人。</w:t>
      </w:r>
    </w:p>
    <w:p w14:paraId="37C7A58E">
      <w:pPr>
        <w:adjustRightInd w:val="0"/>
        <w:snapToGrid w:val="0"/>
        <w:spacing w:line="288" w:lineRule="auto"/>
        <w:ind w:firstLine="448" w:firstLineChars="200"/>
        <w:rPr>
          <w:sz w:val="24"/>
          <w:highlight w:val="none"/>
        </w:rPr>
      </w:pPr>
      <w:r>
        <w:rPr>
          <w:rFonts w:hint="eastAsia"/>
          <w:sz w:val="24"/>
          <w:highlight w:val="none"/>
        </w:rPr>
        <w:t>维护和故障处理结束后，必须及时清理现场，保证环境恢复至原始状态。任何因操作失误导致的设备或其他物品损害，由中标供应商承担经济责任。在执行维护和故障排查期间，应确保不影响到非维护范围内的设施；如有任何损坏，同样由服务方负责赔偿。此外，维护过程中必须强调安全生产的重要性，定期对维护人员进行安全教育，并提供必要的安全防护装备。</w:t>
      </w:r>
    </w:p>
    <w:p w14:paraId="01270039">
      <w:pPr>
        <w:adjustRightInd w:val="0"/>
        <w:snapToGrid w:val="0"/>
        <w:spacing w:line="288" w:lineRule="auto"/>
        <w:ind w:firstLine="448" w:firstLineChars="200"/>
        <w:outlineLvl w:val="7"/>
        <w:rPr>
          <w:sz w:val="24"/>
          <w:highlight w:val="none"/>
        </w:rPr>
      </w:pPr>
      <w:r>
        <w:rPr>
          <w:rFonts w:hint="eastAsia"/>
          <w:sz w:val="24"/>
          <w:highlight w:val="none"/>
        </w:rPr>
        <w:t>4）故障总结</w:t>
      </w:r>
    </w:p>
    <w:p w14:paraId="504030B2">
      <w:pPr>
        <w:adjustRightInd w:val="0"/>
        <w:snapToGrid w:val="0"/>
        <w:spacing w:line="288" w:lineRule="auto"/>
        <w:ind w:firstLine="448" w:firstLineChars="200"/>
        <w:rPr>
          <w:sz w:val="24"/>
          <w:highlight w:val="none"/>
        </w:rPr>
      </w:pPr>
      <w:r>
        <w:rPr>
          <w:rFonts w:hint="eastAsia"/>
          <w:sz w:val="24"/>
          <w:highlight w:val="none"/>
        </w:rPr>
        <w:t>故障处理完成后，中标供应商必须立即进行故障处理情况的详细记录。</w:t>
      </w:r>
    </w:p>
    <w:p w14:paraId="4998FA07">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6、重保期间运维服务</w:t>
      </w:r>
    </w:p>
    <w:p w14:paraId="0CBCA9ED">
      <w:pPr>
        <w:adjustRightInd w:val="0"/>
        <w:snapToGrid w:val="0"/>
        <w:spacing w:line="288" w:lineRule="auto"/>
        <w:ind w:firstLine="448" w:firstLineChars="200"/>
        <w:rPr>
          <w:sz w:val="24"/>
          <w:highlight w:val="none"/>
        </w:rPr>
      </w:pPr>
      <w:r>
        <w:rPr>
          <w:rFonts w:hint="eastAsia"/>
          <w:sz w:val="24"/>
          <w:highlight w:val="none"/>
        </w:rPr>
        <w:t>重保期间运维指除日常维护工作外，在元旦、春节、国庆等重大安保节日，以及重大活动、突发紧急情况下，中标供应商必须加派人员和车辆，全面提升服务保障力度。中标供应商需提供全天候（7x24小时）的实时技术支持，并制定详尽的应急响应策略，以确保在各种紧急情况下能够迅速有效地应对和处理问题。</w:t>
      </w:r>
    </w:p>
    <w:p w14:paraId="3CCF923C">
      <w:pPr>
        <w:adjustRightInd w:val="0"/>
        <w:snapToGrid w:val="0"/>
        <w:spacing w:line="288" w:lineRule="auto"/>
        <w:ind w:firstLine="448" w:firstLineChars="200"/>
        <w:rPr>
          <w:sz w:val="24"/>
          <w:highlight w:val="none"/>
        </w:rPr>
      </w:pPr>
      <w:r>
        <w:rPr>
          <w:rFonts w:hint="eastAsia"/>
          <w:sz w:val="24"/>
          <w:highlight w:val="none"/>
        </w:rPr>
        <w:t>中标供应商应在项目启动前编制完善的运维应急预案。该预案需明确运维应急指挥和执行机构的成员名单、联系方式及职责分工，确保各方责任明确、协调高效；预案还需包括详细的应急响应流程和操作指南，以应对各种可能的突发情况。所有应急预案应提前向滨海分局报备，以便在重大节假日或突发事件发生时，方便进行统一指挥、调度和资源调配。</w:t>
      </w:r>
    </w:p>
    <w:p w14:paraId="0229D6ED">
      <w:pPr>
        <w:adjustRightInd w:val="0"/>
        <w:snapToGrid w:val="0"/>
        <w:spacing w:line="288" w:lineRule="auto"/>
        <w:ind w:firstLine="448" w:firstLineChars="200"/>
        <w:outlineLvl w:val="6"/>
        <w:rPr>
          <w:sz w:val="24"/>
          <w:highlight w:val="none"/>
        </w:rPr>
      </w:pPr>
      <w:r>
        <w:rPr>
          <w:rFonts w:hint="eastAsia"/>
          <w:sz w:val="24"/>
          <w:highlight w:val="none"/>
        </w:rPr>
        <w:t>（1）应急通信保障</w:t>
      </w:r>
    </w:p>
    <w:p w14:paraId="1A26EE62">
      <w:pPr>
        <w:adjustRightInd w:val="0"/>
        <w:snapToGrid w:val="0"/>
        <w:spacing w:line="288" w:lineRule="auto"/>
        <w:ind w:firstLine="448" w:firstLineChars="200"/>
        <w:rPr>
          <w:sz w:val="24"/>
          <w:highlight w:val="none"/>
        </w:rPr>
      </w:pPr>
      <w:r>
        <w:rPr>
          <w:rFonts w:hint="eastAsia"/>
          <w:sz w:val="24"/>
          <w:highlight w:val="none"/>
        </w:rPr>
        <w:t>在重保期间，中标供应商的应急指挥和执行机构人员必须确保24小时电话畅通，确保所有通讯手段高效可靠，以便在紧急情况下能够迅速响应和处理突发事件。</w:t>
      </w:r>
    </w:p>
    <w:p w14:paraId="6293E67D">
      <w:pPr>
        <w:adjustRightInd w:val="0"/>
        <w:snapToGrid w:val="0"/>
        <w:spacing w:line="288" w:lineRule="auto"/>
        <w:ind w:firstLine="448" w:firstLineChars="200"/>
        <w:rPr>
          <w:sz w:val="24"/>
          <w:highlight w:val="none"/>
        </w:rPr>
      </w:pPr>
      <w:r>
        <w:rPr>
          <w:rFonts w:hint="eastAsia"/>
          <w:sz w:val="24"/>
          <w:highlight w:val="none"/>
        </w:rPr>
        <w:t>各部门之间应加强沟通，保持信息畅通，确保在遇到突发情况时能够快速反应、协同应对。建立备用通信方案，以应对可能出现的通信中断情况，确保信息传递不受影响。</w:t>
      </w:r>
    </w:p>
    <w:p w14:paraId="5EFE45CA">
      <w:pPr>
        <w:adjustRightInd w:val="0"/>
        <w:snapToGrid w:val="0"/>
        <w:spacing w:line="288" w:lineRule="auto"/>
        <w:ind w:firstLine="448" w:firstLineChars="200"/>
        <w:outlineLvl w:val="6"/>
        <w:rPr>
          <w:sz w:val="24"/>
          <w:highlight w:val="none"/>
        </w:rPr>
      </w:pPr>
      <w:r>
        <w:rPr>
          <w:rFonts w:hint="eastAsia"/>
          <w:sz w:val="24"/>
          <w:highlight w:val="none"/>
        </w:rPr>
        <w:t>（2）应急资源、人员准备</w:t>
      </w:r>
    </w:p>
    <w:p w14:paraId="5BC8444D">
      <w:pPr>
        <w:adjustRightInd w:val="0"/>
        <w:snapToGrid w:val="0"/>
        <w:spacing w:line="288" w:lineRule="auto"/>
        <w:ind w:firstLine="448" w:firstLineChars="200"/>
        <w:rPr>
          <w:sz w:val="24"/>
          <w:highlight w:val="none"/>
        </w:rPr>
      </w:pPr>
      <w:r>
        <w:rPr>
          <w:rFonts w:hint="eastAsia"/>
          <w:sz w:val="24"/>
          <w:highlight w:val="none"/>
        </w:rPr>
        <w:t>在重保前夕，中标供应商应急指挥和执行机构的各级人员应当切实加强应急准备工作，确保在重保期间的各项工作顺利进行。</w:t>
      </w:r>
    </w:p>
    <w:p w14:paraId="2CF129B9">
      <w:pPr>
        <w:adjustRightInd w:val="0"/>
        <w:snapToGrid w:val="0"/>
        <w:spacing w:line="288" w:lineRule="auto"/>
        <w:ind w:firstLine="448" w:firstLineChars="200"/>
        <w:rPr>
          <w:sz w:val="24"/>
          <w:highlight w:val="none"/>
        </w:rPr>
      </w:pPr>
      <w:r>
        <w:rPr>
          <w:rFonts w:hint="eastAsia"/>
          <w:sz w:val="24"/>
          <w:highlight w:val="none"/>
        </w:rPr>
        <w:t>所有相关人员需提前准备并检查车辆、运维工具、应急设备等关键应急物资，确保其状态良好、功能齐全。适当增加物资储备，以应对突发事件的需求，提前领用必要的备品备件和相关辅材。</w:t>
      </w:r>
    </w:p>
    <w:p w14:paraId="3ADA5953">
      <w:pPr>
        <w:adjustRightInd w:val="0"/>
        <w:snapToGrid w:val="0"/>
        <w:spacing w:line="288" w:lineRule="auto"/>
        <w:ind w:firstLine="448" w:firstLineChars="200"/>
        <w:rPr>
          <w:sz w:val="24"/>
          <w:highlight w:val="none"/>
        </w:rPr>
      </w:pPr>
      <w:r>
        <w:rPr>
          <w:rFonts w:hint="eastAsia"/>
          <w:sz w:val="24"/>
          <w:highlight w:val="none"/>
        </w:rPr>
        <w:t>各岗位职责分工要明确，确保关键岗位人员24小时待命，随时应对可能发生的突发事件。针对重要点位和关键区域，要明确专人负责，并制定详细的巡检计划。</w:t>
      </w:r>
    </w:p>
    <w:p w14:paraId="65A1AB0E">
      <w:pPr>
        <w:adjustRightInd w:val="0"/>
        <w:snapToGrid w:val="0"/>
        <w:spacing w:line="288" w:lineRule="auto"/>
        <w:ind w:firstLine="448" w:firstLineChars="200"/>
        <w:outlineLvl w:val="6"/>
        <w:rPr>
          <w:sz w:val="24"/>
          <w:highlight w:val="none"/>
        </w:rPr>
      </w:pPr>
      <w:r>
        <w:rPr>
          <w:rFonts w:hint="eastAsia"/>
          <w:sz w:val="24"/>
          <w:highlight w:val="none"/>
        </w:rPr>
        <w:t>（3）加派人员及车辆协助</w:t>
      </w:r>
    </w:p>
    <w:p w14:paraId="062C1321">
      <w:pPr>
        <w:adjustRightInd w:val="0"/>
        <w:snapToGrid w:val="0"/>
        <w:spacing w:line="288" w:lineRule="auto"/>
        <w:ind w:firstLine="448" w:firstLineChars="200"/>
        <w:rPr>
          <w:sz w:val="24"/>
          <w:highlight w:val="none"/>
        </w:rPr>
      </w:pPr>
      <w:r>
        <w:rPr>
          <w:rFonts w:hint="eastAsia"/>
          <w:sz w:val="24"/>
          <w:highlight w:val="none"/>
        </w:rPr>
        <w:t>在重保期间，应增加现场运维人员和车辆的配置，明确分工并随时待命，确保有足够的人力和物力资源支持各项应急任务。</w:t>
      </w:r>
    </w:p>
    <w:p w14:paraId="63E680B3">
      <w:pPr>
        <w:adjustRightInd w:val="0"/>
        <w:snapToGrid w:val="0"/>
        <w:spacing w:line="288" w:lineRule="auto"/>
        <w:ind w:firstLine="448" w:firstLineChars="200"/>
        <w:rPr>
          <w:sz w:val="24"/>
          <w:highlight w:val="none"/>
        </w:rPr>
      </w:pPr>
      <w:r>
        <w:rPr>
          <w:rFonts w:hint="eastAsia"/>
          <w:sz w:val="24"/>
          <w:highlight w:val="none"/>
        </w:rPr>
        <w:t>从重保开始前三天起，应制订详尽的值班计划，确保一旦发生紧急情况，能够快速反应。确保重保期间每天24小时有人值守。</w:t>
      </w:r>
    </w:p>
    <w:p w14:paraId="1CE43735">
      <w:pPr>
        <w:adjustRightInd w:val="0"/>
        <w:snapToGrid w:val="0"/>
        <w:spacing w:line="288" w:lineRule="auto"/>
        <w:ind w:firstLine="448" w:firstLineChars="200"/>
        <w:rPr>
          <w:sz w:val="24"/>
          <w:highlight w:val="none"/>
        </w:rPr>
      </w:pPr>
      <w:r>
        <w:rPr>
          <w:rFonts w:hint="eastAsia"/>
          <w:sz w:val="24"/>
          <w:highlight w:val="none"/>
        </w:rPr>
        <w:t>应急抢修人员在重保期间需保持24小时待命状态，提前做好抢修的准备工作。</w:t>
      </w:r>
    </w:p>
    <w:p w14:paraId="7A26C078">
      <w:pPr>
        <w:adjustRightInd w:val="0"/>
        <w:snapToGrid w:val="0"/>
        <w:spacing w:line="288" w:lineRule="auto"/>
        <w:ind w:firstLine="448" w:firstLineChars="200"/>
        <w:rPr>
          <w:sz w:val="24"/>
          <w:highlight w:val="none"/>
        </w:rPr>
      </w:pPr>
      <w:r>
        <w:rPr>
          <w:rFonts w:hint="eastAsia"/>
          <w:sz w:val="24"/>
          <w:highlight w:val="none"/>
        </w:rPr>
        <w:t>抢修人员应在重保前加大日常巡线工作的频次和范围，全面排查可能存在的隐患，巡线过程中应重点检查线路的安全性和设备的运行状态。</w:t>
      </w:r>
    </w:p>
    <w:p w14:paraId="3BB2C217">
      <w:pPr>
        <w:adjustRightInd w:val="0"/>
        <w:snapToGrid w:val="0"/>
        <w:spacing w:line="288" w:lineRule="auto"/>
        <w:ind w:firstLine="448" w:firstLineChars="200"/>
        <w:outlineLvl w:val="6"/>
        <w:rPr>
          <w:sz w:val="24"/>
          <w:highlight w:val="none"/>
        </w:rPr>
      </w:pPr>
      <w:r>
        <w:rPr>
          <w:rFonts w:hint="eastAsia"/>
          <w:sz w:val="24"/>
          <w:highlight w:val="none"/>
        </w:rPr>
        <w:t>（4）加强监控和巡视</w:t>
      </w:r>
    </w:p>
    <w:p w14:paraId="53CCC7FE">
      <w:pPr>
        <w:adjustRightInd w:val="0"/>
        <w:snapToGrid w:val="0"/>
        <w:spacing w:line="288" w:lineRule="auto"/>
        <w:ind w:firstLine="448" w:firstLineChars="200"/>
        <w:rPr>
          <w:sz w:val="24"/>
          <w:highlight w:val="none"/>
        </w:rPr>
      </w:pPr>
      <w:r>
        <w:rPr>
          <w:rFonts w:hint="eastAsia"/>
          <w:sz w:val="24"/>
          <w:highlight w:val="none"/>
        </w:rPr>
        <w:t>针对恶劣天气、雨雪天气、重保期间等特殊情况，对运维范围内的系统、设备进行巡检，巡检完成后，将巡检结果存档，待采购人审查。并根据采购人要求把本次的巡检内容、时间、结果等巡检单以书面的形式汇报。</w:t>
      </w:r>
    </w:p>
    <w:p w14:paraId="72213ABB">
      <w:pPr>
        <w:adjustRightInd w:val="0"/>
        <w:snapToGrid w:val="0"/>
        <w:spacing w:line="288" w:lineRule="auto"/>
        <w:ind w:firstLine="448" w:firstLineChars="200"/>
        <w:rPr>
          <w:sz w:val="24"/>
          <w:highlight w:val="none"/>
        </w:rPr>
      </w:pPr>
      <w:r>
        <w:rPr>
          <w:rFonts w:hint="eastAsia"/>
          <w:sz w:val="24"/>
          <w:highlight w:val="none"/>
        </w:rPr>
        <w:t>外场服务人员、项目经理、平台巡检人员24小时待命，确保随叫随到，遇有设备及系统出现问题导致离线等情况，尽快排除故障。</w:t>
      </w:r>
    </w:p>
    <w:p w14:paraId="7FD70181">
      <w:pPr>
        <w:adjustRightInd w:val="0"/>
        <w:snapToGrid w:val="0"/>
        <w:spacing w:line="288" w:lineRule="auto"/>
        <w:ind w:firstLine="448" w:firstLineChars="200"/>
        <w:outlineLvl w:val="6"/>
        <w:rPr>
          <w:sz w:val="24"/>
          <w:highlight w:val="none"/>
        </w:rPr>
      </w:pPr>
      <w:r>
        <w:rPr>
          <w:rFonts w:hint="eastAsia"/>
          <w:sz w:val="24"/>
          <w:highlight w:val="none"/>
        </w:rPr>
        <w:t>（5）突发事件处理要求</w:t>
      </w:r>
    </w:p>
    <w:p w14:paraId="7661AF84">
      <w:pPr>
        <w:adjustRightInd w:val="0"/>
        <w:snapToGrid w:val="0"/>
        <w:spacing w:line="288" w:lineRule="auto"/>
        <w:ind w:firstLine="448" w:firstLineChars="200"/>
        <w:rPr>
          <w:sz w:val="24"/>
          <w:highlight w:val="none"/>
        </w:rPr>
      </w:pPr>
      <w:r>
        <w:rPr>
          <w:rFonts w:hint="eastAsia"/>
          <w:sz w:val="24"/>
          <w:highlight w:val="none"/>
        </w:rPr>
        <w:t>在突发事件或自然灾害易发期（如山洪、台风、雷雨季节等），中标供应商应将其运维工作纳入滨海分局的抢险救灾和应急保障预案中。根据滨海分局的要求，中标供应商需配备相关资源，包括人员、设备和车辆，确保在紧急情况下能够提供充足的支持。</w:t>
      </w:r>
    </w:p>
    <w:p w14:paraId="1C974C52">
      <w:pPr>
        <w:adjustRightInd w:val="0"/>
        <w:snapToGrid w:val="0"/>
        <w:spacing w:line="288" w:lineRule="auto"/>
        <w:ind w:firstLine="448" w:firstLineChars="200"/>
        <w:rPr>
          <w:sz w:val="24"/>
          <w:highlight w:val="none"/>
        </w:rPr>
      </w:pPr>
      <w:r>
        <w:rPr>
          <w:rFonts w:hint="eastAsia"/>
          <w:sz w:val="24"/>
          <w:highlight w:val="none"/>
        </w:rPr>
        <w:t>同时，应组织专门的抢险救灾和应急保障队伍到指定地点待命，严格服从滨海分局的统一指挥和调度，确保快速响应和高效处置各类突发事件。</w:t>
      </w:r>
    </w:p>
    <w:p w14:paraId="7357B8E2">
      <w:pPr>
        <w:adjustRightInd w:val="0"/>
        <w:snapToGrid w:val="0"/>
        <w:spacing w:line="288" w:lineRule="auto"/>
        <w:ind w:firstLine="448" w:firstLineChars="200"/>
        <w:rPr>
          <w:sz w:val="24"/>
          <w:szCs w:val="24"/>
          <w:highlight w:val="none"/>
        </w:rPr>
      </w:pPr>
      <w:r>
        <w:rPr>
          <w:rFonts w:hint="eastAsia"/>
          <w:sz w:val="24"/>
          <w:highlight w:val="none"/>
        </w:rPr>
        <w:t>定期组织针对可能出现的突发事件的应急预案演练。演练内容应包括突发事件的发现、通报、响应、抢修及恢复的全过程，以检验和提高应急队伍的协同作战能力。</w:t>
      </w:r>
    </w:p>
    <w:p w14:paraId="075CA0CE">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★7、运维保险与事故责任</w:t>
      </w:r>
    </w:p>
    <w:p w14:paraId="0791A521">
      <w:pPr>
        <w:adjustRightInd w:val="0"/>
        <w:snapToGrid w:val="0"/>
        <w:spacing w:line="288" w:lineRule="auto"/>
        <w:ind w:firstLine="448" w:firstLineChars="200"/>
        <w:rPr>
          <w:sz w:val="24"/>
          <w:highlight w:val="none"/>
        </w:rPr>
      </w:pPr>
      <w:r>
        <w:rPr>
          <w:rFonts w:hint="eastAsia"/>
          <w:sz w:val="24"/>
          <w:highlight w:val="none"/>
        </w:rPr>
        <w:t>本包运维服务对象，涉及监控杆体、强电设备、杆上设备等，运行维护工作存在高空作业、室外作业等有潜在风险的活动，存在特殊事件因素和人为因素造成事故的风险。事故发生时可能对运维人员、运维对象及其周边的车辆和人员造成生命财产损失。</w:t>
      </w:r>
    </w:p>
    <w:p w14:paraId="79788F7E">
      <w:pPr>
        <w:adjustRightInd w:val="0"/>
        <w:snapToGrid w:val="0"/>
        <w:spacing w:line="288" w:lineRule="auto"/>
        <w:ind w:firstLine="448" w:firstLineChars="200"/>
        <w:rPr>
          <w:sz w:val="24"/>
          <w:highlight w:val="none"/>
        </w:rPr>
      </w:pPr>
      <w:r>
        <w:rPr>
          <w:rFonts w:hint="eastAsia"/>
          <w:sz w:val="24"/>
          <w:highlight w:val="none"/>
        </w:rPr>
        <w:t>为确保运维工作顺利进行并最大限度地减少风险影响，中标的中标供应商在执行运维任务期间，须为所有参与运维的人员及本包的运维对象（包括但不限于设备设施等）购买相应的保险。这些保险应覆盖可能发生的各类意外事故，确保在事故发生时能够及时获得经济赔偿和支持。具体要求如下：</w:t>
      </w:r>
    </w:p>
    <w:p w14:paraId="2125D0EF">
      <w:pPr>
        <w:adjustRightInd w:val="0"/>
        <w:snapToGrid w:val="0"/>
        <w:spacing w:line="288" w:lineRule="auto"/>
        <w:ind w:firstLine="448" w:firstLineChars="200"/>
        <w:rPr>
          <w:sz w:val="24"/>
          <w:highlight w:val="none"/>
        </w:rPr>
      </w:pPr>
      <w:r>
        <w:rPr>
          <w:rFonts w:hint="eastAsia"/>
          <w:sz w:val="24"/>
          <w:highlight w:val="none"/>
        </w:rPr>
        <w:t>人员保险：中标供应商须为所有参与本包的运维人员购买足额的意外伤害保险及工伤保险，保障运维人员在工作期间因意外事故受伤或死亡时能够获得相应的赔偿和医疗费用。</w:t>
      </w:r>
    </w:p>
    <w:p w14:paraId="42CD138D">
      <w:pPr>
        <w:adjustRightInd w:val="0"/>
        <w:snapToGrid w:val="0"/>
        <w:spacing w:line="288" w:lineRule="auto"/>
        <w:ind w:firstLine="448" w:firstLineChars="200"/>
        <w:rPr>
          <w:sz w:val="24"/>
          <w:highlight w:val="none"/>
        </w:rPr>
      </w:pPr>
      <w:r>
        <w:rPr>
          <w:rFonts w:hint="eastAsia"/>
          <w:sz w:val="24"/>
          <w:highlight w:val="none"/>
        </w:rPr>
        <w:t>设备保险：对于涉及本包的运维对象（包括但不限于设备设施等），中标供应商须投保运维对象损坏险和责任险，以保障在设备或设施发生故障、损坏甚至导致第三方损失时，能够提供足够的经济补偿。</w:t>
      </w:r>
    </w:p>
    <w:p w14:paraId="5073E0F0">
      <w:pPr>
        <w:adjustRightInd w:val="0"/>
        <w:snapToGrid w:val="0"/>
        <w:spacing w:line="288" w:lineRule="auto"/>
        <w:ind w:firstLine="448" w:firstLineChars="200"/>
        <w:rPr>
          <w:sz w:val="24"/>
          <w:highlight w:val="none"/>
        </w:rPr>
      </w:pPr>
      <w:r>
        <w:rPr>
          <w:rFonts w:hint="eastAsia"/>
          <w:sz w:val="24"/>
          <w:highlight w:val="none"/>
        </w:rPr>
        <w:t>责任豁免与责任承担：本包运维期间发生的任何与运维服务相关的事故，与采购人无关，中标供应商应自行承担全部责任，采购人保留追究事故相关责任以及罚款的权利。中标供应商应对事故发生后的所有后续处理工作负责，包括但不限于事故调查、责任认定、赔偿支付及后续整改等。</w:t>
      </w:r>
    </w:p>
    <w:p w14:paraId="0889336E">
      <w:pPr>
        <w:adjustRightInd w:val="0"/>
        <w:snapToGrid w:val="0"/>
        <w:spacing w:line="288" w:lineRule="auto"/>
        <w:ind w:firstLine="448" w:firstLineChars="200"/>
        <w:rPr>
          <w:sz w:val="24"/>
          <w:highlight w:val="none"/>
        </w:rPr>
      </w:pPr>
      <w:r>
        <w:rPr>
          <w:rFonts w:hint="eastAsia"/>
          <w:b/>
          <w:bCs/>
          <w:sz w:val="24"/>
          <w:highlight w:val="none"/>
        </w:rPr>
        <w:t>投标人须提供人员保险、设备保险以及责任豁免与责任承担等承诺书。</w:t>
      </w:r>
    </w:p>
    <w:p w14:paraId="1286A714">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8、备品备件</w:t>
      </w:r>
    </w:p>
    <w:p w14:paraId="52C472DF">
      <w:pPr>
        <w:adjustRightInd w:val="0"/>
        <w:snapToGrid w:val="0"/>
        <w:spacing w:line="288" w:lineRule="auto"/>
        <w:ind w:firstLine="448" w:firstLineChars="200"/>
        <w:rPr>
          <w:sz w:val="24"/>
          <w:highlight w:val="none"/>
        </w:rPr>
      </w:pPr>
      <w:r>
        <w:rPr>
          <w:rFonts w:hint="eastAsia"/>
          <w:sz w:val="24"/>
          <w:highlight w:val="none"/>
        </w:rPr>
        <w:t>当视频监控前端设备及后端设备出现故障时，为了快速排除故障并恢复系统的正常功能，本包需结合之前运维中发现的故障情况，常备部分关键设备的备品和备件，以确保在发生故障时能够迅速替换故障设备，减少系统的停机时间和对业务的影响。</w:t>
      </w:r>
    </w:p>
    <w:p w14:paraId="5577AF39">
      <w:pPr>
        <w:adjustRightInd w:val="0"/>
        <w:snapToGrid w:val="0"/>
        <w:spacing w:line="288" w:lineRule="auto"/>
        <w:ind w:firstLine="448" w:firstLineChars="200"/>
        <w:rPr>
          <w:sz w:val="24"/>
          <w:highlight w:val="none"/>
        </w:rPr>
      </w:pPr>
      <w:r>
        <w:rPr>
          <w:rFonts w:hint="eastAsia"/>
          <w:sz w:val="24"/>
          <w:highlight w:val="none"/>
        </w:rPr>
        <w:t>故障处理过程中，中标供应商应严格遵循“先恢复、后修复”的原则，在故障发生时，运维团队应使用备品备件进行替换迅速维修故障。</w:t>
      </w:r>
    </w:p>
    <w:p w14:paraId="6B8A1238">
      <w:pPr>
        <w:adjustRightInd w:val="0"/>
        <w:snapToGrid w:val="0"/>
        <w:spacing w:line="288" w:lineRule="auto"/>
        <w:ind w:firstLine="448" w:firstLineChars="200"/>
        <w:rPr>
          <w:sz w:val="24"/>
          <w:highlight w:val="none"/>
        </w:rPr>
      </w:pPr>
      <w:r>
        <w:rPr>
          <w:rFonts w:hint="eastAsia"/>
          <w:sz w:val="24"/>
          <w:highlight w:val="none"/>
        </w:rPr>
        <w:t>前端设备备品备件，包括抱杆机箱、摄像机、防护罩、镜头、抱杆机箱、前端存储、存储硬盘、PDU电源插座、工业交换机，由采购人提供并管理。备品备件更换后，即时更新库存记录，对故障设备进行维修，修复完成后可重新纳入备品备件库。如该设备确认无法修复，交由采购人进行报废处理。</w:t>
      </w:r>
    </w:p>
    <w:p w14:paraId="2AE9D97E">
      <w:pPr>
        <w:adjustRightInd w:val="0"/>
        <w:snapToGrid w:val="0"/>
        <w:spacing w:line="288" w:lineRule="auto"/>
        <w:ind w:firstLine="448" w:firstLineChars="200"/>
        <w:rPr>
          <w:sz w:val="24"/>
          <w:highlight w:val="none"/>
        </w:rPr>
      </w:pPr>
      <w:r>
        <w:rPr>
          <w:rFonts w:hint="eastAsia"/>
          <w:sz w:val="24"/>
          <w:highlight w:val="none"/>
        </w:rPr>
        <w:t>后端设备备品备件包括视频监控系统平台、电子卡口后台处理系统、服务器、软件功能模块、存储设备整体、存储硬盘、网络交换机、光模块等，由中标供应商无偿提供并更换（更换设备配置不得低于原设备），先恢复系统，再对故障设备进行维修，维修完成后可再次替换下备用设备；如故障设备无法修复则交由采购人进行报废处理，所更换备用设备做为采购人资产继续运维。</w:t>
      </w:r>
    </w:p>
    <w:p w14:paraId="68498705">
      <w:pPr>
        <w:adjustRightInd w:val="0"/>
        <w:snapToGrid w:val="0"/>
        <w:spacing w:line="288" w:lineRule="auto"/>
        <w:ind w:firstLine="448" w:firstLineChars="200"/>
        <w:rPr>
          <w:sz w:val="24"/>
          <w:highlight w:val="none"/>
        </w:rPr>
      </w:pPr>
      <w:r>
        <w:rPr>
          <w:rFonts w:hint="eastAsia"/>
          <w:sz w:val="24"/>
          <w:highlight w:val="none"/>
        </w:rPr>
        <w:t>前端点位、后端设备运维过程中涉及的网线、光纤、跳线、线缆、网络水晶头、光模块、抱箍、前端设备电源适配器等常用辅材由中标供应商无偿提供。</w:t>
      </w:r>
    </w:p>
    <w:p w14:paraId="67CDB942">
      <w:pPr>
        <w:adjustRightInd w:val="0"/>
        <w:snapToGrid w:val="0"/>
        <w:spacing w:line="288" w:lineRule="auto"/>
        <w:ind w:firstLine="448" w:firstLineChars="200"/>
        <w:rPr>
          <w:sz w:val="24"/>
          <w:highlight w:val="none"/>
        </w:rPr>
      </w:pPr>
      <w:r>
        <w:rPr>
          <w:rFonts w:hint="eastAsia"/>
          <w:sz w:val="24"/>
          <w:highlight w:val="none"/>
        </w:rPr>
        <w:t>在备品备件申请、使用的过程中，应即时、定期整理备品备件清单，记录使用情况，并由采购人或采购人委托的第三方单位进行监督管理。</w:t>
      </w:r>
    </w:p>
    <w:p w14:paraId="5A490F23">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9、运维专职队伍及车辆保障</w:t>
      </w:r>
    </w:p>
    <w:p w14:paraId="3FD69CB6">
      <w:pPr>
        <w:adjustRightInd w:val="0"/>
        <w:snapToGrid w:val="0"/>
        <w:spacing w:line="288" w:lineRule="auto"/>
        <w:ind w:firstLine="448" w:firstLineChars="200"/>
        <w:rPr>
          <w:sz w:val="24"/>
          <w:highlight w:val="none"/>
        </w:rPr>
      </w:pPr>
      <w:r>
        <w:rPr>
          <w:rFonts w:hint="eastAsia"/>
          <w:sz w:val="24"/>
          <w:highlight w:val="none"/>
        </w:rPr>
        <w:t>中标供应商需组建一支高效、专业的运维专职队伍，并配备专用运维车辆，以确保各类运维任务的顺利完成。运维工作内容涵盖日常运维、定期巡检、故障处理，以及重大节假日和突发事件的应急响应，还包括运维文档的整理与归档等。</w:t>
      </w:r>
    </w:p>
    <w:p w14:paraId="2746DAA5">
      <w:pPr>
        <w:adjustRightInd w:val="0"/>
        <w:snapToGrid w:val="0"/>
        <w:spacing w:line="288" w:lineRule="auto"/>
        <w:ind w:firstLine="448" w:firstLineChars="200"/>
        <w:rPr>
          <w:sz w:val="24"/>
          <w:highlight w:val="none"/>
        </w:rPr>
      </w:pPr>
      <w:r>
        <w:rPr>
          <w:rFonts w:hint="eastAsia"/>
          <w:sz w:val="24"/>
          <w:highlight w:val="none"/>
        </w:rPr>
        <w:t>运维专职队伍应由两大部分组成：一是专职运维队伍，二是机动保障队伍。其中，专职运维队伍包括运维项目经理、平台巡检人员、电话支持工程师、技术支持工程师、外场服务人员以及故障维修人员等。</w:t>
      </w:r>
    </w:p>
    <w:p w14:paraId="643EAE53">
      <w:pPr>
        <w:adjustRightInd w:val="0"/>
        <w:snapToGrid w:val="0"/>
        <w:spacing w:line="288" w:lineRule="auto"/>
        <w:ind w:firstLine="448" w:firstLineChars="200"/>
        <w:rPr>
          <w:sz w:val="24"/>
          <w:highlight w:val="none"/>
        </w:rPr>
      </w:pPr>
      <w:r>
        <w:rPr>
          <w:rFonts w:hint="eastAsia"/>
          <w:sz w:val="24"/>
          <w:highlight w:val="none"/>
        </w:rPr>
        <w:t>机动保障队伍则负责应对突发状况及特殊时期的运维需求。具体人员包括重大活动及节假日保障人员、画面遮挡处理人员等。</w:t>
      </w:r>
    </w:p>
    <w:p w14:paraId="53B2A3CE">
      <w:pPr>
        <w:adjustRightInd w:val="0"/>
        <w:snapToGrid w:val="0"/>
        <w:spacing w:line="288" w:lineRule="auto"/>
        <w:ind w:firstLine="448" w:firstLineChars="200"/>
        <w:rPr>
          <w:sz w:val="24"/>
          <w:highlight w:val="none"/>
        </w:rPr>
      </w:pPr>
      <w:r>
        <w:rPr>
          <w:rFonts w:hint="eastAsia"/>
          <w:sz w:val="24"/>
          <w:highlight w:val="none"/>
        </w:rPr>
        <w:t>运维单位需提供为本包专用的天津牌照运维车辆，且配备符合准驾车型的驾驶人。</w:t>
      </w:r>
    </w:p>
    <w:p w14:paraId="07430722">
      <w:pPr>
        <w:spacing w:line="360" w:lineRule="auto"/>
        <w:jc w:val="center"/>
        <w:rPr>
          <w:b/>
          <w:bCs/>
          <w:sz w:val="24"/>
          <w:highlight w:val="none"/>
        </w:rPr>
      </w:pPr>
      <w:r>
        <w:rPr>
          <w:rFonts w:hint="eastAsia"/>
          <w:b/>
          <w:bCs/>
          <w:sz w:val="24"/>
          <w:highlight w:val="none"/>
        </w:rPr>
        <w:t>运维专职队伍及车辆保障一览表</w:t>
      </w:r>
    </w:p>
    <w:tbl>
      <w:tblPr>
        <w:tblStyle w:val="19"/>
        <w:tblW w:w="85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880"/>
        <w:gridCol w:w="6958"/>
      </w:tblGrid>
      <w:tr w14:paraId="1B2F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98" w:type="dxa"/>
            <w:noWrap/>
            <w:vAlign w:val="center"/>
          </w:tcPr>
          <w:p w14:paraId="3175490B">
            <w:pPr>
              <w:pStyle w:val="50"/>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序号</w:t>
            </w:r>
          </w:p>
        </w:tc>
        <w:tc>
          <w:tcPr>
            <w:tcW w:w="880" w:type="dxa"/>
            <w:noWrap/>
            <w:vAlign w:val="center"/>
          </w:tcPr>
          <w:p w14:paraId="7B7FEC7B">
            <w:pPr>
              <w:pStyle w:val="50"/>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人员</w:t>
            </w:r>
          </w:p>
        </w:tc>
        <w:tc>
          <w:tcPr>
            <w:tcW w:w="6958" w:type="dxa"/>
            <w:noWrap/>
            <w:vAlign w:val="center"/>
          </w:tcPr>
          <w:p w14:paraId="75A02171">
            <w:pPr>
              <w:pStyle w:val="50"/>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运维职责</w:t>
            </w:r>
          </w:p>
        </w:tc>
      </w:tr>
      <w:tr w14:paraId="13049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ign w:val="center"/>
          </w:tcPr>
          <w:p w14:paraId="17F791D4">
            <w:pPr>
              <w:pStyle w:val="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880" w:type="dxa"/>
            <w:vAlign w:val="center"/>
          </w:tcPr>
          <w:p w14:paraId="0FA23A40">
            <w:pPr>
              <w:pStyle w:val="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项目经理</w:t>
            </w:r>
          </w:p>
        </w:tc>
        <w:tc>
          <w:tcPr>
            <w:tcW w:w="6958" w:type="dxa"/>
            <w:vAlign w:val="center"/>
          </w:tcPr>
          <w:p w14:paraId="5DA1609F">
            <w:pPr>
              <w:pStyle w:val="5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名项目经理，负责项目协调沟通等。</w:t>
            </w:r>
          </w:p>
        </w:tc>
      </w:tr>
      <w:tr w14:paraId="51CA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ign w:val="center"/>
          </w:tcPr>
          <w:p w14:paraId="320F2F3B">
            <w:pPr>
              <w:pStyle w:val="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880" w:type="dxa"/>
            <w:vAlign w:val="center"/>
          </w:tcPr>
          <w:p w14:paraId="0B93A5C8">
            <w:pPr>
              <w:pStyle w:val="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平台巡检</w:t>
            </w:r>
          </w:p>
          <w:p w14:paraId="3A4B97BD">
            <w:pPr>
              <w:pStyle w:val="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人员</w:t>
            </w:r>
          </w:p>
        </w:tc>
        <w:tc>
          <w:tcPr>
            <w:tcW w:w="6958" w:type="dxa"/>
            <w:vAlign w:val="center"/>
          </w:tcPr>
          <w:p w14:paraId="0108FC57">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安排1名专职平台巡检人员，在采购人认可安全可靠的物理、网络环境下，每天对平台进行巡检，并接受采购人考勤管理；巡检内容包括前端点位完好情况监测，主动发现问题，查看后端存储设备运行状态及性能，识别系统资源利用率、服务可用性及响应时间，检查系统数据完整性，识别系统故障及异常行为，记录巡检情况（问题、响应时间、解决时间等）；服从采购人管理，完成采购人安排的其他运维服务相关工作；</w:t>
            </w:r>
          </w:p>
          <w:p w14:paraId="50C53E71">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日常响应：</w:t>
            </w:r>
            <w:r>
              <w:rPr>
                <w:color w:val="000000" w:themeColor="text1"/>
                <w:highlight w:val="none"/>
                <w14:textFill>
                  <w14:solidFill>
                    <w14:schemeClr w14:val="tx1"/>
                  </w14:solidFill>
                </w14:textFill>
              </w:rPr>
              <w:t>7*8</w:t>
            </w:r>
            <w:r>
              <w:rPr>
                <w:rFonts w:hint="eastAsia"/>
                <w:color w:val="000000" w:themeColor="text1"/>
                <w:highlight w:val="none"/>
                <w14:textFill>
                  <w14:solidFill>
                    <w14:schemeClr w14:val="tx1"/>
                  </w14:solidFill>
                </w14:textFill>
              </w:rPr>
              <w:t>小时响应时间为电话立即响应，</w:t>
            </w:r>
            <w:r>
              <w:rPr>
                <w:color w:val="000000" w:themeColor="text1"/>
                <w:highlight w:val="none"/>
                <w14:textFill>
                  <w14:solidFill>
                    <w14:schemeClr w14:val="tx1"/>
                  </w14:solidFill>
                </w14:textFill>
              </w:rPr>
              <w:t>10</w:t>
            </w:r>
            <w:r>
              <w:rPr>
                <w:rFonts w:hint="eastAsia"/>
                <w:color w:val="000000" w:themeColor="text1"/>
                <w:highlight w:val="none"/>
                <w14:textFill>
                  <w14:solidFill>
                    <w14:schemeClr w14:val="tx1"/>
                  </w14:solidFill>
                </w14:textFill>
              </w:rPr>
              <w:t>分钟到场；其他时间电话</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分钟内响应，</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小时到场；</w:t>
            </w:r>
          </w:p>
          <w:p w14:paraId="39F94EAB">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重保响应：</w:t>
            </w:r>
            <w:r>
              <w:rPr>
                <w:color w:val="000000" w:themeColor="text1"/>
                <w:highlight w:val="none"/>
                <w14:textFill>
                  <w14:solidFill>
                    <w14:schemeClr w14:val="tx1"/>
                  </w14:solidFill>
                </w14:textFill>
              </w:rPr>
              <w:t>7*24</w:t>
            </w:r>
            <w:r>
              <w:rPr>
                <w:rFonts w:hint="eastAsia"/>
                <w:color w:val="000000" w:themeColor="text1"/>
                <w:highlight w:val="none"/>
                <w14:textFill>
                  <w14:solidFill>
                    <w14:schemeClr w14:val="tx1"/>
                  </w14:solidFill>
                </w14:textFill>
              </w:rPr>
              <w:t>小时响应时间为电话立即响应，</w:t>
            </w:r>
            <w:r>
              <w:rPr>
                <w:color w:val="000000" w:themeColor="text1"/>
                <w:highlight w:val="none"/>
                <w14:textFill>
                  <w14:solidFill>
                    <w14:schemeClr w14:val="tx1"/>
                  </w14:solidFill>
                </w14:textFill>
              </w:rPr>
              <w:t>10</w:t>
            </w:r>
            <w:r>
              <w:rPr>
                <w:rFonts w:hint="eastAsia"/>
                <w:color w:val="000000" w:themeColor="text1"/>
                <w:highlight w:val="none"/>
                <w14:textFill>
                  <w14:solidFill>
                    <w14:schemeClr w14:val="tx1"/>
                  </w14:solidFill>
                </w14:textFill>
              </w:rPr>
              <w:t>分钟到场；</w:t>
            </w:r>
          </w:p>
          <w:p w14:paraId="2C4BBE5A">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采购人特殊任务响应：在“</w:t>
            </w:r>
            <w:r>
              <w:rPr>
                <w:color w:val="000000" w:themeColor="text1"/>
                <w:highlight w:val="none"/>
                <w14:textFill>
                  <w14:solidFill>
                    <w14:schemeClr w14:val="tx1"/>
                  </w14:solidFill>
                </w14:textFill>
              </w:rPr>
              <w:t>7*8</w:t>
            </w:r>
            <w:r>
              <w:rPr>
                <w:rFonts w:hint="eastAsia"/>
                <w:color w:val="000000" w:themeColor="text1"/>
                <w:highlight w:val="none"/>
                <w14:textFill>
                  <w14:solidFill>
                    <w14:schemeClr w14:val="tx1"/>
                  </w14:solidFill>
                </w14:textFill>
              </w:rPr>
              <w:t>小时响应时间为电话立即响应，</w:t>
            </w:r>
            <w:r>
              <w:rPr>
                <w:color w:val="000000" w:themeColor="text1"/>
                <w:highlight w:val="none"/>
                <w14:textFill>
                  <w14:solidFill>
                    <w14:schemeClr w14:val="tx1"/>
                  </w14:solidFill>
                </w14:textFill>
              </w:rPr>
              <w:t>10</w:t>
            </w:r>
            <w:r>
              <w:rPr>
                <w:rFonts w:hint="eastAsia"/>
                <w:color w:val="000000" w:themeColor="text1"/>
                <w:highlight w:val="none"/>
                <w14:textFill>
                  <w14:solidFill>
                    <w14:schemeClr w14:val="tx1"/>
                  </w14:solidFill>
                </w14:textFill>
              </w:rPr>
              <w:t>分钟到场”的基础上根据采购人具体要求执行；</w:t>
            </w:r>
          </w:p>
          <w:p w14:paraId="70D2606E">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平台巡检人员数量及工作时间需根据采购人工作进行调配，人员信息提前向采购人备案。</w:t>
            </w:r>
          </w:p>
        </w:tc>
      </w:tr>
      <w:tr w14:paraId="0C13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ign w:val="center"/>
          </w:tcPr>
          <w:p w14:paraId="56D4DBE7">
            <w:pPr>
              <w:pStyle w:val="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880" w:type="dxa"/>
            <w:vAlign w:val="center"/>
          </w:tcPr>
          <w:p w14:paraId="3F051C90">
            <w:pPr>
              <w:pStyle w:val="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外场服务人员</w:t>
            </w:r>
          </w:p>
        </w:tc>
        <w:tc>
          <w:tcPr>
            <w:tcW w:w="6958" w:type="dxa"/>
            <w:vAlign w:val="center"/>
          </w:tcPr>
          <w:p w14:paraId="42258C84">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需每</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个月至少对全部前端设备设施进行一次定期巡检工作，巡检内容包括监控杆体等设施、杆上设备和前端设备周边环境。具有驾驶证（可驾驶巡检车辆驾驶证），可熟练驾驶巡检车辆。</w:t>
            </w:r>
            <w:r>
              <w:rPr>
                <w:color w:val="000000" w:themeColor="text1"/>
                <w:highlight w:val="none"/>
                <w14:textFill>
                  <w14:solidFill>
                    <w14:schemeClr w14:val="tx1"/>
                  </w14:solidFill>
                </w14:textFill>
              </w:rPr>
              <w:t>7*9</w:t>
            </w:r>
            <w:r>
              <w:rPr>
                <w:rFonts w:hint="eastAsia"/>
                <w:color w:val="000000" w:themeColor="text1"/>
                <w:highlight w:val="none"/>
                <w14:textFill>
                  <w14:solidFill>
                    <w14:schemeClr w14:val="tx1"/>
                  </w14:solidFill>
                </w14:textFill>
              </w:rPr>
              <w:t>小时工作时长。具体职责需按定期巡检方案执行；</w:t>
            </w:r>
          </w:p>
          <w:p w14:paraId="358C7361">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针对巡检过程发现故障和日常上报故障维修处理，对前端设施维修、供电故障维修；人员需具备电工证、高空作业证等；</w:t>
            </w:r>
          </w:p>
          <w:p w14:paraId="68331864">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专职运维队伍</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队，每队</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人；</w:t>
            </w:r>
          </w:p>
          <w:p w14:paraId="0B3BB176">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机动保障队伍根据项目实际情况进行配置及调整。</w:t>
            </w:r>
          </w:p>
        </w:tc>
      </w:tr>
      <w:tr w14:paraId="39F2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ign w:val="center"/>
          </w:tcPr>
          <w:p w14:paraId="6C2EBE23">
            <w:pPr>
              <w:pStyle w:val="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880" w:type="dxa"/>
            <w:vAlign w:val="center"/>
          </w:tcPr>
          <w:p w14:paraId="584129F1">
            <w:pPr>
              <w:pStyle w:val="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巡检车辆</w:t>
            </w:r>
          </w:p>
        </w:tc>
        <w:tc>
          <w:tcPr>
            <w:tcW w:w="6958" w:type="dxa"/>
            <w:vAlign w:val="center"/>
          </w:tcPr>
          <w:p w14:paraId="56F2EBAD">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充分考虑天津市机动车限行制度的相关规定，提供可随时调用行驶的小车，为本包专用，保障项目的顺利实施；</w:t>
            </w:r>
          </w:p>
          <w:p w14:paraId="40481F9E">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普通车辆，用于巡检、日常维护、维修使用，费用包含维护期内车辆折旧、保养维修、油费、保险的费用；</w:t>
            </w:r>
          </w:p>
          <w:p w14:paraId="29F1CD16">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专职运维队伍每队</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辆；</w:t>
            </w:r>
          </w:p>
          <w:p w14:paraId="3C5592EB">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机动保障队伍按需配置。</w:t>
            </w:r>
          </w:p>
        </w:tc>
      </w:tr>
      <w:tr w14:paraId="70024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ign w:val="center"/>
          </w:tcPr>
          <w:p w14:paraId="1780BE80">
            <w:pPr>
              <w:pStyle w:val="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880" w:type="dxa"/>
            <w:vAlign w:val="center"/>
          </w:tcPr>
          <w:p w14:paraId="4118ED85">
            <w:pPr>
              <w:pStyle w:val="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高空作业车</w:t>
            </w:r>
          </w:p>
        </w:tc>
        <w:tc>
          <w:tcPr>
            <w:tcW w:w="6958" w:type="dxa"/>
            <w:vAlign w:val="center"/>
          </w:tcPr>
          <w:p w14:paraId="745CE9EB">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高空作业车（含司机），每月一次前端设备全量巡检及日常维护、清洁等工作，费用包含维护期内车辆折旧、保养、维修、油费、保险的费用；</w:t>
            </w:r>
            <w:r>
              <w:rPr>
                <w:color w:val="000000" w:themeColor="text1"/>
                <w:highlight w:val="none"/>
                <w14:textFill>
                  <w14:solidFill>
                    <w14:schemeClr w14:val="tx1"/>
                  </w14:solidFill>
                </w14:textFill>
              </w:rPr>
              <w:br w:type="textWrapping"/>
            </w:r>
            <w:r>
              <w:rPr>
                <w:rFonts w:hint="eastAsia"/>
                <w:color w:val="000000" w:themeColor="text1"/>
                <w:highlight w:val="none"/>
                <w14:textFill>
                  <w14:solidFill>
                    <w14:schemeClr w14:val="tx1"/>
                  </w14:solidFill>
                </w14:textFill>
              </w:rPr>
              <w:t>巡检及日常维护</w:t>
            </w:r>
            <w:r>
              <w:rPr>
                <w:color w:val="000000" w:themeColor="text1"/>
                <w:highlight w:val="none"/>
                <w14:textFill>
                  <w14:solidFill>
                    <w14:schemeClr w14:val="tx1"/>
                  </w14:solidFill>
                </w14:textFill>
              </w:rPr>
              <w:t>7*9</w:t>
            </w:r>
            <w:r>
              <w:rPr>
                <w:rFonts w:hint="eastAsia"/>
                <w:color w:val="000000" w:themeColor="text1"/>
                <w:highlight w:val="none"/>
                <w14:textFill>
                  <w14:solidFill>
                    <w14:schemeClr w14:val="tx1"/>
                  </w14:solidFill>
                </w14:textFill>
              </w:rPr>
              <w:t>小时工作时长，重点节假日保障</w:t>
            </w:r>
            <w:r>
              <w:rPr>
                <w:color w:val="000000" w:themeColor="text1"/>
                <w:highlight w:val="none"/>
                <w14:textFill>
                  <w14:solidFill>
                    <w14:schemeClr w14:val="tx1"/>
                  </w14:solidFill>
                </w14:textFill>
              </w:rPr>
              <w:t>24</w:t>
            </w:r>
            <w:r>
              <w:rPr>
                <w:rFonts w:hint="eastAsia"/>
                <w:color w:val="000000" w:themeColor="text1"/>
                <w:highlight w:val="none"/>
                <w14:textFill>
                  <w14:solidFill>
                    <w14:schemeClr w14:val="tx1"/>
                  </w14:solidFill>
                </w14:textFill>
              </w:rPr>
              <w:t>小时工作时长；</w:t>
            </w:r>
            <w:r>
              <w:rPr>
                <w:color w:val="000000" w:themeColor="text1"/>
                <w:highlight w:val="none"/>
                <w14:textFill>
                  <w14:solidFill>
                    <w14:schemeClr w14:val="tx1"/>
                  </w14:solidFill>
                </w14:textFill>
              </w:rPr>
              <w:br w:type="textWrapping"/>
            </w:r>
            <w:r>
              <w:rPr>
                <w:rFonts w:hint="eastAsia"/>
                <w:color w:val="000000" w:themeColor="text1"/>
                <w:highlight w:val="none"/>
                <w14:textFill>
                  <w14:solidFill>
                    <w14:schemeClr w14:val="tx1"/>
                  </w14:solidFill>
                </w14:textFill>
              </w:rPr>
              <w:t>每月巡检约</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天完成，再加</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天作为日常维护；重点节假日保障不少于</w:t>
            </w:r>
            <w:r>
              <w:rPr>
                <w:color w:val="000000" w:themeColor="text1"/>
                <w:highlight w:val="none"/>
                <w14:textFill>
                  <w14:solidFill>
                    <w14:schemeClr w14:val="tx1"/>
                  </w14:solidFill>
                </w14:textFill>
              </w:rPr>
              <w:t>50</w:t>
            </w:r>
            <w:r>
              <w:rPr>
                <w:rFonts w:hint="eastAsia"/>
                <w:color w:val="000000" w:themeColor="text1"/>
                <w:highlight w:val="none"/>
                <w14:textFill>
                  <w14:solidFill>
                    <w14:schemeClr w14:val="tx1"/>
                  </w14:solidFill>
                </w14:textFill>
              </w:rPr>
              <w:t>天；</w:t>
            </w:r>
          </w:p>
          <w:p w14:paraId="2B86DE13">
            <w:pPr>
              <w:pStyle w:val="5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高空作业车根据实际需求进行增加调整。</w:t>
            </w:r>
          </w:p>
        </w:tc>
      </w:tr>
    </w:tbl>
    <w:p w14:paraId="21C068FA">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10、成果文档管理要求</w:t>
      </w:r>
    </w:p>
    <w:p w14:paraId="6D881091">
      <w:pPr>
        <w:adjustRightInd w:val="0"/>
        <w:snapToGrid w:val="0"/>
        <w:spacing w:line="288" w:lineRule="auto"/>
        <w:ind w:firstLine="448" w:firstLineChars="200"/>
        <w:rPr>
          <w:sz w:val="24"/>
          <w:highlight w:val="none"/>
        </w:rPr>
      </w:pPr>
      <w:r>
        <w:rPr>
          <w:rFonts w:hint="eastAsia"/>
          <w:sz w:val="24"/>
          <w:highlight w:val="none"/>
        </w:rPr>
        <w:t>中标供应商应按既定周期提供《运维值班日志》、《前端摄像机日完好率统计表》、《季度</w:t>
      </w:r>
      <w:r>
        <w:rPr>
          <w:sz w:val="24"/>
          <w:highlight w:val="none"/>
        </w:rPr>
        <w:t>运维报告</w:t>
      </w:r>
      <w:r>
        <w:rPr>
          <w:rFonts w:hint="eastAsia"/>
          <w:sz w:val="24"/>
          <w:highlight w:val="none"/>
        </w:rPr>
        <w:t>》、《巡检记录》、《故障派修单》、《故障维修总台账》、《视频监控一机一档资料》等表格以及相关照片和视频等巡检、维修、维护服务佐证材料，并报采购人留档。</w:t>
      </w:r>
    </w:p>
    <w:p w14:paraId="17F06B09">
      <w:pPr>
        <w:adjustRightInd w:val="0"/>
        <w:snapToGrid w:val="0"/>
        <w:spacing w:line="288" w:lineRule="auto"/>
        <w:ind w:firstLine="448" w:firstLineChars="200"/>
        <w:rPr>
          <w:sz w:val="24"/>
          <w:highlight w:val="none"/>
        </w:rPr>
      </w:pPr>
      <w:r>
        <w:rPr>
          <w:rFonts w:hint="eastAsia"/>
          <w:sz w:val="24"/>
          <w:highlight w:val="none"/>
        </w:rPr>
        <w:t>中标供应商在服务期满前1月内，应向滨海分局提交运维报告，报告包括但不限于运维期内的《运维基本情况总结》、《故障维修总结》《运维资产清单》等。中标供应商在运维期内应根据实际情况更新系统架构图、运维边界，以及采购人要求的相关运维资料，以便满足滨海分局随时调阅最新资料的工作需求。运维服务期满后，中标供应商根据服务期最后一天的实际情况，更新运维报告及运维资产清单，并在运维结束后与采购人完成资料移交工作。</w:t>
      </w:r>
    </w:p>
    <w:p w14:paraId="7D470285">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11、运维期满移交</w:t>
      </w:r>
    </w:p>
    <w:p w14:paraId="2838A8BF">
      <w:pPr>
        <w:adjustRightInd w:val="0"/>
        <w:snapToGrid w:val="0"/>
        <w:spacing w:line="288" w:lineRule="auto"/>
        <w:ind w:firstLine="448" w:firstLineChars="200"/>
        <w:rPr>
          <w:sz w:val="24"/>
          <w:highlight w:val="none"/>
        </w:rPr>
      </w:pPr>
      <w:r>
        <w:rPr>
          <w:rFonts w:hint="eastAsia"/>
          <w:sz w:val="24"/>
          <w:highlight w:val="none"/>
        </w:rPr>
        <w:t>在本次项目运维期满后，中标供应商就运维服务内容向采购人进行资产、成果文档移交工作，具体要求如下：</w:t>
      </w:r>
    </w:p>
    <w:p w14:paraId="20AE67C1">
      <w:pPr>
        <w:adjustRightInd w:val="0"/>
        <w:snapToGrid w:val="0"/>
        <w:spacing w:line="288" w:lineRule="auto"/>
        <w:ind w:firstLine="448" w:firstLineChars="200"/>
        <w:rPr>
          <w:sz w:val="24"/>
          <w:highlight w:val="none"/>
        </w:rPr>
      </w:pPr>
      <w:r>
        <w:rPr>
          <w:rFonts w:hint="eastAsia"/>
          <w:sz w:val="24"/>
          <w:highlight w:val="none"/>
        </w:rPr>
        <w:t>（1）移交范围</w:t>
      </w:r>
    </w:p>
    <w:p w14:paraId="5DCF0BB6">
      <w:pPr>
        <w:adjustRightInd w:val="0"/>
        <w:snapToGrid w:val="0"/>
        <w:spacing w:line="288" w:lineRule="auto"/>
        <w:ind w:firstLine="448" w:firstLineChars="200"/>
        <w:rPr>
          <w:sz w:val="24"/>
          <w:highlight w:val="none"/>
        </w:rPr>
      </w:pPr>
      <w:r>
        <w:rPr>
          <w:rFonts w:hint="eastAsia"/>
          <w:sz w:val="24"/>
          <w:highlight w:val="none"/>
        </w:rPr>
        <w:t>移交范围以运维期最后一次更新且经采购人确认的《运维资产底册》为准，包含运维资产底册内全部软硬件设备，并涵盖运维过程中所有成果文档（含10、成果文档管理要求章节中要求文档）。</w:t>
      </w:r>
    </w:p>
    <w:p w14:paraId="6B013296">
      <w:pPr>
        <w:adjustRightInd w:val="0"/>
        <w:snapToGrid w:val="0"/>
        <w:spacing w:line="288" w:lineRule="auto"/>
        <w:ind w:firstLine="448" w:firstLineChars="200"/>
        <w:rPr>
          <w:sz w:val="24"/>
          <w:highlight w:val="none"/>
        </w:rPr>
      </w:pPr>
      <w:r>
        <w:rPr>
          <w:rFonts w:hint="eastAsia"/>
          <w:sz w:val="24"/>
          <w:highlight w:val="none"/>
        </w:rPr>
        <w:t>（2）移交原则</w:t>
      </w:r>
    </w:p>
    <w:p w14:paraId="27FE8CCB">
      <w:pPr>
        <w:adjustRightInd w:val="0"/>
        <w:snapToGrid w:val="0"/>
        <w:spacing w:line="288" w:lineRule="auto"/>
        <w:ind w:firstLine="448" w:firstLineChars="200"/>
        <w:rPr>
          <w:sz w:val="24"/>
          <w:highlight w:val="none"/>
        </w:rPr>
      </w:pPr>
      <w:r>
        <w:rPr>
          <w:rFonts w:hint="eastAsia"/>
          <w:sz w:val="24"/>
          <w:highlight w:val="none"/>
        </w:rPr>
        <w:t>移交时，所有资产须处于稳定、可用的运行状态。</w:t>
      </w:r>
    </w:p>
    <w:p w14:paraId="6B6C1B97">
      <w:pPr>
        <w:adjustRightInd w:val="0"/>
        <w:snapToGrid w:val="0"/>
        <w:spacing w:line="288" w:lineRule="auto"/>
        <w:ind w:firstLine="448" w:firstLineChars="200"/>
        <w:rPr>
          <w:sz w:val="24"/>
          <w:highlight w:val="none"/>
        </w:rPr>
      </w:pPr>
      <w:r>
        <w:rPr>
          <w:rFonts w:hint="eastAsia"/>
          <w:sz w:val="24"/>
          <w:highlight w:val="none"/>
        </w:rPr>
        <w:t>（3）移交时间</w:t>
      </w:r>
    </w:p>
    <w:p w14:paraId="2D6B5383">
      <w:pPr>
        <w:adjustRightInd w:val="0"/>
        <w:snapToGrid w:val="0"/>
        <w:spacing w:line="288" w:lineRule="auto"/>
        <w:ind w:firstLine="448" w:firstLineChars="200"/>
        <w:rPr>
          <w:sz w:val="24"/>
          <w:highlight w:val="none"/>
        </w:rPr>
      </w:pPr>
      <w:r>
        <w:rPr>
          <w:rFonts w:hint="eastAsia"/>
          <w:sz w:val="24"/>
          <w:highlight w:val="none"/>
        </w:rPr>
        <w:t>中标供应商在运维期最后一个月启动移交准备工作，须在运维期满后1个月内完成全部移交工作，包括资产、成果文档移交等，移交完成后双方签署《移交清单确认书》。完成移交工作后方可组织项目验收工作。</w:t>
      </w:r>
    </w:p>
    <w:p w14:paraId="096F928C">
      <w:pPr>
        <w:keepNext/>
        <w:keepLines/>
        <w:adjustRightInd w:val="0"/>
        <w:snapToGrid w:val="0"/>
        <w:spacing w:line="288" w:lineRule="auto"/>
        <w:ind w:firstLine="448" w:firstLineChars="200"/>
        <w:outlineLvl w:val="5"/>
        <w:rPr>
          <w:rFonts w:ascii="等线 Light" w:hAnsi="等线 Light"/>
          <w:b/>
          <w:bCs/>
          <w:sz w:val="24"/>
          <w:szCs w:val="24"/>
          <w:highlight w:val="none"/>
        </w:rPr>
      </w:pPr>
      <w:r>
        <w:rPr>
          <w:rFonts w:hint="eastAsia" w:ascii="等线 Light" w:hAnsi="等线 Light"/>
          <w:b/>
          <w:bCs/>
          <w:sz w:val="24"/>
          <w:szCs w:val="24"/>
          <w:highlight w:val="none"/>
        </w:rPr>
        <w:t>12、运维工作监督管理</w:t>
      </w:r>
    </w:p>
    <w:p w14:paraId="1855C30D">
      <w:pPr>
        <w:adjustRightInd w:val="0"/>
        <w:snapToGrid w:val="0"/>
        <w:spacing w:line="288" w:lineRule="auto"/>
        <w:ind w:firstLine="448" w:firstLineChars="200"/>
        <w:rPr>
          <w:sz w:val="24"/>
          <w:highlight w:val="none"/>
        </w:rPr>
      </w:pPr>
      <w:r>
        <w:rPr>
          <w:rFonts w:hint="eastAsia"/>
          <w:sz w:val="24"/>
          <w:highlight w:val="none"/>
        </w:rPr>
        <w:t>采购人委托第三方监理公司对本包的运维工作进行全面的监督管理，监理公司将依据运维设计方案、招投标文件、运维合同，以及运维工作过程中项目的实际情况，对中标供应商的各项工作进行系统化监督与管理。中标供应商必须配合第三方监理公司的监督管理。</w:t>
      </w:r>
    </w:p>
    <w:p w14:paraId="2D289A6C">
      <w:pPr>
        <w:adjustRightInd w:val="0"/>
        <w:snapToGrid w:val="0"/>
        <w:spacing w:line="288" w:lineRule="auto"/>
        <w:ind w:firstLine="448" w:firstLineChars="200"/>
        <w:rPr>
          <w:sz w:val="24"/>
          <w:highlight w:val="none"/>
        </w:rPr>
      </w:pPr>
      <w:r>
        <w:rPr>
          <w:rFonts w:hint="eastAsia"/>
          <w:sz w:val="24"/>
          <w:highlight w:val="none"/>
        </w:rPr>
        <w:t>中标供应商提交的运维成果报告，应接受第三方监理公司的审核。</w:t>
      </w:r>
    </w:p>
    <w:p w14:paraId="09B8ECC4">
      <w:pPr>
        <w:keepNext/>
        <w:keepLines/>
        <w:adjustRightInd w:val="0"/>
        <w:snapToGrid w:val="0"/>
        <w:spacing w:line="288" w:lineRule="auto"/>
        <w:ind w:firstLine="448" w:firstLineChars="200"/>
        <w:outlineLvl w:val="3"/>
        <w:rPr>
          <w:rFonts w:ascii="Cambria" w:hAnsi="Cambria"/>
          <w:b/>
          <w:bCs/>
          <w:sz w:val="24"/>
          <w:szCs w:val="28"/>
          <w:highlight w:val="none"/>
        </w:rPr>
      </w:pPr>
      <w:r>
        <w:rPr>
          <w:rFonts w:hint="eastAsia" w:ascii="Cambria" w:hAnsi="Cambria"/>
          <w:b/>
          <w:bCs/>
          <w:sz w:val="24"/>
          <w:szCs w:val="28"/>
          <w:highlight w:val="none"/>
        </w:rPr>
        <w:t>三、运维服务考核要求</w:t>
      </w:r>
    </w:p>
    <w:p w14:paraId="165FD247">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（一）考核总则</w:t>
      </w:r>
    </w:p>
    <w:p w14:paraId="7512B4AC">
      <w:pPr>
        <w:adjustRightInd w:val="0"/>
        <w:snapToGrid w:val="0"/>
        <w:spacing w:line="288" w:lineRule="auto"/>
        <w:ind w:firstLine="448" w:firstLineChars="200"/>
        <w:rPr>
          <w:sz w:val="24"/>
          <w:highlight w:val="none"/>
        </w:rPr>
      </w:pPr>
      <w:r>
        <w:rPr>
          <w:rFonts w:hint="eastAsia"/>
          <w:sz w:val="24"/>
          <w:highlight w:val="none"/>
        </w:rPr>
        <w:t>平台巡检人员每日统计运维服务工作完成情况，运维服务工作及运维成果文档需做到日清月结，采购人或采购人委托第三方监督单位对视频监控和网络链路的运维工作进行监督管理，对运维情况进行考核，每月进行一次考核，考核得分将作为后期付款依据。</w:t>
      </w:r>
    </w:p>
    <w:p w14:paraId="69AA243E">
      <w:pPr>
        <w:adjustRightInd w:val="0"/>
        <w:snapToGrid w:val="0"/>
        <w:spacing w:line="288" w:lineRule="auto"/>
        <w:ind w:firstLine="448" w:firstLineChars="200"/>
        <w:rPr>
          <w:sz w:val="24"/>
          <w:highlight w:val="none"/>
        </w:rPr>
      </w:pPr>
      <w:r>
        <w:rPr>
          <w:sz w:val="24"/>
          <w:highlight w:val="none"/>
        </w:rPr>
        <w:t>考核评分工作以一个月为周期，考核标准为前端监控点位月均完好率，直接影响该月运维费用支付比例。当月月均完好率低于90%，</w:t>
      </w:r>
      <w:r>
        <w:rPr>
          <w:rFonts w:hint="eastAsia"/>
          <w:sz w:val="24"/>
          <w:highlight w:val="none"/>
        </w:rPr>
        <w:t>中标供应商</w:t>
      </w:r>
      <w:r>
        <w:rPr>
          <w:sz w:val="24"/>
          <w:highlight w:val="none"/>
        </w:rPr>
        <w:t>无权要求</w:t>
      </w:r>
      <w:r>
        <w:rPr>
          <w:rFonts w:hint="eastAsia"/>
          <w:sz w:val="24"/>
          <w:highlight w:val="none"/>
        </w:rPr>
        <w:t>采购人</w:t>
      </w:r>
      <w:r>
        <w:rPr>
          <w:sz w:val="24"/>
          <w:highlight w:val="none"/>
        </w:rPr>
        <w:t>支付任何费用，造成</w:t>
      </w:r>
      <w:r>
        <w:rPr>
          <w:rFonts w:hint="eastAsia"/>
          <w:sz w:val="24"/>
          <w:highlight w:val="none"/>
        </w:rPr>
        <w:t>采购人</w:t>
      </w:r>
      <w:r>
        <w:rPr>
          <w:sz w:val="24"/>
          <w:highlight w:val="none"/>
        </w:rPr>
        <w:t>损失的应按照损失情况赔偿。若任意连续4个月内累计有3个月月均完好率低于90%，即认定为运维服务严重不到位，视为</w:t>
      </w:r>
      <w:r>
        <w:rPr>
          <w:rFonts w:hint="eastAsia"/>
          <w:sz w:val="24"/>
          <w:highlight w:val="none"/>
        </w:rPr>
        <w:t>中标供应商</w:t>
      </w:r>
      <w:r>
        <w:rPr>
          <w:sz w:val="24"/>
          <w:highlight w:val="none"/>
        </w:rPr>
        <w:t>违约，</w:t>
      </w:r>
      <w:r>
        <w:rPr>
          <w:rFonts w:hint="eastAsia"/>
          <w:sz w:val="24"/>
          <w:highlight w:val="none"/>
        </w:rPr>
        <w:t>采购人</w:t>
      </w:r>
      <w:r>
        <w:rPr>
          <w:sz w:val="24"/>
          <w:highlight w:val="none"/>
        </w:rPr>
        <w:t>有权单方解除运维服务合同，</w:t>
      </w:r>
      <w:r>
        <w:rPr>
          <w:rFonts w:hint="eastAsia"/>
          <w:sz w:val="24"/>
          <w:highlight w:val="none"/>
        </w:rPr>
        <w:t>中标供应商</w:t>
      </w:r>
      <w:r>
        <w:rPr>
          <w:sz w:val="24"/>
          <w:highlight w:val="none"/>
        </w:rPr>
        <w:t>须承担相应法律责任及由此给</w:t>
      </w:r>
      <w:r>
        <w:rPr>
          <w:rFonts w:hint="eastAsia"/>
          <w:sz w:val="24"/>
          <w:highlight w:val="none"/>
        </w:rPr>
        <w:t>采购人</w:t>
      </w:r>
      <w:r>
        <w:rPr>
          <w:sz w:val="24"/>
          <w:highlight w:val="none"/>
        </w:rPr>
        <w:t>造成的全部损失。</w:t>
      </w:r>
      <w:r>
        <w:rPr>
          <w:rFonts w:hint="eastAsia"/>
          <w:sz w:val="24"/>
          <w:highlight w:val="none"/>
        </w:rPr>
        <w:t>运维考核结果以采购人指定的平台和算法为准。</w:t>
      </w:r>
    </w:p>
    <w:p w14:paraId="3F3D3ECF">
      <w:pPr>
        <w:adjustRightInd w:val="0"/>
        <w:snapToGrid w:val="0"/>
        <w:spacing w:line="288" w:lineRule="auto"/>
        <w:ind w:firstLine="448" w:firstLineChars="200"/>
        <w:rPr>
          <w:sz w:val="24"/>
          <w:highlight w:val="none"/>
        </w:rPr>
      </w:pPr>
      <w:r>
        <w:rPr>
          <w:rFonts w:hint="eastAsia"/>
          <w:sz w:val="24"/>
          <w:highlight w:val="none"/>
        </w:rPr>
        <w:t>运维考核结果以采购人指定的平台和算法为准，并由监理单位人工进行复核、判定，最终由采购人认定。</w:t>
      </w:r>
    </w:p>
    <w:p w14:paraId="2B9F4E56">
      <w:pPr>
        <w:adjustRightInd w:val="0"/>
        <w:snapToGrid w:val="0"/>
        <w:spacing w:line="288" w:lineRule="auto"/>
        <w:ind w:firstLine="448" w:firstLineChars="200"/>
        <w:rPr>
          <w:sz w:val="24"/>
          <w:highlight w:val="none"/>
        </w:rPr>
      </w:pPr>
      <w:r>
        <w:rPr>
          <w:rFonts w:hint="eastAsia"/>
          <w:sz w:val="24"/>
          <w:highlight w:val="none"/>
        </w:rPr>
        <w:t>中标供应商签订运维合同生效后即进入运维服务期，第1个月属于资产交接调试阶段，不参加运维考核，完好率按照97%计算。运维费用付款方式以采购人确定为准。</w:t>
      </w:r>
    </w:p>
    <w:p w14:paraId="198D097E">
      <w:pPr>
        <w:adjustRightInd w:val="0"/>
        <w:snapToGrid w:val="0"/>
        <w:spacing w:line="288" w:lineRule="auto"/>
        <w:ind w:firstLine="448" w:firstLineChars="200"/>
        <w:rPr>
          <w:sz w:val="24"/>
          <w:highlight w:val="none"/>
        </w:rPr>
      </w:pPr>
      <w:r>
        <w:rPr>
          <w:rFonts w:hint="eastAsia"/>
          <w:sz w:val="24"/>
          <w:highlight w:val="none"/>
        </w:rPr>
        <w:t>每次请款前，中标供应商应向监理单位提交付款申请及相关材料，监理单位核查中标供应商请款材料是否齐全无误、是否满足付款条件，并审核运维费用无误后，由监理单位提交采购人审核，履行付款手续。</w:t>
      </w:r>
    </w:p>
    <w:p w14:paraId="52B1EEDB">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（二）摄像机完好率考核</w:t>
      </w:r>
    </w:p>
    <w:p w14:paraId="0F25175C">
      <w:pPr>
        <w:adjustRightInd w:val="0"/>
        <w:snapToGrid w:val="0"/>
        <w:spacing w:line="288" w:lineRule="auto"/>
        <w:ind w:firstLine="448" w:firstLineChars="200"/>
        <w:rPr>
          <w:sz w:val="24"/>
          <w:highlight w:val="none"/>
        </w:rPr>
      </w:pPr>
      <w:r>
        <w:rPr>
          <w:rFonts w:hint="eastAsia"/>
          <w:sz w:val="24"/>
          <w:highlight w:val="none"/>
        </w:rPr>
        <w:t>中标供应商平台巡检人员需每日对摄像机完好率进行统计记录，每月月末统计月均完好率，月均完好率为当月每日完好率的平均值。</w:t>
      </w:r>
    </w:p>
    <w:p w14:paraId="1CFDE90F">
      <w:pPr>
        <w:adjustRightInd w:val="0"/>
        <w:snapToGrid w:val="0"/>
        <w:spacing w:line="288" w:lineRule="auto"/>
        <w:ind w:firstLine="448" w:firstLineChars="200"/>
        <w:rPr>
          <w:sz w:val="24"/>
          <w:highlight w:val="none"/>
        </w:rPr>
      </w:pPr>
      <w:r>
        <w:rPr>
          <w:rFonts w:hint="eastAsia"/>
          <w:sz w:val="24"/>
          <w:highlight w:val="none"/>
        </w:rPr>
        <w:t>如因</w:t>
      </w:r>
      <w:r>
        <w:rPr>
          <w:sz w:val="24"/>
          <w:highlight w:val="none"/>
        </w:rPr>
        <w:t>考核</w:t>
      </w:r>
      <w:r>
        <w:rPr>
          <w:rFonts w:hint="eastAsia"/>
          <w:sz w:val="24"/>
          <w:highlight w:val="none"/>
        </w:rPr>
        <w:t>平台</w:t>
      </w:r>
      <w:r>
        <w:rPr>
          <w:sz w:val="24"/>
          <w:highlight w:val="none"/>
        </w:rPr>
        <w:t>原因，导致当日完好率数据未能</w:t>
      </w:r>
      <w:r>
        <w:rPr>
          <w:rFonts w:hint="eastAsia"/>
          <w:sz w:val="24"/>
          <w:highlight w:val="none"/>
        </w:rPr>
        <w:t>正确</w:t>
      </w:r>
      <w:r>
        <w:rPr>
          <w:sz w:val="24"/>
          <w:highlight w:val="none"/>
        </w:rPr>
        <w:t>记录，则当日完好率不计入统计。</w:t>
      </w:r>
    </w:p>
    <w:p w14:paraId="53E2A69C">
      <w:pPr>
        <w:adjustRightInd w:val="0"/>
        <w:snapToGrid w:val="0"/>
        <w:spacing w:line="288" w:lineRule="auto"/>
        <w:ind w:firstLine="448" w:firstLineChars="200"/>
        <w:rPr>
          <w:sz w:val="24"/>
          <w:highlight w:val="none"/>
        </w:rPr>
      </w:pPr>
      <w:r>
        <w:rPr>
          <w:rFonts w:hint="eastAsia"/>
          <w:sz w:val="24"/>
          <w:highlight w:val="none"/>
        </w:rPr>
        <w:t>视频监控设备完好：</w:t>
      </w:r>
      <w:r>
        <w:rPr>
          <w:sz w:val="24"/>
          <w:highlight w:val="none"/>
        </w:rPr>
        <w:t>该设备在线，可以在视频管理平台观看实时视频画面与录像视频，视频图像质量良好，能够正常存储</w:t>
      </w:r>
      <w:r>
        <w:rPr>
          <w:rFonts w:hint="eastAsia"/>
          <w:sz w:val="24"/>
          <w:highlight w:val="none"/>
        </w:rPr>
        <w:t>（前端</w:t>
      </w:r>
      <w:r>
        <w:rPr>
          <w:sz w:val="24"/>
          <w:highlight w:val="none"/>
        </w:rPr>
        <w:t>存储不少于</w:t>
      </w:r>
      <w:r>
        <w:rPr>
          <w:rFonts w:hint="eastAsia"/>
          <w:sz w:val="24"/>
          <w:highlight w:val="none"/>
        </w:rPr>
        <w:t>7天、后台集中存储</w:t>
      </w:r>
      <w:r>
        <w:rPr>
          <w:sz w:val="24"/>
          <w:highlight w:val="none"/>
        </w:rPr>
        <w:t>不少于</w:t>
      </w:r>
      <w:r>
        <w:rPr>
          <w:rFonts w:hint="eastAsia"/>
          <w:sz w:val="24"/>
          <w:highlight w:val="none"/>
        </w:rPr>
        <w:t>30天）</w:t>
      </w:r>
      <w:r>
        <w:rPr>
          <w:sz w:val="24"/>
          <w:highlight w:val="none"/>
        </w:rPr>
        <w:t>，设备可以被远程控制</w:t>
      </w:r>
      <w:r>
        <w:rPr>
          <w:rFonts w:hint="eastAsia"/>
          <w:sz w:val="24"/>
          <w:highlight w:val="none"/>
        </w:rPr>
        <w:t>（云台</w:t>
      </w:r>
      <w:r>
        <w:rPr>
          <w:sz w:val="24"/>
          <w:highlight w:val="none"/>
        </w:rPr>
        <w:t>、变焦可控</w:t>
      </w:r>
      <w:r>
        <w:rPr>
          <w:rFonts w:hint="eastAsia"/>
          <w:sz w:val="24"/>
          <w:highlight w:val="none"/>
        </w:rPr>
        <w:t>）</w:t>
      </w:r>
      <w:r>
        <w:rPr>
          <w:sz w:val="24"/>
          <w:highlight w:val="none"/>
        </w:rPr>
        <w:t>，并符合《公安视频图像显示信息叠加规范》（GA/T 751-2024）要求视为设备完好（具体检测内容由建设单位根据工作需要</w:t>
      </w:r>
      <w:r>
        <w:rPr>
          <w:rFonts w:hint="eastAsia"/>
          <w:sz w:val="24"/>
          <w:highlight w:val="none"/>
        </w:rPr>
        <w:t>设</w:t>
      </w:r>
      <w:r>
        <w:rPr>
          <w:sz w:val="24"/>
          <w:highlight w:val="none"/>
        </w:rPr>
        <w:t>定）。</w:t>
      </w:r>
    </w:p>
    <w:p w14:paraId="391E976C">
      <w:pPr>
        <w:adjustRightInd w:val="0"/>
        <w:snapToGrid w:val="0"/>
        <w:spacing w:line="288" w:lineRule="auto"/>
        <w:ind w:firstLine="448" w:firstLineChars="200"/>
        <w:rPr>
          <w:sz w:val="24"/>
          <w:highlight w:val="none"/>
        </w:rPr>
      </w:pPr>
      <w:r>
        <w:rPr>
          <w:sz w:val="24"/>
          <w:highlight w:val="none"/>
        </w:rPr>
        <w:t>监控点位不在线、点位在线但图像质量较差（无画面、画面有雪花、图像抖动、干扰严重、护罩污损、故意遮挡）、无法正常存储、无法观看录像、违反《公安视频图像显示信息叠加规范》（GA/T 751-2024）要求（具体检测内容由建设单位根据工作需要</w:t>
      </w:r>
      <w:r>
        <w:rPr>
          <w:rFonts w:hint="eastAsia"/>
          <w:sz w:val="24"/>
          <w:highlight w:val="none"/>
        </w:rPr>
        <w:t>设</w:t>
      </w:r>
      <w:r>
        <w:rPr>
          <w:sz w:val="24"/>
          <w:highlight w:val="none"/>
        </w:rPr>
        <w:t>定），视为设备不能正常使用，不能满足公安相关业务要求，属于设备不完好</w:t>
      </w:r>
      <w:r>
        <w:rPr>
          <w:rFonts w:hint="eastAsia"/>
          <w:sz w:val="24"/>
          <w:highlight w:val="none"/>
        </w:rPr>
        <w:t>。</w:t>
      </w:r>
    </w:p>
    <w:p w14:paraId="65A3E186">
      <w:pPr>
        <w:adjustRightInd w:val="0"/>
        <w:snapToGrid w:val="0"/>
        <w:spacing w:line="288" w:lineRule="auto"/>
        <w:ind w:firstLine="448" w:firstLineChars="200"/>
        <w:rPr>
          <w:sz w:val="24"/>
          <w:highlight w:val="none"/>
        </w:rPr>
      </w:pPr>
      <w:r>
        <w:rPr>
          <w:rFonts w:hint="eastAsia"/>
          <w:sz w:val="24"/>
          <w:highlight w:val="none"/>
        </w:rPr>
        <w:t>前端摄像机日完好率=1－当日不完好的摄像机数量/当日参与考核的摄像机数量×100%。</w:t>
      </w:r>
    </w:p>
    <w:p w14:paraId="5B0FC2F8">
      <w:pPr>
        <w:adjustRightInd w:val="0"/>
        <w:snapToGrid w:val="0"/>
        <w:spacing w:line="288" w:lineRule="auto"/>
        <w:ind w:firstLine="448" w:firstLineChars="200"/>
        <w:rPr>
          <w:sz w:val="24"/>
          <w:highlight w:val="none"/>
        </w:rPr>
      </w:pPr>
      <w:r>
        <w:rPr>
          <w:rFonts w:hint="eastAsia"/>
          <w:sz w:val="24"/>
          <w:highlight w:val="none"/>
        </w:rPr>
        <w:t>当日参与考核的摄像机数量=运维合同中的摄像机数量－当日不参与考核的摄像机数量。</w:t>
      </w:r>
    </w:p>
    <w:p w14:paraId="06B79683">
      <w:pPr>
        <w:adjustRightInd w:val="0"/>
        <w:snapToGrid w:val="0"/>
        <w:spacing w:line="288" w:lineRule="auto"/>
        <w:ind w:firstLine="448" w:firstLineChars="200"/>
        <w:rPr>
          <w:sz w:val="24"/>
          <w:highlight w:val="none"/>
        </w:rPr>
      </w:pPr>
      <w:r>
        <w:rPr>
          <w:sz w:val="24"/>
          <w:highlight w:val="none"/>
        </w:rPr>
        <w:t>当日不参与考核摄像机数量是当日因特殊事件造成故障而不列入运维考核的摄像机数量（详见</w:t>
      </w:r>
      <w:r>
        <w:rPr>
          <w:rFonts w:hint="eastAsia"/>
          <w:sz w:val="24"/>
          <w:highlight w:val="none"/>
        </w:rPr>
        <w:t>（四）</w:t>
      </w:r>
      <w:r>
        <w:rPr>
          <w:sz w:val="24"/>
          <w:highlight w:val="none"/>
        </w:rPr>
        <w:t>特殊事件处置）。</w:t>
      </w:r>
    </w:p>
    <w:p w14:paraId="4C15E114">
      <w:pPr>
        <w:adjustRightInd w:val="0"/>
        <w:snapToGrid w:val="0"/>
        <w:spacing w:line="288" w:lineRule="auto"/>
        <w:ind w:firstLine="448" w:firstLineChars="200"/>
        <w:rPr>
          <w:sz w:val="24"/>
          <w:highlight w:val="none"/>
        </w:rPr>
      </w:pPr>
      <w:r>
        <w:rPr>
          <w:rFonts w:hint="eastAsia"/>
          <w:sz w:val="24"/>
          <w:highlight w:val="none"/>
        </w:rPr>
        <w:t>前端摄像机月均完好率=当月每日完好率总和/当月考核总天数。</w:t>
      </w:r>
    </w:p>
    <w:p w14:paraId="7E688CA9">
      <w:pPr>
        <w:adjustRightInd w:val="0"/>
        <w:snapToGrid w:val="0"/>
        <w:spacing w:line="288" w:lineRule="auto"/>
        <w:ind w:firstLine="448" w:firstLineChars="200"/>
        <w:rPr>
          <w:sz w:val="24"/>
          <w:szCs w:val="24"/>
          <w:highlight w:val="none"/>
        </w:rPr>
      </w:pPr>
      <w:r>
        <w:rPr>
          <w:rFonts w:hint="eastAsia"/>
          <w:sz w:val="24"/>
          <w:highlight w:val="none"/>
        </w:rPr>
        <w:t>前端摄像机月均完好率＜97%视为不合格。</w:t>
      </w:r>
    </w:p>
    <w:p w14:paraId="0BE92BC7">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（三）运维服务费用计算</w:t>
      </w:r>
    </w:p>
    <w:p w14:paraId="0B4138DA">
      <w:pPr>
        <w:pStyle w:val="30"/>
        <w:numPr>
          <w:ilvl w:val="0"/>
          <w:numId w:val="2"/>
        </w:numPr>
        <w:adjustRightInd w:val="0"/>
        <w:snapToGrid w:val="0"/>
        <w:spacing w:line="288" w:lineRule="auto"/>
        <w:ind w:firstLine="446"/>
        <w:rPr>
          <w:sz w:val="24"/>
          <w:highlight w:val="none"/>
        </w:rPr>
      </w:pPr>
      <w:r>
        <w:rPr>
          <w:rFonts w:hint="eastAsia"/>
          <w:sz w:val="24"/>
          <w:highlight w:val="none"/>
        </w:rPr>
        <w:t>运维服务费用包含3个部分，分别是月度考核运维费用、月度扣罚费用、年度扣罚费用。当月应支付运维服务费用=月度考核运维费用-月度扣罚费用，具体分为以下两种情况：</w:t>
      </w:r>
    </w:p>
    <w:p w14:paraId="602EC894">
      <w:pPr>
        <w:pStyle w:val="30"/>
        <w:numPr>
          <w:ilvl w:val="0"/>
          <w:numId w:val="2"/>
        </w:numPr>
        <w:adjustRightInd w:val="0"/>
        <w:snapToGrid w:val="0"/>
        <w:spacing w:line="288" w:lineRule="auto"/>
        <w:ind w:firstLine="446"/>
        <w:rPr>
          <w:sz w:val="24"/>
          <w:highlight w:val="none"/>
        </w:rPr>
      </w:pPr>
      <w:r>
        <w:rPr>
          <w:sz w:val="24"/>
          <w:highlight w:val="none"/>
        </w:rPr>
        <w:t>按照上述公式计算当月应支付运维费用≥0元时，月度扣罚费用从当月月度考核运维费用中扣除；</w:t>
      </w:r>
    </w:p>
    <w:p w14:paraId="7DD1B73E">
      <w:pPr>
        <w:pStyle w:val="30"/>
        <w:numPr>
          <w:ilvl w:val="0"/>
          <w:numId w:val="2"/>
        </w:numPr>
        <w:adjustRightInd w:val="0"/>
        <w:snapToGrid w:val="0"/>
        <w:spacing w:line="288" w:lineRule="auto"/>
        <w:ind w:firstLine="446"/>
        <w:rPr>
          <w:sz w:val="24"/>
          <w:highlight w:val="none"/>
        </w:rPr>
      </w:pPr>
      <w:r>
        <w:rPr>
          <w:sz w:val="24"/>
          <w:highlight w:val="none"/>
        </w:rPr>
        <w:t>按照上述公式计算当月应支付运维费用＜0元时，当月月度考核运维费用全部用于抵扣月度扣罚费用；未抵扣完毕的剩余扣罚费用顺延至后续首个满足“应支付运维费用≥0元”的月份，从该月应支付运维费用中继续扣除。</w:t>
      </w:r>
    </w:p>
    <w:p w14:paraId="716FD1C9">
      <w:pPr>
        <w:adjustRightInd w:val="0"/>
        <w:snapToGrid w:val="0"/>
        <w:spacing w:line="288" w:lineRule="auto"/>
        <w:ind w:firstLine="448" w:firstLineChars="200"/>
        <w:rPr>
          <w:sz w:val="24"/>
          <w:highlight w:val="none"/>
        </w:rPr>
      </w:pPr>
      <w:r>
        <w:rPr>
          <w:rFonts w:hint="eastAsia"/>
          <w:sz w:val="24"/>
          <w:highlight w:val="none"/>
        </w:rPr>
        <w:t>1.月度考核运维费用计算</w:t>
      </w:r>
    </w:p>
    <w:p w14:paraId="69D00D6B">
      <w:pPr>
        <w:adjustRightInd w:val="0"/>
        <w:snapToGrid w:val="0"/>
        <w:spacing w:line="288" w:lineRule="auto"/>
        <w:ind w:firstLine="448" w:firstLineChars="200"/>
        <w:rPr>
          <w:sz w:val="24"/>
          <w:highlight w:val="none"/>
        </w:rPr>
      </w:pPr>
      <w:r>
        <w:rPr>
          <w:rFonts w:hint="eastAsia"/>
          <w:sz w:val="24"/>
          <w:highlight w:val="none"/>
        </w:rPr>
        <w:t>月度考核运维费用以当月月均完好率作为计算标准：</w:t>
      </w:r>
    </w:p>
    <w:p w14:paraId="6D9FB662">
      <w:pPr>
        <w:adjustRightInd w:val="0"/>
        <w:snapToGrid w:val="0"/>
        <w:spacing w:line="288" w:lineRule="auto"/>
        <w:ind w:firstLine="448" w:firstLineChars="200"/>
        <w:rPr>
          <w:sz w:val="24"/>
          <w:highlight w:val="none"/>
        </w:rPr>
      </w:pPr>
      <w:r>
        <w:rPr>
          <w:rFonts w:hint="eastAsia"/>
          <w:sz w:val="24"/>
          <w:highlight w:val="none"/>
        </w:rPr>
        <w:t>（1）月均完好率≥97%时，月度考核运维费用=运维合同总额/12。</w:t>
      </w:r>
    </w:p>
    <w:p w14:paraId="2324B8C0">
      <w:pPr>
        <w:adjustRightInd w:val="0"/>
        <w:snapToGrid w:val="0"/>
        <w:spacing w:line="288" w:lineRule="auto"/>
        <w:ind w:firstLine="448" w:firstLineChars="200"/>
        <w:rPr>
          <w:sz w:val="24"/>
          <w:highlight w:val="none"/>
        </w:rPr>
      </w:pPr>
      <w:r>
        <w:rPr>
          <w:rFonts w:hint="eastAsia"/>
          <w:sz w:val="24"/>
          <w:highlight w:val="none"/>
        </w:rPr>
        <w:t>（2）月均完好率＜97%且≥90%时，月度考核运维费用=当月完好率*运维合同总额/12。</w:t>
      </w:r>
    </w:p>
    <w:p w14:paraId="52D06DFF">
      <w:pPr>
        <w:adjustRightInd w:val="0"/>
        <w:snapToGrid w:val="0"/>
        <w:spacing w:line="288" w:lineRule="auto"/>
        <w:ind w:firstLine="448" w:firstLineChars="200"/>
        <w:rPr>
          <w:sz w:val="24"/>
          <w:highlight w:val="none"/>
        </w:rPr>
      </w:pPr>
      <w:r>
        <w:rPr>
          <w:rFonts w:hint="eastAsia"/>
          <w:sz w:val="24"/>
          <w:highlight w:val="none"/>
        </w:rPr>
        <w:t>（3）月均完好率＜90%时，则该考核周期内运维服务方无权要求建设单位支付任何费用，造成建设单位及相关维护单位损失的应按照损失情况赔偿。</w:t>
      </w:r>
    </w:p>
    <w:p w14:paraId="2118BE15">
      <w:pPr>
        <w:adjustRightInd w:val="0"/>
        <w:snapToGrid w:val="0"/>
        <w:spacing w:line="288" w:lineRule="auto"/>
        <w:ind w:firstLine="448" w:firstLineChars="200"/>
        <w:rPr>
          <w:sz w:val="24"/>
          <w:highlight w:val="none"/>
        </w:rPr>
      </w:pPr>
      <w:r>
        <w:rPr>
          <w:rFonts w:hint="eastAsia"/>
          <w:sz w:val="24"/>
          <w:highlight w:val="none"/>
        </w:rPr>
        <w:t>2.月度扣罚费用计算</w:t>
      </w:r>
    </w:p>
    <w:p w14:paraId="4D40FB6D">
      <w:pPr>
        <w:adjustRightInd w:val="0"/>
        <w:snapToGrid w:val="0"/>
        <w:spacing w:line="288" w:lineRule="auto"/>
        <w:ind w:firstLine="448" w:firstLineChars="200"/>
        <w:rPr>
          <w:sz w:val="24"/>
          <w:highlight w:val="none"/>
        </w:rPr>
      </w:pPr>
      <w:r>
        <w:rPr>
          <w:rFonts w:hint="eastAsia"/>
          <w:sz w:val="24"/>
          <w:highlight w:val="none"/>
        </w:rPr>
        <w:t>当月运维服务工作出现违规情况的，对运维服务方进行扣罚，扣罚金额=运维合同总额/12*扣罚百分比，具体违规事项及扣罚比例如下：</w:t>
      </w:r>
    </w:p>
    <w:p w14:paraId="50FA6F98">
      <w:pPr>
        <w:adjustRightInd w:val="0"/>
        <w:snapToGrid w:val="0"/>
        <w:spacing w:line="288" w:lineRule="auto"/>
        <w:ind w:firstLine="448" w:firstLineChars="200"/>
        <w:rPr>
          <w:sz w:val="24"/>
          <w:highlight w:val="none"/>
        </w:rPr>
      </w:pPr>
      <w:r>
        <w:rPr>
          <w:rFonts w:hint="eastAsia"/>
          <w:sz w:val="24"/>
          <w:highlight w:val="none"/>
        </w:rPr>
        <w:t>（1）运维服务方接到故障信息半小时内未响应的，出现一次扣罚0.1%。</w:t>
      </w:r>
    </w:p>
    <w:p w14:paraId="329802BF">
      <w:pPr>
        <w:adjustRightInd w:val="0"/>
        <w:snapToGrid w:val="0"/>
        <w:spacing w:line="288" w:lineRule="auto"/>
        <w:ind w:firstLine="448" w:firstLineChars="200"/>
        <w:rPr>
          <w:sz w:val="24"/>
          <w:highlight w:val="none"/>
        </w:rPr>
      </w:pPr>
      <w:r>
        <w:rPr>
          <w:rFonts w:hint="eastAsia"/>
          <w:sz w:val="24"/>
          <w:highlight w:val="none"/>
        </w:rPr>
        <w:t>（2）运维服务方确认无法在线解决后，2小时内未到达现场的，出现一次扣罚0.2%。</w:t>
      </w:r>
    </w:p>
    <w:p w14:paraId="0CAE1BC7">
      <w:pPr>
        <w:adjustRightInd w:val="0"/>
        <w:snapToGrid w:val="0"/>
        <w:spacing w:line="288" w:lineRule="auto"/>
        <w:ind w:firstLine="448" w:firstLineChars="200"/>
        <w:rPr>
          <w:sz w:val="24"/>
          <w:highlight w:val="none"/>
        </w:rPr>
      </w:pPr>
      <w:r>
        <w:rPr>
          <w:rFonts w:hint="eastAsia"/>
          <w:sz w:val="24"/>
          <w:highlight w:val="none"/>
        </w:rPr>
        <w:t>（3）所有故障在无特殊事件情况下，48小时内未全面修复的，建设单位或建设单位委托第三方监理单位下发《维修督办通知单》，出现一次扣罚</w:t>
      </w:r>
      <w:r>
        <w:rPr>
          <w:sz w:val="24"/>
          <w:highlight w:val="none"/>
        </w:rPr>
        <w:t>0.2</w:t>
      </w:r>
      <w:r>
        <w:rPr>
          <w:rFonts w:hint="eastAsia"/>
          <w:sz w:val="24"/>
          <w:highlight w:val="none"/>
        </w:rPr>
        <w:t>%。</w:t>
      </w:r>
    </w:p>
    <w:p w14:paraId="0E6C5239">
      <w:pPr>
        <w:adjustRightInd w:val="0"/>
        <w:snapToGrid w:val="0"/>
        <w:spacing w:line="288" w:lineRule="auto"/>
        <w:ind w:firstLine="448" w:firstLineChars="200"/>
        <w:rPr>
          <w:sz w:val="24"/>
          <w:highlight w:val="none"/>
        </w:rPr>
      </w:pPr>
      <w:r>
        <w:rPr>
          <w:rFonts w:hint="eastAsia"/>
          <w:sz w:val="24"/>
          <w:highlight w:val="none"/>
        </w:rPr>
        <w:t>（4）因运维服务方自身原因导致前端监控点位存储的数据丢失（包含人脸/车辆等结构化数据、视频/图片等非结构化数据等），直接影响甲方视频/图片检索分析、证据调取、执法办案等业务，一经甲方发现，一次扣罚</w:t>
      </w:r>
      <w:r>
        <w:rPr>
          <w:sz w:val="24"/>
          <w:highlight w:val="none"/>
        </w:rPr>
        <w:t>0.3</w:t>
      </w:r>
      <w:r>
        <w:rPr>
          <w:rFonts w:hint="eastAsia"/>
          <w:sz w:val="24"/>
          <w:highlight w:val="none"/>
        </w:rPr>
        <w:t>%。</w:t>
      </w:r>
    </w:p>
    <w:p w14:paraId="6C9B1FA2">
      <w:pPr>
        <w:adjustRightInd w:val="0"/>
        <w:snapToGrid w:val="0"/>
        <w:spacing w:line="288" w:lineRule="auto"/>
        <w:ind w:firstLine="448" w:firstLineChars="200"/>
        <w:rPr>
          <w:sz w:val="24"/>
          <w:highlight w:val="none"/>
        </w:rPr>
      </w:pPr>
      <w:r>
        <w:rPr>
          <w:rFonts w:hint="eastAsia"/>
          <w:sz w:val="24"/>
          <w:highlight w:val="none"/>
        </w:rPr>
        <w:t>（5）运维服务方未及时编制、更新完成运维文档（详见成果文档管理），每次扣罚0.1%；造成维护文档永久缺失的，每次扣罚1%。</w:t>
      </w:r>
    </w:p>
    <w:p w14:paraId="16197C45">
      <w:pPr>
        <w:adjustRightInd w:val="0"/>
        <w:snapToGrid w:val="0"/>
        <w:spacing w:line="288" w:lineRule="auto"/>
        <w:ind w:firstLine="448" w:firstLineChars="200"/>
        <w:rPr>
          <w:sz w:val="24"/>
          <w:highlight w:val="none"/>
        </w:rPr>
      </w:pPr>
      <w:r>
        <w:rPr>
          <w:rFonts w:hint="eastAsia"/>
          <w:sz w:val="24"/>
          <w:highlight w:val="none"/>
        </w:rPr>
        <w:t>（6）“一机一档”表格月均匹配率＜95%的，每下降1%，扣罚0.1%。“一机一档”表格月均匹配率是当月每日匹配率的平均值。</w:t>
      </w:r>
    </w:p>
    <w:p w14:paraId="6AC124A0">
      <w:pPr>
        <w:adjustRightInd w:val="0"/>
        <w:snapToGrid w:val="0"/>
        <w:spacing w:line="288" w:lineRule="auto"/>
        <w:ind w:firstLine="448" w:firstLineChars="200"/>
        <w:rPr>
          <w:sz w:val="24"/>
          <w:highlight w:val="none"/>
        </w:rPr>
      </w:pPr>
      <w:r>
        <w:rPr>
          <w:rFonts w:hint="eastAsia"/>
          <w:sz w:val="24"/>
          <w:highlight w:val="none"/>
        </w:rPr>
        <w:t>“一机一档”表格当天匹配率=当天“一机一档”表格中与现场实际情况相符的摄像机数量/当天参与考核的摄像机数量；</w:t>
      </w:r>
    </w:p>
    <w:p w14:paraId="0EA70BDC">
      <w:pPr>
        <w:adjustRightInd w:val="0"/>
        <w:snapToGrid w:val="0"/>
        <w:spacing w:line="288" w:lineRule="auto"/>
        <w:ind w:firstLine="448" w:firstLineChars="200"/>
        <w:rPr>
          <w:sz w:val="24"/>
          <w:highlight w:val="none"/>
        </w:rPr>
      </w:pPr>
      <w:r>
        <w:rPr>
          <w:rFonts w:hint="eastAsia"/>
          <w:sz w:val="24"/>
          <w:highlight w:val="none"/>
        </w:rPr>
        <w:t>“一机一档”表格月均匹配率=当月每日匹配率总和/当月考核总天数。</w:t>
      </w:r>
    </w:p>
    <w:p w14:paraId="397EA275">
      <w:pPr>
        <w:adjustRightInd w:val="0"/>
        <w:snapToGrid w:val="0"/>
        <w:spacing w:line="288" w:lineRule="auto"/>
        <w:ind w:firstLine="448" w:firstLineChars="200"/>
        <w:rPr>
          <w:sz w:val="24"/>
          <w:highlight w:val="none"/>
        </w:rPr>
      </w:pPr>
      <w:r>
        <w:rPr>
          <w:rFonts w:hint="eastAsia"/>
          <w:sz w:val="24"/>
          <w:highlight w:val="none"/>
        </w:rPr>
        <w:t>（7）运维服务方平台巡检人员无故脱岗，每次扣罚0.1%；在重要时间段无故脱岗，每次扣罚0.2%；同时，对当月脱岗时间进行累计扣罚，脱岗时间每达到0.5小时，扣罚0.1%。</w:t>
      </w:r>
    </w:p>
    <w:p w14:paraId="4A2B2A6F">
      <w:pPr>
        <w:adjustRightInd w:val="0"/>
        <w:snapToGrid w:val="0"/>
        <w:spacing w:line="288" w:lineRule="auto"/>
        <w:ind w:firstLine="448" w:firstLineChars="200"/>
        <w:rPr>
          <w:sz w:val="24"/>
          <w:highlight w:val="none"/>
        </w:rPr>
      </w:pPr>
      <w:r>
        <w:rPr>
          <w:rFonts w:hint="eastAsia"/>
          <w:sz w:val="24"/>
          <w:highlight w:val="none"/>
        </w:rPr>
        <w:t>（8）建设单位及其内部处室和下辖单位收到公安系统内部或外部下发的通报（包含建设单位及内部处室对运维服务方的通报），通报内容与运维服务方的运维服务直接或间接相关，建设单位将按公安系统内部通报和外部通报两类情况对运维服务方进行扣罚，扣罚比例如下：</w:t>
      </w:r>
    </w:p>
    <w:p w14:paraId="7507CC8C">
      <w:pPr>
        <w:pStyle w:val="30"/>
        <w:numPr>
          <w:ilvl w:val="0"/>
          <w:numId w:val="3"/>
        </w:numPr>
        <w:adjustRightInd w:val="0"/>
        <w:snapToGrid w:val="0"/>
        <w:spacing w:line="288" w:lineRule="auto"/>
        <w:ind w:firstLine="446"/>
        <w:rPr>
          <w:sz w:val="24"/>
          <w:highlight w:val="none"/>
        </w:rPr>
      </w:pPr>
      <w:r>
        <w:rPr>
          <w:sz w:val="24"/>
          <w:highlight w:val="none"/>
        </w:rPr>
        <w:t>公安系统内部通报：公安系统内部包括公安部、天津市公安局滨海分局及内部处室和下辖各基层单位。当通报来源为公安部时，每次扣罚10%；当通报来源为天津市公安局时，每次扣罚5%；当通报来源为天津市公安局滨海分局及内部处室和下辖各基层单位时，每次扣罚2%。</w:t>
      </w:r>
    </w:p>
    <w:p w14:paraId="473F0A19">
      <w:pPr>
        <w:pStyle w:val="30"/>
        <w:numPr>
          <w:ilvl w:val="0"/>
          <w:numId w:val="3"/>
        </w:numPr>
        <w:adjustRightInd w:val="0"/>
        <w:snapToGrid w:val="0"/>
        <w:spacing w:line="288" w:lineRule="auto"/>
        <w:ind w:firstLine="446"/>
        <w:rPr>
          <w:sz w:val="24"/>
          <w:highlight w:val="none"/>
        </w:rPr>
      </w:pPr>
      <w:r>
        <w:rPr>
          <w:sz w:val="24"/>
          <w:highlight w:val="none"/>
        </w:rPr>
        <w:t>公安系统外部通报，包括除公安系统之外的市级单位、区级单位下发的通报。市级单位包括但不限于天津市委、市政府等单位；区级单位包括但不限于滨海新区区委、区政府等单位。当通报来源为市级单位时，每次扣罚8%；当通报来源为区级单位时，每次扣罚5%。</w:t>
      </w:r>
    </w:p>
    <w:p w14:paraId="58734902">
      <w:pPr>
        <w:adjustRightInd w:val="0"/>
        <w:snapToGrid w:val="0"/>
        <w:spacing w:line="288" w:lineRule="auto"/>
        <w:ind w:firstLine="448" w:firstLineChars="200"/>
        <w:rPr>
          <w:sz w:val="24"/>
          <w:highlight w:val="none"/>
        </w:rPr>
      </w:pPr>
      <w:r>
        <w:rPr>
          <w:rFonts w:hint="eastAsia"/>
          <w:sz w:val="24"/>
          <w:highlight w:val="none"/>
        </w:rPr>
        <w:t>在公安系统内部、外部通报扣罚的基础上，建设单位综合考虑通报产生的负面影响后果严重程度和影响范围，有权对运维服务方当月运维费用进行加扣，加扣金额的幅度为0-10%。</w:t>
      </w:r>
    </w:p>
    <w:p w14:paraId="59C4A917">
      <w:pPr>
        <w:adjustRightInd w:val="0"/>
        <w:snapToGrid w:val="0"/>
        <w:spacing w:line="288" w:lineRule="auto"/>
        <w:ind w:firstLine="448" w:firstLineChars="200"/>
        <w:rPr>
          <w:sz w:val="24"/>
          <w:highlight w:val="none"/>
        </w:rPr>
      </w:pPr>
      <w:r>
        <w:rPr>
          <w:rFonts w:hint="eastAsia"/>
          <w:sz w:val="24"/>
          <w:highlight w:val="none"/>
        </w:rPr>
        <w:t>运维服务方须在接到通报后24小时内向建设单位提交书面报告，说明原因、影响范围及后续整改措施，运维服务方须承担全部法律责任及因此给建设单位造成的一切损失。</w:t>
      </w:r>
    </w:p>
    <w:p w14:paraId="6897CF9D">
      <w:pPr>
        <w:adjustRightInd w:val="0"/>
        <w:snapToGrid w:val="0"/>
        <w:spacing w:line="288" w:lineRule="auto"/>
        <w:ind w:firstLine="448" w:firstLineChars="200"/>
        <w:rPr>
          <w:sz w:val="24"/>
          <w:highlight w:val="none"/>
        </w:rPr>
      </w:pPr>
      <w:r>
        <w:rPr>
          <w:rFonts w:hint="eastAsia"/>
          <w:sz w:val="24"/>
          <w:highlight w:val="none"/>
        </w:rPr>
        <w:t>（9）建设单位及其内部处室和下辖单位收到公安系统内部或外部的投诉（包含建设单位及内部处室对运维服务方的投诉），投诉内容与运维服务方的运维服务直接或间接相关，建设单位将按公安系统内部投诉和外部投诉两类情况对运维服务方进行扣罚，扣罚比例如下：</w:t>
      </w:r>
    </w:p>
    <w:p w14:paraId="2304A855">
      <w:pPr>
        <w:pStyle w:val="30"/>
        <w:numPr>
          <w:ilvl w:val="0"/>
          <w:numId w:val="4"/>
        </w:numPr>
        <w:adjustRightInd w:val="0"/>
        <w:snapToGrid w:val="0"/>
        <w:spacing w:line="288" w:lineRule="auto"/>
        <w:ind w:firstLine="446"/>
        <w:rPr>
          <w:sz w:val="24"/>
          <w:highlight w:val="none"/>
        </w:rPr>
      </w:pPr>
      <w:r>
        <w:rPr>
          <w:sz w:val="24"/>
          <w:highlight w:val="none"/>
        </w:rPr>
        <w:t>公安系统内部投诉：当投诉来源为天津市公安局滨海分局内各处室、支队、下辖基层单位时，每次扣罚1%。</w:t>
      </w:r>
    </w:p>
    <w:p w14:paraId="04BA86BF">
      <w:pPr>
        <w:pStyle w:val="30"/>
        <w:numPr>
          <w:ilvl w:val="0"/>
          <w:numId w:val="4"/>
        </w:numPr>
        <w:adjustRightInd w:val="0"/>
        <w:snapToGrid w:val="0"/>
        <w:spacing w:line="288" w:lineRule="auto"/>
        <w:ind w:firstLine="446"/>
        <w:rPr>
          <w:sz w:val="24"/>
          <w:highlight w:val="none"/>
        </w:rPr>
      </w:pPr>
      <w:r>
        <w:rPr>
          <w:sz w:val="24"/>
          <w:highlight w:val="none"/>
        </w:rPr>
        <w:t>公安系统外部投诉，指来自外部其他单位、社会公众的投诉事件。外部其他单位包括但不限于滨海新区区委各部门、各委办局、群团组织、企事业单位、各街道办事处等单位；社会公众投诉指由社会公众通过12345政务服务便民热线、110报警服务台、官方信访渠道、媒体、网络等渠道，向采购人提交的与本次项目相关的投诉。当投诉来源为外部其他单位时，每次扣罚0.5%；当投诉来源为社会公众时，每次扣罚0.5%。</w:t>
      </w:r>
    </w:p>
    <w:p w14:paraId="02CFF3E7">
      <w:pPr>
        <w:adjustRightInd w:val="0"/>
        <w:snapToGrid w:val="0"/>
        <w:spacing w:line="288" w:lineRule="auto"/>
        <w:ind w:firstLine="448" w:firstLineChars="200"/>
        <w:rPr>
          <w:sz w:val="24"/>
          <w:highlight w:val="none"/>
        </w:rPr>
      </w:pPr>
      <w:r>
        <w:rPr>
          <w:rFonts w:hint="eastAsia"/>
          <w:sz w:val="24"/>
          <w:highlight w:val="none"/>
        </w:rPr>
        <w:t>在公安系统内部、外部投诉扣罚的基础上，建设单位综合考虑投诉产生的负面影响后果严重程度和影响范围，有权对运维服务方当月运维费用进行加扣，加扣金额的幅度为0-3%。</w:t>
      </w:r>
    </w:p>
    <w:p w14:paraId="7ECCA654">
      <w:pPr>
        <w:adjustRightInd w:val="0"/>
        <w:snapToGrid w:val="0"/>
        <w:spacing w:line="288" w:lineRule="auto"/>
        <w:ind w:firstLine="448" w:firstLineChars="200"/>
        <w:rPr>
          <w:sz w:val="24"/>
          <w:highlight w:val="none"/>
        </w:rPr>
      </w:pPr>
      <w:r>
        <w:rPr>
          <w:rFonts w:hint="eastAsia"/>
          <w:sz w:val="24"/>
          <w:highlight w:val="none"/>
        </w:rPr>
        <w:t>运维服务方须在接到投诉后24小时内向建设单位提交书面报告，说明原因、影响范围及后续整改措施，运维服务方须承担全部法律责任及因此给建设单位造成的一切损失。</w:t>
      </w:r>
    </w:p>
    <w:p w14:paraId="0C15D451">
      <w:pPr>
        <w:adjustRightInd w:val="0"/>
        <w:snapToGrid w:val="0"/>
        <w:spacing w:line="288" w:lineRule="auto"/>
        <w:ind w:firstLine="448" w:firstLineChars="200"/>
        <w:rPr>
          <w:sz w:val="24"/>
          <w:highlight w:val="none"/>
        </w:rPr>
      </w:pPr>
      <w:r>
        <w:rPr>
          <w:rFonts w:hint="eastAsia"/>
          <w:sz w:val="24"/>
          <w:highlight w:val="none"/>
        </w:rPr>
        <w:t>（10）运维服务方项目经理应参加当月每次运维监理例会，项目经理不得无故缺席，</w:t>
      </w:r>
      <w:r>
        <w:rPr>
          <w:sz w:val="24"/>
          <w:highlight w:val="none"/>
        </w:rPr>
        <w:t>每出现一次</w:t>
      </w:r>
      <w:r>
        <w:rPr>
          <w:rFonts w:hint="eastAsia"/>
          <w:sz w:val="24"/>
          <w:highlight w:val="none"/>
        </w:rPr>
        <w:t>无故缺席，扣罚</w:t>
      </w:r>
      <w:r>
        <w:rPr>
          <w:sz w:val="24"/>
          <w:highlight w:val="none"/>
        </w:rPr>
        <w:t>1</w:t>
      </w:r>
      <w:r>
        <w:rPr>
          <w:rFonts w:hint="eastAsia"/>
          <w:sz w:val="24"/>
          <w:highlight w:val="none"/>
        </w:rPr>
        <w:t>%。</w:t>
      </w:r>
    </w:p>
    <w:p w14:paraId="3C7ECBEB">
      <w:pPr>
        <w:adjustRightInd w:val="0"/>
        <w:snapToGrid w:val="0"/>
        <w:spacing w:line="288" w:lineRule="auto"/>
        <w:ind w:firstLine="448" w:firstLineChars="200"/>
        <w:rPr>
          <w:sz w:val="24"/>
          <w:highlight w:val="none"/>
        </w:rPr>
      </w:pPr>
      <w:r>
        <w:rPr>
          <w:rFonts w:hint="eastAsia"/>
          <w:sz w:val="24"/>
          <w:highlight w:val="none"/>
        </w:rPr>
        <w:t>（11）上述第（二）条</w:t>
      </w:r>
      <w:r>
        <w:rPr>
          <w:sz w:val="24"/>
          <w:highlight w:val="none"/>
        </w:rPr>
        <w:t>，</w:t>
      </w:r>
      <w:r>
        <w:rPr>
          <w:rFonts w:hint="eastAsia"/>
          <w:sz w:val="24"/>
          <w:highlight w:val="none"/>
        </w:rPr>
        <w:t>摄像机完好率考核-</w:t>
      </w:r>
      <w:r>
        <w:rPr>
          <w:sz w:val="24"/>
          <w:highlight w:val="none"/>
        </w:rPr>
        <w:t>--</w:t>
      </w:r>
      <w:r>
        <w:rPr>
          <w:rFonts w:hint="eastAsia"/>
          <w:sz w:val="24"/>
          <w:highlight w:val="none"/>
        </w:rPr>
        <w:t>视频监控设备完好中</w:t>
      </w:r>
      <w:r>
        <w:rPr>
          <w:sz w:val="24"/>
          <w:highlight w:val="none"/>
        </w:rPr>
        <w:t>所列的内容中，</w:t>
      </w:r>
      <w:r>
        <w:rPr>
          <w:rFonts w:hint="eastAsia"/>
          <w:sz w:val="24"/>
          <w:highlight w:val="none"/>
        </w:rPr>
        <w:t>除考核平台主动检测并计入视频质量完好率考核的，发现一次不合格的情况，扣罚</w:t>
      </w:r>
      <w:r>
        <w:rPr>
          <w:sz w:val="24"/>
          <w:highlight w:val="none"/>
        </w:rPr>
        <w:t>200元。</w:t>
      </w:r>
    </w:p>
    <w:p w14:paraId="6761BB74">
      <w:pPr>
        <w:adjustRightInd w:val="0"/>
        <w:snapToGrid w:val="0"/>
        <w:spacing w:line="288" w:lineRule="auto"/>
        <w:ind w:firstLine="448" w:firstLineChars="200"/>
        <w:rPr>
          <w:sz w:val="24"/>
          <w:highlight w:val="none"/>
        </w:rPr>
      </w:pPr>
      <w:r>
        <w:rPr>
          <w:rFonts w:hint="eastAsia"/>
          <w:sz w:val="24"/>
          <w:highlight w:val="none"/>
        </w:rPr>
        <w:t>3.年度扣罚费用计算</w:t>
      </w:r>
    </w:p>
    <w:p w14:paraId="2B613D1D">
      <w:pPr>
        <w:adjustRightInd w:val="0"/>
        <w:snapToGrid w:val="0"/>
        <w:spacing w:line="288" w:lineRule="auto"/>
        <w:ind w:firstLine="448" w:firstLineChars="200"/>
        <w:rPr>
          <w:sz w:val="24"/>
          <w:highlight w:val="none"/>
        </w:rPr>
      </w:pPr>
      <w:r>
        <w:rPr>
          <w:rFonts w:hint="eastAsia"/>
          <w:sz w:val="24"/>
          <w:highlight w:val="none"/>
        </w:rPr>
        <w:t>运维期满后，对中标供应商资产、成果文档移交工作进行考核，由于中标供应商自身原因导致移交工作逾期完成的，对运维服务费进行扣罚：</w:t>
      </w:r>
    </w:p>
    <w:p w14:paraId="4C72518F">
      <w:pPr>
        <w:adjustRightInd w:val="0"/>
        <w:snapToGrid w:val="0"/>
        <w:spacing w:line="288" w:lineRule="auto"/>
        <w:ind w:firstLine="448" w:firstLineChars="200"/>
        <w:rPr>
          <w:sz w:val="24"/>
          <w:highlight w:val="none"/>
        </w:rPr>
      </w:pPr>
      <w:r>
        <w:rPr>
          <w:rFonts w:hint="eastAsia"/>
          <w:sz w:val="24"/>
          <w:highlight w:val="none"/>
        </w:rPr>
        <w:t>1个月内完成全部资产、成果文档移交工作，不进行扣罚；</w:t>
      </w:r>
    </w:p>
    <w:p w14:paraId="58AFB47D">
      <w:pPr>
        <w:adjustRightInd w:val="0"/>
        <w:snapToGrid w:val="0"/>
        <w:spacing w:line="288" w:lineRule="auto"/>
        <w:ind w:firstLine="448" w:firstLineChars="200"/>
        <w:rPr>
          <w:sz w:val="24"/>
          <w:highlight w:val="none"/>
        </w:rPr>
      </w:pPr>
      <w:r>
        <w:rPr>
          <w:rFonts w:hint="eastAsia"/>
          <w:sz w:val="24"/>
          <w:highlight w:val="none"/>
        </w:rPr>
        <w:t>逾期1-10天完成全部移交工作，扣罚运维合同总额的0.5%；</w:t>
      </w:r>
    </w:p>
    <w:p w14:paraId="67ABFB92">
      <w:pPr>
        <w:adjustRightInd w:val="0"/>
        <w:snapToGrid w:val="0"/>
        <w:spacing w:line="288" w:lineRule="auto"/>
        <w:ind w:firstLine="448" w:firstLineChars="200"/>
        <w:rPr>
          <w:sz w:val="24"/>
          <w:highlight w:val="none"/>
        </w:rPr>
      </w:pPr>
      <w:r>
        <w:rPr>
          <w:rFonts w:hint="eastAsia"/>
          <w:sz w:val="24"/>
          <w:highlight w:val="none"/>
        </w:rPr>
        <w:t>逾期11-20天完成全部移交工作，扣罚运维合同总额的1%；</w:t>
      </w:r>
    </w:p>
    <w:p w14:paraId="4BDEF9EA">
      <w:pPr>
        <w:adjustRightInd w:val="0"/>
        <w:snapToGrid w:val="0"/>
        <w:spacing w:line="288" w:lineRule="auto"/>
        <w:ind w:firstLine="448" w:firstLineChars="200"/>
        <w:rPr>
          <w:sz w:val="24"/>
          <w:highlight w:val="none"/>
        </w:rPr>
      </w:pPr>
      <w:r>
        <w:rPr>
          <w:rFonts w:hint="eastAsia"/>
          <w:sz w:val="24"/>
          <w:highlight w:val="none"/>
        </w:rPr>
        <w:t>逾期21-30天完成全部移交工作，扣罚运维合同总额的3%；</w:t>
      </w:r>
    </w:p>
    <w:p w14:paraId="442652BC">
      <w:pPr>
        <w:adjustRightInd w:val="0"/>
        <w:snapToGrid w:val="0"/>
        <w:spacing w:line="288" w:lineRule="auto"/>
        <w:ind w:firstLine="448" w:firstLineChars="200"/>
        <w:rPr>
          <w:sz w:val="24"/>
          <w:highlight w:val="none"/>
        </w:rPr>
      </w:pPr>
      <w:r>
        <w:rPr>
          <w:rFonts w:hint="eastAsia"/>
          <w:sz w:val="24"/>
          <w:highlight w:val="none"/>
        </w:rPr>
        <w:t>逾期31-40天完成全部移交工作，扣罚运维合同总额的5%；</w:t>
      </w:r>
    </w:p>
    <w:p w14:paraId="0D40D024">
      <w:pPr>
        <w:adjustRightInd w:val="0"/>
        <w:snapToGrid w:val="0"/>
        <w:spacing w:line="288" w:lineRule="auto"/>
        <w:ind w:firstLine="448" w:firstLineChars="200"/>
        <w:rPr>
          <w:sz w:val="24"/>
          <w:highlight w:val="none"/>
        </w:rPr>
      </w:pPr>
      <w:r>
        <w:rPr>
          <w:rFonts w:hint="eastAsia"/>
          <w:sz w:val="24"/>
          <w:highlight w:val="none"/>
        </w:rPr>
        <w:t>以上扣罚，需由采购人确认后执行，扣罚费用从最后一笔运维服务费付款中扣除。</w:t>
      </w:r>
    </w:p>
    <w:p w14:paraId="0A7DA064">
      <w:pPr>
        <w:adjustRightInd w:val="0"/>
        <w:snapToGrid w:val="0"/>
        <w:spacing w:line="288" w:lineRule="auto"/>
        <w:ind w:firstLine="448" w:firstLineChars="200"/>
        <w:rPr>
          <w:sz w:val="24"/>
          <w:highlight w:val="none"/>
        </w:rPr>
      </w:pPr>
      <w:r>
        <w:rPr>
          <w:sz w:val="24"/>
          <w:highlight w:val="none"/>
        </w:rPr>
        <w:t>移交工作逾期期间产生的前端设备电费、链路租赁费、机柜租赁费等费用，由</w:t>
      </w:r>
      <w:r>
        <w:rPr>
          <w:rFonts w:hint="eastAsia"/>
          <w:sz w:val="24"/>
          <w:highlight w:val="none"/>
        </w:rPr>
        <w:t>中标供应商</w:t>
      </w:r>
      <w:r>
        <w:rPr>
          <w:sz w:val="24"/>
          <w:highlight w:val="none"/>
        </w:rPr>
        <w:t>承担</w:t>
      </w:r>
      <w:r>
        <w:rPr>
          <w:rFonts w:hint="eastAsia"/>
          <w:sz w:val="24"/>
          <w:highlight w:val="none"/>
        </w:rPr>
        <w:t>。</w:t>
      </w:r>
    </w:p>
    <w:p w14:paraId="107ECF5C">
      <w:pPr>
        <w:adjustRightInd w:val="0"/>
        <w:snapToGrid w:val="0"/>
        <w:spacing w:line="288" w:lineRule="auto"/>
        <w:ind w:firstLine="448" w:firstLineChars="200"/>
        <w:rPr>
          <w:sz w:val="24"/>
          <w:highlight w:val="none"/>
        </w:rPr>
      </w:pPr>
      <w:r>
        <w:rPr>
          <w:rFonts w:hint="eastAsia"/>
          <w:sz w:val="24"/>
          <w:highlight w:val="none"/>
        </w:rPr>
        <w:t>如逾期超过40天后仍未完成移交工作，除扣罚合同总额5%以外，采购人有权委托第三方单位接管资产移交工作，产生费用由中标供应商直接支付给第三方单位且经采购人确认后，采购人方可继续支付最后一笔运维服务费。</w:t>
      </w:r>
    </w:p>
    <w:p w14:paraId="6BE5A448">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（四）特殊事件处置</w:t>
      </w:r>
    </w:p>
    <w:p w14:paraId="63DC5045">
      <w:pPr>
        <w:adjustRightInd w:val="0"/>
        <w:snapToGrid w:val="0"/>
        <w:spacing w:line="288" w:lineRule="auto"/>
        <w:ind w:firstLine="448" w:firstLineChars="200"/>
        <w:rPr>
          <w:sz w:val="24"/>
          <w:highlight w:val="none"/>
        </w:rPr>
      </w:pPr>
      <w:r>
        <w:rPr>
          <w:rFonts w:hint="eastAsia"/>
          <w:sz w:val="24"/>
          <w:highlight w:val="none"/>
        </w:rPr>
        <w:t>特殊事件是指合同订立时不能预见、不能避免并不能克服的客观情况。包括自然灾害，如极端恶劣天气、台风、地震、洪水、冰雹等；政府行为，如道路修建、拆迁、地铁施工等导致网络中断或监控点位需要迁移等；社会异常事件，如罢工、骚乱等；运维单位在以上特殊事件发生导致故障时，及时上报滨海分局。</w:t>
      </w:r>
    </w:p>
    <w:p w14:paraId="1600597C">
      <w:pPr>
        <w:adjustRightInd w:val="0"/>
        <w:snapToGrid w:val="0"/>
        <w:spacing w:line="288" w:lineRule="auto"/>
        <w:ind w:firstLine="448" w:firstLineChars="200"/>
        <w:rPr>
          <w:sz w:val="24"/>
          <w:highlight w:val="none"/>
        </w:rPr>
      </w:pPr>
      <w:r>
        <w:rPr>
          <w:rFonts w:hint="eastAsia"/>
          <w:sz w:val="24"/>
          <w:highlight w:val="none"/>
        </w:rPr>
        <w:t>在特殊事件发生期间，且由于特殊事件原因造成运维服务无法履行，则服务内容将在妨碍或影响持续存在期间予以暂停；当导致服务暂停的特殊事件原因消失后，按运维服务考核办法执行。</w:t>
      </w:r>
    </w:p>
    <w:p w14:paraId="2675AB89">
      <w:pPr>
        <w:adjustRightInd w:val="0"/>
        <w:snapToGrid w:val="0"/>
        <w:spacing w:line="288" w:lineRule="auto"/>
        <w:ind w:firstLine="448" w:firstLineChars="200"/>
        <w:rPr>
          <w:sz w:val="24"/>
          <w:highlight w:val="none"/>
        </w:rPr>
      </w:pPr>
      <w:r>
        <w:rPr>
          <w:rFonts w:hint="eastAsia"/>
          <w:sz w:val="24"/>
          <w:highlight w:val="none"/>
        </w:rPr>
        <w:t>以上所有因恶劣天气、特殊事件等因素导致监控设备设施故障的，或因设备拆改等长期停用的监控点位，经滨海分局主管部门确认批准后可以列入不参与考核的摄像机清单中。</w:t>
      </w:r>
    </w:p>
    <w:p w14:paraId="0B42772C">
      <w:pPr>
        <w:keepNext/>
        <w:keepLines/>
        <w:adjustRightInd w:val="0"/>
        <w:snapToGrid w:val="0"/>
        <w:spacing w:line="288" w:lineRule="auto"/>
        <w:ind w:firstLine="448" w:firstLineChars="200"/>
        <w:outlineLvl w:val="3"/>
        <w:rPr>
          <w:rFonts w:ascii="Cambria" w:hAnsi="Cambria"/>
          <w:b/>
          <w:bCs/>
          <w:sz w:val="24"/>
          <w:szCs w:val="28"/>
          <w:highlight w:val="none"/>
        </w:rPr>
      </w:pPr>
      <w:r>
        <w:rPr>
          <w:rFonts w:hint="eastAsia" w:ascii="Cambria" w:hAnsi="Cambria"/>
          <w:b/>
          <w:bCs/>
          <w:sz w:val="24"/>
          <w:szCs w:val="28"/>
          <w:highlight w:val="none"/>
        </w:rPr>
        <w:t>四</w:t>
      </w:r>
      <w:r>
        <w:rPr>
          <w:rFonts w:ascii="Cambria" w:hAnsi="Cambria"/>
          <w:b/>
          <w:bCs/>
          <w:sz w:val="24"/>
          <w:szCs w:val="28"/>
          <w:highlight w:val="none"/>
        </w:rPr>
        <w:t>、</w:t>
      </w:r>
      <w:r>
        <w:rPr>
          <w:rFonts w:hint="eastAsia" w:ascii="Cambria" w:hAnsi="Cambria"/>
          <w:b/>
          <w:bCs/>
          <w:sz w:val="24"/>
          <w:szCs w:val="28"/>
          <w:highlight w:val="none"/>
        </w:rPr>
        <w:t>运维工程量清单</w:t>
      </w:r>
    </w:p>
    <w:p w14:paraId="0FE282A4">
      <w:pPr>
        <w:keepNext/>
        <w:keepLines/>
        <w:adjustRightInd w:val="0"/>
        <w:snapToGrid w:val="0"/>
        <w:spacing w:line="288" w:lineRule="auto"/>
        <w:ind w:firstLine="448" w:firstLineChars="200"/>
        <w:outlineLvl w:val="4"/>
        <w:rPr>
          <w:b/>
          <w:bCs/>
          <w:sz w:val="24"/>
          <w:szCs w:val="28"/>
          <w:highlight w:val="none"/>
        </w:rPr>
      </w:pPr>
      <w:r>
        <w:rPr>
          <w:rFonts w:hint="eastAsia"/>
          <w:b/>
          <w:bCs/>
          <w:sz w:val="24"/>
          <w:szCs w:val="28"/>
          <w:highlight w:val="none"/>
        </w:rPr>
        <w:t>（一）软硬件设备运维服务清单</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78"/>
        <w:gridCol w:w="1672"/>
        <w:gridCol w:w="1839"/>
        <w:gridCol w:w="2602"/>
        <w:gridCol w:w="711"/>
        <w:gridCol w:w="700"/>
      </w:tblGrid>
      <w:tr w14:paraId="2AF6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7FBA9522">
            <w:pPr>
              <w:widowControl/>
              <w:jc w:val="center"/>
              <w:rPr>
                <w:b/>
                <w:bCs/>
                <w:color w:val="000000"/>
                <w:kern w:val="0"/>
                <w:sz w:val="22"/>
                <w:highlight w:val="none"/>
              </w:rPr>
            </w:pPr>
            <w:r>
              <w:rPr>
                <w:b/>
                <w:bCs/>
                <w:color w:val="000000"/>
                <w:kern w:val="0"/>
                <w:sz w:val="22"/>
                <w:highlight w:val="none"/>
              </w:rPr>
              <w:t>序号</w:t>
            </w:r>
          </w:p>
        </w:tc>
        <w:tc>
          <w:tcPr>
            <w:tcW w:w="3650" w:type="dxa"/>
            <w:gridSpan w:val="2"/>
            <w:shd w:val="clear" w:color="000000" w:fill="FFFFFF"/>
            <w:noWrap/>
            <w:vAlign w:val="center"/>
          </w:tcPr>
          <w:p w14:paraId="33F82519">
            <w:pPr>
              <w:widowControl/>
              <w:jc w:val="center"/>
              <w:rPr>
                <w:b/>
                <w:bCs/>
                <w:color w:val="000000"/>
                <w:kern w:val="0"/>
                <w:sz w:val="22"/>
                <w:highlight w:val="none"/>
              </w:rPr>
            </w:pPr>
            <w:r>
              <w:rPr>
                <w:b/>
                <w:bCs/>
                <w:color w:val="000000"/>
                <w:kern w:val="0"/>
                <w:sz w:val="22"/>
                <w:highlight w:val="none"/>
              </w:rPr>
              <w:t>货物名称</w:t>
            </w:r>
          </w:p>
        </w:tc>
        <w:tc>
          <w:tcPr>
            <w:tcW w:w="2378" w:type="dxa"/>
            <w:shd w:val="clear" w:color="000000" w:fill="FFFFFF"/>
            <w:vAlign w:val="center"/>
          </w:tcPr>
          <w:p w14:paraId="51B411B6">
            <w:pPr>
              <w:widowControl/>
              <w:jc w:val="center"/>
              <w:rPr>
                <w:b/>
                <w:bCs/>
                <w:color w:val="000000"/>
                <w:kern w:val="0"/>
                <w:sz w:val="22"/>
                <w:highlight w:val="none"/>
              </w:rPr>
            </w:pPr>
            <w:r>
              <w:rPr>
                <w:b/>
                <w:bCs/>
                <w:color w:val="000000"/>
                <w:kern w:val="0"/>
                <w:sz w:val="22"/>
                <w:highlight w:val="none"/>
              </w:rPr>
              <w:t>规格型号</w:t>
            </w:r>
          </w:p>
        </w:tc>
        <w:tc>
          <w:tcPr>
            <w:tcW w:w="736" w:type="dxa"/>
            <w:shd w:val="clear" w:color="000000" w:fill="FFFFFF"/>
            <w:noWrap/>
            <w:vAlign w:val="center"/>
          </w:tcPr>
          <w:p w14:paraId="041866F6">
            <w:pPr>
              <w:widowControl/>
              <w:jc w:val="center"/>
              <w:rPr>
                <w:b/>
                <w:bCs/>
                <w:color w:val="000000"/>
                <w:kern w:val="0"/>
                <w:sz w:val="22"/>
                <w:highlight w:val="none"/>
              </w:rPr>
            </w:pPr>
            <w:r>
              <w:rPr>
                <w:b/>
                <w:bCs/>
                <w:color w:val="000000"/>
                <w:kern w:val="0"/>
                <w:sz w:val="22"/>
                <w:highlight w:val="none"/>
              </w:rPr>
              <w:t>单位</w:t>
            </w:r>
          </w:p>
        </w:tc>
        <w:tc>
          <w:tcPr>
            <w:tcW w:w="725" w:type="dxa"/>
            <w:shd w:val="clear" w:color="000000" w:fill="FFFFFF"/>
            <w:noWrap/>
            <w:vAlign w:val="center"/>
          </w:tcPr>
          <w:p w14:paraId="373297CD">
            <w:pPr>
              <w:widowControl/>
              <w:jc w:val="center"/>
              <w:rPr>
                <w:b/>
                <w:bCs/>
                <w:color w:val="000000"/>
                <w:kern w:val="0"/>
                <w:sz w:val="22"/>
                <w:highlight w:val="none"/>
              </w:rPr>
            </w:pPr>
            <w:r>
              <w:rPr>
                <w:b/>
                <w:bCs/>
                <w:color w:val="000000"/>
                <w:kern w:val="0"/>
                <w:sz w:val="22"/>
                <w:highlight w:val="none"/>
              </w:rPr>
              <w:t>数量</w:t>
            </w:r>
          </w:p>
        </w:tc>
      </w:tr>
      <w:tr w14:paraId="256D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4925DABF">
            <w:pPr>
              <w:widowControl/>
              <w:jc w:val="center"/>
              <w:rPr>
                <w:b/>
                <w:bCs/>
                <w:color w:val="000000"/>
                <w:kern w:val="0"/>
                <w:sz w:val="22"/>
                <w:highlight w:val="none"/>
              </w:rPr>
            </w:pPr>
            <w:r>
              <w:rPr>
                <w:b/>
                <w:bCs/>
                <w:color w:val="000000"/>
                <w:kern w:val="0"/>
                <w:sz w:val="22"/>
                <w:highlight w:val="none"/>
              </w:rPr>
              <w:t>一</w:t>
            </w:r>
          </w:p>
        </w:tc>
        <w:tc>
          <w:tcPr>
            <w:tcW w:w="6028" w:type="dxa"/>
            <w:gridSpan w:val="3"/>
            <w:shd w:val="clear" w:color="000000" w:fill="FFFFFF"/>
            <w:noWrap/>
            <w:vAlign w:val="center"/>
          </w:tcPr>
          <w:p w14:paraId="4C45A2C2">
            <w:pPr>
              <w:widowControl/>
              <w:jc w:val="left"/>
              <w:rPr>
                <w:b/>
                <w:bCs/>
                <w:color w:val="000000"/>
                <w:kern w:val="0"/>
                <w:sz w:val="22"/>
                <w:highlight w:val="none"/>
              </w:rPr>
            </w:pPr>
            <w:r>
              <w:rPr>
                <w:b/>
                <w:bCs/>
                <w:color w:val="000000"/>
                <w:kern w:val="0"/>
                <w:sz w:val="22"/>
                <w:highlight w:val="none"/>
              </w:rPr>
              <w:t>前端设备维护</w:t>
            </w:r>
          </w:p>
        </w:tc>
        <w:tc>
          <w:tcPr>
            <w:tcW w:w="736" w:type="dxa"/>
            <w:shd w:val="clear" w:color="000000" w:fill="FFFFFF"/>
            <w:noWrap/>
            <w:vAlign w:val="center"/>
          </w:tcPr>
          <w:p w14:paraId="2681D05C">
            <w:pPr>
              <w:widowControl/>
              <w:jc w:val="left"/>
              <w:rPr>
                <w:b/>
                <w:bCs/>
                <w:color w:val="000000"/>
                <w:kern w:val="0"/>
                <w:sz w:val="22"/>
                <w:highlight w:val="none"/>
              </w:rPr>
            </w:pPr>
            <w:r>
              <w:rPr>
                <w:b/>
                <w:bCs/>
                <w:color w:val="000000"/>
                <w:kern w:val="0"/>
                <w:sz w:val="22"/>
                <w:highlight w:val="none"/>
              </w:rPr>
              <w:t>　</w:t>
            </w:r>
          </w:p>
        </w:tc>
        <w:tc>
          <w:tcPr>
            <w:tcW w:w="725" w:type="dxa"/>
            <w:shd w:val="clear" w:color="000000" w:fill="FFFFFF"/>
            <w:noWrap/>
            <w:vAlign w:val="center"/>
          </w:tcPr>
          <w:p w14:paraId="5D2311C4">
            <w:pPr>
              <w:widowControl/>
              <w:jc w:val="left"/>
              <w:rPr>
                <w:b/>
                <w:bCs/>
                <w:color w:val="000000"/>
                <w:kern w:val="0"/>
                <w:sz w:val="22"/>
                <w:highlight w:val="none"/>
              </w:rPr>
            </w:pPr>
            <w:r>
              <w:rPr>
                <w:b/>
                <w:bCs/>
                <w:color w:val="000000"/>
                <w:kern w:val="0"/>
                <w:sz w:val="22"/>
                <w:highlight w:val="none"/>
              </w:rPr>
              <w:t>　</w:t>
            </w:r>
          </w:p>
        </w:tc>
      </w:tr>
      <w:tr w14:paraId="68C35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745A5E5A">
            <w:pPr>
              <w:widowControl/>
              <w:jc w:val="center"/>
              <w:rPr>
                <w:b/>
                <w:bCs/>
                <w:color w:val="000000"/>
                <w:kern w:val="0"/>
                <w:sz w:val="22"/>
                <w:highlight w:val="none"/>
              </w:rPr>
            </w:pPr>
            <w:r>
              <w:rPr>
                <w:b/>
                <w:bCs/>
                <w:color w:val="000000"/>
                <w:kern w:val="0"/>
                <w:sz w:val="22"/>
                <w:highlight w:val="none"/>
              </w:rPr>
              <w:t>（一）</w:t>
            </w:r>
          </w:p>
        </w:tc>
        <w:tc>
          <w:tcPr>
            <w:tcW w:w="6028" w:type="dxa"/>
            <w:gridSpan w:val="3"/>
            <w:shd w:val="clear" w:color="000000" w:fill="FFFFFF"/>
            <w:noWrap/>
            <w:vAlign w:val="center"/>
          </w:tcPr>
          <w:p w14:paraId="49E28946">
            <w:pPr>
              <w:widowControl/>
              <w:jc w:val="left"/>
              <w:rPr>
                <w:b/>
                <w:bCs/>
                <w:color w:val="000000"/>
                <w:kern w:val="0"/>
                <w:sz w:val="22"/>
                <w:highlight w:val="none"/>
              </w:rPr>
            </w:pPr>
            <w:r>
              <w:rPr>
                <w:b/>
                <w:bCs/>
                <w:color w:val="000000"/>
                <w:kern w:val="0"/>
                <w:sz w:val="22"/>
                <w:highlight w:val="none"/>
              </w:rPr>
              <w:t>视频监控系统</w:t>
            </w:r>
          </w:p>
        </w:tc>
        <w:tc>
          <w:tcPr>
            <w:tcW w:w="736" w:type="dxa"/>
            <w:shd w:val="clear" w:color="000000" w:fill="FFFFFF"/>
            <w:noWrap/>
            <w:vAlign w:val="center"/>
          </w:tcPr>
          <w:p w14:paraId="12B90F89">
            <w:pPr>
              <w:widowControl/>
              <w:jc w:val="left"/>
              <w:rPr>
                <w:b/>
                <w:bCs/>
                <w:color w:val="000000"/>
                <w:kern w:val="0"/>
                <w:sz w:val="22"/>
                <w:highlight w:val="none"/>
              </w:rPr>
            </w:pPr>
            <w:r>
              <w:rPr>
                <w:b/>
                <w:bCs/>
                <w:color w:val="000000"/>
                <w:kern w:val="0"/>
                <w:sz w:val="22"/>
                <w:highlight w:val="none"/>
              </w:rPr>
              <w:t>　</w:t>
            </w:r>
          </w:p>
        </w:tc>
        <w:tc>
          <w:tcPr>
            <w:tcW w:w="725" w:type="dxa"/>
            <w:shd w:val="clear" w:color="000000" w:fill="FFFFFF"/>
            <w:noWrap/>
            <w:vAlign w:val="center"/>
          </w:tcPr>
          <w:p w14:paraId="6095AAB9">
            <w:pPr>
              <w:widowControl/>
              <w:jc w:val="left"/>
              <w:rPr>
                <w:b/>
                <w:bCs/>
                <w:color w:val="000000"/>
                <w:kern w:val="0"/>
                <w:sz w:val="22"/>
                <w:highlight w:val="none"/>
              </w:rPr>
            </w:pPr>
            <w:r>
              <w:rPr>
                <w:b/>
                <w:bCs/>
                <w:color w:val="000000"/>
                <w:kern w:val="0"/>
                <w:sz w:val="22"/>
                <w:highlight w:val="none"/>
              </w:rPr>
              <w:t>　</w:t>
            </w:r>
          </w:p>
        </w:tc>
      </w:tr>
      <w:tr w14:paraId="59EFF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2A126E7B">
            <w:pPr>
              <w:widowControl/>
              <w:jc w:val="center"/>
              <w:rPr>
                <w:b/>
                <w:bCs/>
                <w:color w:val="000000"/>
                <w:kern w:val="0"/>
                <w:sz w:val="22"/>
                <w:highlight w:val="none"/>
              </w:rPr>
            </w:pPr>
            <w:r>
              <w:rPr>
                <w:b/>
                <w:bCs/>
                <w:color w:val="000000"/>
                <w:kern w:val="0"/>
                <w:sz w:val="22"/>
                <w:highlight w:val="none"/>
              </w:rPr>
              <w:t>1</w:t>
            </w:r>
          </w:p>
        </w:tc>
        <w:tc>
          <w:tcPr>
            <w:tcW w:w="6028" w:type="dxa"/>
            <w:gridSpan w:val="3"/>
            <w:shd w:val="clear" w:color="000000" w:fill="FFFFFF"/>
            <w:noWrap/>
            <w:vAlign w:val="center"/>
          </w:tcPr>
          <w:p w14:paraId="2025214E">
            <w:pPr>
              <w:widowControl/>
              <w:jc w:val="left"/>
              <w:rPr>
                <w:b/>
                <w:bCs/>
                <w:color w:val="000000"/>
                <w:kern w:val="0"/>
                <w:sz w:val="22"/>
                <w:highlight w:val="none"/>
              </w:rPr>
            </w:pPr>
            <w:r>
              <w:rPr>
                <w:b/>
                <w:bCs/>
                <w:color w:val="000000"/>
                <w:kern w:val="0"/>
                <w:sz w:val="22"/>
                <w:highlight w:val="none"/>
              </w:rPr>
              <w:t>监控杆体</w:t>
            </w:r>
          </w:p>
        </w:tc>
        <w:tc>
          <w:tcPr>
            <w:tcW w:w="736" w:type="dxa"/>
            <w:shd w:val="clear" w:color="000000" w:fill="FFFFFF"/>
            <w:noWrap/>
            <w:vAlign w:val="center"/>
          </w:tcPr>
          <w:p w14:paraId="4B7B5ECA">
            <w:pPr>
              <w:widowControl/>
              <w:jc w:val="left"/>
              <w:rPr>
                <w:b/>
                <w:bCs/>
                <w:color w:val="000000"/>
                <w:kern w:val="0"/>
                <w:sz w:val="22"/>
                <w:highlight w:val="none"/>
              </w:rPr>
            </w:pPr>
            <w:r>
              <w:rPr>
                <w:b/>
                <w:bCs/>
                <w:color w:val="000000"/>
                <w:kern w:val="0"/>
                <w:sz w:val="22"/>
                <w:highlight w:val="none"/>
              </w:rPr>
              <w:t>　</w:t>
            </w:r>
          </w:p>
        </w:tc>
        <w:tc>
          <w:tcPr>
            <w:tcW w:w="725" w:type="dxa"/>
            <w:shd w:val="clear" w:color="000000" w:fill="FFFFFF"/>
            <w:noWrap/>
            <w:vAlign w:val="center"/>
          </w:tcPr>
          <w:p w14:paraId="56F040BA">
            <w:pPr>
              <w:widowControl/>
              <w:jc w:val="left"/>
              <w:rPr>
                <w:b/>
                <w:bCs/>
                <w:color w:val="000000"/>
                <w:kern w:val="0"/>
                <w:sz w:val="22"/>
                <w:highlight w:val="none"/>
              </w:rPr>
            </w:pPr>
            <w:r>
              <w:rPr>
                <w:b/>
                <w:bCs/>
                <w:color w:val="000000"/>
                <w:kern w:val="0"/>
                <w:sz w:val="22"/>
                <w:highlight w:val="none"/>
              </w:rPr>
              <w:t>　</w:t>
            </w:r>
          </w:p>
        </w:tc>
      </w:tr>
      <w:tr w14:paraId="46D5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659C2A30">
            <w:pPr>
              <w:widowControl/>
              <w:jc w:val="center"/>
              <w:rPr>
                <w:color w:val="000000"/>
                <w:kern w:val="0"/>
                <w:sz w:val="22"/>
                <w:highlight w:val="none"/>
              </w:rPr>
            </w:pPr>
            <w:r>
              <w:rPr>
                <w:color w:val="000000"/>
                <w:kern w:val="0"/>
                <w:sz w:val="22"/>
                <w:highlight w:val="none"/>
              </w:rPr>
              <w:t>1.1</w:t>
            </w:r>
          </w:p>
        </w:tc>
        <w:tc>
          <w:tcPr>
            <w:tcW w:w="3650" w:type="dxa"/>
            <w:gridSpan w:val="2"/>
            <w:shd w:val="clear" w:color="000000" w:fill="FFFFFF"/>
            <w:noWrap/>
            <w:vAlign w:val="center"/>
          </w:tcPr>
          <w:p w14:paraId="330B518C">
            <w:pPr>
              <w:widowControl/>
              <w:jc w:val="left"/>
              <w:rPr>
                <w:color w:val="000000"/>
                <w:kern w:val="0"/>
                <w:sz w:val="22"/>
                <w:highlight w:val="none"/>
              </w:rPr>
            </w:pPr>
            <w:r>
              <w:rPr>
                <w:color w:val="000000"/>
                <w:kern w:val="0"/>
                <w:sz w:val="22"/>
                <w:highlight w:val="none"/>
              </w:rPr>
              <w:t>视项监控杆体（路口6.6米，一杆三头类型)</w:t>
            </w:r>
          </w:p>
        </w:tc>
        <w:tc>
          <w:tcPr>
            <w:tcW w:w="2378" w:type="dxa"/>
            <w:shd w:val="clear" w:color="000000" w:fill="FFFFFF"/>
            <w:vAlign w:val="center"/>
          </w:tcPr>
          <w:p w14:paraId="54444718">
            <w:pPr>
              <w:widowControl/>
              <w:jc w:val="left"/>
              <w:rPr>
                <w:color w:val="000000"/>
                <w:kern w:val="0"/>
                <w:sz w:val="22"/>
                <w:highlight w:val="none"/>
              </w:rPr>
            </w:pPr>
            <w:r>
              <w:rPr>
                <w:color w:val="000000"/>
                <w:kern w:val="0"/>
                <w:sz w:val="22"/>
                <w:highlight w:val="none"/>
              </w:rPr>
              <w:t>定制</w:t>
            </w:r>
          </w:p>
        </w:tc>
        <w:tc>
          <w:tcPr>
            <w:tcW w:w="736" w:type="dxa"/>
            <w:shd w:val="clear" w:color="000000" w:fill="FFFFFF"/>
            <w:noWrap/>
            <w:vAlign w:val="center"/>
          </w:tcPr>
          <w:p w14:paraId="5A683863">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6B48118B">
            <w:pPr>
              <w:widowControl/>
              <w:jc w:val="center"/>
              <w:rPr>
                <w:color w:val="000000"/>
                <w:kern w:val="0"/>
                <w:sz w:val="22"/>
                <w:highlight w:val="none"/>
              </w:rPr>
            </w:pPr>
            <w:r>
              <w:rPr>
                <w:color w:val="000000"/>
                <w:kern w:val="0"/>
                <w:sz w:val="22"/>
                <w:highlight w:val="none"/>
              </w:rPr>
              <w:t>1</w:t>
            </w:r>
          </w:p>
        </w:tc>
      </w:tr>
      <w:tr w14:paraId="527D9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17998968">
            <w:pPr>
              <w:widowControl/>
              <w:jc w:val="center"/>
              <w:rPr>
                <w:color w:val="000000"/>
                <w:kern w:val="0"/>
                <w:sz w:val="22"/>
                <w:highlight w:val="none"/>
              </w:rPr>
            </w:pPr>
            <w:r>
              <w:rPr>
                <w:color w:val="000000"/>
                <w:kern w:val="0"/>
                <w:sz w:val="22"/>
                <w:highlight w:val="none"/>
              </w:rPr>
              <w:t>1.2</w:t>
            </w:r>
          </w:p>
        </w:tc>
        <w:tc>
          <w:tcPr>
            <w:tcW w:w="3650" w:type="dxa"/>
            <w:gridSpan w:val="2"/>
            <w:shd w:val="clear" w:color="000000" w:fill="FFFFFF"/>
            <w:noWrap/>
            <w:vAlign w:val="center"/>
          </w:tcPr>
          <w:p w14:paraId="78390CFB">
            <w:pPr>
              <w:widowControl/>
              <w:jc w:val="left"/>
              <w:rPr>
                <w:color w:val="000000"/>
                <w:kern w:val="0"/>
                <w:sz w:val="22"/>
                <w:highlight w:val="none"/>
              </w:rPr>
            </w:pPr>
            <w:r>
              <w:rPr>
                <w:color w:val="000000"/>
                <w:kern w:val="0"/>
                <w:sz w:val="22"/>
                <w:highlight w:val="none"/>
              </w:rPr>
              <w:t>视频监控杆体（路口一杆两头类型）6.3米90度双横臂</w:t>
            </w:r>
          </w:p>
        </w:tc>
        <w:tc>
          <w:tcPr>
            <w:tcW w:w="2378" w:type="dxa"/>
            <w:shd w:val="clear" w:color="000000" w:fill="FFFFFF"/>
            <w:vAlign w:val="center"/>
          </w:tcPr>
          <w:p w14:paraId="3FB3EDD9">
            <w:pPr>
              <w:widowControl/>
              <w:jc w:val="left"/>
              <w:rPr>
                <w:color w:val="000000"/>
                <w:kern w:val="0"/>
                <w:sz w:val="22"/>
                <w:highlight w:val="none"/>
              </w:rPr>
            </w:pPr>
            <w:r>
              <w:rPr>
                <w:color w:val="000000"/>
                <w:kern w:val="0"/>
                <w:sz w:val="22"/>
                <w:highlight w:val="none"/>
              </w:rPr>
              <w:t>定制</w:t>
            </w:r>
          </w:p>
        </w:tc>
        <w:tc>
          <w:tcPr>
            <w:tcW w:w="736" w:type="dxa"/>
            <w:shd w:val="clear" w:color="000000" w:fill="FFFFFF"/>
            <w:noWrap/>
            <w:vAlign w:val="center"/>
          </w:tcPr>
          <w:p w14:paraId="74B870A0">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62C59F50">
            <w:pPr>
              <w:widowControl/>
              <w:jc w:val="center"/>
              <w:rPr>
                <w:color w:val="000000"/>
                <w:kern w:val="0"/>
                <w:sz w:val="22"/>
                <w:highlight w:val="none"/>
              </w:rPr>
            </w:pPr>
            <w:r>
              <w:rPr>
                <w:color w:val="000000"/>
                <w:kern w:val="0"/>
                <w:sz w:val="22"/>
                <w:highlight w:val="none"/>
              </w:rPr>
              <w:t>6</w:t>
            </w:r>
          </w:p>
        </w:tc>
      </w:tr>
      <w:tr w14:paraId="77B6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38047EE6">
            <w:pPr>
              <w:widowControl/>
              <w:jc w:val="center"/>
              <w:rPr>
                <w:color w:val="000000"/>
                <w:kern w:val="0"/>
                <w:sz w:val="22"/>
                <w:highlight w:val="none"/>
              </w:rPr>
            </w:pPr>
            <w:r>
              <w:rPr>
                <w:color w:val="000000"/>
                <w:kern w:val="0"/>
                <w:sz w:val="22"/>
                <w:highlight w:val="none"/>
              </w:rPr>
              <w:t>1.3</w:t>
            </w:r>
          </w:p>
        </w:tc>
        <w:tc>
          <w:tcPr>
            <w:tcW w:w="3650" w:type="dxa"/>
            <w:gridSpan w:val="2"/>
            <w:shd w:val="clear" w:color="000000" w:fill="FFFFFF"/>
            <w:noWrap/>
            <w:vAlign w:val="center"/>
          </w:tcPr>
          <w:p w14:paraId="1F852170">
            <w:pPr>
              <w:widowControl/>
              <w:jc w:val="left"/>
              <w:rPr>
                <w:color w:val="000000"/>
                <w:kern w:val="0"/>
                <w:sz w:val="22"/>
                <w:highlight w:val="none"/>
              </w:rPr>
            </w:pPr>
            <w:r>
              <w:rPr>
                <w:color w:val="000000"/>
                <w:kern w:val="0"/>
                <w:sz w:val="22"/>
                <w:highlight w:val="none"/>
              </w:rPr>
              <w:t>视频监控杆体（路口一杆三头类型）4.5米90度双横臂</w:t>
            </w:r>
          </w:p>
        </w:tc>
        <w:tc>
          <w:tcPr>
            <w:tcW w:w="2378" w:type="dxa"/>
            <w:shd w:val="clear" w:color="000000" w:fill="FFFFFF"/>
            <w:vAlign w:val="center"/>
          </w:tcPr>
          <w:p w14:paraId="51607E08">
            <w:pPr>
              <w:widowControl/>
              <w:jc w:val="left"/>
              <w:rPr>
                <w:color w:val="000000"/>
                <w:kern w:val="0"/>
                <w:sz w:val="22"/>
                <w:highlight w:val="none"/>
              </w:rPr>
            </w:pPr>
            <w:r>
              <w:rPr>
                <w:color w:val="000000"/>
                <w:kern w:val="0"/>
                <w:sz w:val="22"/>
                <w:highlight w:val="none"/>
              </w:rPr>
              <w:t>定制</w:t>
            </w:r>
          </w:p>
        </w:tc>
        <w:tc>
          <w:tcPr>
            <w:tcW w:w="736" w:type="dxa"/>
            <w:shd w:val="clear" w:color="000000" w:fill="FFFFFF"/>
            <w:noWrap/>
            <w:vAlign w:val="center"/>
          </w:tcPr>
          <w:p w14:paraId="7DCFE985">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2C3E93BF">
            <w:pPr>
              <w:widowControl/>
              <w:jc w:val="center"/>
              <w:rPr>
                <w:color w:val="000000"/>
                <w:kern w:val="0"/>
                <w:sz w:val="22"/>
                <w:highlight w:val="none"/>
              </w:rPr>
            </w:pPr>
            <w:r>
              <w:rPr>
                <w:color w:val="000000"/>
                <w:kern w:val="0"/>
                <w:sz w:val="22"/>
                <w:highlight w:val="none"/>
              </w:rPr>
              <w:t>3</w:t>
            </w:r>
          </w:p>
        </w:tc>
      </w:tr>
      <w:tr w14:paraId="3EB2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39F38EB7">
            <w:pPr>
              <w:widowControl/>
              <w:jc w:val="center"/>
              <w:rPr>
                <w:color w:val="000000"/>
                <w:kern w:val="0"/>
                <w:sz w:val="22"/>
                <w:highlight w:val="none"/>
              </w:rPr>
            </w:pPr>
            <w:r>
              <w:rPr>
                <w:color w:val="000000"/>
                <w:kern w:val="0"/>
                <w:sz w:val="22"/>
                <w:highlight w:val="none"/>
              </w:rPr>
              <w:t>1.4</w:t>
            </w:r>
          </w:p>
        </w:tc>
        <w:tc>
          <w:tcPr>
            <w:tcW w:w="3650" w:type="dxa"/>
            <w:gridSpan w:val="2"/>
            <w:shd w:val="clear" w:color="000000" w:fill="FFFFFF"/>
            <w:noWrap/>
            <w:vAlign w:val="center"/>
          </w:tcPr>
          <w:p w14:paraId="4FB6C9BD">
            <w:pPr>
              <w:widowControl/>
              <w:jc w:val="left"/>
              <w:rPr>
                <w:color w:val="000000"/>
                <w:kern w:val="0"/>
                <w:sz w:val="22"/>
                <w:highlight w:val="none"/>
              </w:rPr>
            </w:pPr>
            <w:r>
              <w:rPr>
                <w:color w:val="000000"/>
                <w:kern w:val="0"/>
                <w:sz w:val="22"/>
                <w:highlight w:val="none"/>
              </w:rPr>
              <w:t>视频监控杆体（路口一杆两头类型）4.5米90度双横臂</w:t>
            </w:r>
          </w:p>
        </w:tc>
        <w:tc>
          <w:tcPr>
            <w:tcW w:w="2378" w:type="dxa"/>
            <w:shd w:val="clear" w:color="000000" w:fill="FFFFFF"/>
            <w:vAlign w:val="center"/>
          </w:tcPr>
          <w:p w14:paraId="32662789">
            <w:pPr>
              <w:widowControl/>
              <w:jc w:val="left"/>
              <w:rPr>
                <w:color w:val="000000"/>
                <w:kern w:val="0"/>
                <w:sz w:val="22"/>
                <w:highlight w:val="none"/>
              </w:rPr>
            </w:pPr>
            <w:r>
              <w:rPr>
                <w:color w:val="000000"/>
                <w:kern w:val="0"/>
                <w:sz w:val="22"/>
                <w:highlight w:val="none"/>
              </w:rPr>
              <w:t>定制</w:t>
            </w:r>
          </w:p>
        </w:tc>
        <w:tc>
          <w:tcPr>
            <w:tcW w:w="736" w:type="dxa"/>
            <w:shd w:val="clear" w:color="000000" w:fill="FFFFFF"/>
            <w:noWrap/>
            <w:vAlign w:val="center"/>
          </w:tcPr>
          <w:p w14:paraId="14077E60">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7E87E6EA">
            <w:pPr>
              <w:widowControl/>
              <w:jc w:val="center"/>
              <w:rPr>
                <w:color w:val="000000"/>
                <w:kern w:val="0"/>
                <w:sz w:val="22"/>
                <w:highlight w:val="none"/>
              </w:rPr>
            </w:pPr>
            <w:r>
              <w:rPr>
                <w:color w:val="000000"/>
                <w:kern w:val="0"/>
                <w:sz w:val="22"/>
                <w:highlight w:val="none"/>
              </w:rPr>
              <w:t>6</w:t>
            </w:r>
          </w:p>
        </w:tc>
      </w:tr>
      <w:tr w14:paraId="5F1D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621D5432">
            <w:pPr>
              <w:widowControl/>
              <w:jc w:val="center"/>
              <w:rPr>
                <w:color w:val="000000"/>
                <w:kern w:val="0"/>
                <w:sz w:val="22"/>
                <w:highlight w:val="none"/>
              </w:rPr>
            </w:pPr>
            <w:r>
              <w:rPr>
                <w:color w:val="000000"/>
                <w:kern w:val="0"/>
                <w:sz w:val="22"/>
                <w:highlight w:val="none"/>
              </w:rPr>
              <w:t>1.5</w:t>
            </w:r>
          </w:p>
        </w:tc>
        <w:tc>
          <w:tcPr>
            <w:tcW w:w="3650" w:type="dxa"/>
            <w:gridSpan w:val="2"/>
            <w:shd w:val="clear" w:color="000000" w:fill="FFFFFF"/>
            <w:noWrap/>
            <w:vAlign w:val="center"/>
          </w:tcPr>
          <w:p w14:paraId="1A33E5D2">
            <w:pPr>
              <w:widowControl/>
              <w:jc w:val="left"/>
              <w:rPr>
                <w:color w:val="000000"/>
                <w:kern w:val="0"/>
                <w:sz w:val="22"/>
                <w:highlight w:val="none"/>
              </w:rPr>
            </w:pPr>
            <w:r>
              <w:rPr>
                <w:color w:val="000000"/>
                <w:kern w:val="0"/>
                <w:sz w:val="22"/>
                <w:highlight w:val="none"/>
              </w:rPr>
              <w:t>5米视频监控杆体（路段类型）90度</w:t>
            </w:r>
          </w:p>
        </w:tc>
        <w:tc>
          <w:tcPr>
            <w:tcW w:w="2378" w:type="dxa"/>
            <w:shd w:val="clear" w:color="000000" w:fill="FFFFFF"/>
            <w:vAlign w:val="center"/>
          </w:tcPr>
          <w:p w14:paraId="54047318">
            <w:pPr>
              <w:widowControl/>
              <w:jc w:val="left"/>
              <w:rPr>
                <w:color w:val="000000"/>
                <w:kern w:val="0"/>
                <w:sz w:val="22"/>
                <w:highlight w:val="none"/>
              </w:rPr>
            </w:pPr>
            <w:r>
              <w:rPr>
                <w:color w:val="000000"/>
                <w:kern w:val="0"/>
                <w:sz w:val="22"/>
                <w:highlight w:val="none"/>
              </w:rPr>
              <w:t>定制</w:t>
            </w:r>
          </w:p>
        </w:tc>
        <w:tc>
          <w:tcPr>
            <w:tcW w:w="736" w:type="dxa"/>
            <w:shd w:val="clear" w:color="000000" w:fill="FFFFFF"/>
            <w:noWrap/>
            <w:vAlign w:val="center"/>
          </w:tcPr>
          <w:p w14:paraId="49C03656">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6DF15A2E">
            <w:pPr>
              <w:widowControl/>
              <w:jc w:val="center"/>
              <w:rPr>
                <w:color w:val="000000"/>
                <w:kern w:val="0"/>
                <w:sz w:val="22"/>
                <w:highlight w:val="none"/>
              </w:rPr>
            </w:pPr>
            <w:r>
              <w:rPr>
                <w:color w:val="000000"/>
                <w:kern w:val="0"/>
                <w:sz w:val="22"/>
                <w:highlight w:val="none"/>
              </w:rPr>
              <w:t>33</w:t>
            </w:r>
          </w:p>
        </w:tc>
      </w:tr>
      <w:tr w14:paraId="3BB1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0AF19AD4">
            <w:pPr>
              <w:widowControl/>
              <w:jc w:val="center"/>
              <w:rPr>
                <w:color w:val="000000"/>
                <w:kern w:val="0"/>
                <w:sz w:val="22"/>
                <w:highlight w:val="none"/>
              </w:rPr>
            </w:pPr>
            <w:r>
              <w:rPr>
                <w:color w:val="000000"/>
                <w:kern w:val="0"/>
                <w:sz w:val="22"/>
                <w:highlight w:val="none"/>
              </w:rPr>
              <w:t>1.6</w:t>
            </w:r>
          </w:p>
        </w:tc>
        <w:tc>
          <w:tcPr>
            <w:tcW w:w="3650" w:type="dxa"/>
            <w:gridSpan w:val="2"/>
            <w:shd w:val="clear" w:color="000000" w:fill="FFFFFF"/>
            <w:noWrap/>
            <w:vAlign w:val="center"/>
          </w:tcPr>
          <w:p w14:paraId="71CD6851">
            <w:pPr>
              <w:widowControl/>
              <w:jc w:val="left"/>
              <w:rPr>
                <w:color w:val="000000"/>
                <w:kern w:val="0"/>
                <w:sz w:val="22"/>
                <w:highlight w:val="none"/>
              </w:rPr>
            </w:pPr>
            <w:r>
              <w:rPr>
                <w:color w:val="000000"/>
                <w:kern w:val="0"/>
                <w:sz w:val="22"/>
                <w:highlight w:val="none"/>
              </w:rPr>
              <w:t>5米视顿监控杆体（路段类型）单臂</w:t>
            </w:r>
          </w:p>
        </w:tc>
        <w:tc>
          <w:tcPr>
            <w:tcW w:w="2378" w:type="dxa"/>
            <w:shd w:val="clear" w:color="000000" w:fill="FFFFFF"/>
            <w:vAlign w:val="center"/>
          </w:tcPr>
          <w:p w14:paraId="7027D931">
            <w:pPr>
              <w:widowControl/>
              <w:jc w:val="left"/>
              <w:rPr>
                <w:color w:val="000000"/>
                <w:kern w:val="0"/>
                <w:sz w:val="22"/>
                <w:highlight w:val="none"/>
              </w:rPr>
            </w:pPr>
            <w:r>
              <w:rPr>
                <w:color w:val="000000"/>
                <w:kern w:val="0"/>
                <w:sz w:val="22"/>
                <w:highlight w:val="none"/>
              </w:rPr>
              <w:t>定制</w:t>
            </w:r>
          </w:p>
        </w:tc>
        <w:tc>
          <w:tcPr>
            <w:tcW w:w="736" w:type="dxa"/>
            <w:shd w:val="clear" w:color="000000" w:fill="FFFFFF"/>
            <w:noWrap/>
            <w:vAlign w:val="center"/>
          </w:tcPr>
          <w:p w14:paraId="43C4310D">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589A8A20">
            <w:pPr>
              <w:widowControl/>
              <w:jc w:val="center"/>
              <w:rPr>
                <w:color w:val="000000"/>
                <w:kern w:val="0"/>
                <w:sz w:val="22"/>
                <w:highlight w:val="none"/>
              </w:rPr>
            </w:pPr>
            <w:r>
              <w:rPr>
                <w:color w:val="000000"/>
                <w:kern w:val="0"/>
                <w:sz w:val="22"/>
                <w:highlight w:val="none"/>
              </w:rPr>
              <w:t>3</w:t>
            </w:r>
          </w:p>
        </w:tc>
      </w:tr>
      <w:tr w14:paraId="45651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305D3976">
            <w:pPr>
              <w:widowControl/>
              <w:jc w:val="center"/>
              <w:rPr>
                <w:color w:val="000000"/>
                <w:kern w:val="0"/>
                <w:sz w:val="22"/>
                <w:highlight w:val="none"/>
              </w:rPr>
            </w:pPr>
            <w:r>
              <w:rPr>
                <w:color w:val="000000"/>
                <w:kern w:val="0"/>
                <w:sz w:val="22"/>
                <w:highlight w:val="none"/>
              </w:rPr>
              <w:t>1.7</w:t>
            </w:r>
          </w:p>
        </w:tc>
        <w:tc>
          <w:tcPr>
            <w:tcW w:w="3650" w:type="dxa"/>
            <w:gridSpan w:val="2"/>
            <w:shd w:val="clear" w:color="000000" w:fill="FFFFFF"/>
            <w:noWrap/>
            <w:vAlign w:val="center"/>
          </w:tcPr>
          <w:p w14:paraId="037231A6">
            <w:pPr>
              <w:widowControl/>
              <w:jc w:val="left"/>
              <w:rPr>
                <w:color w:val="000000"/>
                <w:kern w:val="0"/>
                <w:sz w:val="22"/>
                <w:highlight w:val="none"/>
              </w:rPr>
            </w:pPr>
            <w:r>
              <w:rPr>
                <w:color w:val="000000"/>
                <w:kern w:val="0"/>
                <w:sz w:val="22"/>
                <w:highlight w:val="none"/>
              </w:rPr>
              <w:t>3.5米视顿监控杆体(路段类型）90度</w:t>
            </w:r>
          </w:p>
        </w:tc>
        <w:tc>
          <w:tcPr>
            <w:tcW w:w="2378" w:type="dxa"/>
            <w:shd w:val="clear" w:color="000000" w:fill="FFFFFF"/>
            <w:vAlign w:val="center"/>
          </w:tcPr>
          <w:p w14:paraId="4EE74F3F">
            <w:pPr>
              <w:widowControl/>
              <w:jc w:val="left"/>
              <w:rPr>
                <w:color w:val="000000"/>
                <w:kern w:val="0"/>
                <w:sz w:val="22"/>
                <w:highlight w:val="none"/>
              </w:rPr>
            </w:pPr>
            <w:r>
              <w:rPr>
                <w:color w:val="000000"/>
                <w:kern w:val="0"/>
                <w:sz w:val="22"/>
                <w:highlight w:val="none"/>
              </w:rPr>
              <w:t>定制</w:t>
            </w:r>
          </w:p>
        </w:tc>
        <w:tc>
          <w:tcPr>
            <w:tcW w:w="736" w:type="dxa"/>
            <w:shd w:val="clear" w:color="000000" w:fill="FFFFFF"/>
            <w:noWrap/>
            <w:vAlign w:val="center"/>
          </w:tcPr>
          <w:p w14:paraId="1AD80898">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6CCE677D">
            <w:pPr>
              <w:widowControl/>
              <w:jc w:val="center"/>
              <w:rPr>
                <w:color w:val="000000"/>
                <w:kern w:val="0"/>
                <w:sz w:val="22"/>
                <w:highlight w:val="none"/>
              </w:rPr>
            </w:pPr>
            <w:r>
              <w:rPr>
                <w:color w:val="000000"/>
                <w:kern w:val="0"/>
                <w:sz w:val="22"/>
                <w:highlight w:val="none"/>
              </w:rPr>
              <w:t>12</w:t>
            </w:r>
          </w:p>
        </w:tc>
      </w:tr>
      <w:tr w14:paraId="270AF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5125EDC9">
            <w:pPr>
              <w:widowControl/>
              <w:jc w:val="center"/>
              <w:rPr>
                <w:color w:val="000000"/>
                <w:kern w:val="0"/>
                <w:sz w:val="22"/>
                <w:highlight w:val="none"/>
              </w:rPr>
            </w:pPr>
            <w:r>
              <w:rPr>
                <w:color w:val="000000"/>
                <w:kern w:val="0"/>
                <w:sz w:val="22"/>
                <w:highlight w:val="none"/>
              </w:rPr>
              <w:t>1.8</w:t>
            </w:r>
          </w:p>
        </w:tc>
        <w:tc>
          <w:tcPr>
            <w:tcW w:w="3650" w:type="dxa"/>
            <w:gridSpan w:val="2"/>
            <w:shd w:val="clear" w:color="000000" w:fill="FFFFFF"/>
            <w:noWrap/>
            <w:vAlign w:val="center"/>
          </w:tcPr>
          <w:p w14:paraId="372005CC">
            <w:pPr>
              <w:widowControl/>
              <w:jc w:val="left"/>
              <w:rPr>
                <w:color w:val="000000"/>
                <w:kern w:val="0"/>
                <w:sz w:val="22"/>
                <w:highlight w:val="none"/>
              </w:rPr>
            </w:pPr>
            <w:r>
              <w:rPr>
                <w:color w:val="000000"/>
                <w:kern w:val="0"/>
                <w:sz w:val="22"/>
                <w:highlight w:val="none"/>
              </w:rPr>
              <w:t>3.5米视顿监控杆体(路段类型）单臂</w:t>
            </w:r>
          </w:p>
        </w:tc>
        <w:tc>
          <w:tcPr>
            <w:tcW w:w="2378" w:type="dxa"/>
            <w:shd w:val="clear" w:color="000000" w:fill="FFFFFF"/>
            <w:vAlign w:val="center"/>
          </w:tcPr>
          <w:p w14:paraId="628B2B6A">
            <w:pPr>
              <w:widowControl/>
              <w:jc w:val="left"/>
              <w:rPr>
                <w:color w:val="000000"/>
                <w:kern w:val="0"/>
                <w:sz w:val="22"/>
                <w:highlight w:val="none"/>
              </w:rPr>
            </w:pPr>
            <w:r>
              <w:rPr>
                <w:color w:val="000000"/>
                <w:kern w:val="0"/>
                <w:sz w:val="22"/>
                <w:highlight w:val="none"/>
              </w:rPr>
              <w:t>定制</w:t>
            </w:r>
          </w:p>
        </w:tc>
        <w:tc>
          <w:tcPr>
            <w:tcW w:w="736" w:type="dxa"/>
            <w:shd w:val="clear" w:color="000000" w:fill="FFFFFF"/>
            <w:noWrap/>
            <w:vAlign w:val="center"/>
          </w:tcPr>
          <w:p w14:paraId="100D6637">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6D170440">
            <w:pPr>
              <w:widowControl/>
              <w:jc w:val="center"/>
              <w:rPr>
                <w:color w:val="000000"/>
                <w:kern w:val="0"/>
                <w:sz w:val="22"/>
                <w:highlight w:val="none"/>
              </w:rPr>
            </w:pPr>
            <w:r>
              <w:rPr>
                <w:color w:val="000000"/>
                <w:kern w:val="0"/>
                <w:sz w:val="22"/>
                <w:highlight w:val="none"/>
              </w:rPr>
              <w:t>1</w:t>
            </w:r>
          </w:p>
        </w:tc>
      </w:tr>
      <w:tr w14:paraId="35EFB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6A61F9E3">
            <w:pPr>
              <w:widowControl/>
              <w:jc w:val="center"/>
              <w:rPr>
                <w:b/>
                <w:bCs/>
                <w:color w:val="000000"/>
                <w:kern w:val="0"/>
                <w:sz w:val="22"/>
                <w:highlight w:val="none"/>
              </w:rPr>
            </w:pPr>
            <w:r>
              <w:rPr>
                <w:b/>
                <w:bCs/>
                <w:color w:val="000000"/>
                <w:kern w:val="0"/>
                <w:sz w:val="22"/>
                <w:highlight w:val="none"/>
              </w:rPr>
              <w:t>2</w:t>
            </w:r>
          </w:p>
        </w:tc>
        <w:tc>
          <w:tcPr>
            <w:tcW w:w="6028" w:type="dxa"/>
            <w:gridSpan w:val="3"/>
            <w:shd w:val="clear" w:color="000000" w:fill="FFFFFF"/>
            <w:noWrap/>
            <w:vAlign w:val="center"/>
          </w:tcPr>
          <w:p w14:paraId="4BBC6D9A">
            <w:pPr>
              <w:widowControl/>
              <w:jc w:val="left"/>
              <w:rPr>
                <w:b/>
                <w:bCs/>
                <w:color w:val="000000"/>
                <w:kern w:val="0"/>
                <w:sz w:val="22"/>
                <w:highlight w:val="none"/>
              </w:rPr>
            </w:pPr>
            <w:r>
              <w:rPr>
                <w:b/>
                <w:bCs/>
                <w:color w:val="000000"/>
                <w:kern w:val="0"/>
                <w:sz w:val="22"/>
                <w:highlight w:val="none"/>
              </w:rPr>
              <w:t>摄像机</w:t>
            </w:r>
          </w:p>
        </w:tc>
        <w:tc>
          <w:tcPr>
            <w:tcW w:w="1461" w:type="dxa"/>
            <w:gridSpan w:val="2"/>
            <w:shd w:val="clear" w:color="000000" w:fill="FFFFFF"/>
            <w:noWrap/>
            <w:vAlign w:val="center"/>
          </w:tcPr>
          <w:p w14:paraId="16C59B9E">
            <w:pPr>
              <w:widowControl/>
              <w:jc w:val="left"/>
              <w:rPr>
                <w:b/>
                <w:bCs/>
                <w:color w:val="000000"/>
                <w:kern w:val="0"/>
                <w:sz w:val="22"/>
                <w:highlight w:val="none"/>
              </w:rPr>
            </w:pPr>
            <w:r>
              <w:rPr>
                <w:b/>
                <w:bCs/>
                <w:color w:val="000000"/>
                <w:kern w:val="0"/>
                <w:sz w:val="22"/>
                <w:highlight w:val="none"/>
              </w:rPr>
              <w:t>　</w:t>
            </w:r>
          </w:p>
        </w:tc>
      </w:tr>
      <w:tr w14:paraId="4542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48DBC34B">
            <w:pPr>
              <w:widowControl/>
              <w:jc w:val="center"/>
              <w:rPr>
                <w:color w:val="000000"/>
                <w:kern w:val="0"/>
                <w:sz w:val="22"/>
                <w:highlight w:val="none"/>
              </w:rPr>
            </w:pPr>
            <w:r>
              <w:rPr>
                <w:color w:val="000000"/>
                <w:kern w:val="0"/>
                <w:sz w:val="22"/>
                <w:highlight w:val="none"/>
              </w:rPr>
              <w:t>2.1</w:t>
            </w:r>
          </w:p>
        </w:tc>
        <w:tc>
          <w:tcPr>
            <w:tcW w:w="3650" w:type="dxa"/>
            <w:gridSpan w:val="2"/>
            <w:shd w:val="clear" w:color="000000" w:fill="FFFFFF"/>
            <w:noWrap/>
            <w:vAlign w:val="center"/>
          </w:tcPr>
          <w:p w14:paraId="31DFFDE5">
            <w:pPr>
              <w:widowControl/>
              <w:jc w:val="left"/>
              <w:rPr>
                <w:color w:val="000000"/>
                <w:kern w:val="0"/>
                <w:sz w:val="22"/>
                <w:highlight w:val="none"/>
              </w:rPr>
            </w:pPr>
            <w:r>
              <w:rPr>
                <w:color w:val="000000"/>
                <w:kern w:val="0"/>
                <w:sz w:val="22"/>
                <w:highlight w:val="none"/>
              </w:rPr>
              <w:t>高清网络摄像机（用于枪式防护罩）</w:t>
            </w:r>
          </w:p>
        </w:tc>
        <w:tc>
          <w:tcPr>
            <w:tcW w:w="2378" w:type="dxa"/>
            <w:shd w:val="clear" w:color="000000" w:fill="FFFFFF"/>
            <w:vAlign w:val="center"/>
          </w:tcPr>
          <w:p w14:paraId="791C1860">
            <w:pPr>
              <w:widowControl/>
              <w:jc w:val="left"/>
              <w:rPr>
                <w:color w:val="000000"/>
                <w:kern w:val="0"/>
                <w:sz w:val="22"/>
                <w:highlight w:val="none"/>
              </w:rPr>
            </w:pPr>
            <w:r>
              <w:rPr>
                <w:color w:val="000000"/>
                <w:kern w:val="0"/>
                <w:sz w:val="22"/>
                <w:highlight w:val="none"/>
              </w:rPr>
              <w:t>TC-NC9010ITV-3-2MP-S</w:t>
            </w:r>
          </w:p>
        </w:tc>
        <w:tc>
          <w:tcPr>
            <w:tcW w:w="736" w:type="dxa"/>
            <w:shd w:val="clear" w:color="000000" w:fill="FFFFFF"/>
            <w:noWrap/>
            <w:vAlign w:val="center"/>
          </w:tcPr>
          <w:p w14:paraId="45E00114">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3D962CD0">
            <w:pPr>
              <w:widowControl/>
              <w:jc w:val="center"/>
              <w:rPr>
                <w:color w:val="000000"/>
                <w:kern w:val="0"/>
                <w:sz w:val="22"/>
                <w:highlight w:val="none"/>
              </w:rPr>
            </w:pPr>
            <w:r>
              <w:rPr>
                <w:color w:val="000000"/>
                <w:kern w:val="0"/>
                <w:sz w:val="22"/>
                <w:highlight w:val="none"/>
              </w:rPr>
              <w:t>61</w:t>
            </w:r>
          </w:p>
        </w:tc>
      </w:tr>
      <w:tr w14:paraId="46E2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11C0ACA2">
            <w:pPr>
              <w:widowControl/>
              <w:jc w:val="center"/>
              <w:rPr>
                <w:color w:val="000000"/>
                <w:kern w:val="0"/>
                <w:sz w:val="22"/>
                <w:highlight w:val="none"/>
              </w:rPr>
            </w:pPr>
            <w:r>
              <w:rPr>
                <w:color w:val="000000"/>
                <w:kern w:val="0"/>
                <w:sz w:val="22"/>
                <w:highlight w:val="none"/>
              </w:rPr>
              <w:t>2.2</w:t>
            </w:r>
          </w:p>
        </w:tc>
        <w:tc>
          <w:tcPr>
            <w:tcW w:w="3650" w:type="dxa"/>
            <w:gridSpan w:val="2"/>
            <w:shd w:val="clear" w:color="000000" w:fill="FFFFFF"/>
            <w:noWrap/>
            <w:vAlign w:val="center"/>
          </w:tcPr>
          <w:p w14:paraId="27AB88FC">
            <w:pPr>
              <w:widowControl/>
              <w:jc w:val="left"/>
              <w:rPr>
                <w:color w:val="000000"/>
                <w:kern w:val="0"/>
                <w:sz w:val="22"/>
                <w:highlight w:val="none"/>
              </w:rPr>
            </w:pPr>
            <w:r>
              <w:rPr>
                <w:color w:val="000000"/>
                <w:kern w:val="0"/>
                <w:sz w:val="22"/>
                <w:highlight w:val="none"/>
              </w:rPr>
              <w:t>高清网络摄像机（用于球形防护罩）</w:t>
            </w:r>
          </w:p>
        </w:tc>
        <w:tc>
          <w:tcPr>
            <w:tcW w:w="2378" w:type="dxa"/>
            <w:shd w:val="clear" w:color="000000" w:fill="FFFFFF"/>
            <w:vAlign w:val="center"/>
          </w:tcPr>
          <w:p w14:paraId="7AB305FB">
            <w:pPr>
              <w:widowControl/>
              <w:jc w:val="left"/>
              <w:rPr>
                <w:color w:val="000000"/>
                <w:kern w:val="0"/>
                <w:sz w:val="22"/>
                <w:highlight w:val="none"/>
              </w:rPr>
            </w:pPr>
            <w:r>
              <w:rPr>
                <w:color w:val="000000"/>
                <w:kern w:val="0"/>
                <w:sz w:val="22"/>
                <w:highlight w:val="none"/>
              </w:rPr>
              <w:t>TC-NC9001S3E-2MP-ES-JFW</w:t>
            </w:r>
          </w:p>
        </w:tc>
        <w:tc>
          <w:tcPr>
            <w:tcW w:w="736" w:type="dxa"/>
            <w:shd w:val="clear" w:color="000000" w:fill="FFFFFF"/>
            <w:noWrap/>
            <w:vAlign w:val="center"/>
          </w:tcPr>
          <w:p w14:paraId="40F9779A">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3D6E2DE1">
            <w:pPr>
              <w:widowControl/>
              <w:jc w:val="center"/>
              <w:rPr>
                <w:color w:val="000000"/>
                <w:kern w:val="0"/>
                <w:sz w:val="22"/>
                <w:highlight w:val="none"/>
              </w:rPr>
            </w:pPr>
            <w:r>
              <w:rPr>
                <w:color w:val="000000"/>
                <w:kern w:val="0"/>
                <w:sz w:val="22"/>
                <w:highlight w:val="none"/>
              </w:rPr>
              <w:t>68</w:t>
            </w:r>
          </w:p>
        </w:tc>
      </w:tr>
      <w:tr w14:paraId="6BAB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0B1A1842">
            <w:pPr>
              <w:widowControl/>
              <w:jc w:val="center"/>
              <w:rPr>
                <w:color w:val="000000"/>
                <w:kern w:val="0"/>
                <w:sz w:val="22"/>
                <w:highlight w:val="none"/>
              </w:rPr>
            </w:pPr>
            <w:r>
              <w:rPr>
                <w:color w:val="000000"/>
                <w:kern w:val="0"/>
                <w:sz w:val="22"/>
                <w:highlight w:val="none"/>
              </w:rPr>
              <w:t>2.3</w:t>
            </w:r>
          </w:p>
        </w:tc>
        <w:tc>
          <w:tcPr>
            <w:tcW w:w="3650" w:type="dxa"/>
            <w:gridSpan w:val="2"/>
            <w:shd w:val="clear" w:color="000000" w:fill="FFFFFF"/>
            <w:noWrap/>
            <w:vAlign w:val="center"/>
          </w:tcPr>
          <w:p w14:paraId="03215D51">
            <w:pPr>
              <w:widowControl/>
              <w:jc w:val="left"/>
              <w:rPr>
                <w:color w:val="000000"/>
                <w:kern w:val="0"/>
                <w:sz w:val="22"/>
                <w:highlight w:val="none"/>
              </w:rPr>
            </w:pPr>
            <w:r>
              <w:rPr>
                <w:color w:val="000000"/>
                <w:kern w:val="0"/>
                <w:sz w:val="22"/>
                <w:highlight w:val="none"/>
              </w:rPr>
              <w:t>高点监控系统（高清全景摄像机）</w:t>
            </w:r>
          </w:p>
        </w:tc>
        <w:tc>
          <w:tcPr>
            <w:tcW w:w="2378" w:type="dxa"/>
            <w:shd w:val="clear" w:color="000000" w:fill="FFFFFF"/>
            <w:vAlign w:val="center"/>
          </w:tcPr>
          <w:p w14:paraId="3205AEE3">
            <w:pPr>
              <w:widowControl/>
              <w:jc w:val="left"/>
              <w:rPr>
                <w:color w:val="000000"/>
                <w:kern w:val="0"/>
                <w:sz w:val="22"/>
                <w:highlight w:val="none"/>
              </w:rPr>
            </w:pPr>
            <w:r>
              <w:rPr>
                <w:color w:val="000000"/>
                <w:kern w:val="0"/>
                <w:sz w:val="22"/>
                <w:highlight w:val="none"/>
              </w:rPr>
              <w:t>TC-NC9001S3E-2MP-ES-Z</w:t>
            </w:r>
          </w:p>
        </w:tc>
        <w:tc>
          <w:tcPr>
            <w:tcW w:w="736" w:type="dxa"/>
            <w:shd w:val="clear" w:color="000000" w:fill="FFFFFF"/>
            <w:noWrap/>
            <w:vAlign w:val="center"/>
          </w:tcPr>
          <w:p w14:paraId="1F1318BB">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3AA87562">
            <w:pPr>
              <w:widowControl/>
              <w:jc w:val="center"/>
              <w:rPr>
                <w:color w:val="000000"/>
                <w:kern w:val="0"/>
                <w:sz w:val="22"/>
                <w:highlight w:val="none"/>
              </w:rPr>
            </w:pPr>
            <w:r>
              <w:rPr>
                <w:color w:val="000000"/>
                <w:kern w:val="0"/>
                <w:sz w:val="22"/>
                <w:highlight w:val="none"/>
              </w:rPr>
              <w:t>1</w:t>
            </w:r>
          </w:p>
        </w:tc>
      </w:tr>
      <w:tr w14:paraId="41C1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3EBB0985">
            <w:pPr>
              <w:widowControl/>
              <w:jc w:val="center"/>
              <w:rPr>
                <w:color w:val="000000"/>
                <w:kern w:val="0"/>
                <w:sz w:val="22"/>
                <w:highlight w:val="none"/>
              </w:rPr>
            </w:pPr>
            <w:r>
              <w:rPr>
                <w:color w:val="000000"/>
                <w:kern w:val="0"/>
                <w:sz w:val="22"/>
                <w:highlight w:val="none"/>
              </w:rPr>
              <w:t>2.4</w:t>
            </w:r>
          </w:p>
        </w:tc>
        <w:tc>
          <w:tcPr>
            <w:tcW w:w="3650" w:type="dxa"/>
            <w:gridSpan w:val="2"/>
            <w:shd w:val="clear" w:color="000000" w:fill="FFFFFF"/>
            <w:noWrap/>
            <w:vAlign w:val="center"/>
          </w:tcPr>
          <w:p w14:paraId="2869158D">
            <w:pPr>
              <w:widowControl/>
              <w:jc w:val="left"/>
              <w:rPr>
                <w:color w:val="000000"/>
                <w:kern w:val="0"/>
                <w:sz w:val="22"/>
                <w:highlight w:val="none"/>
              </w:rPr>
            </w:pPr>
            <w:r>
              <w:rPr>
                <w:color w:val="000000"/>
                <w:kern w:val="0"/>
                <w:sz w:val="22"/>
                <w:highlight w:val="none"/>
              </w:rPr>
              <w:t>高点监控系统（球机）</w:t>
            </w:r>
          </w:p>
        </w:tc>
        <w:tc>
          <w:tcPr>
            <w:tcW w:w="2378" w:type="dxa"/>
            <w:shd w:val="clear" w:color="000000" w:fill="FFFFFF"/>
            <w:vAlign w:val="center"/>
          </w:tcPr>
          <w:p w14:paraId="626C7AB8">
            <w:pPr>
              <w:widowControl/>
              <w:jc w:val="left"/>
              <w:rPr>
                <w:color w:val="000000"/>
                <w:kern w:val="0"/>
                <w:sz w:val="22"/>
                <w:highlight w:val="none"/>
              </w:rPr>
            </w:pPr>
            <w:r>
              <w:rPr>
                <w:color w:val="000000"/>
                <w:kern w:val="0"/>
                <w:sz w:val="22"/>
                <w:highlight w:val="none"/>
              </w:rPr>
              <w:t>TC-NH6BZMIA/T/C-TDWFV</w:t>
            </w:r>
          </w:p>
        </w:tc>
        <w:tc>
          <w:tcPr>
            <w:tcW w:w="736" w:type="dxa"/>
            <w:shd w:val="clear" w:color="000000" w:fill="FFFFFF"/>
            <w:noWrap/>
            <w:vAlign w:val="center"/>
          </w:tcPr>
          <w:p w14:paraId="76ACBD08">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5BDCD417">
            <w:pPr>
              <w:widowControl/>
              <w:jc w:val="center"/>
              <w:rPr>
                <w:color w:val="000000"/>
                <w:kern w:val="0"/>
                <w:sz w:val="22"/>
                <w:highlight w:val="none"/>
              </w:rPr>
            </w:pPr>
            <w:r>
              <w:rPr>
                <w:color w:val="000000"/>
                <w:kern w:val="0"/>
                <w:sz w:val="22"/>
                <w:highlight w:val="none"/>
              </w:rPr>
              <w:t>1</w:t>
            </w:r>
          </w:p>
        </w:tc>
      </w:tr>
      <w:tr w14:paraId="0EC2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3233C88F">
            <w:pPr>
              <w:widowControl/>
              <w:jc w:val="center"/>
              <w:rPr>
                <w:b/>
                <w:bCs/>
                <w:color w:val="000000"/>
                <w:kern w:val="0"/>
                <w:sz w:val="22"/>
                <w:highlight w:val="none"/>
              </w:rPr>
            </w:pPr>
            <w:r>
              <w:rPr>
                <w:b/>
                <w:bCs/>
                <w:color w:val="000000"/>
                <w:kern w:val="0"/>
                <w:sz w:val="22"/>
                <w:highlight w:val="none"/>
              </w:rPr>
              <w:t>3</w:t>
            </w:r>
          </w:p>
        </w:tc>
        <w:tc>
          <w:tcPr>
            <w:tcW w:w="6028" w:type="dxa"/>
            <w:gridSpan w:val="3"/>
            <w:shd w:val="clear" w:color="000000" w:fill="FFFFFF"/>
            <w:noWrap/>
            <w:vAlign w:val="center"/>
          </w:tcPr>
          <w:p w14:paraId="07A1E274">
            <w:pPr>
              <w:widowControl/>
              <w:jc w:val="left"/>
              <w:rPr>
                <w:b/>
                <w:bCs/>
                <w:color w:val="000000"/>
                <w:kern w:val="0"/>
                <w:sz w:val="22"/>
                <w:highlight w:val="none"/>
              </w:rPr>
            </w:pPr>
            <w:r>
              <w:rPr>
                <w:b/>
                <w:bCs/>
                <w:color w:val="000000"/>
                <w:kern w:val="0"/>
                <w:sz w:val="22"/>
                <w:highlight w:val="none"/>
              </w:rPr>
              <w:t>摄像机镜头</w:t>
            </w:r>
          </w:p>
        </w:tc>
        <w:tc>
          <w:tcPr>
            <w:tcW w:w="1461" w:type="dxa"/>
            <w:gridSpan w:val="2"/>
            <w:shd w:val="clear" w:color="000000" w:fill="FFFFFF"/>
            <w:noWrap/>
            <w:vAlign w:val="center"/>
          </w:tcPr>
          <w:p w14:paraId="68794113">
            <w:pPr>
              <w:widowControl/>
              <w:jc w:val="left"/>
              <w:rPr>
                <w:b/>
                <w:bCs/>
                <w:color w:val="000000"/>
                <w:kern w:val="0"/>
                <w:sz w:val="22"/>
                <w:highlight w:val="none"/>
              </w:rPr>
            </w:pPr>
            <w:r>
              <w:rPr>
                <w:b/>
                <w:bCs/>
                <w:color w:val="000000"/>
                <w:kern w:val="0"/>
                <w:sz w:val="22"/>
                <w:highlight w:val="none"/>
              </w:rPr>
              <w:t>　</w:t>
            </w:r>
          </w:p>
        </w:tc>
      </w:tr>
      <w:tr w14:paraId="3FD7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501AF674">
            <w:pPr>
              <w:widowControl/>
              <w:jc w:val="center"/>
              <w:rPr>
                <w:color w:val="000000"/>
                <w:kern w:val="0"/>
                <w:sz w:val="22"/>
                <w:highlight w:val="none"/>
              </w:rPr>
            </w:pPr>
            <w:r>
              <w:rPr>
                <w:color w:val="000000"/>
                <w:kern w:val="0"/>
                <w:sz w:val="22"/>
                <w:highlight w:val="none"/>
              </w:rPr>
              <w:t>3.1</w:t>
            </w:r>
          </w:p>
        </w:tc>
        <w:tc>
          <w:tcPr>
            <w:tcW w:w="3650" w:type="dxa"/>
            <w:gridSpan w:val="2"/>
            <w:shd w:val="clear" w:color="000000" w:fill="FFFFFF"/>
            <w:noWrap/>
            <w:vAlign w:val="center"/>
          </w:tcPr>
          <w:p w14:paraId="356D98EE">
            <w:pPr>
              <w:widowControl/>
              <w:jc w:val="left"/>
              <w:rPr>
                <w:color w:val="000000"/>
                <w:kern w:val="0"/>
                <w:sz w:val="22"/>
                <w:highlight w:val="none"/>
              </w:rPr>
            </w:pPr>
            <w:r>
              <w:rPr>
                <w:color w:val="000000"/>
                <w:kern w:val="0"/>
                <w:sz w:val="22"/>
                <w:highlight w:val="none"/>
              </w:rPr>
              <w:t>高清手动变焦镜头（用于微卡口摄像机）</w:t>
            </w:r>
          </w:p>
        </w:tc>
        <w:tc>
          <w:tcPr>
            <w:tcW w:w="2378" w:type="dxa"/>
            <w:shd w:val="clear" w:color="000000" w:fill="FFFFFF"/>
            <w:vAlign w:val="center"/>
          </w:tcPr>
          <w:p w14:paraId="4890C5AA">
            <w:pPr>
              <w:widowControl/>
              <w:jc w:val="left"/>
              <w:rPr>
                <w:color w:val="000000"/>
                <w:kern w:val="0"/>
                <w:sz w:val="22"/>
                <w:highlight w:val="none"/>
              </w:rPr>
            </w:pPr>
            <w:r>
              <w:rPr>
                <w:color w:val="000000"/>
                <w:kern w:val="0"/>
                <w:sz w:val="22"/>
                <w:highlight w:val="none"/>
              </w:rPr>
              <w:t>JV1216MPHD</w:t>
            </w:r>
          </w:p>
        </w:tc>
        <w:tc>
          <w:tcPr>
            <w:tcW w:w="736" w:type="dxa"/>
            <w:shd w:val="clear" w:color="000000" w:fill="FFFFFF"/>
            <w:noWrap/>
            <w:vAlign w:val="center"/>
          </w:tcPr>
          <w:p w14:paraId="74FBF77A">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0151F2AB">
            <w:pPr>
              <w:widowControl/>
              <w:jc w:val="center"/>
              <w:rPr>
                <w:color w:val="000000"/>
                <w:kern w:val="0"/>
                <w:sz w:val="22"/>
                <w:highlight w:val="none"/>
              </w:rPr>
            </w:pPr>
            <w:r>
              <w:rPr>
                <w:color w:val="000000"/>
                <w:kern w:val="0"/>
                <w:sz w:val="22"/>
                <w:highlight w:val="none"/>
              </w:rPr>
              <w:t>55</w:t>
            </w:r>
          </w:p>
        </w:tc>
      </w:tr>
      <w:tr w14:paraId="7144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3EEFED6E">
            <w:pPr>
              <w:widowControl/>
              <w:jc w:val="center"/>
              <w:rPr>
                <w:color w:val="000000"/>
                <w:kern w:val="0"/>
                <w:sz w:val="22"/>
                <w:highlight w:val="none"/>
              </w:rPr>
            </w:pPr>
            <w:r>
              <w:rPr>
                <w:color w:val="000000"/>
                <w:kern w:val="0"/>
                <w:sz w:val="22"/>
                <w:highlight w:val="none"/>
              </w:rPr>
              <w:t>3.2</w:t>
            </w:r>
          </w:p>
        </w:tc>
        <w:tc>
          <w:tcPr>
            <w:tcW w:w="3650" w:type="dxa"/>
            <w:gridSpan w:val="2"/>
            <w:shd w:val="clear" w:color="000000" w:fill="FFFFFF"/>
            <w:noWrap/>
            <w:vAlign w:val="center"/>
          </w:tcPr>
          <w:p w14:paraId="15745ED8">
            <w:pPr>
              <w:widowControl/>
              <w:jc w:val="left"/>
              <w:rPr>
                <w:color w:val="000000"/>
                <w:kern w:val="0"/>
                <w:sz w:val="22"/>
                <w:highlight w:val="none"/>
              </w:rPr>
            </w:pPr>
            <w:r>
              <w:rPr>
                <w:color w:val="000000"/>
                <w:kern w:val="0"/>
                <w:sz w:val="22"/>
                <w:highlight w:val="none"/>
              </w:rPr>
              <w:t>高清手动变焦镜头（用于路段非微卡口摄像机)</w:t>
            </w:r>
          </w:p>
        </w:tc>
        <w:tc>
          <w:tcPr>
            <w:tcW w:w="2378" w:type="dxa"/>
            <w:shd w:val="clear" w:color="000000" w:fill="FFFFFF"/>
            <w:vAlign w:val="center"/>
          </w:tcPr>
          <w:p w14:paraId="2C673BB1">
            <w:pPr>
              <w:widowControl/>
              <w:jc w:val="left"/>
              <w:rPr>
                <w:color w:val="000000"/>
                <w:kern w:val="0"/>
                <w:sz w:val="22"/>
                <w:highlight w:val="none"/>
              </w:rPr>
            </w:pPr>
            <w:r>
              <w:rPr>
                <w:color w:val="000000"/>
                <w:kern w:val="0"/>
                <w:sz w:val="22"/>
                <w:highlight w:val="none"/>
              </w:rPr>
              <w:t>HV3816MPHD</w:t>
            </w:r>
          </w:p>
        </w:tc>
        <w:tc>
          <w:tcPr>
            <w:tcW w:w="736" w:type="dxa"/>
            <w:shd w:val="clear" w:color="000000" w:fill="FFFFFF"/>
            <w:noWrap/>
            <w:vAlign w:val="center"/>
          </w:tcPr>
          <w:p w14:paraId="0F69CA1F">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687BD26A">
            <w:pPr>
              <w:widowControl/>
              <w:jc w:val="center"/>
              <w:rPr>
                <w:color w:val="000000"/>
                <w:kern w:val="0"/>
                <w:sz w:val="22"/>
                <w:highlight w:val="none"/>
              </w:rPr>
            </w:pPr>
            <w:r>
              <w:rPr>
                <w:color w:val="000000"/>
                <w:kern w:val="0"/>
                <w:sz w:val="22"/>
                <w:highlight w:val="none"/>
              </w:rPr>
              <w:t>65</w:t>
            </w:r>
          </w:p>
        </w:tc>
      </w:tr>
      <w:tr w14:paraId="6C31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5AC569B7">
            <w:pPr>
              <w:widowControl/>
              <w:jc w:val="center"/>
              <w:rPr>
                <w:color w:val="000000"/>
                <w:kern w:val="0"/>
                <w:sz w:val="22"/>
                <w:highlight w:val="none"/>
              </w:rPr>
            </w:pPr>
            <w:r>
              <w:rPr>
                <w:color w:val="000000"/>
                <w:kern w:val="0"/>
                <w:sz w:val="22"/>
                <w:highlight w:val="none"/>
              </w:rPr>
              <w:t>3.3</w:t>
            </w:r>
          </w:p>
        </w:tc>
        <w:tc>
          <w:tcPr>
            <w:tcW w:w="3650" w:type="dxa"/>
            <w:gridSpan w:val="2"/>
            <w:shd w:val="clear" w:color="000000" w:fill="FFFFFF"/>
            <w:noWrap/>
            <w:vAlign w:val="center"/>
          </w:tcPr>
          <w:p w14:paraId="62758970">
            <w:pPr>
              <w:widowControl/>
              <w:jc w:val="left"/>
              <w:rPr>
                <w:color w:val="000000"/>
                <w:kern w:val="0"/>
                <w:sz w:val="22"/>
                <w:highlight w:val="none"/>
              </w:rPr>
            </w:pPr>
            <w:r>
              <w:rPr>
                <w:color w:val="000000"/>
                <w:kern w:val="0"/>
                <w:sz w:val="22"/>
                <w:highlight w:val="none"/>
              </w:rPr>
              <w:t>高清电动变焦镜头</w:t>
            </w:r>
          </w:p>
        </w:tc>
        <w:tc>
          <w:tcPr>
            <w:tcW w:w="2378" w:type="dxa"/>
            <w:shd w:val="clear" w:color="000000" w:fill="FFFFFF"/>
            <w:vAlign w:val="center"/>
          </w:tcPr>
          <w:p w14:paraId="52268679">
            <w:pPr>
              <w:widowControl/>
              <w:jc w:val="left"/>
              <w:rPr>
                <w:color w:val="000000"/>
                <w:kern w:val="0"/>
                <w:sz w:val="22"/>
                <w:highlight w:val="none"/>
              </w:rPr>
            </w:pPr>
            <w:r>
              <w:rPr>
                <w:color w:val="000000"/>
                <w:kern w:val="0"/>
                <w:sz w:val="22"/>
                <w:highlight w:val="none"/>
              </w:rPr>
              <w:t>PH16×8RG PZF</w:t>
            </w:r>
          </w:p>
        </w:tc>
        <w:tc>
          <w:tcPr>
            <w:tcW w:w="736" w:type="dxa"/>
            <w:shd w:val="clear" w:color="000000" w:fill="FFFFFF"/>
            <w:noWrap/>
            <w:vAlign w:val="center"/>
          </w:tcPr>
          <w:p w14:paraId="2B01A24E">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78BC55B6">
            <w:pPr>
              <w:widowControl/>
              <w:jc w:val="center"/>
              <w:rPr>
                <w:color w:val="000000"/>
                <w:kern w:val="0"/>
                <w:sz w:val="22"/>
                <w:highlight w:val="none"/>
              </w:rPr>
            </w:pPr>
            <w:r>
              <w:rPr>
                <w:color w:val="000000"/>
                <w:kern w:val="0"/>
                <w:sz w:val="22"/>
                <w:highlight w:val="none"/>
              </w:rPr>
              <w:t>9</w:t>
            </w:r>
          </w:p>
        </w:tc>
      </w:tr>
      <w:tr w14:paraId="5D66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33319862">
            <w:pPr>
              <w:widowControl/>
              <w:jc w:val="center"/>
              <w:rPr>
                <w:b/>
                <w:bCs/>
                <w:color w:val="000000"/>
                <w:kern w:val="0"/>
                <w:sz w:val="22"/>
                <w:highlight w:val="none"/>
              </w:rPr>
            </w:pPr>
            <w:r>
              <w:rPr>
                <w:b/>
                <w:bCs/>
                <w:color w:val="000000"/>
                <w:kern w:val="0"/>
                <w:sz w:val="22"/>
                <w:highlight w:val="none"/>
              </w:rPr>
              <w:t>4</w:t>
            </w:r>
          </w:p>
        </w:tc>
        <w:tc>
          <w:tcPr>
            <w:tcW w:w="6028" w:type="dxa"/>
            <w:gridSpan w:val="3"/>
            <w:shd w:val="clear" w:color="000000" w:fill="FFFFFF"/>
            <w:noWrap/>
            <w:vAlign w:val="center"/>
          </w:tcPr>
          <w:p w14:paraId="10AFC14B">
            <w:pPr>
              <w:widowControl/>
              <w:jc w:val="left"/>
              <w:rPr>
                <w:b/>
                <w:bCs/>
                <w:color w:val="000000"/>
                <w:kern w:val="0"/>
                <w:sz w:val="22"/>
                <w:highlight w:val="none"/>
              </w:rPr>
            </w:pPr>
            <w:r>
              <w:rPr>
                <w:b/>
                <w:bCs/>
                <w:color w:val="000000"/>
                <w:kern w:val="0"/>
                <w:sz w:val="22"/>
                <w:highlight w:val="none"/>
              </w:rPr>
              <w:t>摄像机防护罩</w:t>
            </w:r>
          </w:p>
        </w:tc>
        <w:tc>
          <w:tcPr>
            <w:tcW w:w="1461" w:type="dxa"/>
            <w:gridSpan w:val="2"/>
            <w:shd w:val="clear" w:color="000000" w:fill="FFFFFF"/>
            <w:noWrap/>
            <w:vAlign w:val="center"/>
          </w:tcPr>
          <w:p w14:paraId="41971DFB">
            <w:pPr>
              <w:widowControl/>
              <w:jc w:val="left"/>
              <w:rPr>
                <w:b/>
                <w:bCs/>
                <w:color w:val="000000"/>
                <w:kern w:val="0"/>
                <w:sz w:val="22"/>
                <w:highlight w:val="none"/>
              </w:rPr>
            </w:pPr>
            <w:r>
              <w:rPr>
                <w:b/>
                <w:bCs/>
                <w:color w:val="000000"/>
                <w:kern w:val="0"/>
                <w:sz w:val="22"/>
                <w:highlight w:val="none"/>
              </w:rPr>
              <w:t>　</w:t>
            </w:r>
          </w:p>
        </w:tc>
      </w:tr>
      <w:tr w14:paraId="765C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2E46AA67">
            <w:pPr>
              <w:widowControl/>
              <w:jc w:val="center"/>
              <w:rPr>
                <w:color w:val="000000"/>
                <w:kern w:val="0"/>
                <w:sz w:val="22"/>
                <w:highlight w:val="none"/>
              </w:rPr>
            </w:pPr>
            <w:r>
              <w:rPr>
                <w:color w:val="000000"/>
                <w:kern w:val="0"/>
                <w:sz w:val="22"/>
                <w:highlight w:val="none"/>
              </w:rPr>
              <w:t>4.1</w:t>
            </w:r>
          </w:p>
        </w:tc>
        <w:tc>
          <w:tcPr>
            <w:tcW w:w="3650" w:type="dxa"/>
            <w:gridSpan w:val="2"/>
            <w:shd w:val="clear" w:color="000000" w:fill="FFFFFF"/>
            <w:noWrap/>
            <w:vAlign w:val="center"/>
          </w:tcPr>
          <w:p w14:paraId="68040436">
            <w:pPr>
              <w:widowControl/>
              <w:jc w:val="left"/>
              <w:rPr>
                <w:color w:val="000000"/>
                <w:kern w:val="0"/>
                <w:sz w:val="22"/>
                <w:highlight w:val="none"/>
              </w:rPr>
            </w:pPr>
            <w:r>
              <w:rPr>
                <w:color w:val="000000"/>
                <w:kern w:val="0"/>
                <w:sz w:val="22"/>
                <w:highlight w:val="none"/>
              </w:rPr>
              <w:t>枪式防护罩(用于微卡口摄像机和丁字路口动点摄像机)</w:t>
            </w:r>
          </w:p>
        </w:tc>
        <w:tc>
          <w:tcPr>
            <w:tcW w:w="2378" w:type="dxa"/>
            <w:shd w:val="clear" w:color="000000" w:fill="FFFFFF"/>
            <w:vAlign w:val="center"/>
          </w:tcPr>
          <w:p w14:paraId="7D2280CD">
            <w:pPr>
              <w:widowControl/>
              <w:jc w:val="left"/>
              <w:rPr>
                <w:color w:val="000000"/>
                <w:kern w:val="0"/>
                <w:sz w:val="22"/>
                <w:highlight w:val="none"/>
              </w:rPr>
            </w:pPr>
            <w:r>
              <w:rPr>
                <w:color w:val="000000"/>
                <w:kern w:val="0"/>
                <w:sz w:val="22"/>
                <w:highlight w:val="none"/>
              </w:rPr>
              <w:t>TC-4718SHK</w:t>
            </w:r>
          </w:p>
        </w:tc>
        <w:tc>
          <w:tcPr>
            <w:tcW w:w="736" w:type="dxa"/>
            <w:shd w:val="clear" w:color="000000" w:fill="FFFFFF"/>
            <w:noWrap/>
            <w:vAlign w:val="center"/>
          </w:tcPr>
          <w:p w14:paraId="2FB43BF9">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306D90E8">
            <w:pPr>
              <w:widowControl/>
              <w:jc w:val="center"/>
              <w:rPr>
                <w:color w:val="000000"/>
                <w:kern w:val="0"/>
                <w:sz w:val="22"/>
                <w:highlight w:val="none"/>
              </w:rPr>
            </w:pPr>
            <w:r>
              <w:rPr>
                <w:color w:val="000000"/>
                <w:kern w:val="0"/>
                <w:sz w:val="22"/>
                <w:highlight w:val="none"/>
              </w:rPr>
              <w:t>61</w:t>
            </w:r>
          </w:p>
        </w:tc>
      </w:tr>
      <w:tr w14:paraId="2701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62F4B1CA">
            <w:pPr>
              <w:widowControl/>
              <w:jc w:val="center"/>
              <w:rPr>
                <w:color w:val="000000"/>
                <w:kern w:val="0"/>
                <w:sz w:val="22"/>
                <w:highlight w:val="none"/>
              </w:rPr>
            </w:pPr>
            <w:r>
              <w:rPr>
                <w:color w:val="000000"/>
                <w:kern w:val="0"/>
                <w:sz w:val="22"/>
                <w:highlight w:val="none"/>
              </w:rPr>
              <w:t>4.2</w:t>
            </w:r>
          </w:p>
        </w:tc>
        <w:tc>
          <w:tcPr>
            <w:tcW w:w="3650" w:type="dxa"/>
            <w:gridSpan w:val="2"/>
            <w:shd w:val="clear" w:color="000000" w:fill="FFFFFF"/>
            <w:noWrap/>
            <w:vAlign w:val="center"/>
          </w:tcPr>
          <w:p w14:paraId="60558373">
            <w:pPr>
              <w:widowControl/>
              <w:jc w:val="left"/>
              <w:rPr>
                <w:color w:val="000000"/>
                <w:kern w:val="0"/>
                <w:sz w:val="22"/>
                <w:highlight w:val="none"/>
              </w:rPr>
            </w:pPr>
            <w:r>
              <w:rPr>
                <w:color w:val="000000"/>
                <w:kern w:val="0"/>
                <w:sz w:val="22"/>
                <w:highlight w:val="none"/>
              </w:rPr>
              <w:t>7寸球形防护罩(用于路段非微卡口摄像机)</w:t>
            </w:r>
          </w:p>
        </w:tc>
        <w:tc>
          <w:tcPr>
            <w:tcW w:w="2378" w:type="dxa"/>
            <w:shd w:val="clear" w:color="000000" w:fill="FFFFFF"/>
            <w:vAlign w:val="center"/>
          </w:tcPr>
          <w:p w14:paraId="4BA0B04A">
            <w:pPr>
              <w:widowControl/>
              <w:jc w:val="left"/>
              <w:rPr>
                <w:color w:val="000000"/>
                <w:kern w:val="0"/>
                <w:sz w:val="22"/>
                <w:highlight w:val="none"/>
              </w:rPr>
            </w:pPr>
            <w:r>
              <w:rPr>
                <w:color w:val="000000"/>
                <w:kern w:val="0"/>
                <w:sz w:val="22"/>
                <w:highlight w:val="none"/>
              </w:rPr>
              <w:t>WH-1007</w:t>
            </w:r>
          </w:p>
        </w:tc>
        <w:tc>
          <w:tcPr>
            <w:tcW w:w="736" w:type="dxa"/>
            <w:shd w:val="clear" w:color="000000" w:fill="FFFFFF"/>
            <w:noWrap/>
            <w:vAlign w:val="center"/>
          </w:tcPr>
          <w:p w14:paraId="6E97D4BB">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51C8FF92">
            <w:pPr>
              <w:widowControl/>
              <w:jc w:val="center"/>
              <w:rPr>
                <w:color w:val="000000"/>
                <w:kern w:val="0"/>
                <w:sz w:val="22"/>
                <w:highlight w:val="none"/>
              </w:rPr>
            </w:pPr>
            <w:r>
              <w:rPr>
                <w:color w:val="000000"/>
                <w:kern w:val="0"/>
                <w:sz w:val="22"/>
                <w:highlight w:val="none"/>
              </w:rPr>
              <w:t>65</w:t>
            </w:r>
          </w:p>
        </w:tc>
      </w:tr>
      <w:tr w14:paraId="67E2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7B83C682">
            <w:pPr>
              <w:widowControl/>
              <w:jc w:val="center"/>
              <w:rPr>
                <w:color w:val="000000"/>
                <w:kern w:val="0"/>
                <w:sz w:val="22"/>
                <w:highlight w:val="none"/>
              </w:rPr>
            </w:pPr>
            <w:r>
              <w:rPr>
                <w:color w:val="000000"/>
                <w:kern w:val="0"/>
                <w:sz w:val="22"/>
                <w:highlight w:val="none"/>
              </w:rPr>
              <w:t>4.3</w:t>
            </w:r>
          </w:p>
        </w:tc>
        <w:tc>
          <w:tcPr>
            <w:tcW w:w="3650" w:type="dxa"/>
            <w:gridSpan w:val="2"/>
            <w:shd w:val="clear" w:color="000000" w:fill="FFFFFF"/>
            <w:noWrap/>
            <w:vAlign w:val="center"/>
          </w:tcPr>
          <w:p w14:paraId="09636D7B">
            <w:pPr>
              <w:widowControl/>
              <w:jc w:val="left"/>
              <w:rPr>
                <w:color w:val="000000"/>
                <w:kern w:val="0"/>
                <w:sz w:val="22"/>
                <w:highlight w:val="none"/>
              </w:rPr>
            </w:pPr>
            <w:r>
              <w:rPr>
                <w:color w:val="000000"/>
                <w:kern w:val="0"/>
                <w:sz w:val="22"/>
                <w:highlight w:val="none"/>
              </w:rPr>
              <w:t>定制球形防护罩(用于路口杆体顶端)</w:t>
            </w:r>
          </w:p>
        </w:tc>
        <w:tc>
          <w:tcPr>
            <w:tcW w:w="2378" w:type="dxa"/>
            <w:shd w:val="clear" w:color="000000" w:fill="FFFFFF"/>
            <w:vAlign w:val="center"/>
          </w:tcPr>
          <w:p w14:paraId="466BABB9">
            <w:pPr>
              <w:widowControl/>
              <w:jc w:val="left"/>
              <w:rPr>
                <w:color w:val="000000"/>
                <w:kern w:val="0"/>
                <w:sz w:val="22"/>
                <w:highlight w:val="none"/>
              </w:rPr>
            </w:pPr>
            <w:r>
              <w:rPr>
                <w:color w:val="000000"/>
                <w:kern w:val="0"/>
                <w:sz w:val="22"/>
                <w:highlight w:val="none"/>
              </w:rPr>
              <w:t>TC-4000-JFW</w:t>
            </w:r>
          </w:p>
        </w:tc>
        <w:tc>
          <w:tcPr>
            <w:tcW w:w="736" w:type="dxa"/>
            <w:shd w:val="clear" w:color="000000" w:fill="FFFFFF"/>
            <w:noWrap/>
            <w:vAlign w:val="center"/>
          </w:tcPr>
          <w:p w14:paraId="2BA7C036">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5D858F96">
            <w:pPr>
              <w:widowControl/>
              <w:jc w:val="center"/>
              <w:rPr>
                <w:color w:val="000000"/>
                <w:kern w:val="0"/>
                <w:sz w:val="22"/>
                <w:highlight w:val="none"/>
              </w:rPr>
            </w:pPr>
            <w:r>
              <w:rPr>
                <w:color w:val="000000"/>
                <w:kern w:val="0"/>
                <w:sz w:val="22"/>
                <w:highlight w:val="none"/>
              </w:rPr>
              <w:t>3</w:t>
            </w:r>
          </w:p>
        </w:tc>
      </w:tr>
      <w:tr w14:paraId="1E6B0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72C84C28">
            <w:pPr>
              <w:widowControl/>
              <w:jc w:val="center"/>
              <w:rPr>
                <w:b/>
                <w:bCs/>
                <w:color w:val="000000"/>
                <w:kern w:val="0"/>
                <w:sz w:val="22"/>
                <w:highlight w:val="none"/>
              </w:rPr>
            </w:pPr>
            <w:r>
              <w:rPr>
                <w:b/>
                <w:bCs/>
                <w:color w:val="000000"/>
                <w:kern w:val="0"/>
                <w:sz w:val="22"/>
                <w:highlight w:val="none"/>
              </w:rPr>
              <w:t>5</w:t>
            </w:r>
          </w:p>
        </w:tc>
        <w:tc>
          <w:tcPr>
            <w:tcW w:w="6028" w:type="dxa"/>
            <w:gridSpan w:val="3"/>
            <w:shd w:val="clear" w:color="000000" w:fill="FFFFFF"/>
            <w:noWrap/>
            <w:vAlign w:val="center"/>
          </w:tcPr>
          <w:p w14:paraId="091E7F3D">
            <w:pPr>
              <w:widowControl/>
              <w:jc w:val="left"/>
              <w:rPr>
                <w:b/>
                <w:bCs/>
                <w:color w:val="000000"/>
                <w:kern w:val="0"/>
                <w:sz w:val="22"/>
                <w:highlight w:val="none"/>
              </w:rPr>
            </w:pPr>
            <w:r>
              <w:rPr>
                <w:b/>
                <w:bCs/>
                <w:color w:val="000000"/>
                <w:kern w:val="0"/>
                <w:sz w:val="22"/>
                <w:highlight w:val="none"/>
              </w:rPr>
              <w:t>摄像机云台</w:t>
            </w:r>
          </w:p>
        </w:tc>
        <w:tc>
          <w:tcPr>
            <w:tcW w:w="1461" w:type="dxa"/>
            <w:gridSpan w:val="2"/>
            <w:shd w:val="clear" w:color="000000" w:fill="FFFFFF"/>
            <w:noWrap/>
            <w:vAlign w:val="center"/>
          </w:tcPr>
          <w:p w14:paraId="7203FF6E">
            <w:pPr>
              <w:widowControl/>
              <w:jc w:val="left"/>
              <w:rPr>
                <w:b/>
                <w:bCs/>
                <w:color w:val="000000"/>
                <w:kern w:val="0"/>
                <w:sz w:val="22"/>
                <w:highlight w:val="none"/>
              </w:rPr>
            </w:pPr>
            <w:r>
              <w:rPr>
                <w:b/>
                <w:bCs/>
                <w:color w:val="000000"/>
                <w:kern w:val="0"/>
                <w:sz w:val="22"/>
                <w:highlight w:val="none"/>
              </w:rPr>
              <w:t>　</w:t>
            </w:r>
          </w:p>
        </w:tc>
      </w:tr>
      <w:tr w14:paraId="2FD3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0B362703">
            <w:pPr>
              <w:widowControl/>
              <w:jc w:val="center"/>
              <w:rPr>
                <w:color w:val="000000"/>
                <w:kern w:val="0"/>
                <w:sz w:val="22"/>
                <w:highlight w:val="none"/>
              </w:rPr>
            </w:pPr>
            <w:r>
              <w:rPr>
                <w:color w:val="000000"/>
                <w:kern w:val="0"/>
                <w:sz w:val="22"/>
                <w:highlight w:val="none"/>
              </w:rPr>
              <w:t>5.1</w:t>
            </w:r>
          </w:p>
        </w:tc>
        <w:tc>
          <w:tcPr>
            <w:tcW w:w="3650" w:type="dxa"/>
            <w:gridSpan w:val="2"/>
            <w:shd w:val="clear" w:color="000000" w:fill="FFFFFF"/>
            <w:noWrap/>
            <w:vAlign w:val="center"/>
          </w:tcPr>
          <w:p w14:paraId="37834581">
            <w:pPr>
              <w:widowControl/>
              <w:jc w:val="left"/>
              <w:rPr>
                <w:color w:val="000000"/>
                <w:kern w:val="0"/>
                <w:sz w:val="22"/>
                <w:highlight w:val="none"/>
              </w:rPr>
            </w:pPr>
            <w:r>
              <w:rPr>
                <w:color w:val="000000"/>
                <w:kern w:val="0"/>
                <w:sz w:val="22"/>
                <w:highlight w:val="none"/>
              </w:rPr>
              <w:t>高速顶载云台(用于路口杆体顶端)</w:t>
            </w:r>
          </w:p>
        </w:tc>
        <w:tc>
          <w:tcPr>
            <w:tcW w:w="2378" w:type="dxa"/>
            <w:shd w:val="clear" w:color="000000" w:fill="FFFFFF"/>
            <w:vAlign w:val="center"/>
          </w:tcPr>
          <w:p w14:paraId="420E2E2B">
            <w:pPr>
              <w:widowControl/>
              <w:jc w:val="left"/>
              <w:rPr>
                <w:color w:val="000000"/>
                <w:kern w:val="0"/>
                <w:sz w:val="22"/>
                <w:highlight w:val="none"/>
              </w:rPr>
            </w:pPr>
            <w:r>
              <w:rPr>
                <w:color w:val="000000"/>
                <w:kern w:val="0"/>
                <w:sz w:val="22"/>
                <w:highlight w:val="none"/>
              </w:rPr>
              <w:t>TC-3060-JFW</w:t>
            </w:r>
          </w:p>
        </w:tc>
        <w:tc>
          <w:tcPr>
            <w:tcW w:w="736" w:type="dxa"/>
            <w:shd w:val="clear" w:color="000000" w:fill="FFFFFF"/>
            <w:noWrap/>
            <w:vAlign w:val="center"/>
          </w:tcPr>
          <w:p w14:paraId="350E0C53">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76FBAAC9">
            <w:pPr>
              <w:widowControl/>
              <w:jc w:val="center"/>
              <w:rPr>
                <w:color w:val="000000"/>
                <w:kern w:val="0"/>
                <w:sz w:val="22"/>
                <w:highlight w:val="none"/>
              </w:rPr>
            </w:pPr>
            <w:r>
              <w:rPr>
                <w:color w:val="000000"/>
                <w:kern w:val="0"/>
                <w:sz w:val="22"/>
                <w:highlight w:val="none"/>
              </w:rPr>
              <w:t>3</w:t>
            </w:r>
          </w:p>
        </w:tc>
      </w:tr>
      <w:tr w14:paraId="4D1E8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6B12E074">
            <w:pPr>
              <w:widowControl/>
              <w:jc w:val="center"/>
              <w:rPr>
                <w:color w:val="000000"/>
                <w:kern w:val="0"/>
                <w:sz w:val="22"/>
                <w:highlight w:val="none"/>
              </w:rPr>
            </w:pPr>
            <w:r>
              <w:rPr>
                <w:color w:val="000000"/>
                <w:kern w:val="0"/>
                <w:sz w:val="22"/>
                <w:highlight w:val="none"/>
              </w:rPr>
              <w:t>5.2</w:t>
            </w:r>
          </w:p>
        </w:tc>
        <w:tc>
          <w:tcPr>
            <w:tcW w:w="3650" w:type="dxa"/>
            <w:gridSpan w:val="2"/>
            <w:shd w:val="clear" w:color="000000" w:fill="FFFFFF"/>
            <w:noWrap/>
            <w:vAlign w:val="center"/>
          </w:tcPr>
          <w:p w14:paraId="4E39B647">
            <w:pPr>
              <w:widowControl/>
              <w:jc w:val="left"/>
              <w:rPr>
                <w:color w:val="000000"/>
                <w:kern w:val="0"/>
                <w:sz w:val="22"/>
                <w:highlight w:val="none"/>
              </w:rPr>
            </w:pPr>
            <w:r>
              <w:rPr>
                <w:color w:val="000000"/>
                <w:kern w:val="0"/>
                <w:sz w:val="22"/>
                <w:highlight w:val="none"/>
              </w:rPr>
              <w:t>高速顶载云台(用于路口杆臂 )</w:t>
            </w:r>
          </w:p>
        </w:tc>
        <w:tc>
          <w:tcPr>
            <w:tcW w:w="2378" w:type="dxa"/>
            <w:shd w:val="clear" w:color="000000" w:fill="FFFFFF"/>
            <w:vAlign w:val="center"/>
          </w:tcPr>
          <w:p w14:paraId="1712B09D">
            <w:pPr>
              <w:widowControl/>
              <w:jc w:val="left"/>
              <w:rPr>
                <w:color w:val="000000"/>
                <w:kern w:val="0"/>
                <w:sz w:val="22"/>
                <w:highlight w:val="none"/>
              </w:rPr>
            </w:pPr>
            <w:r>
              <w:rPr>
                <w:color w:val="000000"/>
                <w:kern w:val="0"/>
                <w:sz w:val="22"/>
                <w:highlight w:val="none"/>
              </w:rPr>
              <w:t>TC-3060-H</w:t>
            </w:r>
          </w:p>
        </w:tc>
        <w:tc>
          <w:tcPr>
            <w:tcW w:w="736" w:type="dxa"/>
            <w:shd w:val="clear" w:color="000000" w:fill="FFFFFF"/>
            <w:noWrap/>
            <w:vAlign w:val="center"/>
          </w:tcPr>
          <w:p w14:paraId="430E4350">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15392A75">
            <w:pPr>
              <w:widowControl/>
              <w:jc w:val="center"/>
              <w:rPr>
                <w:color w:val="000000"/>
                <w:kern w:val="0"/>
                <w:sz w:val="22"/>
                <w:highlight w:val="none"/>
              </w:rPr>
            </w:pPr>
            <w:r>
              <w:rPr>
                <w:color w:val="000000"/>
                <w:kern w:val="0"/>
                <w:sz w:val="22"/>
                <w:highlight w:val="none"/>
              </w:rPr>
              <w:t>6</w:t>
            </w:r>
          </w:p>
        </w:tc>
      </w:tr>
      <w:tr w14:paraId="58A31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284F1B47">
            <w:pPr>
              <w:widowControl/>
              <w:jc w:val="center"/>
              <w:rPr>
                <w:b/>
                <w:bCs/>
                <w:color w:val="000000"/>
                <w:kern w:val="0"/>
                <w:sz w:val="22"/>
                <w:highlight w:val="none"/>
              </w:rPr>
            </w:pPr>
            <w:r>
              <w:rPr>
                <w:b/>
                <w:bCs/>
                <w:color w:val="000000"/>
                <w:kern w:val="0"/>
                <w:sz w:val="22"/>
                <w:highlight w:val="none"/>
              </w:rPr>
              <w:t>6</w:t>
            </w:r>
          </w:p>
        </w:tc>
        <w:tc>
          <w:tcPr>
            <w:tcW w:w="6028" w:type="dxa"/>
            <w:gridSpan w:val="3"/>
            <w:shd w:val="clear" w:color="000000" w:fill="FFFFFF"/>
            <w:noWrap/>
            <w:vAlign w:val="center"/>
          </w:tcPr>
          <w:p w14:paraId="7DD62FC8">
            <w:pPr>
              <w:widowControl/>
              <w:jc w:val="left"/>
              <w:rPr>
                <w:b/>
                <w:bCs/>
                <w:color w:val="000000"/>
                <w:kern w:val="0"/>
                <w:sz w:val="22"/>
                <w:highlight w:val="none"/>
              </w:rPr>
            </w:pPr>
            <w:r>
              <w:rPr>
                <w:b/>
                <w:bCs/>
                <w:color w:val="000000"/>
                <w:kern w:val="0"/>
                <w:sz w:val="22"/>
                <w:highlight w:val="none"/>
              </w:rPr>
              <w:t>抱杆机箱及配件</w:t>
            </w:r>
          </w:p>
        </w:tc>
        <w:tc>
          <w:tcPr>
            <w:tcW w:w="1461" w:type="dxa"/>
            <w:gridSpan w:val="2"/>
            <w:shd w:val="clear" w:color="000000" w:fill="FFFFFF"/>
            <w:noWrap/>
            <w:vAlign w:val="center"/>
          </w:tcPr>
          <w:p w14:paraId="1CF40651">
            <w:pPr>
              <w:widowControl/>
              <w:jc w:val="left"/>
              <w:rPr>
                <w:b/>
                <w:bCs/>
                <w:color w:val="000000"/>
                <w:kern w:val="0"/>
                <w:sz w:val="22"/>
                <w:highlight w:val="none"/>
              </w:rPr>
            </w:pPr>
            <w:r>
              <w:rPr>
                <w:b/>
                <w:bCs/>
                <w:color w:val="000000"/>
                <w:kern w:val="0"/>
                <w:sz w:val="22"/>
                <w:highlight w:val="none"/>
              </w:rPr>
              <w:t>　</w:t>
            </w:r>
          </w:p>
        </w:tc>
      </w:tr>
      <w:tr w14:paraId="3A9B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02FF8C93">
            <w:pPr>
              <w:widowControl/>
              <w:jc w:val="center"/>
              <w:rPr>
                <w:color w:val="000000"/>
                <w:kern w:val="0"/>
                <w:sz w:val="22"/>
                <w:highlight w:val="none"/>
              </w:rPr>
            </w:pPr>
            <w:r>
              <w:rPr>
                <w:color w:val="000000"/>
                <w:kern w:val="0"/>
                <w:sz w:val="22"/>
                <w:highlight w:val="none"/>
              </w:rPr>
              <w:t>6.1</w:t>
            </w:r>
          </w:p>
        </w:tc>
        <w:tc>
          <w:tcPr>
            <w:tcW w:w="3650" w:type="dxa"/>
            <w:gridSpan w:val="2"/>
            <w:shd w:val="clear" w:color="000000" w:fill="FFFFFF"/>
            <w:noWrap/>
            <w:vAlign w:val="center"/>
          </w:tcPr>
          <w:p w14:paraId="20C091C9">
            <w:pPr>
              <w:widowControl/>
              <w:jc w:val="left"/>
              <w:rPr>
                <w:color w:val="000000"/>
                <w:kern w:val="0"/>
                <w:sz w:val="22"/>
                <w:highlight w:val="none"/>
              </w:rPr>
            </w:pPr>
            <w:r>
              <w:rPr>
                <w:color w:val="000000"/>
                <w:kern w:val="0"/>
                <w:sz w:val="22"/>
                <w:highlight w:val="none"/>
              </w:rPr>
              <w:t>室外分线箱</w:t>
            </w:r>
          </w:p>
        </w:tc>
        <w:tc>
          <w:tcPr>
            <w:tcW w:w="2378" w:type="dxa"/>
            <w:shd w:val="clear" w:color="000000" w:fill="FFFFFF"/>
            <w:vAlign w:val="center"/>
          </w:tcPr>
          <w:p w14:paraId="16A59036">
            <w:pPr>
              <w:widowControl/>
              <w:jc w:val="left"/>
              <w:rPr>
                <w:color w:val="000000"/>
                <w:kern w:val="0"/>
                <w:sz w:val="22"/>
                <w:highlight w:val="none"/>
              </w:rPr>
            </w:pPr>
            <w:r>
              <w:rPr>
                <w:color w:val="000000"/>
                <w:kern w:val="0"/>
                <w:sz w:val="22"/>
                <w:highlight w:val="none"/>
              </w:rPr>
              <w:t>800mm×350mm×180mm</w:t>
            </w:r>
          </w:p>
        </w:tc>
        <w:tc>
          <w:tcPr>
            <w:tcW w:w="736" w:type="dxa"/>
            <w:shd w:val="clear" w:color="000000" w:fill="FFFFFF"/>
            <w:noWrap/>
            <w:vAlign w:val="center"/>
          </w:tcPr>
          <w:p w14:paraId="689A16F8">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7A702080">
            <w:pPr>
              <w:widowControl/>
              <w:jc w:val="center"/>
              <w:rPr>
                <w:color w:val="000000"/>
                <w:kern w:val="0"/>
                <w:sz w:val="22"/>
                <w:highlight w:val="none"/>
              </w:rPr>
            </w:pPr>
            <w:r>
              <w:rPr>
                <w:color w:val="000000"/>
                <w:kern w:val="0"/>
                <w:sz w:val="22"/>
                <w:highlight w:val="none"/>
              </w:rPr>
              <w:t>66</w:t>
            </w:r>
          </w:p>
        </w:tc>
      </w:tr>
      <w:tr w14:paraId="6601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05BD4812">
            <w:pPr>
              <w:widowControl/>
              <w:jc w:val="center"/>
              <w:rPr>
                <w:color w:val="000000"/>
                <w:kern w:val="0"/>
                <w:sz w:val="22"/>
                <w:highlight w:val="none"/>
              </w:rPr>
            </w:pPr>
            <w:r>
              <w:rPr>
                <w:color w:val="000000"/>
                <w:kern w:val="0"/>
                <w:sz w:val="22"/>
                <w:highlight w:val="none"/>
              </w:rPr>
              <w:t>6.2</w:t>
            </w:r>
          </w:p>
        </w:tc>
        <w:tc>
          <w:tcPr>
            <w:tcW w:w="3650" w:type="dxa"/>
            <w:gridSpan w:val="2"/>
            <w:shd w:val="clear" w:color="000000" w:fill="FFFFFF"/>
            <w:noWrap/>
            <w:vAlign w:val="center"/>
          </w:tcPr>
          <w:p w14:paraId="49828FBD">
            <w:pPr>
              <w:widowControl/>
              <w:jc w:val="left"/>
              <w:rPr>
                <w:color w:val="000000"/>
                <w:kern w:val="0"/>
                <w:sz w:val="22"/>
                <w:highlight w:val="none"/>
              </w:rPr>
            </w:pPr>
            <w:r>
              <w:rPr>
                <w:color w:val="000000"/>
                <w:kern w:val="0"/>
                <w:sz w:val="22"/>
                <w:highlight w:val="none"/>
              </w:rPr>
              <w:t>PDU电源插座（放于室外分线箱内）</w:t>
            </w:r>
          </w:p>
        </w:tc>
        <w:tc>
          <w:tcPr>
            <w:tcW w:w="2378" w:type="dxa"/>
            <w:shd w:val="clear" w:color="000000" w:fill="FFFFFF"/>
            <w:vAlign w:val="center"/>
          </w:tcPr>
          <w:p w14:paraId="30D11E27">
            <w:pPr>
              <w:widowControl/>
              <w:jc w:val="left"/>
              <w:rPr>
                <w:color w:val="000000"/>
                <w:kern w:val="0"/>
                <w:sz w:val="22"/>
                <w:highlight w:val="none"/>
              </w:rPr>
            </w:pPr>
            <w:r>
              <w:rPr>
                <w:color w:val="000000"/>
                <w:kern w:val="0"/>
                <w:sz w:val="22"/>
                <w:highlight w:val="none"/>
              </w:rPr>
              <w:t>KB2-10LSCA-06CAXAA</w:t>
            </w:r>
          </w:p>
        </w:tc>
        <w:tc>
          <w:tcPr>
            <w:tcW w:w="736" w:type="dxa"/>
            <w:shd w:val="clear" w:color="000000" w:fill="FFFFFF"/>
            <w:noWrap/>
            <w:vAlign w:val="center"/>
          </w:tcPr>
          <w:p w14:paraId="617E857F">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4DD45657">
            <w:pPr>
              <w:widowControl/>
              <w:jc w:val="center"/>
              <w:rPr>
                <w:color w:val="000000"/>
                <w:kern w:val="0"/>
                <w:sz w:val="22"/>
                <w:highlight w:val="none"/>
              </w:rPr>
            </w:pPr>
            <w:r>
              <w:rPr>
                <w:color w:val="000000"/>
                <w:kern w:val="0"/>
                <w:sz w:val="22"/>
                <w:highlight w:val="none"/>
              </w:rPr>
              <w:t>66</w:t>
            </w:r>
          </w:p>
        </w:tc>
      </w:tr>
      <w:tr w14:paraId="1240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576C618E">
            <w:pPr>
              <w:widowControl/>
              <w:jc w:val="center"/>
              <w:rPr>
                <w:color w:val="000000"/>
                <w:kern w:val="0"/>
                <w:sz w:val="22"/>
                <w:highlight w:val="none"/>
              </w:rPr>
            </w:pPr>
            <w:r>
              <w:rPr>
                <w:color w:val="000000"/>
                <w:kern w:val="0"/>
                <w:sz w:val="22"/>
                <w:highlight w:val="none"/>
              </w:rPr>
              <w:t>6.3</w:t>
            </w:r>
          </w:p>
        </w:tc>
        <w:tc>
          <w:tcPr>
            <w:tcW w:w="3650" w:type="dxa"/>
            <w:gridSpan w:val="2"/>
            <w:shd w:val="clear" w:color="000000" w:fill="FFFFFF"/>
            <w:noWrap/>
            <w:vAlign w:val="center"/>
          </w:tcPr>
          <w:p w14:paraId="73E76A30">
            <w:pPr>
              <w:widowControl/>
              <w:jc w:val="left"/>
              <w:rPr>
                <w:color w:val="000000"/>
                <w:kern w:val="0"/>
                <w:sz w:val="22"/>
                <w:highlight w:val="none"/>
              </w:rPr>
            </w:pPr>
            <w:r>
              <w:rPr>
                <w:color w:val="000000"/>
                <w:kern w:val="0"/>
                <w:sz w:val="22"/>
                <w:highlight w:val="none"/>
              </w:rPr>
              <w:t>电源防雷</w:t>
            </w:r>
          </w:p>
        </w:tc>
        <w:tc>
          <w:tcPr>
            <w:tcW w:w="2378" w:type="dxa"/>
            <w:shd w:val="clear" w:color="000000" w:fill="FFFFFF"/>
            <w:vAlign w:val="center"/>
          </w:tcPr>
          <w:p w14:paraId="0FE198F8">
            <w:pPr>
              <w:widowControl/>
              <w:jc w:val="left"/>
              <w:rPr>
                <w:color w:val="000000"/>
                <w:kern w:val="0"/>
                <w:sz w:val="22"/>
                <w:highlight w:val="none"/>
              </w:rPr>
            </w:pPr>
            <w:r>
              <w:rPr>
                <w:color w:val="000000"/>
                <w:kern w:val="0"/>
                <w:sz w:val="22"/>
                <w:highlight w:val="none"/>
              </w:rPr>
              <w:t>M40B2</w:t>
            </w:r>
          </w:p>
        </w:tc>
        <w:tc>
          <w:tcPr>
            <w:tcW w:w="736" w:type="dxa"/>
            <w:shd w:val="clear" w:color="000000" w:fill="FFFFFF"/>
            <w:noWrap/>
            <w:vAlign w:val="center"/>
          </w:tcPr>
          <w:p w14:paraId="5CB61A5D">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511E4B6F">
            <w:pPr>
              <w:widowControl/>
              <w:jc w:val="center"/>
              <w:rPr>
                <w:color w:val="000000"/>
                <w:kern w:val="0"/>
                <w:sz w:val="22"/>
                <w:highlight w:val="none"/>
              </w:rPr>
            </w:pPr>
            <w:r>
              <w:rPr>
                <w:color w:val="000000"/>
                <w:kern w:val="0"/>
                <w:sz w:val="22"/>
                <w:highlight w:val="none"/>
              </w:rPr>
              <w:t>66</w:t>
            </w:r>
          </w:p>
        </w:tc>
      </w:tr>
      <w:tr w14:paraId="238E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restart"/>
            <w:shd w:val="clear" w:color="000000" w:fill="FFFFFF"/>
            <w:noWrap/>
            <w:vAlign w:val="center"/>
          </w:tcPr>
          <w:p w14:paraId="58FFC46D">
            <w:pPr>
              <w:widowControl/>
              <w:jc w:val="center"/>
              <w:rPr>
                <w:color w:val="000000"/>
                <w:kern w:val="0"/>
                <w:sz w:val="22"/>
                <w:highlight w:val="none"/>
              </w:rPr>
            </w:pPr>
            <w:r>
              <w:rPr>
                <w:color w:val="000000"/>
                <w:kern w:val="0"/>
                <w:sz w:val="22"/>
                <w:highlight w:val="none"/>
              </w:rPr>
              <w:t>6.4</w:t>
            </w:r>
          </w:p>
        </w:tc>
        <w:tc>
          <w:tcPr>
            <w:tcW w:w="1738" w:type="dxa"/>
            <w:vMerge w:val="restart"/>
            <w:shd w:val="clear" w:color="000000" w:fill="FFFFFF"/>
            <w:noWrap/>
            <w:vAlign w:val="center"/>
          </w:tcPr>
          <w:p w14:paraId="671F8082">
            <w:pPr>
              <w:widowControl/>
              <w:jc w:val="left"/>
              <w:rPr>
                <w:color w:val="000000"/>
                <w:kern w:val="0"/>
                <w:sz w:val="22"/>
                <w:highlight w:val="none"/>
              </w:rPr>
            </w:pPr>
            <w:r>
              <w:rPr>
                <w:color w:val="000000"/>
                <w:kern w:val="0"/>
                <w:sz w:val="22"/>
                <w:highlight w:val="none"/>
              </w:rPr>
              <w:t>前端存储</w:t>
            </w:r>
          </w:p>
        </w:tc>
        <w:tc>
          <w:tcPr>
            <w:tcW w:w="1912" w:type="dxa"/>
            <w:shd w:val="clear" w:color="000000" w:fill="FFFFFF"/>
            <w:noWrap/>
            <w:vAlign w:val="center"/>
          </w:tcPr>
          <w:p w14:paraId="3E91DF2E">
            <w:pPr>
              <w:widowControl/>
              <w:jc w:val="left"/>
              <w:rPr>
                <w:color w:val="000000"/>
                <w:kern w:val="0"/>
                <w:sz w:val="22"/>
                <w:highlight w:val="none"/>
              </w:rPr>
            </w:pPr>
            <w:r>
              <w:rPr>
                <w:color w:val="000000"/>
                <w:kern w:val="0"/>
                <w:sz w:val="22"/>
                <w:highlight w:val="none"/>
              </w:rPr>
              <w:t>数字录像设备</w:t>
            </w:r>
          </w:p>
        </w:tc>
        <w:tc>
          <w:tcPr>
            <w:tcW w:w="2378" w:type="dxa"/>
            <w:shd w:val="clear" w:color="000000" w:fill="FFFFFF"/>
            <w:vAlign w:val="center"/>
          </w:tcPr>
          <w:p w14:paraId="7D2BCD63">
            <w:pPr>
              <w:widowControl/>
              <w:jc w:val="left"/>
              <w:rPr>
                <w:color w:val="000000"/>
                <w:kern w:val="0"/>
                <w:sz w:val="22"/>
                <w:highlight w:val="none"/>
              </w:rPr>
            </w:pPr>
            <w:r>
              <w:rPr>
                <w:color w:val="000000"/>
                <w:kern w:val="0"/>
                <w:sz w:val="22"/>
                <w:highlight w:val="none"/>
              </w:rPr>
              <w:t>TC-NR1008M7-S1</w:t>
            </w:r>
          </w:p>
        </w:tc>
        <w:tc>
          <w:tcPr>
            <w:tcW w:w="736" w:type="dxa"/>
            <w:shd w:val="clear" w:color="000000" w:fill="FFFFFF"/>
            <w:noWrap/>
            <w:vAlign w:val="center"/>
          </w:tcPr>
          <w:p w14:paraId="14733B77">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23BCF84F">
            <w:pPr>
              <w:widowControl/>
              <w:jc w:val="center"/>
              <w:rPr>
                <w:color w:val="000000"/>
                <w:kern w:val="0"/>
                <w:sz w:val="22"/>
                <w:highlight w:val="none"/>
              </w:rPr>
            </w:pPr>
            <w:r>
              <w:rPr>
                <w:color w:val="000000"/>
                <w:kern w:val="0"/>
                <w:sz w:val="22"/>
                <w:highlight w:val="none"/>
              </w:rPr>
              <w:t>66</w:t>
            </w:r>
          </w:p>
        </w:tc>
      </w:tr>
      <w:tr w14:paraId="2803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3351FA1D">
            <w:pPr>
              <w:widowControl/>
              <w:jc w:val="left"/>
              <w:rPr>
                <w:color w:val="000000"/>
                <w:kern w:val="0"/>
                <w:sz w:val="22"/>
                <w:highlight w:val="none"/>
              </w:rPr>
            </w:pPr>
          </w:p>
        </w:tc>
        <w:tc>
          <w:tcPr>
            <w:tcW w:w="1738" w:type="dxa"/>
            <w:vMerge w:val="continue"/>
            <w:vAlign w:val="center"/>
          </w:tcPr>
          <w:p w14:paraId="6AF4FBC1">
            <w:pPr>
              <w:widowControl/>
              <w:jc w:val="left"/>
              <w:rPr>
                <w:color w:val="000000"/>
                <w:kern w:val="0"/>
                <w:sz w:val="22"/>
                <w:highlight w:val="none"/>
              </w:rPr>
            </w:pPr>
          </w:p>
        </w:tc>
        <w:tc>
          <w:tcPr>
            <w:tcW w:w="1912" w:type="dxa"/>
            <w:shd w:val="clear" w:color="000000" w:fill="FFFFFF"/>
            <w:noWrap/>
            <w:vAlign w:val="center"/>
          </w:tcPr>
          <w:p w14:paraId="536B176B">
            <w:pPr>
              <w:widowControl/>
              <w:jc w:val="left"/>
              <w:rPr>
                <w:color w:val="000000"/>
                <w:kern w:val="0"/>
                <w:sz w:val="22"/>
                <w:highlight w:val="none"/>
              </w:rPr>
            </w:pPr>
            <w:r>
              <w:rPr>
                <w:color w:val="000000"/>
                <w:kern w:val="0"/>
                <w:sz w:val="22"/>
                <w:highlight w:val="none"/>
              </w:rPr>
              <w:t>硬盘</w:t>
            </w:r>
          </w:p>
        </w:tc>
        <w:tc>
          <w:tcPr>
            <w:tcW w:w="2378" w:type="dxa"/>
            <w:shd w:val="clear" w:color="000000" w:fill="FFFFFF"/>
            <w:vAlign w:val="center"/>
          </w:tcPr>
          <w:p w14:paraId="4E6E4AE6">
            <w:pPr>
              <w:widowControl/>
              <w:jc w:val="left"/>
              <w:rPr>
                <w:color w:val="000000"/>
                <w:kern w:val="0"/>
                <w:sz w:val="22"/>
                <w:highlight w:val="none"/>
              </w:rPr>
            </w:pPr>
            <w:r>
              <w:rPr>
                <w:color w:val="000000"/>
                <w:kern w:val="0"/>
                <w:sz w:val="22"/>
                <w:highlight w:val="none"/>
              </w:rPr>
              <w:t>ST2000VX003</w:t>
            </w:r>
          </w:p>
        </w:tc>
        <w:tc>
          <w:tcPr>
            <w:tcW w:w="736" w:type="dxa"/>
            <w:shd w:val="clear" w:color="000000" w:fill="FFFFFF"/>
            <w:noWrap/>
            <w:vAlign w:val="center"/>
          </w:tcPr>
          <w:p w14:paraId="783C2A06">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37252B88">
            <w:pPr>
              <w:widowControl/>
              <w:jc w:val="center"/>
              <w:rPr>
                <w:color w:val="000000"/>
                <w:kern w:val="0"/>
                <w:sz w:val="22"/>
                <w:highlight w:val="none"/>
              </w:rPr>
            </w:pPr>
            <w:r>
              <w:rPr>
                <w:color w:val="000000"/>
                <w:kern w:val="0"/>
                <w:sz w:val="22"/>
                <w:highlight w:val="none"/>
              </w:rPr>
              <w:t>66</w:t>
            </w:r>
          </w:p>
        </w:tc>
      </w:tr>
      <w:tr w14:paraId="0619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337FDB19">
            <w:pPr>
              <w:widowControl/>
              <w:jc w:val="center"/>
              <w:rPr>
                <w:color w:val="000000"/>
                <w:kern w:val="0"/>
                <w:sz w:val="22"/>
                <w:highlight w:val="none"/>
              </w:rPr>
            </w:pPr>
            <w:r>
              <w:rPr>
                <w:color w:val="000000"/>
                <w:kern w:val="0"/>
                <w:sz w:val="22"/>
                <w:highlight w:val="none"/>
              </w:rPr>
              <w:t>6.5</w:t>
            </w:r>
          </w:p>
        </w:tc>
        <w:tc>
          <w:tcPr>
            <w:tcW w:w="3650" w:type="dxa"/>
            <w:gridSpan w:val="2"/>
            <w:shd w:val="clear" w:color="000000" w:fill="FFFFFF"/>
            <w:noWrap/>
            <w:vAlign w:val="center"/>
          </w:tcPr>
          <w:p w14:paraId="4B0527EC">
            <w:pPr>
              <w:widowControl/>
              <w:jc w:val="left"/>
              <w:rPr>
                <w:color w:val="000000"/>
                <w:kern w:val="0"/>
                <w:sz w:val="22"/>
                <w:highlight w:val="none"/>
              </w:rPr>
            </w:pPr>
            <w:r>
              <w:rPr>
                <w:color w:val="000000"/>
                <w:kern w:val="0"/>
                <w:sz w:val="22"/>
                <w:highlight w:val="none"/>
              </w:rPr>
              <w:t>工业交换机</w:t>
            </w:r>
          </w:p>
        </w:tc>
        <w:tc>
          <w:tcPr>
            <w:tcW w:w="2378" w:type="dxa"/>
            <w:shd w:val="clear" w:color="000000" w:fill="FFFFFF"/>
            <w:vAlign w:val="center"/>
          </w:tcPr>
          <w:p w14:paraId="1FD95A69">
            <w:pPr>
              <w:widowControl/>
              <w:jc w:val="left"/>
              <w:rPr>
                <w:color w:val="000000"/>
                <w:kern w:val="0"/>
                <w:sz w:val="22"/>
                <w:highlight w:val="none"/>
              </w:rPr>
            </w:pPr>
            <w:r>
              <w:rPr>
                <w:color w:val="000000"/>
                <w:kern w:val="0"/>
                <w:sz w:val="22"/>
                <w:highlight w:val="none"/>
              </w:rPr>
              <w:t>iTrans-C1512G120-2GS</w:t>
            </w:r>
          </w:p>
        </w:tc>
        <w:tc>
          <w:tcPr>
            <w:tcW w:w="736" w:type="dxa"/>
            <w:shd w:val="clear" w:color="000000" w:fill="FFFFFF"/>
            <w:noWrap/>
            <w:vAlign w:val="center"/>
          </w:tcPr>
          <w:p w14:paraId="706E212B">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4BFB6336">
            <w:pPr>
              <w:widowControl/>
              <w:jc w:val="center"/>
              <w:rPr>
                <w:color w:val="000000"/>
                <w:kern w:val="0"/>
                <w:sz w:val="22"/>
                <w:highlight w:val="none"/>
              </w:rPr>
            </w:pPr>
            <w:r>
              <w:rPr>
                <w:color w:val="000000"/>
                <w:kern w:val="0"/>
                <w:sz w:val="22"/>
                <w:highlight w:val="none"/>
              </w:rPr>
              <w:t>66</w:t>
            </w:r>
          </w:p>
        </w:tc>
      </w:tr>
      <w:tr w14:paraId="6EC5A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28DB3A7E">
            <w:pPr>
              <w:widowControl/>
              <w:jc w:val="center"/>
              <w:rPr>
                <w:color w:val="000000"/>
                <w:kern w:val="0"/>
                <w:sz w:val="22"/>
                <w:highlight w:val="none"/>
              </w:rPr>
            </w:pPr>
            <w:r>
              <w:rPr>
                <w:color w:val="000000"/>
                <w:kern w:val="0"/>
                <w:sz w:val="22"/>
                <w:highlight w:val="none"/>
              </w:rPr>
              <w:t>6.6</w:t>
            </w:r>
          </w:p>
        </w:tc>
        <w:tc>
          <w:tcPr>
            <w:tcW w:w="3650" w:type="dxa"/>
            <w:gridSpan w:val="2"/>
            <w:shd w:val="clear" w:color="000000" w:fill="FFFFFF"/>
            <w:noWrap/>
            <w:vAlign w:val="center"/>
          </w:tcPr>
          <w:p w14:paraId="7D5FAE4A">
            <w:pPr>
              <w:widowControl/>
              <w:jc w:val="left"/>
              <w:rPr>
                <w:color w:val="000000"/>
                <w:kern w:val="0"/>
                <w:sz w:val="22"/>
                <w:highlight w:val="none"/>
              </w:rPr>
            </w:pPr>
            <w:r>
              <w:rPr>
                <w:color w:val="000000"/>
                <w:kern w:val="0"/>
                <w:sz w:val="22"/>
                <w:highlight w:val="none"/>
              </w:rPr>
              <w:t>监控标识牌</w:t>
            </w:r>
          </w:p>
        </w:tc>
        <w:tc>
          <w:tcPr>
            <w:tcW w:w="2378" w:type="dxa"/>
            <w:shd w:val="clear" w:color="000000" w:fill="FFFFFF"/>
            <w:vAlign w:val="center"/>
          </w:tcPr>
          <w:p w14:paraId="5AAE47C4">
            <w:pPr>
              <w:widowControl/>
              <w:jc w:val="left"/>
              <w:rPr>
                <w:color w:val="000000"/>
                <w:kern w:val="0"/>
                <w:sz w:val="22"/>
                <w:highlight w:val="none"/>
              </w:rPr>
            </w:pPr>
            <w:r>
              <w:rPr>
                <w:color w:val="000000"/>
                <w:kern w:val="0"/>
                <w:sz w:val="22"/>
                <w:highlight w:val="none"/>
              </w:rPr>
              <w:t>定制</w:t>
            </w:r>
          </w:p>
        </w:tc>
        <w:tc>
          <w:tcPr>
            <w:tcW w:w="736" w:type="dxa"/>
            <w:shd w:val="clear" w:color="000000" w:fill="FFFFFF"/>
            <w:noWrap/>
            <w:vAlign w:val="center"/>
          </w:tcPr>
          <w:p w14:paraId="6B03FFD8">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137AF2EA">
            <w:pPr>
              <w:widowControl/>
              <w:jc w:val="center"/>
              <w:rPr>
                <w:color w:val="000000"/>
                <w:kern w:val="0"/>
                <w:sz w:val="22"/>
                <w:highlight w:val="none"/>
              </w:rPr>
            </w:pPr>
            <w:r>
              <w:rPr>
                <w:color w:val="000000"/>
                <w:kern w:val="0"/>
                <w:sz w:val="22"/>
                <w:highlight w:val="none"/>
              </w:rPr>
              <w:t>65</w:t>
            </w:r>
          </w:p>
        </w:tc>
      </w:tr>
      <w:tr w14:paraId="0AE6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30CF1C34">
            <w:pPr>
              <w:widowControl/>
              <w:jc w:val="center"/>
              <w:rPr>
                <w:b/>
                <w:bCs/>
                <w:color w:val="000000"/>
                <w:kern w:val="0"/>
                <w:sz w:val="22"/>
                <w:highlight w:val="none"/>
              </w:rPr>
            </w:pPr>
            <w:r>
              <w:rPr>
                <w:b/>
                <w:bCs/>
                <w:color w:val="000000"/>
                <w:kern w:val="0"/>
                <w:sz w:val="22"/>
                <w:highlight w:val="none"/>
              </w:rPr>
              <w:t>7</w:t>
            </w:r>
          </w:p>
        </w:tc>
        <w:tc>
          <w:tcPr>
            <w:tcW w:w="3650" w:type="dxa"/>
            <w:gridSpan w:val="2"/>
            <w:shd w:val="clear" w:color="000000" w:fill="FFFFFF"/>
            <w:noWrap/>
            <w:vAlign w:val="center"/>
          </w:tcPr>
          <w:p w14:paraId="1479BFF3">
            <w:pPr>
              <w:widowControl/>
              <w:jc w:val="left"/>
              <w:rPr>
                <w:b/>
                <w:bCs/>
                <w:color w:val="000000"/>
                <w:kern w:val="0"/>
                <w:sz w:val="22"/>
                <w:highlight w:val="none"/>
              </w:rPr>
            </w:pPr>
            <w:r>
              <w:rPr>
                <w:b/>
                <w:bCs/>
                <w:color w:val="000000"/>
                <w:kern w:val="0"/>
                <w:sz w:val="22"/>
                <w:highlight w:val="none"/>
              </w:rPr>
              <w:t>智能摄像机运维</w:t>
            </w:r>
          </w:p>
        </w:tc>
        <w:tc>
          <w:tcPr>
            <w:tcW w:w="2378" w:type="dxa"/>
            <w:shd w:val="clear" w:color="000000" w:fill="FFFFFF"/>
            <w:vAlign w:val="center"/>
          </w:tcPr>
          <w:p w14:paraId="1DC58494">
            <w:pPr>
              <w:widowControl/>
              <w:jc w:val="left"/>
              <w:rPr>
                <w:b/>
                <w:bCs/>
                <w:color w:val="000000"/>
                <w:kern w:val="0"/>
                <w:sz w:val="22"/>
                <w:highlight w:val="none"/>
              </w:rPr>
            </w:pPr>
            <w:r>
              <w:rPr>
                <w:b/>
                <w:bCs/>
                <w:color w:val="000000"/>
                <w:kern w:val="0"/>
                <w:sz w:val="22"/>
                <w:highlight w:val="none"/>
              </w:rPr>
              <w:t>/</w:t>
            </w:r>
          </w:p>
        </w:tc>
        <w:tc>
          <w:tcPr>
            <w:tcW w:w="736" w:type="dxa"/>
            <w:shd w:val="clear" w:color="000000" w:fill="FFFFFF"/>
            <w:noWrap/>
            <w:vAlign w:val="center"/>
          </w:tcPr>
          <w:p w14:paraId="3D7BD731">
            <w:pPr>
              <w:widowControl/>
              <w:jc w:val="center"/>
              <w:rPr>
                <w:b/>
                <w:bCs/>
                <w:color w:val="000000"/>
                <w:kern w:val="0"/>
                <w:sz w:val="22"/>
                <w:highlight w:val="none"/>
              </w:rPr>
            </w:pPr>
            <w:r>
              <w:rPr>
                <w:b/>
                <w:bCs/>
                <w:color w:val="000000"/>
                <w:kern w:val="0"/>
                <w:sz w:val="22"/>
                <w:highlight w:val="none"/>
              </w:rPr>
              <w:t>台</w:t>
            </w:r>
          </w:p>
        </w:tc>
        <w:tc>
          <w:tcPr>
            <w:tcW w:w="725" w:type="dxa"/>
            <w:shd w:val="clear" w:color="000000" w:fill="FFFFFF"/>
            <w:noWrap/>
            <w:vAlign w:val="center"/>
          </w:tcPr>
          <w:p w14:paraId="52FB39D5">
            <w:pPr>
              <w:widowControl/>
              <w:jc w:val="center"/>
              <w:rPr>
                <w:b/>
                <w:bCs/>
                <w:color w:val="000000"/>
                <w:kern w:val="0"/>
                <w:sz w:val="22"/>
                <w:highlight w:val="none"/>
              </w:rPr>
            </w:pPr>
            <w:r>
              <w:rPr>
                <w:b/>
                <w:bCs/>
                <w:color w:val="000000"/>
                <w:kern w:val="0"/>
                <w:sz w:val="22"/>
                <w:highlight w:val="none"/>
              </w:rPr>
              <w:t>14</w:t>
            </w:r>
          </w:p>
        </w:tc>
      </w:tr>
      <w:tr w14:paraId="32D5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480AFB15">
            <w:pPr>
              <w:widowControl/>
              <w:jc w:val="center"/>
              <w:rPr>
                <w:b/>
                <w:bCs/>
                <w:color w:val="000000"/>
                <w:kern w:val="0"/>
                <w:sz w:val="22"/>
                <w:highlight w:val="none"/>
              </w:rPr>
            </w:pPr>
            <w:r>
              <w:rPr>
                <w:b/>
                <w:bCs/>
                <w:color w:val="000000"/>
                <w:kern w:val="0"/>
                <w:sz w:val="22"/>
                <w:highlight w:val="none"/>
              </w:rPr>
              <w:t>（二）</w:t>
            </w:r>
          </w:p>
        </w:tc>
        <w:tc>
          <w:tcPr>
            <w:tcW w:w="3650" w:type="dxa"/>
            <w:gridSpan w:val="2"/>
            <w:shd w:val="clear" w:color="000000" w:fill="FFFFFF"/>
            <w:noWrap/>
            <w:vAlign w:val="center"/>
          </w:tcPr>
          <w:p w14:paraId="684F37E8">
            <w:pPr>
              <w:widowControl/>
              <w:jc w:val="left"/>
              <w:rPr>
                <w:b/>
                <w:bCs/>
                <w:color w:val="000000"/>
                <w:kern w:val="0"/>
                <w:sz w:val="22"/>
                <w:highlight w:val="none"/>
              </w:rPr>
            </w:pPr>
            <w:r>
              <w:rPr>
                <w:b/>
                <w:bCs/>
                <w:color w:val="000000"/>
                <w:kern w:val="0"/>
                <w:sz w:val="22"/>
                <w:highlight w:val="none"/>
              </w:rPr>
              <w:t>杆体迁移监控设备运维</w:t>
            </w:r>
          </w:p>
        </w:tc>
        <w:tc>
          <w:tcPr>
            <w:tcW w:w="2378" w:type="dxa"/>
            <w:shd w:val="clear" w:color="000000" w:fill="FFFFFF"/>
            <w:vAlign w:val="center"/>
          </w:tcPr>
          <w:p w14:paraId="4220B2F9">
            <w:pPr>
              <w:widowControl/>
              <w:jc w:val="left"/>
              <w:rPr>
                <w:b/>
                <w:bCs/>
                <w:color w:val="000000"/>
                <w:kern w:val="0"/>
                <w:sz w:val="22"/>
                <w:highlight w:val="none"/>
              </w:rPr>
            </w:pPr>
            <w:r>
              <w:rPr>
                <w:b/>
                <w:bCs/>
                <w:color w:val="000000"/>
                <w:kern w:val="0"/>
                <w:sz w:val="22"/>
                <w:highlight w:val="none"/>
              </w:rPr>
              <w:t>　</w:t>
            </w:r>
          </w:p>
        </w:tc>
        <w:tc>
          <w:tcPr>
            <w:tcW w:w="736" w:type="dxa"/>
            <w:shd w:val="clear" w:color="000000" w:fill="FFFFFF"/>
            <w:noWrap/>
            <w:vAlign w:val="center"/>
          </w:tcPr>
          <w:p w14:paraId="7B7EBF50">
            <w:pPr>
              <w:widowControl/>
              <w:jc w:val="center"/>
              <w:rPr>
                <w:b/>
                <w:bCs/>
                <w:color w:val="000000"/>
                <w:kern w:val="0"/>
                <w:sz w:val="22"/>
                <w:highlight w:val="none"/>
              </w:rPr>
            </w:pPr>
            <w:r>
              <w:rPr>
                <w:b/>
                <w:bCs/>
                <w:color w:val="000000"/>
                <w:kern w:val="0"/>
                <w:sz w:val="22"/>
                <w:highlight w:val="none"/>
              </w:rPr>
              <w:t>　</w:t>
            </w:r>
          </w:p>
        </w:tc>
        <w:tc>
          <w:tcPr>
            <w:tcW w:w="725" w:type="dxa"/>
            <w:shd w:val="clear" w:color="000000" w:fill="FFFFFF"/>
            <w:noWrap/>
            <w:vAlign w:val="center"/>
          </w:tcPr>
          <w:p w14:paraId="487E5D7E">
            <w:pPr>
              <w:widowControl/>
              <w:jc w:val="center"/>
              <w:rPr>
                <w:b/>
                <w:bCs/>
                <w:color w:val="000000"/>
                <w:kern w:val="0"/>
                <w:sz w:val="22"/>
                <w:highlight w:val="none"/>
              </w:rPr>
            </w:pPr>
            <w:r>
              <w:rPr>
                <w:b/>
                <w:bCs/>
                <w:color w:val="000000"/>
                <w:kern w:val="0"/>
                <w:sz w:val="22"/>
                <w:highlight w:val="none"/>
              </w:rPr>
              <w:t>　</w:t>
            </w:r>
          </w:p>
        </w:tc>
      </w:tr>
      <w:tr w14:paraId="6EE8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44B4C80D">
            <w:pPr>
              <w:widowControl/>
              <w:jc w:val="center"/>
              <w:rPr>
                <w:b/>
                <w:bCs/>
                <w:color w:val="000000"/>
                <w:kern w:val="0"/>
                <w:sz w:val="22"/>
                <w:highlight w:val="none"/>
              </w:rPr>
            </w:pPr>
            <w:r>
              <w:rPr>
                <w:b/>
                <w:bCs/>
                <w:color w:val="000000"/>
                <w:kern w:val="0"/>
                <w:sz w:val="22"/>
                <w:highlight w:val="none"/>
              </w:rPr>
              <w:t>1</w:t>
            </w:r>
          </w:p>
        </w:tc>
        <w:tc>
          <w:tcPr>
            <w:tcW w:w="3650" w:type="dxa"/>
            <w:gridSpan w:val="2"/>
            <w:shd w:val="clear" w:color="000000" w:fill="FFFFFF"/>
            <w:noWrap/>
            <w:vAlign w:val="center"/>
          </w:tcPr>
          <w:p w14:paraId="666B7935">
            <w:pPr>
              <w:widowControl/>
              <w:jc w:val="left"/>
              <w:rPr>
                <w:b/>
                <w:bCs/>
                <w:color w:val="000000"/>
                <w:kern w:val="0"/>
                <w:sz w:val="22"/>
                <w:highlight w:val="none"/>
              </w:rPr>
            </w:pPr>
            <w:r>
              <w:rPr>
                <w:b/>
                <w:bCs/>
                <w:color w:val="000000"/>
                <w:kern w:val="0"/>
                <w:sz w:val="22"/>
                <w:highlight w:val="none"/>
              </w:rPr>
              <w:t>监控杆体</w:t>
            </w:r>
          </w:p>
        </w:tc>
        <w:tc>
          <w:tcPr>
            <w:tcW w:w="2378" w:type="dxa"/>
            <w:shd w:val="clear" w:color="000000" w:fill="FFFFFF"/>
            <w:vAlign w:val="center"/>
          </w:tcPr>
          <w:p w14:paraId="4415C1F7">
            <w:pPr>
              <w:widowControl/>
              <w:jc w:val="left"/>
              <w:rPr>
                <w:b/>
                <w:bCs/>
                <w:color w:val="000000"/>
                <w:kern w:val="0"/>
                <w:sz w:val="22"/>
                <w:highlight w:val="none"/>
              </w:rPr>
            </w:pPr>
            <w:r>
              <w:rPr>
                <w:b/>
                <w:bCs/>
                <w:color w:val="000000"/>
                <w:kern w:val="0"/>
                <w:sz w:val="22"/>
                <w:highlight w:val="none"/>
              </w:rPr>
              <w:t>　</w:t>
            </w:r>
          </w:p>
        </w:tc>
        <w:tc>
          <w:tcPr>
            <w:tcW w:w="736" w:type="dxa"/>
            <w:shd w:val="clear" w:color="000000" w:fill="FFFFFF"/>
            <w:noWrap/>
            <w:vAlign w:val="center"/>
          </w:tcPr>
          <w:p w14:paraId="11BF0729">
            <w:pPr>
              <w:widowControl/>
              <w:jc w:val="center"/>
              <w:rPr>
                <w:b/>
                <w:bCs/>
                <w:color w:val="000000"/>
                <w:kern w:val="0"/>
                <w:sz w:val="22"/>
                <w:highlight w:val="none"/>
              </w:rPr>
            </w:pPr>
            <w:r>
              <w:rPr>
                <w:b/>
                <w:bCs/>
                <w:color w:val="000000"/>
                <w:kern w:val="0"/>
                <w:sz w:val="22"/>
                <w:highlight w:val="none"/>
              </w:rPr>
              <w:t>　</w:t>
            </w:r>
          </w:p>
        </w:tc>
        <w:tc>
          <w:tcPr>
            <w:tcW w:w="725" w:type="dxa"/>
            <w:shd w:val="clear" w:color="000000" w:fill="FFFFFF"/>
            <w:noWrap/>
            <w:vAlign w:val="center"/>
          </w:tcPr>
          <w:p w14:paraId="68826EFB">
            <w:pPr>
              <w:widowControl/>
              <w:jc w:val="center"/>
              <w:rPr>
                <w:b/>
                <w:bCs/>
                <w:color w:val="000000"/>
                <w:kern w:val="0"/>
                <w:sz w:val="22"/>
                <w:highlight w:val="none"/>
              </w:rPr>
            </w:pPr>
            <w:r>
              <w:rPr>
                <w:b/>
                <w:bCs/>
                <w:color w:val="000000"/>
                <w:kern w:val="0"/>
                <w:sz w:val="22"/>
                <w:highlight w:val="none"/>
              </w:rPr>
              <w:t>　</w:t>
            </w:r>
          </w:p>
        </w:tc>
      </w:tr>
      <w:tr w14:paraId="059C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6B14D284">
            <w:pPr>
              <w:widowControl/>
              <w:jc w:val="center"/>
              <w:rPr>
                <w:color w:val="000000"/>
                <w:kern w:val="0"/>
                <w:sz w:val="22"/>
                <w:highlight w:val="none"/>
              </w:rPr>
            </w:pPr>
            <w:r>
              <w:rPr>
                <w:color w:val="000000"/>
                <w:kern w:val="0"/>
                <w:sz w:val="22"/>
                <w:highlight w:val="none"/>
              </w:rPr>
              <w:t>2.1</w:t>
            </w:r>
          </w:p>
        </w:tc>
        <w:tc>
          <w:tcPr>
            <w:tcW w:w="3650" w:type="dxa"/>
            <w:gridSpan w:val="2"/>
            <w:shd w:val="clear" w:color="000000" w:fill="FFFFFF"/>
            <w:noWrap/>
            <w:vAlign w:val="center"/>
          </w:tcPr>
          <w:p w14:paraId="18DCF3E3">
            <w:pPr>
              <w:widowControl/>
              <w:jc w:val="left"/>
              <w:rPr>
                <w:color w:val="000000"/>
                <w:kern w:val="0"/>
                <w:sz w:val="22"/>
                <w:highlight w:val="none"/>
              </w:rPr>
            </w:pPr>
            <w:r>
              <w:rPr>
                <w:color w:val="000000"/>
                <w:kern w:val="0"/>
                <w:sz w:val="22"/>
                <w:highlight w:val="none"/>
              </w:rPr>
              <w:t>5米视频监控杆体（路段类型）90度</w:t>
            </w:r>
          </w:p>
        </w:tc>
        <w:tc>
          <w:tcPr>
            <w:tcW w:w="2378" w:type="dxa"/>
            <w:shd w:val="clear" w:color="000000" w:fill="FFFFFF"/>
            <w:vAlign w:val="center"/>
          </w:tcPr>
          <w:p w14:paraId="6F850E86">
            <w:pPr>
              <w:widowControl/>
              <w:jc w:val="left"/>
              <w:rPr>
                <w:color w:val="000000"/>
                <w:kern w:val="0"/>
                <w:sz w:val="22"/>
                <w:highlight w:val="none"/>
              </w:rPr>
            </w:pPr>
            <w:r>
              <w:rPr>
                <w:color w:val="000000"/>
                <w:kern w:val="0"/>
                <w:sz w:val="22"/>
                <w:highlight w:val="none"/>
              </w:rPr>
              <w:t>定制</w:t>
            </w:r>
          </w:p>
        </w:tc>
        <w:tc>
          <w:tcPr>
            <w:tcW w:w="736" w:type="dxa"/>
            <w:shd w:val="clear" w:color="000000" w:fill="FFFFFF"/>
            <w:noWrap/>
            <w:vAlign w:val="center"/>
          </w:tcPr>
          <w:p w14:paraId="5E8B1A52">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197DAE82">
            <w:pPr>
              <w:widowControl/>
              <w:jc w:val="center"/>
              <w:rPr>
                <w:color w:val="000000"/>
                <w:kern w:val="0"/>
                <w:sz w:val="22"/>
                <w:highlight w:val="none"/>
              </w:rPr>
            </w:pPr>
            <w:r>
              <w:rPr>
                <w:color w:val="000000"/>
                <w:kern w:val="0"/>
                <w:sz w:val="22"/>
                <w:highlight w:val="none"/>
              </w:rPr>
              <w:t>6</w:t>
            </w:r>
          </w:p>
        </w:tc>
      </w:tr>
      <w:tr w14:paraId="243E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5C5738FC">
            <w:pPr>
              <w:widowControl/>
              <w:jc w:val="center"/>
              <w:rPr>
                <w:b/>
                <w:bCs/>
                <w:color w:val="000000"/>
                <w:kern w:val="0"/>
                <w:sz w:val="22"/>
                <w:highlight w:val="none"/>
              </w:rPr>
            </w:pPr>
            <w:r>
              <w:rPr>
                <w:b/>
                <w:bCs/>
                <w:color w:val="000000"/>
                <w:kern w:val="0"/>
                <w:sz w:val="22"/>
                <w:highlight w:val="none"/>
              </w:rPr>
              <w:t>2</w:t>
            </w:r>
          </w:p>
        </w:tc>
        <w:tc>
          <w:tcPr>
            <w:tcW w:w="3650" w:type="dxa"/>
            <w:gridSpan w:val="2"/>
            <w:shd w:val="clear" w:color="000000" w:fill="FFFFFF"/>
            <w:noWrap/>
            <w:vAlign w:val="center"/>
          </w:tcPr>
          <w:p w14:paraId="1931F311">
            <w:pPr>
              <w:widowControl/>
              <w:jc w:val="left"/>
              <w:rPr>
                <w:b/>
                <w:bCs/>
                <w:color w:val="000000"/>
                <w:kern w:val="0"/>
                <w:sz w:val="22"/>
                <w:highlight w:val="none"/>
              </w:rPr>
            </w:pPr>
            <w:r>
              <w:rPr>
                <w:b/>
                <w:bCs/>
                <w:color w:val="000000"/>
                <w:kern w:val="0"/>
                <w:sz w:val="22"/>
                <w:highlight w:val="none"/>
              </w:rPr>
              <w:t>摄像机</w:t>
            </w:r>
          </w:p>
        </w:tc>
        <w:tc>
          <w:tcPr>
            <w:tcW w:w="2378" w:type="dxa"/>
            <w:shd w:val="clear" w:color="000000" w:fill="FFFFFF"/>
            <w:vAlign w:val="center"/>
          </w:tcPr>
          <w:p w14:paraId="2C468CA6">
            <w:pPr>
              <w:widowControl/>
              <w:jc w:val="left"/>
              <w:rPr>
                <w:b/>
                <w:bCs/>
                <w:color w:val="000000"/>
                <w:kern w:val="0"/>
                <w:sz w:val="22"/>
                <w:highlight w:val="none"/>
              </w:rPr>
            </w:pPr>
            <w:r>
              <w:rPr>
                <w:b/>
                <w:bCs/>
                <w:color w:val="000000"/>
                <w:kern w:val="0"/>
                <w:sz w:val="22"/>
                <w:highlight w:val="none"/>
              </w:rPr>
              <w:t>　</w:t>
            </w:r>
          </w:p>
        </w:tc>
        <w:tc>
          <w:tcPr>
            <w:tcW w:w="736" w:type="dxa"/>
            <w:shd w:val="clear" w:color="000000" w:fill="FFFFFF"/>
            <w:noWrap/>
            <w:vAlign w:val="center"/>
          </w:tcPr>
          <w:p w14:paraId="298E7BFF">
            <w:pPr>
              <w:widowControl/>
              <w:jc w:val="center"/>
              <w:rPr>
                <w:b/>
                <w:bCs/>
                <w:color w:val="000000"/>
                <w:kern w:val="0"/>
                <w:sz w:val="22"/>
                <w:highlight w:val="none"/>
              </w:rPr>
            </w:pPr>
            <w:r>
              <w:rPr>
                <w:b/>
                <w:bCs/>
                <w:color w:val="000000"/>
                <w:kern w:val="0"/>
                <w:sz w:val="22"/>
                <w:highlight w:val="none"/>
              </w:rPr>
              <w:t>　</w:t>
            </w:r>
          </w:p>
        </w:tc>
        <w:tc>
          <w:tcPr>
            <w:tcW w:w="725" w:type="dxa"/>
            <w:shd w:val="clear" w:color="000000" w:fill="FFFFFF"/>
            <w:noWrap/>
            <w:vAlign w:val="center"/>
          </w:tcPr>
          <w:p w14:paraId="5A37A83F">
            <w:pPr>
              <w:widowControl/>
              <w:jc w:val="center"/>
              <w:rPr>
                <w:b/>
                <w:bCs/>
                <w:color w:val="000000"/>
                <w:kern w:val="0"/>
                <w:sz w:val="22"/>
                <w:highlight w:val="none"/>
              </w:rPr>
            </w:pPr>
            <w:r>
              <w:rPr>
                <w:b/>
                <w:bCs/>
                <w:color w:val="000000"/>
                <w:kern w:val="0"/>
                <w:sz w:val="22"/>
                <w:highlight w:val="none"/>
              </w:rPr>
              <w:t>　</w:t>
            </w:r>
          </w:p>
        </w:tc>
      </w:tr>
      <w:tr w14:paraId="569E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08B8BB90">
            <w:pPr>
              <w:widowControl/>
              <w:jc w:val="center"/>
              <w:rPr>
                <w:color w:val="000000"/>
                <w:kern w:val="0"/>
                <w:sz w:val="22"/>
                <w:highlight w:val="none"/>
              </w:rPr>
            </w:pPr>
            <w:r>
              <w:rPr>
                <w:color w:val="000000"/>
                <w:kern w:val="0"/>
                <w:sz w:val="22"/>
                <w:highlight w:val="none"/>
              </w:rPr>
              <w:t>2.1</w:t>
            </w:r>
          </w:p>
        </w:tc>
        <w:tc>
          <w:tcPr>
            <w:tcW w:w="3650" w:type="dxa"/>
            <w:gridSpan w:val="2"/>
            <w:shd w:val="clear" w:color="000000" w:fill="FFFFFF"/>
            <w:noWrap/>
            <w:vAlign w:val="center"/>
          </w:tcPr>
          <w:p w14:paraId="32002A20">
            <w:pPr>
              <w:widowControl/>
              <w:jc w:val="left"/>
              <w:rPr>
                <w:color w:val="000000"/>
                <w:kern w:val="0"/>
                <w:sz w:val="22"/>
                <w:highlight w:val="none"/>
              </w:rPr>
            </w:pPr>
            <w:r>
              <w:rPr>
                <w:color w:val="000000"/>
                <w:kern w:val="0"/>
                <w:sz w:val="22"/>
                <w:highlight w:val="none"/>
              </w:rPr>
              <w:t>高清网络摄像机（用于球形防护罩）</w:t>
            </w:r>
          </w:p>
        </w:tc>
        <w:tc>
          <w:tcPr>
            <w:tcW w:w="2378" w:type="dxa"/>
            <w:shd w:val="clear" w:color="000000" w:fill="FFFFFF"/>
            <w:vAlign w:val="center"/>
          </w:tcPr>
          <w:p w14:paraId="4B5CEAE9">
            <w:pPr>
              <w:widowControl/>
              <w:jc w:val="left"/>
              <w:rPr>
                <w:color w:val="000000"/>
                <w:kern w:val="0"/>
                <w:sz w:val="22"/>
                <w:highlight w:val="none"/>
              </w:rPr>
            </w:pPr>
            <w:r>
              <w:rPr>
                <w:color w:val="000000"/>
                <w:kern w:val="0"/>
                <w:sz w:val="22"/>
                <w:highlight w:val="none"/>
              </w:rPr>
              <w:t>TC-NC9001S3E-2MP-ES-JFW</w:t>
            </w:r>
          </w:p>
        </w:tc>
        <w:tc>
          <w:tcPr>
            <w:tcW w:w="736" w:type="dxa"/>
            <w:shd w:val="clear" w:color="000000" w:fill="FFFFFF"/>
            <w:noWrap/>
            <w:vAlign w:val="center"/>
          </w:tcPr>
          <w:p w14:paraId="46ACCBF4">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6E192B47">
            <w:pPr>
              <w:widowControl/>
              <w:jc w:val="center"/>
              <w:rPr>
                <w:color w:val="000000"/>
                <w:kern w:val="0"/>
                <w:sz w:val="22"/>
                <w:highlight w:val="none"/>
              </w:rPr>
            </w:pPr>
            <w:r>
              <w:rPr>
                <w:color w:val="000000"/>
                <w:kern w:val="0"/>
                <w:sz w:val="22"/>
                <w:highlight w:val="none"/>
              </w:rPr>
              <w:t>12</w:t>
            </w:r>
          </w:p>
        </w:tc>
      </w:tr>
      <w:tr w14:paraId="30924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0B94DAFA">
            <w:pPr>
              <w:widowControl/>
              <w:jc w:val="center"/>
              <w:rPr>
                <w:b/>
                <w:bCs/>
                <w:color w:val="000000"/>
                <w:kern w:val="0"/>
                <w:sz w:val="22"/>
                <w:highlight w:val="none"/>
              </w:rPr>
            </w:pPr>
            <w:r>
              <w:rPr>
                <w:b/>
                <w:bCs/>
                <w:color w:val="000000"/>
                <w:kern w:val="0"/>
                <w:sz w:val="22"/>
                <w:highlight w:val="none"/>
              </w:rPr>
              <w:t>3</w:t>
            </w:r>
          </w:p>
        </w:tc>
        <w:tc>
          <w:tcPr>
            <w:tcW w:w="3650" w:type="dxa"/>
            <w:gridSpan w:val="2"/>
            <w:shd w:val="clear" w:color="000000" w:fill="FFFFFF"/>
            <w:noWrap/>
            <w:vAlign w:val="center"/>
          </w:tcPr>
          <w:p w14:paraId="68A1679C">
            <w:pPr>
              <w:widowControl/>
              <w:jc w:val="left"/>
              <w:rPr>
                <w:b/>
                <w:bCs/>
                <w:color w:val="000000"/>
                <w:kern w:val="0"/>
                <w:sz w:val="22"/>
                <w:highlight w:val="none"/>
              </w:rPr>
            </w:pPr>
            <w:r>
              <w:rPr>
                <w:b/>
                <w:bCs/>
                <w:color w:val="000000"/>
                <w:kern w:val="0"/>
                <w:sz w:val="22"/>
                <w:highlight w:val="none"/>
              </w:rPr>
              <w:t>摄像机镜头</w:t>
            </w:r>
          </w:p>
        </w:tc>
        <w:tc>
          <w:tcPr>
            <w:tcW w:w="2378" w:type="dxa"/>
            <w:shd w:val="clear" w:color="000000" w:fill="FFFFFF"/>
            <w:vAlign w:val="center"/>
          </w:tcPr>
          <w:p w14:paraId="1310ADC2">
            <w:pPr>
              <w:widowControl/>
              <w:jc w:val="left"/>
              <w:rPr>
                <w:b/>
                <w:bCs/>
                <w:color w:val="000000"/>
                <w:kern w:val="0"/>
                <w:sz w:val="22"/>
                <w:highlight w:val="none"/>
              </w:rPr>
            </w:pPr>
            <w:r>
              <w:rPr>
                <w:b/>
                <w:bCs/>
                <w:color w:val="000000"/>
                <w:kern w:val="0"/>
                <w:sz w:val="22"/>
                <w:highlight w:val="none"/>
              </w:rPr>
              <w:t>　</w:t>
            </w:r>
          </w:p>
        </w:tc>
        <w:tc>
          <w:tcPr>
            <w:tcW w:w="736" w:type="dxa"/>
            <w:shd w:val="clear" w:color="000000" w:fill="FFFFFF"/>
            <w:noWrap/>
            <w:vAlign w:val="center"/>
          </w:tcPr>
          <w:p w14:paraId="01E6960A">
            <w:pPr>
              <w:widowControl/>
              <w:jc w:val="center"/>
              <w:rPr>
                <w:b/>
                <w:bCs/>
                <w:color w:val="000000"/>
                <w:kern w:val="0"/>
                <w:sz w:val="22"/>
                <w:highlight w:val="none"/>
              </w:rPr>
            </w:pPr>
            <w:r>
              <w:rPr>
                <w:b/>
                <w:bCs/>
                <w:color w:val="000000"/>
                <w:kern w:val="0"/>
                <w:sz w:val="22"/>
                <w:highlight w:val="none"/>
              </w:rPr>
              <w:t>　</w:t>
            </w:r>
          </w:p>
        </w:tc>
        <w:tc>
          <w:tcPr>
            <w:tcW w:w="725" w:type="dxa"/>
            <w:shd w:val="clear" w:color="000000" w:fill="FFFFFF"/>
            <w:noWrap/>
            <w:vAlign w:val="center"/>
          </w:tcPr>
          <w:p w14:paraId="0616B7B5">
            <w:pPr>
              <w:widowControl/>
              <w:jc w:val="center"/>
              <w:rPr>
                <w:b/>
                <w:bCs/>
                <w:color w:val="000000"/>
                <w:kern w:val="0"/>
                <w:sz w:val="22"/>
                <w:highlight w:val="none"/>
              </w:rPr>
            </w:pPr>
            <w:r>
              <w:rPr>
                <w:b/>
                <w:bCs/>
                <w:color w:val="000000"/>
                <w:kern w:val="0"/>
                <w:sz w:val="22"/>
                <w:highlight w:val="none"/>
              </w:rPr>
              <w:t>　</w:t>
            </w:r>
          </w:p>
        </w:tc>
      </w:tr>
      <w:tr w14:paraId="7DE7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767FC53A">
            <w:pPr>
              <w:widowControl/>
              <w:jc w:val="center"/>
              <w:rPr>
                <w:color w:val="000000"/>
                <w:kern w:val="0"/>
                <w:sz w:val="22"/>
                <w:highlight w:val="none"/>
              </w:rPr>
            </w:pPr>
            <w:r>
              <w:rPr>
                <w:color w:val="000000"/>
                <w:kern w:val="0"/>
                <w:sz w:val="22"/>
                <w:highlight w:val="none"/>
              </w:rPr>
              <w:t>3.1</w:t>
            </w:r>
          </w:p>
        </w:tc>
        <w:tc>
          <w:tcPr>
            <w:tcW w:w="3650" w:type="dxa"/>
            <w:gridSpan w:val="2"/>
            <w:shd w:val="clear" w:color="000000" w:fill="FFFFFF"/>
            <w:noWrap/>
            <w:vAlign w:val="center"/>
          </w:tcPr>
          <w:p w14:paraId="1EBE3F51">
            <w:pPr>
              <w:widowControl/>
              <w:jc w:val="left"/>
              <w:rPr>
                <w:color w:val="000000"/>
                <w:kern w:val="0"/>
                <w:sz w:val="22"/>
                <w:highlight w:val="none"/>
              </w:rPr>
            </w:pPr>
            <w:r>
              <w:rPr>
                <w:color w:val="000000"/>
                <w:kern w:val="0"/>
                <w:sz w:val="22"/>
                <w:highlight w:val="none"/>
              </w:rPr>
              <w:t>高清手动变焦镜头（用于路段非微卡口摄像机)</w:t>
            </w:r>
          </w:p>
        </w:tc>
        <w:tc>
          <w:tcPr>
            <w:tcW w:w="2378" w:type="dxa"/>
            <w:shd w:val="clear" w:color="000000" w:fill="FFFFFF"/>
            <w:vAlign w:val="center"/>
          </w:tcPr>
          <w:p w14:paraId="038FBE40">
            <w:pPr>
              <w:widowControl/>
              <w:jc w:val="left"/>
              <w:rPr>
                <w:color w:val="000000"/>
                <w:kern w:val="0"/>
                <w:sz w:val="22"/>
                <w:highlight w:val="none"/>
              </w:rPr>
            </w:pPr>
            <w:r>
              <w:rPr>
                <w:color w:val="000000"/>
                <w:kern w:val="0"/>
                <w:sz w:val="22"/>
                <w:highlight w:val="none"/>
              </w:rPr>
              <w:t>HV3816MPHD</w:t>
            </w:r>
          </w:p>
        </w:tc>
        <w:tc>
          <w:tcPr>
            <w:tcW w:w="736" w:type="dxa"/>
            <w:shd w:val="clear" w:color="000000" w:fill="FFFFFF"/>
            <w:noWrap/>
            <w:vAlign w:val="center"/>
          </w:tcPr>
          <w:p w14:paraId="3C825D17">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703A0BE7">
            <w:pPr>
              <w:widowControl/>
              <w:jc w:val="center"/>
              <w:rPr>
                <w:color w:val="000000"/>
                <w:kern w:val="0"/>
                <w:sz w:val="22"/>
                <w:highlight w:val="none"/>
              </w:rPr>
            </w:pPr>
            <w:r>
              <w:rPr>
                <w:color w:val="000000"/>
                <w:kern w:val="0"/>
                <w:sz w:val="22"/>
                <w:highlight w:val="none"/>
              </w:rPr>
              <w:t>12</w:t>
            </w:r>
          </w:p>
        </w:tc>
      </w:tr>
      <w:tr w14:paraId="5213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3547D0D7">
            <w:pPr>
              <w:widowControl/>
              <w:jc w:val="center"/>
              <w:rPr>
                <w:b/>
                <w:bCs/>
                <w:color w:val="000000"/>
                <w:kern w:val="0"/>
                <w:sz w:val="22"/>
                <w:highlight w:val="none"/>
              </w:rPr>
            </w:pPr>
            <w:r>
              <w:rPr>
                <w:b/>
                <w:bCs/>
                <w:color w:val="000000"/>
                <w:kern w:val="0"/>
                <w:sz w:val="22"/>
                <w:highlight w:val="none"/>
              </w:rPr>
              <w:t>4</w:t>
            </w:r>
          </w:p>
        </w:tc>
        <w:tc>
          <w:tcPr>
            <w:tcW w:w="3650" w:type="dxa"/>
            <w:gridSpan w:val="2"/>
            <w:shd w:val="clear" w:color="000000" w:fill="FFFFFF"/>
            <w:noWrap/>
            <w:vAlign w:val="center"/>
          </w:tcPr>
          <w:p w14:paraId="1F239C41">
            <w:pPr>
              <w:widowControl/>
              <w:jc w:val="left"/>
              <w:rPr>
                <w:b/>
                <w:bCs/>
                <w:color w:val="000000"/>
                <w:kern w:val="0"/>
                <w:sz w:val="22"/>
                <w:highlight w:val="none"/>
              </w:rPr>
            </w:pPr>
            <w:r>
              <w:rPr>
                <w:b/>
                <w:bCs/>
                <w:color w:val="000000"/>
                <w:kern w:val="0"/>
                <w:sz w:val="22"/>
                <w:highlight w:val="none"/>
              </w:rPr>
              <w:t>摄像机防护罩</w:t>
            </w:r>
          </w:p>
        </w:tc>
        <w:tc>
          <w:tcPr>
            <w:tcW w:w="2378" w:type="dxa"/>
            <w:shd w:val="clear" w:color="000000" w:fill="FFFFFF"/>
            <w:vAlign w:val="center"/>
          </w:tcPr>
          <w:p w14:paraId="342E1C6A">
            <w:pPr>
              <w:widowControl/>
              <w:jc w:val="left"/>
              <w:rPr>
                <w:b/>
                <w:bCs/>
                <w:color w:val="000000"/>
                <w:kern w:val="0"/>
                <w:sz w:val="22"/>
                <w:highlight w:val="none"/>
              </w:rPr>
            </w:pPr>
            <w:r>
              <w:rPr>
                <w:b/>
                <w:bCs/>
                <w:color w:val="000000"/>
                <w:kern w:val="0"/>
                <w:sz w:val="22"/>
                <w:highlight w:val="none"/>
              </w:rPr>
              <w:t>　</w:t>
            </w:r>
          </w:p>
        </w:tc>
        <w:tc>
          <w:tcPr>
            <w:tcW w:w="736" w:type="dxa"/>
            <w:shd w:val="clear" w:color="000000" w:fill="FFFFFF"/>
            <w:noWrap/>
            <w:vAlign w:val="center"/>
          </w:tcPr>
          <w:p w14:paraId="6804EE30">
            <w:pPr>
              <w:widowControl/>
              <w:jc w:val="center"/>
              <w:rPr>
                <w:b/>
                <w:bCs/>
                <w:color w:val="000000"/>
                <w:kern w:val="0"/>
                <w:sz w:val="22"/>
                <w:highlight w:val="none"/>
              </w:rPr>
            </w:pPr>
            <w:r>
              <w:rPr>
                <w:b/>
                <w:bCs/>
                <w:color w:val="000000"/>
                <w:kern w:val="0"/>
                <w:sz w:val="22"/>
                <w:highlight w:val="none"/>
              </w:rPr>
              <w:t>　</w:t>
            </w:r>
          </w:p>
        </w:tc>
        <w:tc>
          <w:tcPr>
            <w:tcW w:w="725" w:type="dxa"/>
            <w:shd w:val="clear" w:color="000000" w:fill="FFFFFF"/>
            <w:noWrap/>
            <w:vAlign w:val="center"/>
          </w:tcPr>
          <w:p w14:paraId="2032A5EB">
            <w:pPr>
              <w:widowControl/>
              <w:jc w:val="center"/>
              <w:rPr>
                <w:b/>
                <w:bCs/>
                <w:color w:val="000000"/>
                <w:kern w:val="0"/>
                <w:sz w:val="22"/>
                <w:highlight w:val="none"/>
              </w:rPr>
            </w:pPr>
            <w:r>
              <w:rPr>
                <w:b/>
                <w:bCs/>
                <w:color w:val="000000"/>
                <w:kern w:val="0"/>
                <w:sz w:val="22"/>
                <w:highlight w:val="none"/>
              </w:rPr>
              <w:t>　</w:t>
            </w:r>
          </w:p>
        </w:tc>
      </w:tr>
      <w:tr w14:paraId="776B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6266BD27">
            <w:pPr>
              <w:widowControl/>
              <w:jc w:val="center"/>
              <w:rPr>
                <w:color w:val="000000"/>
                <w:kern w:val="0"/>
                <w:sz w:val="22"/>
                <w:highlight w:val="none"/>
              </w:rPr>
            </w:pPr>
            <w:r>
              <w:rPr>
                <w:color w:val="000000"/>
                <w:kern w:val="0"/>
                <w:sz w:val="22"/>
                <w:highlight w:val="none"/>
              </w:rPr>
              <w:t>4.1</w:t>
            </w:r>
          </w:p>
        </w:tc>
        <w:tc>
          <w:tcPr>
            <w:tcW w:w="3650" w:type="dxa"/>
            <w:gridSpan w:val="2"/>
            <w:shd w:val="clear" w:color="000000" w:fill="FFFFFF"/>
            <w:noWrap/>
            <w:vAlign w:val="center"/>
          </w:tcPr>
          <w:p w14:paraId="1A736D24">
            <w:pPr>
              <w:widowControl/>
              <w:jc w:val="left"/>
              <w:rPr>
                <w:color w:val="000000"/>
                <w:kern w:val="0"/>
                <w:sz w:val="22"/>
                <w:highlight w:val="none"/>
              </w:rPr>
            </w:pPr>
            <w:r>
              <w:rPr>
                <w:color w:val="000000"/>
                <w:kern w:val="0"/>
                <w:sz w:val="22"/>
                <w:highlight w:val="none"/>
              </w:rPr>
              <w:t>7寸球形防护罩(用于路段非微卡口摄像机)</w:t>
            </w:r>
          </w:p>
        </w:tc>
        <w:tc>
          <w:tcPr>
            <w:tcW w:w="2378" w:type="dxa"/>
            <w:shd w:val="clear" w:color="000000" w:fill="FFFFFF"/>
            <w:vAlign w:val="center"/>
          </w:tcPr>
          <w:p w14:paraId="592ECE1A">
            <w:pPr>
              <w:widowControl/>
              <w:jc w:val="left"/>
              <w:rPr>
                <w:color w:val="000000"/>
                <w:kern w:val="0"/>
                <w:sz w:val="22"/>
                <w:highlight w:val="none"/>
              </w:rPr>
            </w:pPr>
            <w:r>
              <w:rPr>
                <w:color w:val="000000"/>
                <w:kern w:val="0"/>
                <w:sz w:val="22"/>
                <w:highlight w:val="none"/>
              </w:rPr>
              <w:t>WH-1007</w:t>
            </w:r>
          </w:p>
        </w:tc>
        <w:tc>
          <w:tcPr>
            <w:tcW w:w="736" w:type="dxa"/>
            <w:shd w:val="clear" w:color="000000" w:fill="FFFFFF"/>
            <w:noWrap/>
            <w:vAlign w:val="center"/>
          </w:tcPr>
          <w:p w14:paraId="73A594FB">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325163B6">
            <w:pPr>
              <w:widowControl/>
              <w:jc w:val="center"/>
              <w:rPr>
                <w:color w:val="000000"/>
                <w:kern w:val="0"/>
                <w:sz w:val="22"/>
                <w:highlight w:val="none"/>
              </w:rPr>
            </w:pPr>
            <w:r>
              <w:rPr>
                <w:color w:val="000000"/>
                <w:kern w:val="0"/>
                <w:sz w:val="22"/>
                <w:highlight w:val="none"/>
              </w:rPr>
              <w:t>12</w:t>
            </w:r>
          </w:p>
        </w:tc>
      </w:tr>
      <w:tr w14:paraId="3E7E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5F09ACF4">
            <w:pPr>
              <w:widowControl/>
              <w:jc w:val="center"/>
              <w:rPr>
                <w:b/>
                <w:bCs/>
                <w:color w:val="000000"/>
                <w:kern w:val="0"/>
                <w:sz w:val="22"/>
                <w:highlight w:val="none"/>
              </w:rPr>
            </w:pPr>
            <w:r>
              <w:rPr>
                <w:b/>
                <w:bCs/>
                <w:color w:val="000000"/>
                <w:kern w:val="0"/>
                <w:sz w:val="22"/>
                <w:highlight w:val="none"/>
              </w:rPr>
              <w:t>6</w:t>
            </w:r>
          </w:p>
        </w:tc>
        <w:tc>
          <w:tcPr>
            <w:tcW w:w="3650" w:type="dxa"/>
            <w:gridSpan w:val="2"/>
            <w:shd w:val="clear" w:color="000000" w:fill="FFFFFF"/>
            <w:noWrap/>
            <w:vAlign w:val="center"/>
          </w:tcPr>
          <w:p w14:paraId="113D04C1">
            <w:pPr>
              <w:widowControl/>
              <w:jc w:val="left"/>
              <w:rPr>
                <w:b/>
                <w:bCs/>
                <w:color w:val="000000"/>
                <w:kern w:val="0"/>
                <w:sz w:val="22"/>
                <w:highlight w:val="none"/>
              </w:rPr>
            </w:pPr>
            <w:r>
              <w:rPr>
                <w:b/>
                <w:bCs/>
                <w:color w:val="000000"/>
                <w:kern w:val="0"/>
                <w:sz w:val="22"/>
                <w:highlight w:val="none"/>
              </w:rPr>
              <w:t>抱杆机箱及配件</w:t>
            </w:r>
          </w:p>
        </w:tc>
        <w:tc>
          <w:tcPr>
            <w:tcW w:w="2378" w:type="dxa"/>
            <w:shd w:val="clear" w:color="000000" w:fill="FFFFFF"/>
            <w:vAlign w:val="center"/>
          </w:tcPr>
          <w:p w14:paraId="6CEC1A1B">
            <w:pPr>
              <w:widowControl/>
              <w:jc w:val="left"/>
              <w:rPr>
                <w:b/>
                <w:bCs/>
                <w:color w:val="000000"/>
                <w:kern w:val="0"/>
                <w:sz w:val="22"/>
                <w:highlight w:val="none"/>
              </w:rPr>
            </w:pPr>
            <w:r>
              <w:rPr>
                <w:b/>
                <w:bCs/>
                <w:color w:val="000000"/>
                <w:kern w:val="0"/>
                <w:sz w:val="22"/>
                <w:highlight w:val="none"/>
              </w:rPr>
              <w:t>　</w:t>
            </w:r>
          </w:p>
        </w:tc>
        <w:tc>
          <w:tcPr>
            <w:tcW w:w="736" w:type="dxa"/>
            <w:shd w:val="clear" w:color="000000" w:fill="FFFFFF"/>
            <w:noWrap/>
            <w:vAlign w:val="center"/>
          </w:tcPr>
          <w:p w14:paraId="38B26E47">
            <w:pPr>
              <w:widowControl/>
              <w:jc w:val="center"/>
              <w:rPr>
                <w:b/>
                <w:bCs/>
                <w:color w:val="000000"/>
                <w:kern w:val="0"/>
                <w:sz w:val="22"/>
                <w:highlight w:val="none"/>
              </w:rPr>
            </w:pPr>
            <w:r>
              <w:rPr>
                <w:b/>
                <w:bCs/>
                <w:color w:val="000000"/>
                <w:kern w:val="0"/>
                <w:sz w:val="22"/>
                <w:highlight w:val="none"/>
              </w:rPr>
              <w:t>　</w:t>
            </w:r>
          </w:p>
        </w:tc>
        <w:tc>
          <w:tcPr>
            <w:tcW w:w="725" w:type="dxa"/>
            <w:shd w:val="clear" w:color="000000" w:fill="FFFFFF"/>
            <w:noWrap/>
            <w:vAlign w:val="center"/>
          </w:tcPr>
          <w:p w14:paraId="303D65FF">
            <w:pPr>
              <w:widowControl/>
              <w:jc w:val="center"/>
              <w:rPr>
                <w:b/>
                <w:bCs/>
                <w:color w:val="000000"/>
                <w:kern w:val="0"/>
                <w:sz w:val="22"/>
                <w:highlight w:val="none"/>
              </w:rPr>
            </w:pPr>
            <w:r>
              <w:rPr>
                <w:b/>
                <w:bCs/>
                <w:color w:val="000000"/>
                <w:kern w:val="0"/>
                <w:sz w:val="22"/>
                <w:highlight w:val="none"/>
              </w:rPr>
              <w:t>　</w:t>
            </w:r>
          </w:p>
        </w:tc>
      </w:tr>
      <w:tr w14:paraId="2B84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1E41A8F9">
            <w:pPr>
              <w:widowControl/>
              <w:jc w:val="center"/>
              <w:rPr>
                <w:color w:val="000000"/>
                <w:kern w:val="0"/>
                <w:sz w:val="22"/>
                <w:highlight w:val="none"/>
              </w:rPr>
            </w:pPr>
            <w:r>
              <w:rPr>
                <w:color w:val="000000"/>
                <w:kern w:val="0"/>
                <w:sz w:val="22"/>
                <w:highlight w:val="none"/>
              </w:rPr>
              <w:t>5.1</w:t>
            </w:r>
          </w:p>
        </w:tc>
        <w:tc>
          <w:tcPr>
            <w:tcW w:w="3650" w:type="dxa"/>
            <w:gridSpan w:val="2"/>
            <w:shd w:val="clear" w:color="000000" w:fill="FFFFFF"/>
            <w:noWrap/>
            <w:vAlign w:val="center"/>
          </w:tcPr>
          <w:p w14:paraId="57FC08DC">
            <w:pPr>
              <w:widowControl/>
              <w:jc w:val="left"/>
              <w:rPr>
                <w:color w:val="000000"/>
                <w:kern w:val="0"/>
                <w:sz w:val="22"/>
                <w:highlight w:val="none"/>
              </w:rPr>
            </w:pPr>
            <w:r>
              <w:rPr>
                <w:color w:val="000000"/>
                <w:kern w:val="0"/>
                <w:sz w:val="22"/>
                <w:highlight w:val="none"/>
              </w:rPr>
              <w:t>室外分线箱</w:t>
            </w:r>
          </w:p>
        </w:tc>
        <w:tc>
          <w:tcPr>
            <w:tcW w:w="2378" w:type="dxa"/>
            <w:shd w:val="clear" w:color="000000" w:fill="FFFFFF"/>
            <w:vAlign w:val="center"/>
          </w:tcPr>
          <w:p w14:paraId="7AECC6CC">
            <w:pPr>
              <w:widowControl/>
              <w:jc w:val="left"/>
              <w:rPr>
                <w:color w:val="000000"/>
                <w:kern w:val="0"/>
                <w:sz w:val="22"/>
                <w:highlight w:val="none"/>
              </w:rPr>
            </w:pPr>
            <w:r>
              <w:rPr>
                <w:color w:val="000000"/>
                <w:kern w:val="0"/>
                <w:sz w:val="22"/>
                <w:highlight w:val="none"/>
              </w:rPr>
              <w:t>800mm×350mm×180mm</w:t>
            </w:r>
          </w:p>
        </w:tc>
        <w:tc>
          <w:tcPr>
            <w:tcW w:w="736" w:type="dxa"/>
            <w:shd w:val="clear" w:color="000000" w:fill="FFFFFF"/>
            <w:noWrap/>
            <w:vAlign w:val="center"/>
          </w:tcPr>
          <w:p w14:paraId="68936902">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7A3056F4">
            <w:pPr>
              <w:widowControl/>
              <w:jc w:val="center"/>
              <w:rPr>
                <w:color w:val="000000"/>
                <w:kern w:val="0"/>
                <w:sz w:val="22"/>
                <w:highlight w:val="none"/>
              </w:rPr>
            </w:pPr>
            <w:r>
              <w:rPr>
                <w:color w:val="000000"/>
                <w:kern w:val="0"/>
                <w:sz w:val="22"/>
                <w:highlight w:val="none"/>
              </w:rPr>
              <w:t>6</w:t>
            </w:r>
          </w:p>
        </w:tc>
      </w:tr>
      <w:tr w14:paraId="591C9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1D87CE41">
            <w:pPr>
              <w:widowControl/>
              <w:jc w:val="center"/>
              <w:rPr>
                <w:color w:val="000000"/>
                <w:kern w:val="0"/>
                <w:sz w:val="22"/>
                <w:highlight w:val="none"/>
              </w:rPr>
            </w:pPr>
            <w:r>
              <w:rPr>
                <w:color w:val="000000"/>
                <w:kern w:val="0"/>
                <w:sz w:val="22"/>
                <w:highlight w:val="none"/>
              </w:rPr>
              <w:t>5.2</w:t>
            </w:r>
          </w:p>
        </w:tc>
        <w:tc>
          <w:tcPr>
            <w:tcW w:w="3650" w:type="dxa"/>
            <w:gridSpan w:val="2"/>
            <w:shd w:val="clear" w:color="000000" w:fill="FFFFFF"/>
            <w:noWrap/>
            <w:vAlign w:val="center"/>
          </w:tcPr>
          <w:p w14:paraId="7E005BFE">
            <w:pPr>
              <w:widowControl/>
              <w:jc w:val="left"/>
              <w:rPr>
                <w:color w:val="000000"/>
                <w:kern w:val="0"/>
                <w:sz w:val="22"/>
                <w:highlight w:val="none"/>
              </w:rPr>
            </w:pPr>
            <w:r>
              <w:rPr>
                <w:color w:val="000000"/>
                <w:kern w:val="0"/>
                <w:sz w:val="22"/>
                <w:highlight w:val="none"/>
              </w:rPr>
              <w:t>PDU电源插座（放于室外分线箱内）</w:t>
            </w:r>
          </w:p>
        </w:tc>
        <w:tc>
          <w:tcPr>
            <w:tcW w:w="2378" w:type="dxa"/>
            <w:shd w:val="clear" w:color="000000" w:fill="FFFFFF"/>
            <w:vAlign w:val="center"/>
          </w:tcPr>
          <w:p w14:paraId="6ED60AF1">
            <w:pPr>
              <w:widowControl/>
              <w:jc w:val="left"/>
              <w:rPr>
                <w:color w:val="000000"/>
                <w:kern w:val="0"/>
                <w:sz w:val="22"/>
                <w:highlight w:val="none"/>
              </w:rPr>
            </w:pPr>
            <w:r>
              <w:rPr>
                <w:color w:val="000000"/>
                <w:kern w:val="0"/>
                <w:sz w:val="22"/>
                <w:highlight w:val="none"/>
              </w:rPr>
              <w:t>KB2-10LSCA-06CAXAA</w:t>
            </w:r>
          </w:p>
        </w:tc>
        <w:tc>
          <w:tcPr>
            <w:tcW w:w="736" w:type="dxa"/>
            <w:shd w:val="clear" w:color="000000" w:fill="FFFFFF"/>
            <w:noWrap/>
            <w:vAlign w:val="center"/>
          </w:tcPr>
          <w:p w14:paraId="246EC081">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47DBDF91">
            <w:pPr>
              <w:widowControl/>
              <w:jc w:val="center"/>
              <w:rPr>
                <w:color w:val="000000"/>
                <w:kern w:val="0"/>
                <w:sz w:val="22"/>
                <w:highlight w:val="none"/>
              </w:rPr>
            </w:pPr>
            <w:r>
              <w:rPr>
                <w:color w:val="000000"/>
                <w:kern w:val="0"/>
                <w:sz w:val="22"/>
                <w:highlight w:val="none"/>
              </w:rPr>
              <w:t>6</w:t>
            </w:r>
          </w:p>
        </w:tc>
      </w:tr>
      <w:tr w14:paraId="1145D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397A4E4A">
            <w:pPr>
              <w:widowControl/>
              <w:jc w:val="center"/>
              <w:rPr>
                <w:color w:val="000000"/>
                <w:kern w:val="0"/>
                <w:sz w:val="22"/>
                <w:highlight w:val="none"/>
              </w:rPr>
            </w:pPr>
            <w:r>
              <w:rPr>
                <w:color w:val="000000"/>
                <w:kern w:val="0"/>
                <w:sz w:val="22"/>
                <w:highlight w:val="none"/>
              </w:rPr>
              <w:t>5.3</w:t>
            </w:r>
          </w:p>
        </w:tc>
        <w:tc>
          <w:tcPr>
            <w:tcW w:w="3650" w:type="dxa"/>
            <w:gridSpan w:val="2"/>
            <w:shd w:val="clear" w:color="000000" w:fill="FFFFFF"/>
            <w:noWrap/>
            <w:vAlign w:val="center"/>
          </w:tcPr>
          <w:p w14:paraId="241A3C29">
            <w:pPr>
              <w:widowControl/>
              <w:jc w:val="left"/>
              <w:rPr>
                <w:color w:val="000000"/>
                <w:kern w:val="0"/>
                <w:sz w:val="22"/>
                <w:highlight w:val="none"/>
              </w:rPr>
            </w:pPr>
            <w:r>
              <w:rPr>
                <w:color w:val="000000"/>
                <w:kern w:val="0"/>
                <w:sz w:val="22"/>
                <w:highlight w:val="none"/>
              </w:rPr>
              <w:t>电源防雷</w:t>
            </w:r>
          </w:p>
        </w:tc>
        <w:tc>
          <w:tcPr>
            <w:tcW w:w="2378" w:type="dxa"/>
            <w:shd w:val="clear" w:color="000000" w:fill="FFFFFF"/>
            <w:vAlign w:val="center"/>
          </w:tcPr>
          <w:p w14:paraId="1D82AB1E">
            <w:pPr>
              <w:widowControl/>
              <w:jc w:val="left"/>
              <w:rPr>
                <w:color w:val="000000"/>
                <w:kern w:val="0"/>
                <w:sz w:val="22"/>
                <w:highlight w:val="none"/>
              </w:rPr>
            </w:pPr>
            <w:r>
              <w:rPr>
                <w:color w:val="000000"/>
                <w:kern w:val="0"/>
                <w:sz w:val="22"/>
                <w:highlight w:val="none"/>
              </w:rPr>
              <w:t>M40B2</w:t>
            </w:r>
          </w:p>
        </w:tc>
        <w:tc>
          <w:tcPr>
            <w:tcW w:w="736" w:type="dxa"/>
            <w:shd w:val="clear" w:color="000000" w:fill="FFFFFF"/>
            <w:noWrap/>
            <w:vAlign w:val="center"/>
          </w:tcPr>
          <w:p w14:paraId="38EB568C">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3763F8A0">
            <w:pPr>
              <w:widowControl/>
              <w:jc w:val="center"/>
              <w:rPr>
                <w:color w:val="000000"/>
                <w:kern w:val="0"/>
                <w:sz w:val="22"/>
                <w:highlight w:val="none"/>
              </w:rPr>
            </w:pPr>
            <w:r>
              <w:rPr>
                <w:color w:val="000000"/>
                <w:kern w:val="0"/>
                <w:sz w:val="22"/>
                <w:highlight w:val="none"/>
              </w:rPr>
              <w:t>6</w:t>
            </w:r>
          </w:p>
        </w:tc>
      </w:tr>
      <w:tr w14:paraId="4600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restart"/>
            <w:shd w:val="clear" w:color="000000" w:fill="FFFFFF"/>
            <w:noWrap/>
            <w:vAlign w:val="center"/>
          </w:tcPr>
          <w:p w14:paraId="400A7077">
            <w:pPr>
              <w:widowControl/>
              <w:jc w:val="center"/>
              <w:rPr>
                <w:color w:val="000000"/>
                <w:kern w:val="0"/>
                <w:sz w:val="22"/>
                <w:highlight w:val="none"/>
              </w:rPr>
            </w:pPr>
            <w:r>
              <w:rPr>
                <w:color w:val="000000"/>
                <w:kern w:val="0"/>
                <w:sz w:val="22"/>
                <w:highlight w:val="none"/>
              </w:rPr>
              <w:t>5.4</w:t>
            </w:r>
          </w:p>
        </w:tc>
        <w:tc>
          <w:tcPr>
            <w:tcW w:w="1738" w:type="dxa"/>
            <w:vMerge w:val="restart"/>
            <w:shd w:val="clear" w:color="000000" w:fill="FFFFFF"/>
            <w:noWrap/>
            <w:vAlign w:val="center"/>
          </w:tcPr>
          <w:p w14:paraId="6B896A88">
            <w:pPr>
              <w:widowControl/>
              <w:jc w:val="left"/>
              <w:rPr>
                <w:color w:val="000000"/>
                <w:kern w:val="0"/>
                <w:sz w:val="22"/>
                <w:highlight w:val="none"/>
              </w:rPr>
            </w:pPr>
            <w:r>
              <w:rPr>
                <w:color w:val="000000"/>
                <w:kern w:val="0"/>
                <w:sz w:val="22"/>
                <w:highlight w:val="none"/>
              </w:rPr>
              <w:t>前端存储</w:t>
            </w:r>
          </w:p>
        </w:tc>
        <w:tc>
          <w:tcPr>
            <w:tcW w:w="1912" w:type="dxa"/>
            <w:shd w:val="clear" w:color="000000" w:fill="FFFFFF"/>
            <w:noWrap/>
            <w:vAlign w:val="center"/>
          </w:tcPr>
          <w:p w14:paraId="11C8D36D">
            <w:pPr>
              <w:widowControl/>
              <w:jc w:val="left"/>
              <w:rPr>
                <w:color w:val="000000"/>
                <w:kern w:val="0"/>
                <w:sz w:val="22"/>
                <w:highlight w:val="none"/>
              </w:rPr>
            </w:pPr>
            <w:r>
              <w:rPr>
                <w:color w:val="000000"/>
                <w:kern w:val="0"/>
                <w:sz w:val="22"/>
                <w:highlight w:val="none"/>
              </w:rPr>
              <w:t>数字录像设备</w:t>
            </w:r>
          </w:p>
        </w:tc>
        <w:tc>
          <w:tcPr>
            <w:tcW w:w="2378" w:type="dxa"/>
            <w:shd w:val="clear" w:color="000000" w:fill="FFFFFF"/>
            <w:vAlign w:val="center"/>
          </w:tcPr>
          <w:p w14:paraId="6063C55A">
            <w:pPr>
              <w:widowControl/>
              <w:jc w:val="left"/>
              <w:rPr>
                <w:color w:val="000000"/>
                <w:kern w:val="0"/>
                <w:sz w:val="22"/>
                <w:highlight w:val="none"/>
              </w:rPr>
            </w:pPr>
            <w:r>
              <w:rPr>
                <w:color w:val="000000"/>
                <w:kern w:val="0"/>
                <w:sz w:val="22"/>
                <w:highlight w:val="none"/>
              </w:rPr>
              <w:t>TC-NR1008M7-S1</w:t>
            </w:r>
          </w:p>
        </w:tc>
        <w:tc>
          <w:tcPr>
            <w:tcW w:w="736" w:type="dxa"/>
            <w:shd w:val="clear" w:color="000000" w:fill="FFFFFF"/>
            <w:noWrap/>
            <w:vAlign w:val="center"/>
          </w:tcPr>
          <w:p w14:paraId="6E96F5D8">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30624BBE">
            <w:pPr>
              <w:widowControl/>
              <w:jc w:val="center"/>
              <w:rPr>
                <w:color w:val="000000"/>
                <w:kern w:val="0"/>
                <w:sz w:val="22"/>
                <w:highlight w:val="none"/>
              </w:rPr>
            </w:pPr>
            <w:r>
              <w:rPr>
                <w:color w:val="000000"/>
                <w:kern w:val="0"/>
                <w:sz w:val="22"/>
                <w:highlight w:val="none"/>
              </w:rPr>
              <w:t>6</w:t>
            </w:r>
          </w:p>
        </w:tc>
      </w:tr>
      <w:tr w14:paraId="6DF6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1BE07FE1">
            <w:pPr>
              <w:widowControl/>
              <w:jc w:val="left"/>
              <w:rPr>
                <w:color w:val="000000"/>
                <w:kern w:val="0"/>
                <w:sz w:val="22"/>
                <w:highlight w:val="none"/>
              </w:rPr>
            </w:pPr>
          </w:p>
        </w:tc>
        <w:tc>
          <w:tcPr>
            <w:tcW w:w="1738" w:type="dxa"/>
            <w:vMerge w:val="continue"/>
            <w:vAlign w:val="center"/>
          </w:tcPr>
          <w:p w14:paraId="0E968DEB">
            <w:pPr>
              <w:widowControl/>
              <w:jc w:val="left"/>
              <w:rPr>
                <w:color w:val="000000"/>
                <w:kern w:val="0"/>
                <w:sz w:val="22"/>
                <w:highlight w:val="none"/>
              </w:rPr>
            </w:pPr>
          </w:p>
        </w:tc>
        <w:tc>
          <w:tcPr>
            <w:tcW w:w="1912" w:type="dxa"/>
            <w:shd w:val="clear" w:color="000000" w:fill="FFFFFF"/>
            <w:noWrap/>
            <w:vAlign w:val="center"/>
          </w:tcPr>
          <w:p w14:paraId="40CF262B">
            <w:pPr>
              <w:widowControl/>
              <w:jc w:val="left"/>
              <w:rPr>
                <w:color w:val="000000"/>
                <w:kern w:val="0"/>
                <w:sz w:val="22"/>
                <w:highlight w:val="none"/>
              </w:rPr>
            </w:pPr>
            <w:r>
              <w:rPr>
                <w:color w:val="000000"/>
                <w:kern w:val="0"/>
                <w:sz w:val="22"/>
                <w:highlight w:val="none"/>
              </w:rPr>
              <w:t>硬盘</w:t>
            </w:r>
          </w:p>
        </w:tc>
        <w:tc>
          <w:tcPr>
            <w:tcW w:w="2378" w:type="dxa"/>
            <w:shd w:val="clear" w:color="000000" w:fill="FFFFFF"/>
            <w:vAlign w:val="center"/>
          </w:tcPr>
          <w:p w14:paraId="65F8297E">
            <w:pPr>
              <w:widowControl/>
              <w:jc w:val="left"/>
              <w:rPr>
                <w:color w:val="000000"/>
                <w:kern w:val="0"/>
                <w:sz w:val="22"/>
                <w:highlight w:val="none"/>
              </w:rPr>
            </w:pPr>
            <w:r>
              <w:rPr>
                <w:color w:val="000000"/>
                <w:kern w:val="0"/>
                <w:sz w:val="22"/>
                <w:highlight w:val="none"/>
              </w:rPr>
              <w:t>ST2000VX003</w:t>
            </w:r>
          </w:p>
        </w:tc>
        <w:tc>
          <w:tcPr>
            <w:tcW w:w="736" w:type="dxa"/>
            <w:shd w:val="clear" w:color="000000" w:fill="FFFFFF"/>
            <w:noWrap/>
            <w:vAlign w:val="center"/>
          </w:tcPr>
          <w:p w14:paraId="7C5CB9DC">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0C532D21">
            <w:pPr>
              <w:widowControl/>
              <w:jc w:val="center"/>
              <w:rPr>
                <w:color w:val="000000"/>
                <w:kern w:val="0"/>
                <w:sz w:val="22"/>
                <w:highlight w:val="none"/>
              </w:rPr>
            </w:pPr>
            <w:r>
              <w:rPr>
                <w:color w:val="000000"/>
                <w:kern w:val="0"/>
                <w:sz w:val="22"/>
                <w:highlight w:val="none"/>
              </w:rPr>
              <w:t>6</w:t>
            </w:r>
          </w:p>
        </w:tc>
      </w:tr>
      <w:tr w14:paraId="4006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36567ADF">
            <w:pPr>
              <w:widowControl/>
              <w:jc w:val="center"/>
              <w:rPr>
                <w:color w:val="000000"/>
                <w:kern w:val="0"/>
                <w:sz w:val="22"/>
                <w:highlight w:val="none"/>
              </w:rPr>
            </w:pPr>
            <w:r>
              <w:rPr>
                <w:color w:val="000000"/>
                <w:kern w:val="0"/>
                <w:sz w:val="22"/>
                <w:highlight w:val="none"/>
              </w:rPr>
              <w:t>5.5</w:t>
            </w:r>
          </w:p>
        </w:tc>
        <w:tc>
          <w:tcPr>
            <w:tcW w:w="3650" w:type="dxa"/>
            <w:gridSpan w:val="2"/>
            <w:shd w:val="clear" w:color="000000" w:fill="FFFFFF"/>
            <w:noWrap/>
            <w:vAlign w:val="center"/>
          </w:tcPr>
          <w:p w14:paraId="2EB48744">
            <w:pPr>
              <w:widowControl/>
              <w:jc w:val="left"/>
              <w:rPr>
                <w:color w:val="000000"/>
                <w:kern w:val="0"/>
                <w:sz w:val="22"/>
                <w:highlight w:val="none"/>
              </w:rPr>
            </w:pPr>
            <w:r>
              <w:rPr>
                <w:color w:val="000000"/>
                <w:kern w:val="0"/>
                <w:sz w:val="22"/>
                <w:highlight w:val="none"/>
              </w:rPr>
              <w:t>工业交换机</w:t>
            </w:r>
          </w:p>
        </w:tc>
        <w:tc>
          <w:tcPr>
            <w:tcW w:w="2378" w:type="dxa"/>
            <w:shd w:val="clear" w:color="000000" w:fill="FFFFFF"/>
            <w:vAlign w:val="center"/>
          </w:tcPr>
          <w:p w14:paraId="5EB615C4">
            <w:pPr>
              <w:widowControl/>
              <w:jc w:val="left"/>
              <w:rPr>
                <w:color w:val="000000"/>
                <w:kern w:val="0"/>
                <w:sz w:val="22"/>
                <w:highlight w:val="none"/>
              </w:rPr>
            </w:pPr>
            <w:r>
              <w:rPr>
                <w:color w:val="000000"/>
                <w:kern w:val="0"/>
                <w:sz w:val="22"/>
                <w:highlight w:val="none"/>
              </w:rPr>
              <w:t>iTrans-C1512G120-2GS</w:t>
            </w:r>
          </w:p>
        </w:tc>
        <w:tc>
          <w:tcPr>
            <w:tcW w:w="736" w:type="dxa"/>
            <w:shd w:val="clear" w:color="000000" w:fill="FFFFFF"/>
            <w:noWrap/>
            <w:vAlign w:val="center"/>
          </w:tcPr>
          <w:p w14:paraId="0A6DE6C9">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353B53AF">
            <w:pPr>
              <w:widowControl/>
              <w:jc w:val="center"/>
              <w:rPr>
                <w:color w:val="000000"/>
                <w:kern w:val="0"/>
                <w:sz w:val="22"/>
                <w:highlight w:val="none"/>
              </w:rPr>
            </w:pPr>
            <w:r>
              <w:rPr>
                <w:color w:val="000000"/>
                <w:kern w:val="0"/>
                <w:sz w:val="22"/>
                <w:highlight w:val="none"/>
              </w:rPr>
              <w:t>6</w:t>
            </w:r>
          </w:p>
        </w:tc>
      </w:tr>
      <w:tr w14:paraId="7D9D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48695849">
            <w:pPr>
              <w:widowControl/>
              <w:jc w:val="center"/>
              <w:rPr>
                <w:color w:val="000000"/>
                <w:kern w:val="0"/>
                <w:sz w:val="22"/>
                <w:highlight w:val="none"/>
              </w:rPr>
            </w:pPr>
            <w:r>
              <w:rPr>
                <w:color w:val="000000"/>
                <w:kern w:val="0"/>
                <w:sz w:val="22"/>
                <w:highlight w:val="none"/>
              </w:rPr>
              <w:t>5.6</w:t>
            </w:r>
          </w:p>
        </w:tc>
        <w:tc>
          <w:tcPr>
            <w:tcW w:w="3650" w:type="dxa"/>
            <w:gridSpan w:val="2"/>
            <w:shd w:val="clear" w:color="000000" w:fill="FFFFFF"/>
            <w:noWrap/>
            <w:vAlign w:val="center"/>
          </w:tcPr>
          <w:p w14:paraId="0C6CC369">
            <w:pPr>
              <w:widowControl/>
              <w:jc w:val="left"/>
              <w:rPr>
                <w:color w:val="000000"/>
                <w:kern w:val="0"/>
                <w:sz w:val="22"/>
                <w:highlight w:val="none"/>
              </w:rPr>
            </w:pPr>
            <w:r>
              <w:rPr>
                <w:color w:val="000000"/>
                <w:kern w:val="0"/>
                <w:sz w:val="22"/>
                <w:highlight w:val="none"/>
              </w:rPr>
              <w:t>监控标识牌</w:t>
            </w:r>
          </w:p>
        </w:tc>
        <w:tc>
          <w:tcPr>
            <w:tcW w:w="2378" w:type="dxa"/>
            <w:shd w:val="clear" w:color="000000" w:fill="FFFFFF"/>
            <w:vAlign w:val="center"/>
          </w:tcPr>
          <w:p w14:paraId="43915349">
            <w:pPr>
              <w:widowControl/>
              <w:jc w:val="left"/>
              <w:rPr>
                <w:color w:val="000000"/>
                <w:kern w:val="0"/>
                <w:sz w:val="22"/>
                <w:highlight w:val="none"/>
              </w:rPr>
            </w:pPr>
            <w:r>
              <w:rPr>
                <w:color w:val="000000"/>
                <w:kern w:val="0"/>
                <w:sz w:val="22"/>
                <w:highlight w:val="none"/>
              </w:rPr>
              <w:t>定制</w:t>
            </w:r>
          </w:p>
        </w:tc>
        <w:tc>
          <w:tcPr>
            <w:tcW w:w="736" w:type="dxa"/>
            <w:shd w:val="clear" w:color="000000" w:fill="FFFFFF"/>
            <w:noWrap/>
            <w:vAlign w:val="center"/>
          </w:tcPr>
          <w:p w14:paraId="3934DD94">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3C254A3C">
            <w:pPr>
              <w:widowControl/>
              <w:jc w:val="center"/>
              <w:rPr>
                <w:color w:val="000000"/>
                <w:kern w:val="0"/>
                <w:sz w:val="22"/>
                <w:highlight w:val="none"/>
              </w:rPr>
            </w:pPr>
            <w:r>
              <w:rPr>
                <w:color w:val="000000"/>
                <w:kern w:val="0"/>
                <w:sz w:val="22"/>
                <w:highlight w:val="none"/>
              </w:rPr>
              <w:t>6</w:t>
            </w:r>
          </w:p>
        </w:tc>
      </w:tr>
      <w:tr w14:paraId="0D7F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28E71CDE">
            <w:pPr>
              <w:widowControl/>
              <w:jc w:val="center"/>
              <w:rPr>
                <w:b/>
                <w:bCs/>
                <w:color w:val="000000"/>
                <w:kern w:val="0"/>
                <w:sz w:val="22"/>
                <w:highlight w:val="none"/>
              </w:rPr>
            </w:pPr>
            <w:r>
              <w:rPr>
                <w:b/>
                <w:bCs/>
                <w:color w:val="000000"/>
                <w:kern w:val="0"/>
                <w:sz w:val="22"/>
                <w:highlight w:val="none"/>
              </w:rPr>
              <w:t>（二）</w:t>
            </w:r>
          </w:p>
        </w:tc>
        <w:tc>
          <w:tcPr>
            <w:tcW w:w="6028" w:type="dxa"/>
            <w:gridSpan w:val="3"/>
            <w:shd w:val="clear" w:color="000000" w:fill="FFFFFF"/>
            <w:noWrap/>
            <w:vAlign w:val="center"/>
          </w:tcPr>
          <w:p w14:paraId="454B4564">
            <w:pPr>
              <w:widowControl/>
              <w:jc w:val="left"/>
              <w:rPr>
                <w:b/>
                <w:bCs/>
                <w:color w:val="000000"/>
                <w:kern w:val="0"/>
                <w:sz w:val="22"/>
                <w:highlight w:val="none"/>
              </w:rPr>
            </w:pPr>
            <w:r>
              <w:rPr>
                <w:b/>
                <w:bCs/>
                <w:color w:val="000000"/>
                <w:kern w:val="0"/>
                <w:sz w:val="22"/>
                <w:highlight w:val="none"/>
              </w:rPr>
              <w:t>电子卡口系统</w:t>
            </w:r>
          </w:p>
        </w:tc>
        <w:tc>
          <w:tcPr>
            <w:tcW w:w="1461" w:type="dxa"/>
            <w:gridSpan w:val="2"/>
            <w:shd w:val="clear" w:color="000000" w:fill="FFFFFF"/>
            <w:noWrap/>
            <w:vAlign w:val="center"/>
          </w:tcPr>
          <w:p w14:paraId="73B1F7E0">
            <w:pPr>
              <w:widowControl/>
              <w:jc w:val="left"/>
              <w:rPr>
                <w:b/>
                <w:bCs/>
                <w:color w:val="000000"/>
                <w:kern w:val="0"/>
                <w:sz w:val="22"/>
                <w:highlight w:val="none"/>
              </w:rPr>
            </w:pPr>
            <w:r>
              <w:rPr>
                <w:b/>
                <w:bCs/>
                <w:color w:val="000000"/>
                <w:kern w:val="0"/>
                <w:sz w:val="22"/>
                <w:highlight w:val="none"/>
              </w:rPr>
              <w:t>　</w:t>
            </w:r>
          </w:p>
        </w:tc>
      </w:tr>
      <w:tr w14:paraId="6324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63990A54">
            <w:pPr>
              <w:widowControl/>
              <w:jc w:val="center"/>
              <w:rPr>
                <w:b/>
                <w:bCs/>
                <w:color w:val="000000"/>
                <w:kern w:val="0"/>
                <w:sz w:val="22"/>
                <w:highlight w:val="none"/>
              </w:rPr>
            </w:pPr>
            <w:r>
              <w:rPr>
                <w:b/>
                <w:bCs/>
                <w:color w:val="000000"/>
                <w:kern w:val="0"/>
                <w:sz w:val="22"/>
                <w:highlight w:val="none"/>
              </w:rPr>
              <w:t>1</w:t>
            </w:r>
          </w:p>
        </w:tc>
        <w:tc>
          <w:tcPr>
            <w:tcW w:w="3650" w:type="dxa"/>
            <w:gridSpan w:val="2"/>
            <w:shd w:val="clear" w:color="000000" w:fill="FFFFFF"/>
            <w:noWrap/>
            <w:vAlign w:val="center"/>
          </w:tcPr>
          <w:p w14:paraId="012E1488">
            <w:pPr>
              <w:widowControl/>
              <w:jc w:val="left"/>
              <w:rPr>
                <w:b/>
                <w:bCs/>
                <w:color w:val="000000"/>
                <w:kern w:val="0"/>
                <w:sz w:val="22"/>
                <w:highlight w:val="none"/>
              </w:rPr>
            </w:pPr>
            <w:r>
              <w:rPr>
                <w:b/>
                <w:bCs/>
                <w:color w:val="000000"/>
                <w:kern w:val="0"/>
                <w:sz w:val="22"/>
                <w:highlight w:val="none"/>
              </w:rPr>
              <w:t>电子卡口杆体及支架</w:t>
            </w:r>
          </w:p>
        </w:tc>
        <w:tc>
          <w:tcPr>
            <w:tcW w:w="2378" w:type="dxa"/>
            <w:shd w:val="clear" w:color="000000" w:fill="FFFFFF"/>
            <w:vAlign w:val="center"/>
          </w:tcPr>
          <w:p w14:paraId="5FD65AFA">
            <w:pPr>
              <w:widowControl/>
              <w:jc w:val="center"/>
              <w:rPr>
                <w:b/>
                <w:bCs/>
                <w:color w:val="000000"/>
                <w:kern w:val="0"/>
                <w:sz w:val="22"/>
                <w:highlight w:val="none"/>
              </w:rPr>
            </w:pPr>
            <w:r>
              <w:rPr>
                <w:b/>
                <w:bCs/>
                <w:color w:val="000000"/>
                <w:kern w:val="0"/>
                <w:sz w:val="22"/>
                <w:highlight w:val="none"/>
              </w:rPr>
              <w:t>定制</w:t>
            </w:r>
          </w:p>
        </w:tc>
        <w:tc>
          <w:tcPr>
            <w:tcW w:w="736" w:type="dxa"/>
            <w:shd w:val="clear" w:color="000000" w:fill="FFFFFF"/>
            <w:noWrap/>
            <w:vAlign w:val="center"/>
          </w:tcPr>
          <w:p w14:paraId="3D6D2427">
            <w:pPr>
              <w:widowControl/>
              <w:jc w:val="center"/>
              <w:rPr>
                <w:b/>
                <w:bCs/>
                <w:color w:val="000000"/>
                <w:kern w:val="0"/>
                <w:sz w:val="22"/>
                <w:highlight w:val="none"/>
              </w:rPr>
            </w:pPr>
            <w:r>
              <w:rPr>
                <w:b/>
                <w:bCs/>
                <w:color w:val="000000"/>
                <w:kern w:val="0"/>
                <w:sz w:val="22"/>
                <w:highlight w:val="none"/>
              </w:rPr>
              <w:t>套</w:t>
            </w:r>
          </w:p>
        </w:tc>
        <w:tc>
          <w:tcPr>
            <w:tcW w:w="725" w:type="dxa"/>
            <w:shd w:val="clear" w:color="000000" w:fill="FFFFFF"/>
            <w:noWrap/>
            <w:vAlign w:val="center"/>
          </w:tcPr>
          <w:p w14:paraId="1F10D0B9">
            <w:pPr>
              <w:widowControl/>
              <w:jc w:val="center"/>
              <w:rPr>
                <w:b/>
                <w:bCs/>
                <w:color w:val="000000"/>
                <w:kern w:val="0"/>
                <w:sz w:val="22"/>
                <w:highlight w:val="none"/>
              </w:rPr>
            </w:pPr>
            <w:r>
              <w:rPr>
                <w:b/>
                <w:bCs/>
                <w:color w:val="000000"/>
                <w:kern w:val="0"/>
                <w:sz w:val="22"/>
                <w:highlight w:val="none"/>
              </w:rPr>
              <w:t>9</w:t>
            </w:r>
          </w:p>
        </w:tc>
      </w:tr>
      <w:tr w14:paraId="5778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7B02A4CE">
            <w:pPr>
              <w:widowControl/>
              <w:jc w:val="center"/>
              <w:rPr>
                <w:b/>
                <w:bCs/>
                <w:color w:val="000000"/>
                <w:kern w:val="0"/>
                <w:sz w:val="22"/>
                <w:highlight w:val="none"/>
              </w:rPr>
            </w:pPr>
            <w:r>
              <w:rPr>
                <w:b/>
                <w:bCs/>
                <w:color w:val="000000"/>
                <w:kern w:val="0"/>
                <w:sz w:val="22"/>
                <w:highlight w:val="none"/>
              </w:rPr>
              <w:t>2</w:t>
            </w:r>
          </w:p>
        </w:tc>
        <w:tc>
          <w:tcPr>
            <w:tcW w:w="3650" w:type="dxa"/>
            <w:gridSpan w:val="2"/>
            <w:shd w:val="clear" w:color="000000" w:fill="FFFFFF"/>
            <w:noWrap/>
            <w:vAlign w:val="center"/>
          </w:tcPr>
          <w:p w14:paraId="2F7976A3">
            <w:pPr>
              <w:widowControl/>
              <w:jc w:val="left"/>
              <w:rPr>
                <w:b/>
                <w:bCs/>
                <w:color w:val="000000"/>
                <w:kern w:val="0"/>
                <w:sz w:val="22"/>
                <w:highlight w:val="none"/>
              </w:rPr>
            </w:pPr>
            <w:r>
              <w:rPr>
                <w:b/>
                <w:bCs/>
                <w:color w:val="000000"/>
                <w:kern w:val="0"/>
                <w:sz w:val="22"/>
                <w:highlight w:val="none"/>
              </w:rPr>
              <w:t>摄像机</w:t>
            </w:r>
          </w:p>
        </w:tc>
        <w:tc>
          <w:tcPr>
            <w:tcW w:w="2378" w:type="dxa"/>
            <w:shd w:val="clear" w:color="000000" w:fill="FFFFFF"/>
            <w:vAlign w:val="center"/>
          </w:tcPr>
          <w:p w14:paraId="61C9122C">
            <w:pPr>
              <w:widowControl/>
              <w:jc w:val="left"/>
              <w:rPr>
                <w:b/>
                <w:bCs/>
                <w:color w:val="000000"/>
                <w:kern w:val="0"/>
                <w:sz w:val="22"/>
                <w:highlight w:val="none"/>
              </w:rPr>
            </w:pPr>
            <w:r>
              <w:rPr>
                <w:b/>
                <w:bCs/>
                <w:color w:val="000000"/>
                <w:kern w:val="0"/>
                <w:sz w:val="22"/>
                <w:highlight w:val="none"/>
              </w:rPr>
              <w:t>　</w:t>
            </w:r>
          </w:p>
        </w:tc>
        <w:tc>
          <w:tcPr>
            <w:tcW w:w="736" w:type="dxa"/>
            <w:shd w:val="clear" w:color="000000" w:fill="FFFFFF"/>
            <w:noWrap/>
            <w:vAlign w:val="center"/>
          </w:tcPr>
          <w:p w14:paraId="79CAFC58">
            <w:pPr>
              <w:widowControl/>
              <w:jc w:val="center"/>
              <w:rPr>
                <w:b/>
                <w:bCs/>
                <w:color w:val="000000"/>
                <w:kern w:val="0"/>
                <w:sz w:val="22"/>
                <w:highlight w:val="none"/>
              </w:rPr>
            </w:pPr>
            <w:r>
              <w:rPr>
                <w:b/>
                <w:bCs/>
                <w:color w:val="000000"/>
                <w:kern w:val="0"/>
                <w:sz w:val="22"/>
                <w:highlight w:val="none"/>
              </w:rPr>
              <w:t>　</w:t>
            </w:r>
          </w:p>
        </w:tc>
        <w:tc>
          <w:tcPr>
            <w:tcW w:w="725" w:type="dxa"/>
            <w:shd w:val="clear" w:color="000000" w:fill="FFFFFF"/>
            <w:noWrap/>
            <w:vAlign w:val="center"/>
          </w:tcPr>
          <w:p w14:paraId="7B3FBE6A">
            <w:pPr>
              <w:widowControl/>
              <w:jc w:val="center"/>
              <w:rPr>
                <w:b/>
                <w:bCs/>
                <w:color w:val="000000"/>
                <w:kern w:val="0"/>
                <w:sz w:val="22"/>
                <w:highlight w:val="none"/>
              </w:rPr>
            </w:pPr>
            <w:r>
              <w:rPr>
                <w:b/>
                <w:bCs/>
                <w:color w:val="000000"/>
                <w:kern w:val="0"/>
                <w:sz w:val="22"/>
                <w:highlight w:val="none"/>
              </w:rPr>
              <w:t>　</w:t>
            </w:r>
          </w:p>
        </w:tc>
      </w:tr>
      <w:tr w14:paraId="55FF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restart"/>
            <w:shd w:val="clear" w:color="000000" w:fill="FFFFFF"/>
            <w:noWrap/>
            <w:vAlign w:val="center"/>
          </w:tcPr>
          <w:p w14:paraId="55E31016">
            <w:pPr>
              <w:widowControl/>
              <w:jc w:val="center"/>
              <w:rPr>
                <w:color w:val="000000"/>
                <w:kern w:val="0"/>
                <w:sz w:val="22"/>
                <w:highlight w:val="none"/>
              </w:rPr>
            </w:pPr>
            <w:r>
              <w:rPr>
                <w:color w:val="000000"/>
                <w:kern w:val="0"/>
                <w:sz w:val="22"/>
                <w:highlight w:val="none"/>
              </w:rPr>
              <w:t>2.1</w:t>
            </w:r>
          </w:p>
        </w:tc>
        <w:tc>
          <w:tcPr>
            <w:tcW w:w="3650" w:type="dxa"/>
            <w:gridSpan w:val="2"/>
            <w:vMerge w:val="restart"/>
            <w:shd w:val="clear" w:color="000000" w:fill="FFFFFF"/>
            <w:noWrap/>
            <w:vAlign w:val="center"/>
          </w:tcPr>
          <w:p w14:paraId="02ECF84F">
            <w:pPr>
              <w:widowControl/>
              <w:jc w:val="left"/>
              <w:rPr>
                <w:color w:val="000000"/>
                <w:kern w:val="0"/>
                <w:sz w:val="22"/>
                <w:highlight w:val="none"/>
              </w:rPr>
            </w:pPr>
            <w:r>
              <w:rPr>
                <w:color w:val="000000"/>
                <w:kern w:val="0"/>
                <w:sz w:val="22"/>
                <w:highlight w:val="none"/>
              </w:rPr>
              <w:t>高清智能卡口摄像单元（或车辆牌照识别抓拍系统）</w:t>
            </w:r>
          </w:p>
        </w:tc>
        <w:tc>
          <w:tcPr>
            <w:tcW w:w="2378" w:type="dxa"/>
            <w:shd w:val="clear" w:color="000000" w:fill="FFFFFF"/>
            <w:vAlign w:val="center"/>
          </w:tcPr>
          <w:p w14:paraId="57FE99C8">
            <w:pPr>
              <w:widowControl/>
              <w:jc w:val="left"/>
              <w:rPr>
                <w:color w:val="000000"/>
                <w:kern w:val="0"/>
                <w:sz w:val="22"/>
                <w:highlight w:val="none"/>
              </w:rPr>
            </w:pPr>
            <w:r>
              <w:rPr>
                <w:color w:val="000000"/>
                <w:kern w:val="0"/>
                <w:sz w:val="22"/>
                <w:highlight w:val="none"/>
              </w:rPr>
              <w:t>TC-T217-3MP</w:t>
            </w:r>
          </w:p>
        </w:tc>
        <w:tc>
          <w:tcPr>
            <w:tcW w:w="736" w:type="dxa"/>
            <w:shd w:val="clear" w:color="000000" w:fill="FFFFFF"/>
            <w:noWrap/>
            <w:vAlign w:val="center"/>
          </w:tcPr>
          <w:p w14:paraId="5D5E7881">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0C41DE75">
            <w:pPr>
              <w:widowControl/>
              <w:jc w:val="center"/>
              <w:rPr>
                <w:color w:val="000000"/>
                <w:kern w:val="0"/>
                <w:sz w:val="22"/>
                <w:highlight w:val="none"/>
              </w:rPr>
            </w:pPr>
            <w:r>
              <w:rPr>
                <w:color w:val="000000"/>
                <w:kern w:val="0"/>
                <w:sz w:val="22"/>
                <w:highlight w:val="none"/>
              </w:rPr>
              <w:t>22</w:t>
            </w:r>
          </w:p>
        </w:tc>
      </w:tr>
      <w:tr w14:paraId="4810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56A9938B">
            <w:pPr>
              <w:widowControl/>
              <w:jc w:val="left"/>
              <w:rPr>
                <w:color w:val="000000"/>
                <w:kern w:val="0"/>
                <w:sz w:val="22"/>
                <w:highlight w:val="none"/>
              </w:rPr>
            </w:pPr>
          </w:p>
        </w:tc>
        <w:tc>
          <w:tcPr>
            <w:tcW w:w="3650" w:type="dxa"/>
            <w:gridSpan w:val="2"/>
            <w:vMerge w:val="continue"/>
            <w:vAlign w:val="center"/>
          </w:tcPr>
          <w:p w14:paraId="428E0D65">
            <w:pPr>
              <w:widowControl/>
              <w:jc w:val="left"/>
              <w:rPr>
                <w:color w:val="000000"/>
                <w:kern w:val="0"/>
                <w:sz w:val="22"/>
                <w:highlight w:val="none"/>
              </w:rPr>
            </w:pPr>
          </w:p>
        </w:tc>
        <w:tc>
          <w:tcPr>
            <w:tcW w:w="2378" w:type="dxa"/>
            <w:shd w:val="clear" w:color="000000" w:fill="FFFFFF"/>
            <w:vAlign w:val="center"/>
          </w:tcPr>
          <w:p w14:paraId="5EA4A39F">
            <w:pPr>
              <w:widowControl/>
              <w:jc w:val="left"/>
              <w:rPr>
                <w:color w:val="000000"/>
                <w:kern w:val="0"/>
                <w:sz w:val="22"/>
                <w:highlight w:val="none"/>
              </w:rPr>
            </w:pPr>
            <w:r>
              <w:rPr>
                <w:color w:val="000000"/>
                <w:kern w:val="0"/>
                <w:sz w:val="22"/>
                <w:highlight w:val="none"/>
              </w:rPr>
              <w:t>TC-T513</w:t>
            </w:r>
          </w:p>
        </w:tc>
        <w:tc>
          <w:tcPr>
            <w:tcW w:w="736" w:type="dxa"/>
            <w:shd w:val="clear" w:color="000000" w:fill="FFFFFF"/>
            <w:noWrap/>
            <w:vAlign w:val="center"/>
          </w:tcPr>
          <w:p w14:paraId="6D25F2FC">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63E7A0C9">
            <w:pPr>
              <w:widowControl/>
              <w:jc w:val="center"/>
              <w:rPr>
                <w:color w:val="000000"/>
                <w:kern w:val="0"/>
                <w:sz w:val="22"/>
                <w:highlight w:val="none"/>
              </w:rPr>
            </w:pPr>
            <w:r>
              <w:rPr>
                <w:color w:val="000000"/>
                <w:kern w:val="0"/>
                <w:sz w:val="22"/>
                <w:highlight w:val="none"/>
              </w:rPr>
              <w:t>22</w:t>
            </w:r>
          </w:p>
        </w:tc>
      </w:tr>
      <w:tr w14:paraId="67215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2EB2E948">
            <w:pPr>
              <w:widowControl/>
              <w:jc w:val="left"/>
              <w:rPr>
                <w:color w:val="000000"/>
                <w:kern w:val="0"/>
                <w:sz w:val="22"/>
                <w:highlight w:val="none"/>
              </w:rPr>
            </w:pPr>
          </w:p>
        </w:tc>
        <w:tc>
          <w:tcPr>
            <w:tcW w:w="3650" w:type="dxa"/>
            <w:gridSpan w:val="2"/>
            <w:vMerge w:val="continue"/>
            <w:vAlign w:val="center"/>
          </w:tcPr>
          <w:p w14:paraId="20AC410E">
            <w:pPr>
              <w:widowControl/>
              <w:jc w:val="left"/>
              <w:rPr>
                <w:color w:val="000000"/>
                <w:kern w:val="0"/>
                <w:sz w:val="22"/>
                <w:highlight w:val="none"/>
              </w:rPr>
            </w:pPr>
          </w:p>
        </w:tc>
        <w:tc>
          <w:tcPr>
            <w:tcW w:w="2378" w:type="dxa"/>
            <w:shd w:val="clear" w:color="000000" w:fill="FFFFFF"/>
            <w:vAlign w:val="center"/>
          </w:tcPr>
          <w:p w14:paraId="0B487E05">
            <w:pPr>
              <w:widowControl/>
              <w:jc w:val="left"/>
              <w:rPr>
                <w:color w:val="000000"/>
                <w:kern w:val="0"/>
                <w:sz w:val="22"/>
                <w:highlight w:val="none"/>
              </w:rPr>
            </w:pPr>
            <w:r>
              <w:rPr>
                <w:color w:val="000000"/>
                <w:kern w:val="0"/>
                <w:sz w:val="22"/>
                <w:highlight w:val="none"/>
              </w:rPr>
              <w:t>TC-T550</w:t>
            </w:r>
          </w:p>
        </w:tc>
        <w:tc>
          <w:tcPr>
            <w:tcW w:w="736" w:type="dxa"/>
            <w:shd w:val="clear" w:color="000000" w:fill="FFFFFF"/>
            <w:noWrap/>
            <w:vAlign w:val="center"/>
          </w:tcPr>
          <w:p w14:paraId="771747AD">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5325AB16">
            <w:pPr>
              <w:widowControl/>
              <w:jc w:val="center"/>
              <w:rPr>
                <w:color w:val="000000"/>
                <w:kern w:val="0"/>
                <w:sz w:val="22"/>
                <w:highlight w:val="none"/>
              </w:rPr>
            </w:pPr>
            <w:r>
              <w:rPr>
                <w:color w:val="000000"/>
                <w:kern w:val="0"/>
                <w:sz w:val="22"/>
                <w:highlight w:val="none"/>
              </w:rPr>
              <w:t>22</w:t>
            </w:r>
          </w:p>
        </w:tc>
      </w:tr>
      <w:tr w14:paraId="27E8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0476D8BE">
            <w:pPr>
              <w:widowControl/>
              <w:jc w:val="left"/>
              <w:rPr>
                <w:color w:val="000000"/>
                <w:kern w:val="0"/>
                <w:sz w:val="22"/>
                <w:highlight w:val="none"/>
              </w:rPr>
            </w:pPr>
          </w:p>
        </w:tc>
        <w:tc>
          <w:tcPr>
            <w:tcW w:w="3650" w:type="dxa"/>
            <w:gridSpan w:val="2"/>
            <w:vMerge w:val="continue"/>
            <w:vAlign w:val="center"/>
          </w:tcPr>
          <w:p w14:paraId="5E659C8E">
            <w:pPr>
              <w:widowControl/>
              <w:jc w:val="left"/>
              <w:rPr>
                <w:color w:val="000000"/>
                <w:kern w:val="0"/>
                <w:sz w:val="22"/>
                <w:highlight w:val="none"/>
              </w:rPr>
            </w:pPr>
          </w:p>
        </w:tc>
        <w:tc>
          <w:tcPr>
            <w:tcW w:w="2378" w:type="dxa"/>
            <w:shd w:val="clear" w:color="000000" w:fill="FFFFFF"/>
            <w:vAlign w:val="center"/>
          </w:tcPr>
          <w:p w14:paraId="7B33E1E1">
            <w:pPr>
              <w:widowControl/>
              <w:jc w:val="left"/>
              <w:rPr>
                <w:color w:val="000000"/>
                <w:kern w:val="0"/>
                <w:sz w:val="22"/>
                <w:highlight w:val="none"/>
              </w:rPr>
            </w:pPr>
            <w:r>
              <w:rPr>
                <w:color w:val="000000"/>
                <w:kern w:val="0"/>
                <w:sz w:val="22"/>
                <w:highlight w:val="none"/>
              </w:rPr>
              <w:t>64G CLASS10</w:t>
            </w:r>
          </w:p>
        </w:tc>
        <w:tc>
          <w:tcPr>
            <w:tcW w:w="736" w:type="dxa"/>
            <w:shd w:val="clear" w:color="000000" w:fill="FFFFFF"/>
            <w:noWrap/>
            <w:vAlign w:val="center"/>
          </w:tcPr>
          <w:p w14:paraId="106D5CF7">
            <w:pPr>
              <w:widowControl/>
              <w:jc w:val="center"/>
              <w:rPr>
                <w:color w:val="000000"/>
                <w:kern w:val="0"/>
                <w:sz w:val="22"/>
                <w:highlight w:val="none"/>
              </w:rPr>
            </w:pPr>
            <w:r>
              <w:rPr>
                <w:color w:val="000000"/>
                <w:kern w:val="0"/>
                <w:sz w:val="22"/>
                <w:highlight w:val="none"/>
              </w:rPr>
              <w:t>个</w:t>
            </w:r>
          </w:p>
        </w:tc>
        <w:tc>
          <w:tcPr>
            <w:tcW w:w="725" w:type="dxa"/>
            <w:shd w:val="clear" w:color="000000" w:fill="FFFFFF"/>
            <w:noWrap/>
            <w:vAlign w:val="center"/>
          </w:tcPr>
          <w:p w14:paraId="4E943CAE">
            <w:pPr>
              <w:widowControl/>
              <w:jc w:val="center"/>
              <w:rPr>
                <w:color w:val="000000"/>
                <w:kern w:val="0"/>
                <w:sz w:val="22"/>
                <w:highlight w:val="none"/>
              </w:rPr>
            </w:pPr>
            <w:r>
              <w:rPr>
                <w:color w:val="000000"/>
                <w:kern w:val="0"/>
                <w:sz w:val="22"/>
                <w:highlight w:val="none"/>
              </w:rPr>
              <w:t>22</w:t>
            </w:r>
          </w:p>
        </w:tc>
      </w:tr>
      <w:tr w14:paraId="398C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2931F550">
            <w:pPr>
              <w:widowControl/>
              <w:jc w:val="center"/>
              <w:rPr>
                <w:color w:val="000000"/>
                <w:kern w:val="0"/>
                <w:sz w:val="22"/>
                <w:highlight w:val="none"/>
              </w:rPr>
            </w:pPr>
            <w:r>
              <w:rPr>
                <w:color w:val="000000"/>
                <w:kern w:val="0"/>
                <w:sz w:val="22"/>
                <w:highlight w:val="none"/>
              </w:rPr>
              <w:t>2.2</w:t>
            </w:r>
          </w:p>
        </w:tc>
        <w:tc>
          <w:tcPr>
            <w:tcW w:w="3650" w:type="dxa"/>
            <w:gridSpan w:val="2"/>
            <w:shd w:val="clear" w:color="000000" w:fill="FFFFFF"/>
            <w:noWrap/>
            <w:vAlign w:val="center"/>
          </w:tcPr>
          <w:p w14:paraId="7C9CD893">
            <w:pPr>
              <w:widowControl/>
              <w:jc w:val="left"/>
              <w:rPr>
                <w:color w:val="000000"/>
                <w:kern w:val="0"/>
                <w:sz w:val="22"/>
                <w:highlight w:val="none"/>
              </w:rPr>
            </w:pPr>
            <w:r>
              <w:rPr>
                <w:color w:val="000000"/>
                <w:kern w:val="0"/>
                <w:sz w:val="22"/>
                <w:highlight w:val="none"/>
              </w:rPr>
              <w:t>正反向全景摄像机</w:t>
            </w:r>
          </w:p>
        </w:tc>
        <w:tc>
          <w:tcPr>
            <w:tcW w:w="2378" w:type="dxa"/>
            <w:shd w:val="clear" w:color="000000" w:fill="FFFFFF"/>
            <w:vAlign w:val="center"/>
          </w:tcPr>
          <w:p w14:paraId="282D696D">
            <w:pPr>
              <w:widowControl/>
              <w:jc w:val="left"/>
              <w:rPr>
                <w:color w:val="000000"/>
                <w:kern w:val="0"/>
                <w:sz w:val="22"/>
                <w:highlight w:val="none"/>
              </w:rPr>
            </w:pPr>
            <w:r>
              <w:rPr>
                <w:color w:val="000000"/>
                <w:kern w:val="0"/>
                <w:sz w:val="22"/>
                <w:highlight w:val="none"/>
              </w:rPr>
              <w:t>TC-NC9001S3E-2MP-ES</w:t>
            </w:r>
          </w:p>
        </w:tc>
        <w:tc>
          <w:tcPr>
            <w:tcW w:w="736" w:type="dxa"/>
            <w:shd w:val="clear" w:color="000000" w:fill="FFFFFF"/>
            <w:noWrap/>
            <w:vAlign w:val="center"/>
          </w:tcPr>
          <w:p w14:paraId="71325555">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33009CCF">
            <w:pPr>
              <w:widowControl/>
              <w:jc w:val="center"/>
              <w:rPr>
                <w:color w:val="000000"/>
                <w:kern w:val="0"/>
                <w:sz w:val="22"/>
                <w:highlight w:val="none"/>
              </w:rPr>
            </w:pPr>
            <w:r>
              <w:rPr>
                <w:color w:val="000000"/>
                <w:kern w:val="0"/>
                <w:sz w:val="22"/>
                <w:highlight w:val="none"/>
              </w:rPr>
              <w:t>20</w:t>
            </w:r>
          </w:p>
        </w:tc>
      </w:tr>
      <w:tr w14:paraId="1B64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5E09E3F6">
            <w:pPr>
              <w:widowControl/>
              <w:jc w:val="center"/>
              <w:rPr>
                <w:b/>
                <w:bCs/>
                <w:color w:val="000000"/>
                <w:kern w:val="0"/>
                <w:sz w:val="22"/>
                <w:highlight w:val="none"/>
              </w:rPr>
            </w:pPr>
            <w:r>
              <w:rPr>
                <w:b/>
                <w:bCs/>
                <w:color w:val="000000"/>
                <w:kern w:val="0"/>
                <w:sz w:val="22"/>
                <w:highlight w:val="none"/>
              </w:rPr>
              <w:t>3</w:t>
            </w:r>
          </w:p>
        </w:tc>
        <w:tc>
          <w:tcPr>
            <w:tcW w:w="3650" w:type="dxa"/>
            <w:gridSpan w:val="2"/>
            <w:shd w:val="clear" w:color="000000" w:fill="FFFFFF"/>
            <w:noWrap/>
            <w:vAlign w:val="center"/>
          </w:tcPr>
          <w:p w14:paraId="3C7B3A58">
            <w:pPr>
              <w:widowControl/>
              <w:jc w:val="left"/>
              <w:rPr>
                <w:b/>
                <w:bCs/>
                <w:color w:val="000000"/>
                <w:kern w:val="0"/>
                <w:sz w:val="22"/>
                <w:highlight w:val="none"/>
              </w:rPr>
            </w:pPr>
            <w:r>
              <w:rPr>
                <w:b/>
                <w:bCs/>
                <w:color w:val="000000"/>
                <w:kern w:val="0"/>
                <w:sz w:val="22"/>
                <w:highlight w:val="none"/>
              </w:rPr>
              <w:t>高清手动变焦镜头</w:t>
            </w:r>
          </w:p>
        </w:tc>
        <w:tc>
          <w:tcPr>
            <w:tcW w:w="2378" w:type="dxa"/>
            <w:shd w:val="clear" w:color="000000" w:fill="FFFFFF"/>
            <w:vAlign w:val="center"/>
          </w:tcPr>
          <w:p w14:paraId="5E7A23F9">
            <w:pPr>
              <w:widowControl/>
              <w:jc w:val="left"/>
              <w:rPr>
                <w:b/>
                <w:bCs/>
                <w:color w:val="000000"/>
                <w:kern w:val="0"/>
                <w:sz w:val="22"/>
                <w:highlight w:val="none"/>
              </w:rPr>
            </w:pPr>
            <w:r>
              <w:rPr>
                <w:b/>
                <w:bCs/>
                <w:color w:val="000000"/>
                <w:kern w:val="0"/>
                <w:sz w:val="22"/>
                <w:highlight w:val="none"/>
              </w:rPr>
              <w:t>JV1216MPHD</w:t>
            </w:r>
          </w:p>
        </w:tc>
        <w:tc>
          <w:tcPr>
            <w:tcW w:w="736" w:type="dxa"/>
            <w:shd w:val="clear" w:color="000000" w:fill="FFFFFF"/>
            <w:noWrap/>
            <w:vAlign w:val="center"/>
          </w:tcPr>
          <w:p w14:paraId="0EC2F7C7">
            <w:pPr>
              <w:widowControl/>
              <w:jc w:val="center"/>
              <w:rPr>
                <w:b/>
                <w:bCs/>
                <w:color w:val="000000"/>
                <w:kern w:val="0"/>
                <w:sz w:val="22"/>
                <w:highlight w:val="none"/>
              </w:rPr>
            </w:pPr>
            <w:r>
              <w:rPr>
                <w:b/>
                <w:bCs/>
                <w:color w:val="000000"/>
                <w:kern w:val="0"/>
                <w:sz w:val="22"/>
                <w:highlight w:val="none"/>
              </w:rPr>
              <w:t>台</w:t>
            </w:r>
          </w:p>
        </w:tc>
        <w:tc>
          <w:tcPr>
            <w:tcW w:w="725" w:type="dxa"/>
            <w:shd w:val="clear" w:color="000000" w:fill="FFFFFF"/>
            <w:noWrap/>
            <w:vAlign w:val="center"/>
          </w:tcPr>
          <w:p w14:paraId="68A84B7B">
            <w:pPr>
              <w:widowControl/>
              <w:jc w:val="center"/>
              <w:rPr>
                <w:b/>
                <w:bCs/>
                <w:color w:val="000000"/>
                <w:kern w:val="0"/>
                <w:sz w:val="22"/>
                <w:highlight w:val="none"/>
              </w:rPr>
            </w:pPr>
            <w:r>
              <w:rPr>
                <w:b/>
                <w:bCs/>
                <w:color w:val="000000"/>
                <w:kern w:val="0"/>
                <w:sz w:val="22"/>
                <w:highlight w:val="none"/>
              </w:rPr>
              <w:t>20</w:t>
            </w:r>
          </w:p>
        </w:tc>
      </w:tr>
      <w:tr w14:paraId="3C483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7F10FEE9">
            <w:pPr>
              <w:widowControl/>
              <w:jc w:val="center"/>
              <w:rPr>
                <w:b/>
                <w:bCs/>
                <w:color w:val="000000"/>
                <w:kern w:val="0"/>
                <w:sz w:val="22"/>
                <w:highlight w:val="none"/>
              </w:rPr>
            </w:pPr>
            <w:r>
              <w:rPr>
                <w:b/>
                <w:bCs/>
                <w:color w:val="000000"/>
                <w:kern w:val="0"/>
                <w:sz w:val="22"/>
                <w:highlight w:val="none"/>
              </w:rPr>
              <w:t>4</w:t>
            </w:r>
          </w:p>
        </w:tc>
        <w:tc>
          <w:tcPr>
            <w:tcW w:w="3650" w:type="dxa"/>
            <w:gridSpan w:val="2"/>
            <w:shd w:val="clear" w:color="000000" w:fill="FFFFFF"/>
            <w:noWrap/>
            <w:vAlign w:val="center"/>
          </w:tcPr>
          <w:p w14:paraId="4A103471">
            <w:pPr>
              <w:widowControl/>
              <w:jc w:val="left"/>
              <w:rPr>
                <w:b/>
                <w:bCs/>
                <w:color w:val="000000"/>
                <w:kern w:val="0"/>
                <w:sz w:val="22"/>
                <w:highlight w:val="none"/>
              </w:rPr>
            </w:pPr>
            <w:r>
              <w:rPr>
                <w:b/>
                <w:bCs/>
                <w:color w:val="000000"/>
                <w:kern w:val="0"/>
                <w:sz w:val="22"/>
                <w:highlight w:val="none"/>
              </w:rPr>
              <w:t>枪式防护罩</w:t>
            </w:r>
          </w:p>
        </w:tc>
        <w:tc>
          <w:tcPr>
            <w:tcW w:w="2378" w:type="dxa"/>
            <w:shd w:val="clear" w:color="000000" w:fill="FFFFFF"/>
            <w:vAlign w:val="center"/>
          </w:tcPr>
          <w:p w14:paraId="6AB8C05E">
            <w:pPr>
              <w:widowControl/>
              <w:jc w:val="left"/>
              <w:rPr>
                <w:b/>
                <w:bCs/>
                <w:color w:val="000000"/>
                <w:kern w:val="0"/>
                <w:sz w:val="22"/>
                <w:highlight w:val="none"/>
              </w:rPr>
            </w:pPr>
            <w:r>
              <w:rPr>
                <w:b/>
                <w:bCs/>
                <w:color w:val="000000"/>
                <w:kern w:val="0"/>
                <w:sz w:val="22"/>
                <w:highlight w:val="none"/>
              </w:rPr>
              <w:t>TC-4718SHK</w:t>
            </w:r>
          </w:p>
        </w:tc>
        <w:tc>
          <w:tcPr>
            <w:tcW w:w="736" w:type="dxa"/>
            <w:shd w:val="clear" w:color="000000" w:fill="FFFFFF"/>
            <w:noWrap/>
            <w:vAlign w:val="center"/>
          </w:tcPr>
          <w:p w14:paraId="4CB8D6E0">
            <w:pPr>
              <w:widowControl/>
              <w:jc w:val="center"/>
              <w:rPr>
                <w:b/>
                <w:bCs/>
                <w:color w:val="000000"/>
                <w:kern w:val="0"/>
                <w:sz w:val="22"/>
                <w:highlight w:val="none"/>
              </w:rPr>
            </w:pPr>
            <w:r>
              <w:rPr>
                <w:b/>
                <w:bCs/>
                <w:color w:val="000000"/>
                <w:kern w:val="0"/>
                <w:sz w:val="22"/>
                <w:highlight w:val="none"/>
              </w:rPr>
              <w:t>套</w:t>
            </w:r>
          </w:p>
        </w:tc>
        <w:tc>
          <w:tcPr>
            <w:tcW w:w="725" w:type="dxa"/>
            <w:shd w:val="clear" w:color="000000" w:fill="FFFFFF"/>
            <w:noWrap/>
            <w:vAlign w:val="center"/>
          </w:tcPr>
          <w:p w14:paraId="6A182B76">
            <w:pPr>
              <w:widowControl/>
              <w:jc w:val="center"/>
              <w:rPr>
                <w:b/>
                <w:bCs/>
                <w:color w:val="000000"/>
                <w:kern w:val="0"/>
                <w:sz w:val="22"/>
                <w:highlight w:val="none"/>
              </w:rPr>
            </w:pPr>
            <w:r>
              <w:rPr>
                <w:b/>
                <w:bCs/>
                <w:color w:val="000000"/>
                <w:kern w:val="0"/>
                <w:sz w:val="22"/>
                <w:highlight w:val="none"/>
              </w:rPr>
              <w:t>20</w:t>
            </w:r>
          </w:p>
        </w:tc>
      </w:tr>
      <w:tr w14:paraId="4A5C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3883ECC7">
            <w:pPr>
              <w:widowControl/>
              <w:jc w:val="center"/>
              <w:rPr>
                <w:b/>
                <w:bCs/>
                <w:color w:val="000000"/>
                <w:kern w:val="0"/>
                <w:sz w:val="22"/>
                <w:highlight w:val="none"/>
              </w:rPr>
            </w:pPr>
            <w:r>
              <w:rPr>
                <w:b/>
                <w:bCs/>
                <w:color w:val="000000"/>
                <w:kern w:val="0"/>
                <w:sz w:val="22"/>
                <w:highlight w:val="none"/>
              </w:rPr>
              <w:t>5</w:t>
            </w:r>
          </w:p>
        </w:tc>
        <w:tc>
          <w:tcPr>
            <w:tcW w:w="6028" w:type="dxa"/>
            <w:gridSpan w:val="3"/>
            <w:shd w:val="clear" w:color="000000" w:fill="FFFFFF"/>
            <w:noWrap/>
            <w:vAlign w:val="center"/>
          </w:tcPr>
          <w:p w14:paraId="381F67C2">
            <w:pPr>
              <w:widowControl/>
              <w:jc w:val="left"/>
              <w:rPr>
                <w:b/>
                <w:bCs/>
                <w:color w:val="000000"/>
                <w:kern w:val="0"/>
                <w:sz w:val="22"/>
                <w:highlight w:val="none"/>
              </w:rPr>
            </w:pPr>
            <w:r>
              <w:rPr>
                <w:b/>
                <w:bCs/>
                <w:color w:val="000000"/>
                <w:kern w:val="0"/>
                <w:sz w:val="22"/>
                <w:highlight w:val="none"/>
              </w:rPr>
              <w:t>抱杆机箱及配件</w:t>
            </w:r>
          </w:p>
        </w:tc>
        <w:tc>
          <w:tcPr>
            <w:tcW w:w="1461" w:type="dxa"/>
            <w:gridSpan w:val="2"/>
            <w:shd w:val="clear" w:color="000000" w:fill="FFFFFF"/>
            <w:noWrap/>
            <w:vAlign w:val="center"/>
          </w:tcPr>
          <w:p w14:paraId="27DC52AC">
            <w:pPr>
              <w:widowControl/>
              <w:jc w:val="left"/>
              <w:rPr>
                <w:b/>
                <w:bCs/>
                <w:color w:val="000000"/>
                <w:kern w:val="0"/>
                <w:sz w:val="22"/>
                <w:highlight w:val="none"/>
              </w:rPr>
            </w:pPr>
            <w:r>
              <w:rPr>
                <w:b/>
                <w:bCs/>
                <w:color w:val="000000"/>
                <w:kern w:val="0"/>
                <w:sz w:val="22"/>
                <w:highlight w:val="none"/>
              </w:rPr>
              <w:t>　</w:t>
            </w:r>
          </w:p>
        </w:tc>
      </w:tr>
      <w:tr w14:paraId="11A9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53AD4340">
            <w:pPr>
              <w:widowControl/>
              <w:jc w:val="center"/>
              <w:rPr>
                <w:color w:val="000000"/>
                <w:kern w:val="0"/>
                <w:sz w:val="22"/>
                <w:highlight w:val="none"/>
              </w:rPr>
            </w:pPr>
            <w:r>
              <w:rPr>
                <w:color w:val="000000"/>
                <w:kern w:val="0"/>
                <w:sz w:val="22"/>
                <w:highlight w:val="none"/>
              </w:rPr>
              <w:t>5.1</w:t>
            </w:r>
          </w:p>
        </w:tc>
        <w:tc>
          <w:tcPr>
            <w:tcW w:w="3650" w:type="dxa"/>
            <w:gridSpan w:val="2"/>
            <w:shd w:val="clear" w:color="000000" w:fill="FFFFFF"/>
            <w:noWrap/>
            <w:vAlign w:val="center"/>
          </w:tcPr>
          <w:p w14:paraId="38F9CB9D">
            <w:pPr>
              <w:widowControl/>
              <w:jc w:val="left"/>
              <w:rPr>
                <w:color w:val="000000"/>
                <w:kern w:val="0"/>
                <w:sz w:val="22"/>
                <w:highlight w:val="none"/>
              </w:rPr>
            </w:pPr>
            <w:r>
              <w:rPr>
                <w:color w:val="000000"/>
                <w:kern w:val="0"/>
                <w:sz w:val="22"/>
                <w:highlight w:val="none"/>
              </w:rPr>
              <w:t>室外分线箱</w:t>
            </w:r>
          </w:p>
        </w:tc>
        <w:tc>
          <w:tcPr>
            <w:tcW w:w="2378" w:type="dxa"/>
            <w:shd w:val="clear" w:color="000000" w:fill="FFFFFF"/>
            <w:vAlign w:val="center"/>
          </w:tcPr>
          <w:p w14:paraId="620505F2">
            <w:pPr>
              <w:widowControl/>
              <w:jc w:val="left"/>
              <w:rPr>
                <w:color w:val="000000"/>
                <w:kern w:val="0"/>
                <w:sz w:val="22"/>
                <w:highlight w:val="none"/>
              </w:rPr>
            </w:pPr>
            <w:r>
              <w:rPr>
                <w:color w:val="000000"/>
                <w:kern w:val="0"/>
                <w:sz w:val="22"/>
                <w:highlight w:val="none"/>
              </w:rPr>
              <w:t>800mm×350mm×180mm</w:t>
            </w:r>
          </w:p>
        </w:tc>
        <w:tc>
          <w:tcPr>
            <w:tcW w:w="736" w:type="dxa"/>
            <w:shd w:val="clear" w:color="000000" w:fill="FFFFFF"/>
            <w:noWrap/>
            <w:vAlign w:val="center"/>
          </w:tcPr>
          <w:p w14:paraId="75C212CA">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3157D595">
            <w:pPr>
              <w:widowControl/>
              <w:jc w:val="center"/>
              <w:rPr>
                <w:color w:val="000000"/>
                <w:kern w:val="0"/>
                <w:sz w:val="22"/>
                <w:highlight w:val="none"/>
              </w:rPr>
            </w:pPr>
            <w:r>
              <w:rPr>
                <w:color w:val="000000"/>
                <w:kern w:val="0"/>
                <w:sz w:val="22"/>
                <w:highlight w:val="none"/>
              </w:rPr>
              <w:t>9</w:t>
            </w:r>
          </w:p>
        </w:tc>
      </w:tr>
      <w:tr w14:paraId="402E4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2CF63EC6">
            <w:pPr>
              <w:widowControl/>
              <w:jc w:val="center"/>
              <w:rPr>
                <w:color w:val="000000"/>
                <w:kern w:val="0"/>
                <w:sz w:val="22"/>
                <w:highlight w:val="none"/>
              </w:rPr>
            </w:pPr>
            <w:r>
              <w:rPr>
                <w:color w:val="000000"/>
                <w:kern w:val="0"/>
                <w:sz w:val="22"/>
                <w:highlight w:val="none"/>
              </w:rPr>
              <w:t>5.2</w:t>
            </w:r>
          </w:p>
        </w:tc>
        <w:tc>
          <w:tcPr>
            <w:tcW w:w="3650" w:type="dxa"/>
            <w:gridSpan w:val="2"/>
            <w:shd w:val="clear" w:color="000000" w:fill="FFFFFF"/>
            <w:noWrap/>
            <w:vAlign w:val="center"/>
          </w:tcPr>
          <w:p w14:paraId="7DD2F3A3">
            <w:pPr>
              <w:widowControl/>
              <w:jc w:val="left"/>
              <w:rPr>
                <w:color w:val="000000"/>
                <w:kern w:val="0"/>
                <w:sz w:val="22"/>
                <w:highlight w:val="none"/>
              </w:rPr>
            </w:pPr>
            <w:r>
              <w:rPr>
                <w:color w:val="000000"/>
                <w:kern w:val="0"/>
                <w:sz w:val="22"/>
                <w:highlight w:val="none"/>
              </w:rPr>
              <w:t>PDU电源插座（放于室外分线箱内）</w:t>
            </w:r>
          </w:p>
        </w:tc>
        <w:tc>
          <w:tcPr>
            <w:tcW w:w="2378" w:type="dxa"/>
            <w:shd w:val="clear" w:color="000000" w:fill="FFFFFF"/>
            <w:vAlign w:val="center"/>
          </w:tcPr>
          <w:p w14:paraId="20D9BFE2">
            <w:pPr>
              <w:widowControl/>
              <w:jc w:val="left"/>
              <w:rPr>
                <w:color w:val="000000"/>
                <w:kern w:val="0"/>
                <w:sz w:val="22"/>
                <w:highlight w:val="none"/>
              </w:rPr>
            </w:pPr>
            <w:r>
              <w:rPr>
                <w:color w:val="000000"/>
                <w:kern w:val="0"/>
                <w:sz w:val="22"/>
                <w:highlight w:val="none"/>
              </w:rPr>
              <w:t>KB2-10LSCA-06CAXAA</w:t>
            </w:r>
          </w:p>
        </w:tc>
        <w:tc>
          <w:tcPr>
            <w:tcW w:w="736" w:type="dxa"/>
            <w:shd w:val="clear" w:color="000000" w:fill="FFFFFF"/>
            <w:noWrap/>
            <w:vAlign w:val="center"/>
          </w:tcPr>
          <w:p w14:paraId="5CA30AC1">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75E07D27">
            <w:pPr>
              <w:widowControl/>
              <w:jc w:val="center"/>
              <w:rPr>
                <w:color w:val="000000"/>
                <w:kern w:val="0"/>
                <w:sz w:val="22"/>
                <w:highlight w:val="none"/>
              </w:rPr>
            </w:pPr>
            <w:r>
              <w:rPr>
                <w:color w:val="000000"/>
                <w:kern w:val="0"/>
                <w:sz w:val="22"/>
                <w:highlight w:val="none"/>
              </w:rPr>
              <w:t>9</w:t>
            </w:r>
          </w:p>
        </w:tc>
      </w:tr>
      <w:tr w14:paraId="16276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4AA85E96">
            <w:pPr>
              <w:widowControl/>
              <w:jc w:val="center"/>
              <w:rPr>
                <w:color w:val="000000"/>
                <w:kern w:val="0"/>
                <w:sz w:val="22"/>
                <w:highlight w:val="none"/>
              </w:rPr>
            </w:pPr>
            <w:r>
              <w:rPr>
                <w:color w:val="000000"/>
                <w:kern w:val="0"/>
                <w:sz w:val="22"/>
                <w:highlight w:val="none"/>
              </w:rPr>
              <w:t>5.3</w:t>
            </w:r>
          </w:p>
        </w:tc>
        <w:tc>
          <w:tcPr>
            <w:tcW w:w="3650" w:type="dxa"/>
            <w:gridSpan w:val="2"/>
            <w:shd w:val="clear" w:color="000000" w:fill="FFFFFF"/>
            <w:noWrap/>
            <w:vAlign w:val="center"/>
          </w:tcPr>
          <w:p w14:paraId="38416C9F">
            <w:pPr>
              <w:widowControl/>
              <w:jc w:val="left"/>
              <w:rPr>
                <w:color w:val="000000"/>
                <w:kern w:val="0"/>
                <w:sz w:val="22"/>
                <w:highlight w:val="none"/>
              </w:rPr>
            </w:pPr>
            <w:r>
              <w:rPr>
                <w:color w:val="000000"/>
                <w:kern w:val="0"/>
                <w:sz w:val="22"/>
                <w:highlight w:val="none"/>
              </w:rPr>
              <w:t>电源防雷</w:t>
            </w:r>
          </w:p>
        </w:tc>
        <w:tc>
          <w:tcPr>
            <w:tcW w:w="2378" w:type="dxa"/>
            <w:shd w:val="clear" w:color="000000" w:fill="FFFFFF"/>
            <w:vAlign w:val="center"/>
          </w:tcPr>
          <w:p w14:paraId="40F0D838">
            <w:pPr>
              <w:widowControl/>
              <w:jc w:val="left"/>
              <w:rPr>
                <w:color w:val="000000"/>
                <w:kern w:val="0"/>
                <w:sz w:val="22"/>
                <w:highlight w:val="none"/>
              </w:rPr>
            </w:pPr>
            <w:r>
              <w:rPr>
                <w:color w:val="000000"/>
                <w:kern w:val="0"/>
                <w:sz w:val="22"/>
                <w:highlight w:val="none"/>
              </w:rPr>
              <w:t>M40B2</w:t>
            </w:r>
          </w:p>
        </w:tc>
        <w:tc>
          <w:tcPr>
            <w:tcW w:w="736" w:type="dxa"/>
            <w:shd w:val="clear" w:color="000000" w:fill="FFFFFF"/>
            <w:noWrap/>
            <w:vAlign w:val="center"/>
          </w:tcPr>
          <w:p w14:paraId="72A3A89E">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0B88B228">
            <w:pPr>
              <w:widowControl/>
              <w:jc w:val="center"/>
              <w:rPr>
                <w:color w:val="000000"/>
                <w:kern w:val="0"/>
                <w:sz w:val="22"/>
                <w:highlight w:val="none"/>
              </w:rPr>
            </w:pPr>
            <w:r>
              <w:rPr>
                <w:color w:val="000000"/>
                <w:kern w:val="0"/>
                <w:sz w:val="22"/>
                <w:highlight w:val="none"/>
              </w:rPr>
              <w:t>9</w:t>
            </w:r>
          </w:p>
        </w:tc>
      </w:tr>
      <w:tr w14:paraId="2C8C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restart"/>
            <w:shd w:val="clear" w:color="000000" w:fill="FFFFFF"/>
            <w:noWrap/>
            <w:vAlign w:val="center"/>
          </w:tcPr>
          <w:p w14:paraId="017FADB1">
            <w:pPr>
              <w:widowControl/>
              <w:jc w:val="center"/>
              <w:rPr>
                <w:color w:val="000000"/>
                <w:kern w:val="0"/>
                <w:sz w:val="22"/>
                <w:highlight w:val="none"/>
              </w:rPr>
            </w:pPr>
            <w:r>
              <w:rPr>
                <w:color w:val="000000"/>
                <w:kern w:val="0"/>
                <w:sz w:val="22"/>
                <w:highlight w:val="none"/>
              </w:rPr>
              <w:t>5.4</w:t>
            </w:r>
          </w:p>
        </w:tc>
        <w:tc>
          <w:tcPr>
            <w:tcW w:w="1738" w:type="dxa"/>
            <w:vMerge w:val="restart"/>
            <w:shd w:val="clear" w:color="000000" w:fill="FFFFFF"/>
            <w:noWrap/>
            <w:vAlign w:val="center"/>
          </w:tcPr>
          <w:p w14:paraId="1A37182D">
            <w:pPr>
              <w:widowControl/>
              <w:jc w:val="left"/>
              <w:rPr>
                <w:color w:val="000000"/>
                <w:kern w:val="0"/>
                <w:sz w:val="22"/>
                <w:highlight w:val="none"/>
              </w:rPr>
            </w:pPr>
            <w:r>
              <w:rPr>
                <w:color w:val="000000"/>
                <w:kern w:val="0"/>
                <w:sz w:val="22"/>
                <w:highlight w:val="none"/>
              </w:rPr>
              <w:t>前端存储</w:t>
            </w:r>
          </w:p>
        </w:tc>
        <w:tc>
          <w:tcPr>
            <w:tcW w:w="1912" w:type="dxa"/>
            <w:shd w:val="clear" w:color="000000" w:fill="FFFFFF"/>
            <w:noWrap/>
            <w:vAlign w:val="center"/>
          </w:tcPr>
          <w:p w14:paraId="4EA724A7">
            <w:pPr>
              <w:widowControl/>
              <w:jc w:val="left"/>
              <w:rPr>
                <w:color w:val="000000"/>
                <w:kern w:val="0"/>
                <w:sz w:val="22"/>
                <w:highlight w:val="none"/>
              </w:rPr>
            </w:pPr>
            <w:r>
              <w:rPr>
                <w:color w:val="000000"/>
                <w:kern w:val="0"/>
                <w:sz w:val="22"/>
                <w:highlight w:val="none"/>
              </w:rPr>
              <w:t>数字录像设备</w:t>
            </w:r>
          </w:p>
        </w:tc>
        <w:tc>
          <w:tcPr>
            <w:tcW w:w="2378" w:type="dxa"/>
            <w:shd w:val="clear" w:color="000000" w:fill="FFFFFF"/>
            <w:vAlign w:val="center"/>
          </w:tcPr>
          <w:p w14:paraId="7D3609BF">
            <w:pPr>
              <w:widowControl/>
              <w:jc w:val="left"/>
              <w:rPr>
                <w:color w:val="000000"/>
                <w:kern w:val="0"/>
                <w:sz w:val="22"/>
                <w:highlight w:val="none"/>
              </w:rPr>
            </w:pPr>
            <w:r>
              <w:rPr>
                <w:color w:val="000000"/>
                <w:kern w:val="0"/>
                <w:sz w:val="22"/>
                <w:highlight w:val="none"/>
              </w:rPr>
              <w:t>TC-NR1008M7-S1</w:t>
            </w:r>
          </w:p>
        </w:tc>
        <w:tc>
          <w:tcPr>
            <w:tcW w:w="736" w:type="dxa"/>
            <w:shd w:val="clear" w:color="000000" w:fill="FFFFFF"/>
            <w:noWrap/>
            <w:vAlign w:val="center"/>
          </w:tcPr>
          <w:p w14:paraId="1D20DC46">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10AF34E3">
            <w:pPr>
              <w:widowControl/>
              <w:jc w:val="center"/>
              <w:rPr>
                <w:color w:val="000000"/>
                <w:kern w:val="0"/>
                <w:sz w:val="22"/>
                <w:highlight w:val="none"/>
              </w:rPr>
            </w:pPr>
            <w:r>
              <w:rPr>
                <w:color w:val="000000"/>
                <w:kern w:val="0"/>
                <w:sz w:val="22"/>
                <w:highlight w:val="none"/>
              </w:rPr>
              <w:t>9</w:t>
            </w:r>
          </w:p>
        </w:tc>
      </w:tr>
      <w:tr w14:paraId="4559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28C5E40B">
            <w:pPr>
              <w:widowControl/>
              <w:jc w:val="left"/>
              <w:rPr>
                <w:color w:val="000000"/>
                <w:kern w:val="0"/>
                <w:sz w:val="22"/>
                <w:highlight w:val="none"/>
              </w:rPr>
            </w:pPr>
          </w:p>
        </w:tc>
        <w:tc>
          <w:tcPr>
            <w:tcW w:w="1738" w:type="dxa"/>
            <w:vMerge w:val="continue"/>
            <w:vAlign w:val="center"/>
          </w:tcPr>
          <w:p w14:paraId="4ACA4D04">
            <w:pPr>
              <w:widowControl/>
              <w:jc w:val="left"/>
              <w:rPr>
                <w:color w:val="000000"/>
                <w:kern w:val="0"/>
                <w:sz w:val="22"/>
                <w:highlight w:val="none"/>
              </w:rPr>
            </w:pPr>
          </w:p>
        </w:tc>
        <w:tc>
          <w:tcPr>
            <w:tcW w:w="1912" w:type="dxa"/>
            <w:shd w:val="clear" w:color="000000" w:fill="FFFFFF"/>
            <w:noWrap/>
            <w:vAlign w:val="center"/>
          </w:tcPr>
          <w:p w14:paraId="4DF9762F">
            <w:pPr>
              <w:widowControl/>
              <w:jc w:val="left"/>
              <w:rPr>
                <w:color w:val="000000"/>
                <w:kern w:val="0"/>
                <w:sz w:val="22"/>
                <w:highlight w:val="none"/>
              </w:rPr>
            </w:pPr>
            <w:r>
              <w:rPr>
                <w:color w:val="000000"/>
                <w:kern w:val="0"/>
                <w:sz w:val="22"/>
                <w:highlight w:val="none"/>
              </w:rPr>
              <w:t>硬盘</w:t>
            </w:r>
          </w:p>
        </w:tc>
        <w:tc>
          <w:tcPr>
            <w:tcW w:w="2378" w:type="dxa"/>
            <w:shd w:val="clear" w:color="000000" w:fill="FFFFFF"/>
            <w:vAlign w:val="center"/>
          </w:tcPr>
          <w:p w14:paraId="7637B9D8">
            <w:pPr>
              <w:widowControl/>
              <w:jc w:val="left"/>
              <w:rPr>
                <w:color w:val="000000"/>
                <w:kern w:val="0"/>
                <w:sz w:val="22"/>
                <w:highlight w:val="none"/>
              </w:rPr>
            </w:pPr>
            <w:r>
              <w:rPr>
                <w:color w:val="000000"/>
                <w:kern w:val="0"/>
                <w:sz w:val="22"/>
                <w:highlight w:val="none"/>
              </w:rPr>
              <w:t>ST4000VX000</w:t>
            </w:r>
          </w:p>
        </w:tc>
        <w:tc>
          <w:tcPr>
            <w:tcW w:w="736" w:type="dxa"/>
            <w:shd w:val="clear" w:color="000000" w:fill="FFFFFF"/>
            <w:noWrap/>
            <w:vAlign w:val="center"/>
          </w:tcPr>
          <w:p w14:paraId="52E18C54">
            <w:pPr>
              <w:widowControl/>
              <w:jc w:val="center"/>
              <w:rPr>
                <w:color w:val="000000"/>
                <w:kern w:val="0"/>
                <w:sz w:val="22"/>
                <w:highlight w:val="none"/>
              </w:rPr>
            </w:pPr>
            <w:r>
              <w:rPr>
                <w:color w:val="000000"/>
                <w:kern w:val="0"/>
                <w:sz w:val="22"/>
                <w:highlight w:val="none"/>
              </w:rPr>
              <w:t>块</w:t>
            </w:r>
          </w:p>
        </w:tc>
        <w:tc>
          <w:tcPr>
            <w:tcW w:w="725" w:type="dxa"/>
            <w:shd w:val="clear" w:color="000000" w:fill="FFFFFF"/>
            <w:noWrap/>
            <w:vAlign w:val="center"/>
          </w:tcPr>
          <w:p w14:paraId="31D14BE8">
            <w:pPr>
              <w:widowControl/>
              <w:jc w:val="center"/>
              <w:rPr>
                <w:color w:val="000000"/>
                <w:kern w:val="0"/>
                <w:sz w:val="22"/>
                <w:highlight w:val="none"/>
              </w:rPr>
            </w:pPr>
            <w:r>
              <w:rPr>
                <w:color w:val="000000"/>
                <w:kern w:val="0"/>
                <w:sz w:val="22"/>
                <w:highlight w:val="none"/>
              </w:rPr>
              <w:t>9</w:t>
            </w:r>
          </w:p>
        </w:tc>
      </w:tr>
      <w:tr w14:paraId="7313E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21C733FB">
            <w:pPr>
              <w:widowControl/>
              <w:jc w:val="center"/>
              <w:rPr>
                <w:color w:val="000000"/>
                <w:kern w:val="0"/>
                <w:sz w:val="22"/>
                <w:highlight w:val="none"/>
              </w:rPr>
            </w:pPr>
            <w:r>
              <w:rPr>
                <w:color w:val="000000"/>
                <w:kern w:val="0"/>
                <w:sz w:val="22"/>
                <w:highlight w:val="none"/>
              </w:rPr>
              <w:t>5.5</w:t>
            </w:r>
          </w:p>
        </w:tc>
        <w:tc>
          <w:tcPr>
            <w:tcW w:w="3650" w:type="dxa"/>
            <w:gridSpan w:val="2"/>
            <w:shd w:val="clear" w:color="000000" w:fill="FFFFFF"/>
            <w:noWrap/>
            <w:vAlign w:val="center"/>
          </w:tcPr>
          <w:p w14:paraId="7221F028">
            <w:pPr>
              <w:widowControl/>
              <w:jc w:val="left"/>
              <w:rPr>
                <w:color w:val="000000"/>
                <w:kern w:val="0"/>
                <w:sz w:val="22"/>
                <w:highlight w:val="none"/>
              </w:rPr>
            </w:pPr>
            <w:r>
              <w:rPr>
                <w:color w:val="000000"/>
                <w:kern w:val="0"/>
                <w:sz w:val="22"/>
                <w:highlight w:val="none"/>
              </w:rPr>
              <w:t>卡口工业交换机</w:t>
            </w:r>
          </w:p>
        </w:tc>
        <w:tc>
          <w:tcPr>
            <w:tcW w:w="2378" w:type="dxa"/>
            <w:shd w:val="clear" w:color="000000" w:fill="FFFFFF"/>
            <w:vAlign w:val="center"/>
          </w:tcPr>
          <w:p w14:paraId="1B0735C8">
            <w:pPr>
              <w:widowControl/>
              <w:jc w:val="left"/>
              <w:rPr>
                <w:color w:val="000000"/>
                <w:kern w:val="0"/>
                <w:sz w:val="22"/>
                <w:highlight w:val="none"/>
              </w:rPr>
            </w:pPr>
            <w:r>
              <w:rPr>
                <w:color w:val="000000"/>
                <w:kern w:val="0"/>
                <w:sz w:val="22"/>
                <w:highlight w:val="none"/>
              </w:rPr>
              <w:t>iTrans-C1512G120-2GS</w:t>
            </w:r>
          </w:p>
        </w:tc>
        <w:tc>
          <w:tcPr>
            <w:tcW w:w="736" w:type="dxa"/>
            <w:shd w:val="clear" w:color="000000" w:fill="FFFFFF"/>
            <w:noWrap/>
            <w:vAlign w:val="center"/>
          </w:tcPr>
          <w:p w14:paraId="7EA6E7E2">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641ACC13">
            <w:pPr>
              <w:widowControl/>
              <w:jc w:val="center"/>
              <w:rPr>
                <w:color w:val="000000"/>
                <w:kern w:val="0"/>
                <w:sz w:val="22"/>
                <w:highlight w:val="none"/>
              </w:rPr>
            </w:pPr>
            <w:r>
              <w:rPr>
                <w:color w:val="000000"/>
                <w:kern w:val="0"/>
                <w:sz w:val="22"/>
                <w:highlight w:val="none"/>
              </w:rPr>
              <w:t>9</w:t>
            </w:r>
          </w:p>
        </w:tc>
      </w:tr>
      <w:tr w14:paraId="5FC7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5CDA7F12">
            <w:pPr>
              <w:widowControl/>
              <w:jc w:val="center"/>
              <w:rPr>
                <w:color w:val="000000"/>
                <w:kern w:val="0"/>
                <w:sz w:val="22"/>
                <w:highlight w:val="none"/>
              </w:rPr>
            </w:pPr>
            <w:r>
              <w:rPr>
                <w:color w:val="000000"/>
                <w:kern w:val="0"/>
                <w:sz w:val="22"/>
                <w:highlight w:val="none"/>
              </w:rPr>
              <w:t>5.6</w:t>
            </w:r>
          </w:p>
        </w:tc>
        <w:tc>
          <w:tcPr>
            <w:tcW w:w="3650" w:type="dxa"/>
            <w:gridSpan w:val="2"/>
            <w:shd w:val="clear" w:color="000000" w:fill="FFFFFF"/>
            <w:noWrap/>
            <w:vAlign w:val="center"/>
          </w:tcPr>
          <w:p w14:paraId="4549B1C7">
            <w:pPr>
              <w:widowControl/>
              <w:jc w:val="left"/>
              <w:rPr>
                <w:color w:val="000000"/>
                <w:kern w:val="0"/>
                <w:sz w:val="22"/>
                <w:highlight w:val="none"/>
              </w:rPr>
            </w:pPr>
            <w:r>
              <w:rPr>
                <w:color w:val="000000"/>
                <w:kern w:val="0"/>
                <w:sz w:val="22"/>
                <w:highlight w:val="none"/>
              </w:rPr>
              <w:t>监控标识牌</w:t>
            </w:r>
          </w:p>
        </w:tc>
        <w:tc>
          <w:tcPr>
            <w:tcW w:w="2378" w:type="dxa"/>
            <w:shd w:val="clear" w:color="000000" w:fill="FFFFFF"/>
            <w:vAlign w:val="center"/>
          </w:tcPr>
          <w:p w14:paraId="3735E9C6">
            <w:pPr>
              <w:widowControl/>
              <w:jc w:val="left"/>
              <w:rPr>
                <w:color w:val="000000"/>
                <w:kern w:val="0"/>
                <w:sz w:val="22"/>
                <w:highlight w:val="none"/>
              </w:rPr>
            </w:pPr>
            <w:r>
              <w:rPr>
                <w:color w:val="000000"/>
                <w:kern w:val="0"/>
                <w:sz w:val="22"/>
                <w:highlight w:val="none"/>
              </w:rPr>
              <w:t>600*300*3mm</w:t>
            </w:r>
          </w:p>
        </w:tc>
        <w:tc>
          <w:tcPr>
            <w:tcW w:w="736" w:type="dxa"/>
            <w:shd w:val="clear" w:color="000000" w:fill="FFFFFF"/>
            <w:noWrap/>
            <w:vAlign w:val="center"/>
          </w:tcPr>
          <w:p w14:paraId="2A561989">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441E76FC">
            <w:pPr>
              <w:widowControl/>
              <w:jc w:val="center"/>
              <w:rPr>
                <w:color w:val="000000"/>
                <w:kern w:val="0"/>
                <w:sz w:val="22"/>
                <w:highlight w:val="none"/>
              </w:rPr>
            </w:pPr>
            <w:r>
              <w:rPr>
                <w:color w:val="000000"/>
                <w:kern w:val="0"/>
                <w:sz w:val="22"/>
                <w:highlight w:val="none"/>
              </w:rPr>
              <w:t>9</w:t>
            </w:r>
          </w:p>
        </w:tc>
      </w:tr>
      <w:tr w14:paraId="70B1A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0114EAD1">
            <w:pPr>
              <w:widowControl/>
              <w:jc w:val="center"/>
              <w:rPr>
                <w:b/>
                <w:bCs/>
                <w:color w:val="000000"/>
                <w:kern w:val="0"/>
                <w:sz w:val="22"/>
                <w:highlight w:val="none"/>
              </w:rPr>
            </w:pPr>
            <w:r>
              <w:rPr>
                <w:b/>
                <w:bCs/>
                <w:color w:val="000000"/>
                <w:kern w:val="0"/>
                <w:sz w:val="22"/>
                <w:highlight w:val="none"/>
              </w:rPr>
              <w:t>二</w:t>
            </w:r>
          </w:p>
        </w:tc>
        <w:tc>
          <w:tcPr>
            <w:tcW w:w="6028" w:type="dxa"/>
            <w:gridSpan w:val="3"/>
            <w:shd w:val="clear" w:color="000000" w:fill="FFFFFF"/>
            <w:noWrap/>
            <w:vAlign w:val="center"/>
          </w:tcPr>
          <w:p w14:paraId="1A80FDAA">
            <w:pPr>
              <w:widowControl/>
              <w:jc w:val="left"/>
              <w:rPr>
                <w:b/>
                <w:bCs/>
                <w:color w:val="000000"/>
                <w:kern w:val="0"/>
                <w:sz w:val="22"/>
                <w:highlight w:val="none"/>
              </w:rPr>
            </w:pPr>
            <w:r>
              <w:rPr>
                <w:b/>
                <w:bCs/>
                <w:color w:val="000000"/>
                <w:kern w:val="0"/>
                <w:sz w:val="22"/>
                <w:highlight w:val="none"/>
              </w:rPr>
              <w:t>后端设备维护</w:t>
            </w:r>
          </w:p>
        </w:tc>
        <w:tc>
          <w:tcPr>
            <w:tcW w:w="1461" w:type="dxa"/>
            <w:gridSpan w:val="2"/>
            <w:shd w:val="clear" w:color="000000" w:fill="FFFFFF"/>
            <w:noWrap/>
            <w:vAlign w:val="center"/>
          </w:tcPr>
          <w:p w14:paraId="61901CE7">
            <w:pPr>
              <w:widowControl/>
              <w:jc w:val="left"/>
              <w:rPr>
                <w:b/>
                <w:bCs/>
                <w:color w:val="000000"/>
                <w:kern w:val="0"/>
                <w:sz w:val="22"/>
                <w:highlight w:val="none"/>
              </w:rPr>
            </w:pPr>
            <w:r>
              <w:rPr>
                <w:b/>
                <w:bCs/>
                <w:color w:val="000000"/>
                <w:kern w:val="0"/>
                <w:sz w:val="22"/>
                <w:highlight w:val="none"/>
              </w:rPr>
              <w:t>　</w:t>
            </w:r>
          </w:p>
        </w:tc>
      </w:tr>
      <w:tr w14:paraId="1C10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6B585A70">
            <w:pPr>
              <w:widowControl/>
              <w:jc w:val="center"/>
              <w:rPr>
                <w:b/>
                <w:bCs/>
                <w:color w:val="000000"/>
                <w:kern w:val="0"/>
                <w:sz w:val="22"/>
                <w:highlight w:val="none"/>
              </w:rPr>
            </w:pPr>
            <w:r>
              <w:rPr>
                <w:b/>
                <w:bCs/>
                <w:color w:val="000000"/>
                <w:kern w:val="0"/>
                <w:sz w:val="22"/>
                <w:highlight w:val="none"/>
              </w:rPr>
              <w:t>（一）</w:t>
            </w:r>
          </w:p>
        </w:tc>
        <w:tc>
          <w:tcPr>
            <w:tcW w:w="6028" w:type="dxa"/>
            <w:gridSpan w:val="3"/>
            <w:shd w:val="clear" w:color="000000" w:fill="FFFFFF"/>
            <w:noWrap/>
            <w:vAlign w:val="center"/>
          </w:tcPr>
          <w:p w14:paraId="37925B1F">
            <w:pPr>
              <w:widowControl/>
              <w:jc w:val="left"/>
              <w:rPr>
                <w:b/>
                <w:bCs/>
                <w:color w:val="000000"/>
                <w:kern w:val="0"/>
                <w:sz w:val="22"/>
                <w:highlight w:val="none"/>
              </w:rPr>
            </w:pPr>
            <w:r>
              <w:rPr>
                <w:b/>
                <w:bCs/>
                <w:color w:val="000000"/>
                <w:kern w:val="0"/>
                <w:sz w:val="22"/>
                <w:highlight w:val="none"/>
              </w:rPr>
              <w:t>视频监控系统</w:t>
            </w:r>
          </w:p>
        </w:tc>
        <w:tc>
          <w:tcPr>
            <w:tcW w:w="1461" w:type="dxa"/>
            <w:gridSpan w:val="2"/>
            <w:shd w:val="clear" w:color="000000" w:fill="FFFFFF"/>
            <w:noWrap/>
            <w:vAlign w:val="center"/>
          </w:tcPr>
          <w:p w14:paraId="04BE856A">
            <w:pPr>
              <w:widowControl/>
              <w:jc w:val="left"/>
              <w:rPr>
                <w:b/>
                <w:bCs/>
                <w:color w:val="000000"/>
                <w:kern w:val="0"/>
                <w:sz w:val="22"/>
                <w:highlight w:val="none"/>
              </w:rPr>
            </w:pPr>
            <w:r>
              <w:rPr>
                <w:b/>
                <w:bCs/>
                <w:color w:val="000000"/>
                <w:kern w:val="0"/>
                <w:sz w:val="22"/>
                <w:highlight w:val="none"/>
              </w:rPr>
              <w:t>　</w:t>
            </w:r>
          </w:p>
        </w:tc>
      </w:tr>
      <w:tr w14:paraId="34B9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restart"/>
            <w:shd w:val="clear" w:color="000000" w:fill="FFFFFF"/>
            <w:noWrap/>
            <w:vAlign w:val="center"/>
          </w:tcPr>
          <w:p w14:paraId="4DD955F8">
            <w:pPr>
              <w:widowControl/>
              <w:jc w:val="center"/>
              <w:rPr>
                <w:color w:val="000000"/>
                <w:kern w:val="0"/>
                <w:sz w:val="22"/>
                <w:highlight w:val="none"/>
              </w:rPr>
            </w:pPr>
            <w:r>
              <w:rPr>
                <w:color w:val="000000"/>
                <w:kern w:val="0"/>
                <w:sz w:val="22"/>
                <w:highlight w:val="none"/>
              </w:rPr>
              <w:t>1</w:t>
            </w:r>
          </w:p>
        </w:tc>
        <w:tc>
          <w:tcPr>
            <w:tcW w:w="1738" w:type="dxa"/>
            <w:vMerge w:val="restart"/>
            <w:shd w:val="clear" w:color="000000" w:fill="FFFFFF"/>
            <w:noWrap/>
            <w:vAlign w:val="center"/>
          </w:tcPr>
          <w:p w14:paraId="25C3FA97">
            <w:pPr>
              <w:widowControl/>
              <w:jc w:val="left"/>
              <w:rPr>
                <w:color w:val="000000"/>
                <w:kern w:val="0"/>
                <w:sz w:val="22"/>
                <w:highlight w:val="none"/>
              </w:rPr>
            </w:pPr>
            <w:r>
              <w:rPr>
                <w:color w:val="000000"/>
                <w:kern w:val="0"/>
                <w:sz w:val="22"/>
                <w:highlight w:val="none"/>
              </w:rPr>
              <w:t>视频监控系统平台</w:t>
            </w:r>
          </w:p>
        </w:tc>
        <w:tc>
          <w:tcPr>
            <w:tcW w:w="1912" w:type="dxa"/>
            <w:shd w:val="clear" w:color="000000" w:fill="FFFFFF"/>
            <w:noWrap/>
            <w:vAlign w:val="center"/>
          </w:tcPr>
          <w:p w14:paraId="6A71311E">
            <w:pPr>
              <w:widowControl/>
              <w:jc w:val="left"/>
              <w:rPr>
                <w:color w:val="000000"/>
                <w:kern w:val="0"/>
                <w:sz w:val="22"/>
                <w:highlight w:val="none"/>
              </w:rPr>
            </w:pPr>
            <w:r>
              <w:rPr>
                <w:color w:val="000000"/>
                <w:kern w:val="0"/>
                <w:sz w:val="22"/>
                <w:highlight w:val="none"/>
              </w:rPr>
              <w:t>总控管理模块</w:t>
            </w:r>
          </w:p>
        </w:tc>
        <w:tc>
          <w:tcPr>
            <w:tcW w:w="2378" w:type="dxa"/>
            <w:shd w:val="clear" w:color="000000" w:fill="FFFFFF"/>
            <w:vAlign w:val="center"/>
          </w:tcPr>
          <w:p w14:paraId="137649EE">
            <w:pPr>
              <w:widowControl/>
              <w:jc w:val="left"/>
              <w:rPr>
                <w:color w:val="000000"/>
                <w:kern w:val="0"/>
                <w:sz w:val="22"/>
                <w:highlight w:val="none"/>
              </w:rPr>
            </w:pPr>
            <w:r>
              <w:rPr>
                <w:color w:val="000000"/>
                <w:kern w:val="0"/>
                <w:sz w:val="22"/>
                <w:highlight w:val="none"/>
              </w:rPr>
              <w:t>V7.0 (BMS-J)</w:t>
            </w:r>
          </w:p>
        </w:tc>
        <w:tc>
          <w:tcPr>
            <w:tcW w:w="736" w:type="dxa"/>
            <w:shd w:val="clear" w:color="000000" w:fill="FFFFFF"/>
            <w:noWrap/>
            <w:vAlign w:val="center"/>
          </w:tcPr>
          <w:p w14:paraId="3BFEF6DE">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3F518076">
            <w:pPr>
              <w:widowControl/>
              <w:jc w:val="center"/>
              <w:rPr>
                <w:color w:val="000000"/>
                <w:kern w:val="0"/>
                <w:sz w:val="22"/>
                <w:highlight w:val="none"/>
              </w:rPr>
            </w:pPr>
            <w:r>
              <w:rPr>
                <w:color w:val="000000"/>
                <w:kern w:val="0"/>
                <w:sz w:val="22"/>
                <w:highlight w:val="none"/>
              </w:rPr>
              <w:t>2</w:t>
            </w:r>
          </w:p>
        </w:tc>
      </w:tr>
      <w:tr w14:paraId="792C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5C8E8039">
            <w:pPr>
              <w:widowControl/>
              <w:jc w:val="left"/>
              <w:rPr>
                <w:color w:val="000000"/>
                <w:kern w:val="0"/>
                <w:sz w:val="22"/>
                <w:highlight w:val="none"/>
              </w:rPr>
            </w:pPr>
          </w:p>
        </w:tc>
        <w:tc>
          <w:tcPr>
            <w:tcW w:w="1738" w:type="dxa"/>
            <w:vMerge w:val="continue"/>
            <w:vAlign w:val="center"/>
          </w:tcPr>
          <w:p w14:paraId="61D9ECC9">
            <w:pPr>
              <w:widowControl/>
              <w:jc w:val="left"/>
              <w:rPr>
                <w:color w:val="000000"/>
                <w:kern w:val="0"/>
                <w:sz w:val="22"/>
                <w:highlight w:val="none"/>
              </w:rPr>
            </w:pPr>
          </w:p>
        </w:tc>
        <w:tc>
          <w:tcPr>
            <w:tcW w:w="1912" w:type="dxa"/>
            <w:shd w:val="clear" w:color="000000" w:fill="FFFFFF"/>
            <w:noWrap/>
            <w:vAlign w:val="center"/>
          </w:tcPr>
          <w:p w14:paraId="005DD24F">
            <w:pPr>
              <w:widowControl/>
              <w:jc w:val="left"/>
              <w:rPr>
                <w:color w:val="000000"/>
                <w:kern w:val="0"/>
                <w:sz w:val="22"/>
                <w:highlight w:val="none"/>
              </w:rPr>
            </w:pPr>
            <w:r>
              <w:rPr>
                <w:color w:val="000000"/>
                <w:kern w:val="0"/>
                <w:sz w:val="22"/>
                <w:highlight w:val="none"/>
              </w:rPr>
              <w:t>点位扩容授权密钥</w:t>
            </w:r>
          </w:p>
        </w:tc>
        <w:tc>
          <w:tcPr>
            <w:tcW w:w="2378" w:type="dxa"/>
            <w:shd w:val="clear" w:color="000000" w:fill="FFFFFF"/>
            <w:vAlign w:val="center"/>
          </w:tcPr>
          <w:p w14:paraId="2A59DAC5">
            <w:pPr>
              <w:widowControl/>
              <w:jc w:val="left"/>
              <w:rPr>
                <w:color w:val="000000"/>
                <w:kern w:val="0"/>
                <w:sz w:val="22"/>
                <w:highlight w:val="none"/>
              </w:rPr>
            </w:pPr>
            <w:r>
              <w:rPr>
                <w:color w:val="000000"/>
                <w:kern w:val="0"/>
                <w:sz w:val="22"/>
                <w:highlight w:val="none"/>
              </w:rPr>
              <w:t>V7.0 (Client key)</w:t>
            </w:r>
          </w:p>
        </w:tc>
        <w:tc>
          <w:tcPr>
            <w:tcW w:w="736" w:type="dxa"/>
            <w:shd w:val="clear" w:color="000000" w:fill="FFFFFF"/>
            <w:noWrap/>
            <w:vAlign w:val="center"/>
          </w:tcPr>
          <w:p w14:paraId="542A88A4">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7EC8D1F8">
            <w:pPr>
              <w:widowControl/>
              <w:jc w:val="center"/>
              <w:rPr>
                <w:color w:val="000000"/>
                <w:kern w:val="0"/>
                <w:sz w:val="22"/>
                <w:highlight w:val="none"/>
              </w:rPr>
            </w:pPr>
            <w:r>
              <w:rPr>
                <w:color w:val="000000"/>
                <w:kern w:val="0"/>
                <w:sz w:val="22"/>
                <w:highlight w:val="none"/>
              </w:rPr>
              <w:t>200</w:t>
            </w:r>
          </w:p>
        </w:tc>
      </w:tr>
      <w:tr w14:paraId="2D533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284215EB">
            <w:pPr>
              <w:widowControl/>
              <w:jc w:val="left"/>
              <w:rPr>
                <w:color w:val="000000"/>
                <w:kern w:val="0"/>
                <w:sz w:val="22"/>
                <w:highlight w:val="none"/>
              </w:rPr>
            </w:pPr>
          </w:p>
        </w:tc>
        <w:tc>
          <w:tcPr>
            <w:tcW w:w="1738" w:type="dxa"/>
            <w:vMerge w:val="continue"/>
            <w:vAlign w:val="center"/>
          </w:tcPr>
          <w:p w14:paraId="0A4F9571">
            <w:pPr>
              <w:widowControl/>
              <w:jc w:val="left"/>
              <w:rPr>
                <w:color w:val="000000"/>
                <w:kern w:val="0"/>
                <w:sz w:val="22"/>
                <w:highlight w:val="none"/>
              </w:rPr>
            </w:pPr>
          </w:p>
        </w:tc>
        <w:tc>
          <w:tcPr>
            <w:tcW w:w="1912" w:type="dxa"/>
            <w:shd w:val="clear" w:color="000000" w:fill="FFFFFF"/>
            <w:noWrap/>
            <w:vAlign w:val="center"/>
          </w:tcPr>
          <w:p w14:paraId="2A24C4F4">
            <w:pPr>
              <w:widowControl/>
              <w:jc w:val="left"/>
              <w:rPr>
                <w:color w:val="000000"/>
                <w:kern w:val="0"/>
                <w:sz w:val="22"/>
                <w:highlight w:val="none"/>
              </w:rPr>
            </w:pPr>
            <w:r>
              <w:rPr>
                <w:color w:val="000000"/>
                <w:kern w:val="0"/>
                <w:sz w:val="22"/>
                <w:highlight w:val="none"/>
              </w:rPr>
              <w:t>存储模块</w:t>
            </w:r>
          </w:p>
        </w:tc>
        <w:tc>
          <w:tcPr>
            <w:tcW w:w="2378" w:type="dxa"/>
            <w:shd w:val="clear" w:color="000000" w:fill="FFFFFF"/>
            <w:vAlign w:val="center"/>
          </w:tcPr>
          <w:p w14:paraId="5FA48142">
            <w:pPr>
              <w:widowControl/>
              <w:jc w:val="left"/>
              <w:rPr>
                <w:color w:val="000000"/>
                <w:kern w:val="0"/>
                <w:sz w:val="22"/>
                <w:highlight w:val="none"/>
              </w:rPr>
            </w:pPr>
            <w:r>
              <w:rPr>
                <w:color w:val="000000"/>
                <w:kern w:val="0"/>
                <w:sz w:val="22"/>
                <w:highlight w:val="none"/>
              </w:rPr>
              <w:t>V7.0 (Recorder)</w:t>
            </w:r>
          </w:p>
        </w:tc>
        <w:tc>
          <w:tcPr>
            <w:tcW w:w="736" w:type="dxa"/>
            <w:shd w:val="clear" w:color="000000" w:fill="FFFFFF"/>
            <w:noWrap/>
            <w:vAlign w:val="center"/>
          </w:tcPr>
          <w:p w14:paraId="44FF98CB">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1C957918">
            <w:pPr>
              <w:widowControl/>
              <w:jc w:val="center"/>
              <w:rPr>
                <w:color w:val="000000"/>
                <w:kern w:val="0"/>
                <w:sz w:val="22"/>
                <w:highlight w:val="none"/>
              </w:rPr>
            </w:pPr>
            <w:r>
              <w:rPr>
                <w:color w:val="000000"/>
                <w:kern w:val="0"/>
                <w:sz w:val="22"/>
                <w:highlight w:val="none"/>
              </w:rPr>
              <w:t>2</w:t>
            </w:r>
          </w:p>
        </w:tc>
      </w:tr>
      <w:tr w14:paraId="2AB1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6D551434">
            <w:pPr>
              <w:widowControl/>
              <w:jc w:val="left"/>
              <w:rPr>
                <w:color w:val="000000"/>
                <w:kern w:val="0"/>
                <w:sz w:val="22"/>
                <w:highlight w:val="none"/>
              </w:rPr>
            </w:pPr>
          </w:p>
        </w:tc>
        <w:tc>
          <w:tcPr>
            <w:tcW w:w="1738" w:type="dxa"/>
            <w:vMerge w:val="continue"/>
            <w:vAlign w:val="center"/>
          </w:tcPr>
          <w:p w14:paraId="73F5135C">
            <w:pPr>
              <w:widowControl/>
              <w:jc w:val="left"/>
              <w:rPr>
                <w:color w:val="000000"/>
                <w:kern w:val="0"/>
                <w:sz w:val="22"/>
                <w:highlight w:val="none"/>
              </w:rPr>
            </w:pPr>
          </w:p>
        </w:tc>
        <w:tc>
          <w:tcPr>
            <w:tcW w:w="1912" w:type="dxa"/>
            <w:shd w:val="clear" w:color="000000" w:fill="FFFFFF"/>
            <w:noWrap/>
            <w:vAlign w:val="center"/>
          </w:tcPr>
          <w:p w14:paraId="1BF4B606">
            <w:pPr>
              <w:widowControl/>
              <w:jc w:val="left"/>
              <w:rPr>
                <w:color w:val="000000"/>
                <w:kern w:val="0"/>
                <w:sz w:val="22"/>
                <w:highlight w:val="none"/>
              </w:rPr>
            </w:pPr>
            <w:r>
              <w:rPr>
                <w:color w:val="000000"/>
                <w:kern w:val="0"/>
                <w:sz w:val="22"/>
                <w:highlight w:val="none"/>
              </w:rPr>
              <w:t>服务器</w:t>
            </w:r>
          </w:p>
        </w:tc>
        <w:tc>
          <w:tcPr>
            <w:tcW w:w="2378" w:type="dxa"/>
            <w:shd w:val="clear" w:color="000000" w:fill="FFFFFF"/>
            <w:vAlign w:val="center"/>
          </w:tcPr>
          <w:p w14:paraId="15F7B290">
            <w:pPr>
              <w:widowControl/>
              <w:jc w:val="left"/>
              <w:rPr>
                <w:color w:val="000000"/>
                <w:kern w:val="0"/>
                <w:sz w:val="22"/>
                <w:highlight w:val="none"/>
              </w:rPr>
            </w:pPr>
            <w:r>
              <w:rPr>
                <w:color w:val="000000"/>
                <w:kern w:val="0"/>
                <w:sz w:val="22"/>
                <w:highlight w:val="none"/>
              </w:rPr>
              <w:t>TC-RV35230S</w:t>
            </w:r>
          </w:p>
        </w:tc>
        <w:tc>
          <w:tcPr>
            <w:tcW w:w="736" w:type="dxa"/>
            <w:shd w:val="clear" w:color="000000" w:fill="FFFFFF"/>
            <w:noWrap/>
            <w:vAlign w:val="center"/>
          </w:tcPr>
          <w:p w14:paraId="5A8A027F">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7B8EA736">
            <w:pPr>
              <w:widowControl/>
              <w:jc w:val="center"/>
              <w:rPr>
                <w:color w:val="000000"/>
                <w:kern w:val="0"/>
                <w:sz w:val="22"/>
                <w:highlight w:val="none"/>
              </w:rPr>
            </w:pPr>
            <w:r>
              <w:rPr>
                <w:color w:val="000000"/>
                <w:kern w:val="0"/>
                <w:sz w:val="22"/>
                <w:highlight w:val="none"/>
              </w:rPr>
              <w:t>4</w:t>
            </w:r>
          </w:p>
        </w:tc>
      </w:tr>
      <w:tr w14:paraId="354A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00BCA1C4">
            <w:pPr>
              <w:widowControl/>
              <w:jc w:val="left"/>
              <w:rPr>
                <w:color w:val="000000"/>
                <w:kern w:val="0"/>
                <w:sz w:val="22"/>
                <w:highlight w:val="none"/>
              </w:rPr>
            </w:pPr>
          </w:p>
        </w:tc>
        <w:tc>
          <w:tcPr>
            <w:tcW w:w="1738" w:type="dxa"/>
            <w:vMerge w:val="continue"/>
            <w:vAlign w:val="center"/>
          </w:tcPr>
          <w:p w14:paraId="5F9695E5">
            <w:pPr>
              <w:widowControl/>
              <w:jc w:val="left"/>
              <w:rPr>
                <w:color w:val="000000"/>
                <w:kern w:val="0"/>
                <w:sz w:val="22"/>
                <w:highlight w:val="none"/>
              </w:rPr>
            </w:pPr>
          </w:p>
        </w:tc>
        <w:tc>
          <w:tcPr>
            <w:tcW w:w="1912" w:type="dxa"/>
            <w:shd w:val="clear" w:color="000000" w:fill="FFFFFF"/>
            <w:noWrap/>
            <w:vAlign w:val="center"/>
          </w:tcPr>
          <w:p w14:paraId="2F016D27">
            <w:pPr>
              <w:widowControl/>
              <w:jc w:val="left"/>
              <w:rPr>
                <w:color w:val="000000"/>
                <w:kern w:val="0"/>
                <w:sz w:val="22"/>
                <w:highlight w:val="none"/>
              </w:rPr>
            </w:pPr>
            <w:r>
              <w:rPr>
                <w:color w:val="000000"/>
                <w:kern w:val="0"/>
                <w:sz w:val="22"/>
                <w:highlight w:val="none"/>
              </w:rPr>
              <w:t>流媒体转发服务器</w:t>
            </w:r>
          </w:p>
        </w:tc>
        <w:tc>
          <w:tcPr>
            <w:tcW w:w="2378" w:type="dxa"/>
            <w:shd w:val="clear" w:color="000000" w:fill="FFFFFF"/>
            <w:vAlign w:val="center"/>
          </w:tcPr>
          <w:p w14:paraId="64C532E1">
            <w:pPr>
              <w:widowControl/>
              <w:jc w:val="left"/>
              <w:rPr>
                <w:color w:val="000000"/>
                <w:kern w:val="0"/>
                <w:sz w:val="22"/>
                <w:highlight w:val="none"/>
              </w:rPr>
            </w:pPr>
            <w:r>
              <w:rPr>
                <w:color w:val="000000"/>
                <w:kern w:val="0"/>
                <w:sz w:val="22"/>
                <w:highlight w:val="none"/>
              </w:rPr>
              <w:t>TC-RV3120L-L7P</w:t>
            </w:r>
          </w:p>
        </w:tc>
        <w:tc>
          <w:tcPr>
            <w:tcW w:w="736" w:type="dxa"/>
            <w:shd w:val="clear" w:color="000000" w:fill="FFFFFF"/>
            <w:noWrap/>
            <w:vAlign w:val="center"/>
          </w:tcPr>
          <w:p w14:paraId="7C3DC70A">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6909BAA6">
            <w:pPr>
              <w:widowControl/>
              <w:jc w:val="center"/>
              <w:rPr>
                <w:color w:val="000000"/>
                <w:kern w:val="0"/>
                <w:sz w:val="22"/>
                <w:highlight w:val="none"/>
              </w:rPr>
            </w:pPr>
            <w:r>
              <w:rPr>
                <w:color w:val="000000"/>
                <w:kern w:val="0"/>
                <w:sz w:val="22"/>
                <w:highlight w:val="none"/>
              </w:rPr>
              <w:t>3</w:t>
            </w:r>
          </w:p>
        </w:tc>
      </w:tr>
      <w:tr w14:paraId="640A7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01885464">
            <w:pPr>
              <w:widowControl/>
              <w:jc w:val="left"/>
              <w:rPr>
                <w:color w:val="000000"/>
                <w:kern w:val="0"/>
                <w:sz w:val="22"/>
                <w:highlight w:val="none"/>
              </w:rPr>
            </w:pPr>
          </w:p>
        </w:tc>
        <w:tc>
          <w:tcPr>
            <w:tcW w:w="1738" w:type="dxa"/>
            <w:vMerge w:val="continue"/>
            <w:vAlign w:val="center"/>
          </w:tcPr>
          <w:p w14:paraId="661A1FDF">
            <w:pPr>
              <w:widowControl/>
              <w:jc w:val="left"/>
              <w:rPr>
                <w:color w:val="000000"/>
                <w:kern w:val="0"/>
                <w:sz w:val="22"/>
                <w:highlight w:val="none"/>
              </w:rPr>
            </w:pPr>
          </w:p>
        </w:tc>
        <w:tc>
          <w:tcPr>
            <w:tcW w:w="1912" w:type="dxa"/>
            <w:shd w:val="clear" w:color="000000" w:fill="FFFFFF"/>
            <w:noWrap/>
            <w:vAlign w:val="center"/>
          </w:tcPr>
          <w:p w14:paraId="134599EA">
            <w:pPr>
              <w:widowControl/>
              <w:jc w:val="left"/>
              <w:rPr>
                <w:color w:val="000000"/>
                <w:kern w:val="0"/>
                <w:sz w:val="22"/>
                <w:highlight w:val="none"/>
              </w:rPr>
            </w:pPr>
            <w:r>
              <w:rPr>
                <w:color w:val="000000"/>
                <w:kern w:val="0"/>
                <w:sz w:val="22"/>
                <w:highlight w:val="none"/>
              </w:rPr>
              <w:t>双机热备模块</w:t>
            </w:r>
          </w:p>
        </w:tc>
        <w:tc>
          <w:tcPr>
            <w:tcW w:w="2378" w:type="dxa"/>
            <w:shd w:val="clear" w:color="000000" w:fill="FFFFFF"/>
            <w:vAlign w:val="center"/>
          </w:tcPr>
          <w:p w14:paraId="702E5429">
            <w:pPr>
              <w:widowControl/>
              <w:jc w:val="left"/>
              <w:rPr>
                <w:color w:val="000000"/>
                <w:kern w:val="0"/>
                <w:sz w:val="22"/>
                <w:highlight w:val="none"/>
              </w:rPr>
            </w:pPr>
            <w:r>
              <w:rPr>
                <w:color w:val="000000"/>
                <w:kern w:val="0"/>
                <w:sz w:val="22"/>
                <w:highlight w:val="none"/>
              </w:rPr>
              <w:t>V7.0(HA)</w:t>
            </w:r>
          </w:p>
        </w:tc>
        <w:tc>
          <w:tcPr>
            <w:tcW w:w="736" w:type="dxa"/>
            <w:shd w:val="clear" w:color="000000" w:fill="FFFFFF"/>
            <w:noWrap/>
            <w:vAlign w:val="center"/>
          </w:tcPr>
          <w:p w14:paraId="3C5FA4E7">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3C45FD12">
            <w:pPr>
              <w:widowControl/>
              <w:jc w:val="center"/>
              <w:rPr>
                <w:color w:val="000000"/>
                <w:kern w:val="0"/>
                <w:sz w:val="22"/>
                <w:highlight w:val="none"/>
              </w:rPr>
            </w:pPr>
            <w:r>
              <w:rPr>
                <w:color w:val="000000"/>
                <w:kern w:val="0"/>
                <w:sz w:val="22"/>
                <w:highlight w:val="none"/>
              </w:rPr>
              <w:t>2</w:t>
            </w:r>
          </w:p>
        </w:tc>
      </w:tr>
      <w:tr w14:paraId="4AD3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0156EFA1">
            <w:pPr>
              <w:widowControl/>
              <w:jc w:val="left"/>
              <w:rPr>
                <w:color w:val="000000"/>
                <w:kern w:val="0"/>
                <w:sz w:val="22"/>
                <w:highlight w:val="none"/>
              </w:rPr>
            </w:pPr>
          </w:p>
        </w:tc>
        <w:tc>
          <w:tcPr>
            <w:tcW w:w="1738" w:type="dxa"/>
            <w:vMerge w:val="continue"/>
            <w:vAlign w:val="center"/>
          </w:tcPr>
          <w:p w14:paraId="7F339EA5">
            <w:pPr>
              <w:widowControl/>
              <w:jc w:val="left"/>
              <w:rPr>
                <w:color w:val="000000"/>
                <w:kern w:val="0"/>
                <w:sz w:val="22"/>
                <w:highlight w:val="none"/>
              </w:rPr>
            </w:pPr>
          </w:p>
        </w:tc>
        <w:tc>
          <w:tcPr>
            <w:tcW w:w="1912" w:type="dxa"/>
            <w:shd w:val="clear" w:color="000000" w:fill="FFFFFF"/>
            <w:noWrap/>
            <w:vAlign w:val="center"/>
          </w:tcPr>
          <w:p w14:paraId="7A5A11C1">
            <w:pPr>
              <w:widowControl/>
              <w:jc w:val="left"/>
              <w:rPr>
                <w:color w:val="000000"/>
                <w:kern w:val="0"/>
                <w:sz w:val="22"/>
                <w:highlight w:val="none"/>
              </w:rPr>
            </w:pPr>
            <w:r>
              <w:rPr>
                <w:color w:val="000000"/>
                <w:kern w:val="0"/>
                <w:sz w:val="22"/>
                <w:highlight w:val="none"/>
              </w:rPr>
              <w:t>视频访问安全USB key</w:t>
            </w:r>
          </w:p>
        </w:tc>
        <w:tc>
          <w:tcPr>
            <w:tcW w:w="2378" w:type="dxa"/>
            <w:shd w:val="clear" w:color="000000" w:fill="FFFFFF"/>
            <w:vAlign w:val="center"/>
          </w:tcPr>
          <w:p w14:paraId="6C68218E">
            <w:pPr>
              <w:widowControl/>
              <w:jc w:val="left"/>
              <w:rPr>
                <w:color w:val="000000"/>
                <w:kern w:val="0"/>
                <w:sz w:val="22"/>
                <w:highlight w:val="none"/>
              </w:rPr>
            </w:pPr>
            <w:r>
              <w:rPr>
                <w:color w:val="000000"/>
                <w:kern w:val="0"/>
                <w:sz w:val="22"/>
                <w:highlight w:val="none"/>
              </w:rPr>
              <w:t>V7.0 (USB key)</w:t>
            </w:r>
          </w:p>
        </w:tc>
        <w:tc>
          <w:tcPr>
            <w:tcW w:w="736" w:type="dxa"/>
            <w:shd w:val="clear" w:color="000000" w:fill="FFFFFF"/>
            <w:noWrap/>
            <w:vAlign w:val="center"/>
          </w:tcPr>
          <w:p w14:paraId="71DC3BF2">
            <w:pPr>
              <w:widowControl/>
              <w:jc w:val="center"/>
              <w:rPr>
                <w:color w:val="000000"/>
                <w:kern w:val="0"/>
                <w:sz w:val="22"/>
                <w:highlight w:val="none"/>
              </w:rPr>
            </w:pPr>
            <w:r>
              <w:rPr>
                <w:color w:val="000000"/>
                <w:kern w:val="0"/>
                <w:sz w:val="22"/>
                <w:highlight w:val="none"/>
              </w:rPr>
              <w:t>个</w:t>
            </w:r>
          </w:p>
        </w:tc>
        <w:tc>
          <w:tcPr>
            <w:tcW w:w="725" w:type="dxa"/>
            <w:shd w:val="clear" w:color="000000" w:fill="FFFFFF"/>
            <w:noWrap/>
            <w:vAlign w:val="center"/>
          </w:tcPr>
          <w:p w14:paraId="28F49A64">
            <w:pPr>
              <w:widowControl/>
              <w:jc w:val="center"/>
              <w:rPr>
                <w:color w:val="000000"/>
                <w:kern w:val="0"/>
                <w:sz w:val="22"/>
                <w:highlight w:val="none"/>
              </w:rPr>
            </w:pPr>
            <w:r>
              <w:rPr>
                <w:color w:val="000000"/>
                <w:kern w:val="0"/>
                <w:sz w:val="22"/>
                <w:highlight w:val="none"/>
              </w:rPr>
              <w:t>50</w:t>
            </w:r>
          </w:p>
        </w:tc>
      </w:tr>
      <w:tr w14:paraId="71CE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restart"/>
            <w:shd w:val="clear" w:color="000000" w:fill="FFFFFF"/>
            <w:noWrap/>
            <w:vAlign w:val="center"/>
          </w:tcPr>
          <w:p w14:paraId="38D2B562">
            <w:pPr>
              <w:widowControl/>
              <w:jc w:val="center"/>
              <w:rPr>
                <w:color w:val="000000"/>
                <w:kern w:val="0"/>
                <w:sz w:val="22"/>
                <w:highlight w:val="none"/>
              </w:rPr>
            </w:pPr>
            <w:r>
              <w:rPr>
                <w:color w:val="000000"/>
                <w:kern w:val="0"/>
                <w:sz w:val="22"/>
                <w:highlight w:val="none"/>
              </w:rPr>
              <w:t>2</w:t>
            </w:r>
          </w:p>
        </w:tc>
        <w:tc>
          <w:tcPr>
            <w:tcW w:w="1738" w:type="dxa"/>
            <w:vMerge w:val="restart"/>
            <w:shd w:val="clear" w:color="000000" w:fill="FFFFFF"/>
            <w:noWrap/>
            <w:vAlign w:val="center"/>
          </w:tcPr>
          <w:p w14:paraId="0685322B">
            <w:pPr>
              <w:widowControl/>
              <w:jc w:val="left"/>
              <w:rPr>
                <w:color w:val="000000"/>
                <w:kern w:val="0"/>
                <w:sz w:val="22"/>
                <w:highlight w:val="none"/>
              </w:rPr>
            </w:pPr>
            <w:r>
              <w:rPr>
                <w:color w:val="000000"/>
                <w:kern w:val="0"/>
                <w:sz w:val="22"/>
                <w:highlight w:val="none"/>
              </w:rPr>
              <w:t>微卡口数据上传汇集库功能</w:t>
            </w:r>
          </w:p>
        </w:tc>
        <w:tc>
          <w:tcPr>
            <w:tcW w:w="1912" w:type="dxa"/>
            <w:shd w:val="clear" w:color="000000" w:fill="FFFFFF"/>
            <w:noWrap/>
            <w:vAlign w:val="center"/>
          </w:tcPr>
          <w:p w14:paraId="3EE24CA0">
            <w:pPr>
              <w:widowControl/>
              <w:jc w:val="left"/>
              <w:rPr>
                <w:color w:val="000000"/>
                <w:kern w:val="0"/>
                <w:sz w:val="22"/>
                <w:highlight w:val="none"/>
              </w:rPr>
            </w:pPr>
            <w:r>
              <w:rPr>
                <w:color w:val="000000"/>
                <w:kern w:val="0"/>
                <w:sz w:val="22"/>
                <w:highlight w:val="none"/>
              </w:rPr>
              <w:t>数据推送模块</w:t>
            </w:r>
          </w:p>
        </w:tc>
        <w:tc>
          <w:tcPr>
            <w:tcW w:w="2378" w:type="dxa"/>
            <w:shd w:val="clear" w:color="000000" w:fill="FFFFFF"/>
            <w:vAlign w:val="center"/>
          </w:tcPr>
          <w:p w14:paraId="0AA26806">
            <w:pPr>
              <w:widowControl/>
              <w:jc w:val="left"/>
              <w:rPr>
                <w:color w:val="000000"/>
                <w:kern w:val="0"/>
                <w:sz w:val="22"/>
                <w:highlight w:val="none"/>
              </w:rPr>
            </w:pPr>
            <w:r>
              <w:rPr>
                <w:color w:val="000000"/>
                <w:kern w:val="0"/>
                <w:sz w:val="22"/>
                <w:highlight w:val="none"/>
              </w:rPr>
              <w:t>V7.0（KDS）</w:t>
            </w:r>
          </w:p>
        </w:tc>
        <w:tc>
          <w:tcPr>
            <w:tcW w:w="736" w:type="dxa"/>
            <w:shd w:val="clear" w:color="000000" w:fill="FFFFFF"/>
            <w:noWrap/>
            <w:vAlign w:val="center"/>
          </w:tcPr>
          <w:p w14:paraId="137D761D">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4F28F866">
            <w:pPr>
              <w:widowControl/>
              <w:jc w:val="center"/>
              <w:rPr>
                <w:color w:val="000000"/>
                <w:kern w:val="0"/>
                <w:sz w:val="22"/>
                <w:highlight w:val="none"/>
              </w:rPr>
            </w:pPr>
            <w:r>
              <w:rPr>
                <w:color w:val="000000"/>
                <w:kern w:val="0"/>
                <w:sz w:val="22"/>
                <w:highlight w:val="none"/>
              </w:rPr>
              <w:t>2</w:t>
            </w:r>
          </w:p>
        </w:tc>
      </w:tr>
      <w:tr w14:paraId="02561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0DC4EB3D">
            <w:pPr>
              <w:widowControl/>
              <w:jc w:val="left"/>
              <w:rPr>
                <w:color w:val="000000"/>
                <w:kern w:val="0"/>
                <w:sz w:val="22"/>
                <w:highlight w:val="none"/>
              </w:rPr>
            </w:pPr>
          </w:p>
        </w:tc>
        <w:tc>
          <w:tcPr>
            <w:tcW w:w="1738" w:type="dxa"/>
            <w:vMerge w:val="continue"/>
            <w:vAlign w:val="center"/>
          </w:tcPr>
          <w:p w14:paraId="56814CAA">
            <w:pPr>
              <w:widowControl/>
              <w:jc w:val="left"/>
              <w:rPr>
                <w:color w:val="000000"/>
                <w:kern w:val="0"/>
                <w:sz w:val="22"/>
                <w:highlight w:val="none"/>
              </w:rPr>
            </w:pPr>
          </w:p>
        </w:tc>
        <w:tc>
          <w:tcPr>
            <w:tcW w:w="1912" w:type="dxa"/>
            <w:shd w:val="clear" w:color="000000" w:fill="FFFFFF"/>
            <w:noWrap/>
            <w:vAlign w:val="center"/>
          </w:tcPr>
          <w:p w14:paraId="3966F6DE">
            <w:pPr>
              <w:widowControl/>
              <w:jc w:val="left"/>
              <w:rPr>
                <w:color w:val="000000"/>
                <w:kern w:val="0"/>
                <w:sz w:val="22"/>
                <w:highlight w:val="none"/>
              </w:rPr>
            </w:pPr>
            <w:r>
              <w:rPr>
                <w:color w:val="000000"/>
                <w:kern w:val="0"/>
                <w:sz w:val="22"/>
                <w:highlight w:val="none"/>
              </w:rPr>
              <w:t>服务器</w:t>
            </w:r>
          </w:p>
        </w:tc>
        <w:tc>
          <w:tcPr>
            <w:tcW w:w="2378" w:type="dxa"/>
            <w:shd w:val="clear" w:color="000000" w:fill="FFFFFF"/>
            <w:vAlign w:val="center"/>
          </w:tcPr>
          <w:p w14:paraId="3E1965B6">
            <w:pPr>
              <w:widowControl/>
              <w:jc w:val="left"/>
              <w:rPr>
                <w:color w:val="000000"/>
                <w:kern w:val="0"/>
                <w:sz w:val="22"/>
                <w:highlight w:val="none"/>
              </w:rPr>
            </w:pPr>
            <w:r>
              <w:rPr>
                <w:color w:val="000000"/>
                <w:kern w:val="0"/>
                <w:sz w:val="22"/>
                <w:highlight w:val="none"/>
              </w:rPr>
              <w:t>NF8460M4</w:t>
            </w:r>
          </w:p>
        </w:tc>
        <w:tc>
          <w:tcPr>
            <w:tcW w:w="736" w:type="dxa"/>
            <w:shd w:val="clear" w:color="000000" w:fill="FFFFFF"/>
            <w:noWrap/>
            <w:vAlign w:val="center"/>
          </w:tcPr>
          <w:p w14:paraId="6F5FC065">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4764D542">
            <w:pPr>
              <w:widowControl/>
              <w:jc w:val="center"/>
              <w:rPr>
                <w:color w:val="000000"/>
                <w:kern w:val="0"/>
                <w:sz w:val="22"/>
                <w:highlight w:val="none"/>
              </w:rPr>
            </w:pPr>
            <w:r>
              <w:rPr>
                <w:color w:val="000000"/>
                <w:kern w:val="0"/>
                <w:sz w:val="22"/>
                <w:highlight w:val="none"/>
              </w:rPr>
              <w:t>2</w:t>
            </w:r>
          </w:p>
        </w:tc>
      </w:tr>
      <w:tr w14:paraId="7C75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restart"/>
            <w:shd w:val="clear" w:color="000000" w:fill="FFFFFF"/>
            <w:noWrap/>
            <w:vAlign w:val="center"/>
          </w:tcPr>
          <w:p w14:paraId="3B5C5B72">
            <w:pPr>
              <w:widowControl/>
              <w:jc w:val="center"/>
              <w:rPr>
                <w:color w:val="000000"/>
                <w:kern w:val="0"/>
                <w:sz w:val="22"/>
                <w:highlight w:val="none"/>
              </w:rPr>
            </w:pPr>
            <w:r>
              <w:rPr>
                <w:color w:val="000000"/>
                <w:kern w:val="0"/>
                <w:sz w:val="22"/>
                <w:highlight w:val="none"/>
              </w:rPr>
              <w:t>3</w:t>
            </w:r>
          </w:p>
        </w:tc>
        <w:tc>
          <w:tcPr>
            <w:tcW w:w="1738" w:type="dxa"/>
            <w:vMerge w:val="restart"/>
            <w:shd w:val="clear" w:color="000000" w:fill="FFFFFF"/>
            <w:noWrap/>
            <w:vAlign w:val="center"/>
          </w:tcPr>
          <w:p w14:paraId="612CF710">
            <w:pPr>
              <w:widowControl/>
              <w:jc w:val="left"/>
              <w:rPr>
                <w:color w:val="000000"/>
                <w:kern w:val="0"/>
                <w:sz w:val="22"/>
                <w:highlight w:val="none"/>
              </w:rPr>
            </w:pPr>
            <w:r>
              <w:rPr>
                <w:color w:val="000000"/>
                <w:kern w:val="0"/>
                <w:sz w:val="22"/>
                <w:highlight w:val="none"/>
              </w:rPr>
              <w:t>结构化数据上传服务器</w:t>
            </w:r>
          </w:p>
        </w:tc>
        <w:tc>
          <w:tcPr>
            <w:tcW w:w="1912" w:type="dxa"/>
            <w:shd w:val="clear" w:color="000000" w:fill="FFFFFF"/>
            <w:noWrap/>
            <w:vAlign w:val="center"/>
          </w:tcPr>
          <w:p w14:paraId="150EF8B5">
            <w:pPr>
              <w:widowControl/>
              <w:jc w:val="left"/>
              <w:rPr>
                <w:color w:val="000000"/>
                <w:kern w:val="0"/>
                <w:sz w:val="22"/>
                <w:highlight w:val="none"/>
              </w:rPr>
            </w:pPr>
            <w:r>
              <w:rPr>
                <w:color w:val="000000"/>
                <w:kern w:val="0"/>
                <w:sz w:val="22"/>
                <w:highlight w:val="none"/>
              </w:rPr>
              <w:t>结构化数据上传模块</w:t>
            </w:r>
          </w:p>
        </w:tc>
        <w:tc>
          <w:tcPr>
            <w:tcW w:w="2378" w:type="dxa"/>
            <w:shd w:val="clear" w:color="000000" w:fill="FFFFFF"/>
            <w:vAlign w:val="center"/>
          </w:tcPr>
          <w:p w14:paraId="7A67EDB3">
            <w:pPr>
              <w:widowControl/>
              <w:jc w:val="left"/>
              <w:rPr>
                <w:color w:val="000000"/>
                <w:kern w:val="0"/>
                <w:sz w:val="22"/>
                <w:highlight w:val="none"/>
              </w:rPr>
            </w:pPr>
            <w:r>
              <w:rPr>
                <w:color w:val="000000"/>
                <w:kern w:val="0"/>
                <w:sz w:val="22"/>
                <w:highlight w:val="none"/>
              </w:rPr>
              <w:t>v7.0 (JDC)</w:t>
            </w:r>
          </w:p>
        </w:tc>
        <w:tc>
          <w:tcPr>
            <w:tcW w:w="736" w:type="dxa"/>
            <w:shd w:val="clear" w:color="000000" w:fill="FFFFFF"/>
            <w:noWrap/>
            <w:vAlign w:val="center"/>
          </w:tcPr>
          <w:p w14:paraId="0016E3D8">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092F73AB">
            <w:pPr>
              <w:widowControl/>
              <w:jc w:val="center"/>
              <w:rPr>
                <w:color w:val="000000"/>
                <w:kern w:val="0"/>
                <w:sz w:val="22"/>
                <w:highlight w:val="none"/>
              </w:rPr>
            </w:pPr>
            <w:r>
              <w:rPr>
                <w:color w:val="000000"/>
                <w:kern w:val="0"/>
                <w:sz w:val="22"/>
                <w:highlight w:val="none"/>
              </w:rPr>
              <w:t>2</w:t>
            </w:r>
          </w:p>
        </w:tc>
      </w:tr>
      <w:tr w14:paraId="11C7E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34B25197">
            <w:pPr>
              <w:widowControl/>
              <w:jc w:val="left"/>
              <w:rPr>
                <w:color w:val="000000"/>
                <w:kern w:val="0"/>
                <w:sz w:val="22"/>
                <w:highlight w:val="none"/>
              </w:rPr>
            </w:pPr>
          </w:p>
        </w:tc>
        <w:tc>
          <w:tcPr>
            <w:tcW w:w="1738" w:type="dxa"/>
            <w:vMerge w:val="continue"/>
            <w:vAlign w:val="center"/>
          </w:tcPr>
          <w:p w14:paraId="37F0DF4E">
            <w:pPr>
              <w:widowControl/>
              <w:jc w:val="left"/>
              <w:rPr>
                <w:color w:val="000000"/>
                <w:kern w:val="0"/>
                <w:sz w:val="22"/>
                <w:highlight w:val="none"/>
              </w:rPr>
            </w:pPr>
          </w:p>
        </w:tc>
        <w:tc>
          <w:tcPr>
            <w:tcW w:w="1912" w:type="dxa"/>
            <w:shd w:val="clear" w:color="000000" w:fill="FFFFFF"/>
            <w:noWrap/>
            <w:vAlign w:val="center"/>
          </w:tcPr>
          <w:p w14:paraId="2EB377D2">
            <w:pPr>
              <w:widowControl/>
              <w:jc w:val="left"/>
              <w:rPr>
                <w:color w:val="000000"/>
                <w:kern w:val="0"/>
                <w:sz w:val="22"/>
                <w:highlight w:val="none"/>
              </w:rPr>
            </w:pPr>
            <w:r>
              <w:rPr>
                <w:color w:val="000000"/>
                <w:kern w:val="0"/>
                <w:sz w:val="22"/>
                <w:highlight w:val="none"/>
              </w:rPr>
              <w:t>服务器</w:t>
            </w:r>
          </w:p>
        </w:tc>
        <w:tc>
          <w:tcPr>
            <w:tcW w:w="2378" w:type="dxa"/>
            <w:shd w:val="clear" w:color="000000" w:fill="FFFFFF"/>
            <w:vAlign w:val="center"/>
          </w:tcPr>
          <w:p w14:paraId="36088DE1">
            <w:pPr>
              <w:widowControl/>
              <w:jc w:val="left"/>
              <w:rPr>
                <w:color w:val="000000"/>
                <w:kern w:val="0"/>
                <w:sz w:val="22"/>
                <w:highlight w:val="none"/>
              </w:rPr>
            </w:pPr>
            <w:r>
              <w:rPr>
                <w:color w:val="000000"/>
                <w:kern w:val="0"/>
                <w:sz w:val="22"/>
                <w:highlight w:val="none"/>
              </w:rPr>
              <w:t>TC-RV5230S</w:t>
            </w:r>
          </w:p>
        </w:tc>
        <w:tc>
          <w:tcPr>
            <w:tcW w:w="736" w:type="dxa"/>
            <w:shd w:val="clear" w:color="000000" w:fill="FFFFFF"/>
            <w:noWrap/>
            <w:vAlign w:val="center"/>
          </w:tcPr>
          <w:p w14:paraId="0137BB5F">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521BDBB1">
            <w:pPr>
              <w:widowControl/>
              <w:jc w:val="center"/>
              <w:rPr>
                <w:color w:val="000000"/>
                <w:kern w:val="0"/>
                <w:sz w:val="22"/>
                <w:highlight w:val="none"/>
              </w:rPr>
            </w:pPr>
            <w:r>
              <w:rPr>
                <w:color w:val="000000"/>
                <w:kern w:val="0"/>
                <w:sz w:val="22"/>
                <w:highlight w:val="none"/>
              </w:rPr>
              <w:t>2</w:t>
            </w:r>
          </w:p>
        </w:tc>
      </w:tr>
      <w:tr w14:paraId="1E1BD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restart"/>
            <w:shd w:val="clear" w:color="000000" w:fill="FFFFFF"/>
            <w:noWrap/>
            <w:vAlign w:val="center"/>
          </w:tcPr>
          <w:p w14:paraId="3D0042CB">
            <w:pPr>
              <w:widowControl/>
              <w:jc w:val="center"/>
              <w:rPr>
                <w:color w:val="000000"/>
                <w:kern w:val="0"/>
                <w:sz w:val="22"/>
                <w:highlight w:val="none"/>
              </w:rPr>
            </w:pPr>
            <w:r>
              <w:rPr>
                <w:color w:val="000000"/>
                <w:kern w:val="0"/>
                <w:sz w:val="22"/>
                <w:highlight w:val="none"/>
              </w:rPr>
              <w:t>4</w:t>
            </w:r>
          </w:p>
        </w:tc>
        <w:tc>
          <w:tcPr>
            <w:tcW w:w="1738" w:type="dxa"/>
            <w:vMerge w:val="restart"/>
            <w:shd w:val="clear" w:color="000000" w:fill="FFFFFF"/>
            <w:noWrap/>
            <w:vAlign w:val="center"/>
          </w:tcPr>
          <w:p w14:paraId="4E0F41D5">
            <w:pPr>
              <w:widowControl/>
              <w:jc w:val="left"/>
              <w:rPr>
                <w:color w:val="000000"/>
                <w:kern w:val="0"/>
                <w:sz w:val="22"/>
                <w:highlight w:val="none"/>
              </w:rPr>
            </w:pPr>
            <w:r>
              <w:rPr>
                <w:color w:val="000000"/>
                <w:kern w:val="0"/>
                <w:sz w:val="22"/>
                <w:highlight w:val="none"/>
              </w:rPr>
              <w:t>视频监控存储系统</w:t>
            </w:r>
          </w:p>
        </w:tc>
        <w:tc>
          <w:tcPr>
            <w:tcW w:w="1912" w:type="dxa"/>
            <w:shd w:val="clear" w:color="000000" w:fill="FFFFFF"/>
            <w:noWrap/>
            <w:vAlign w:val="center"/>
          </w:tcPr>
          <w:p w14:paraId="3A5D6B49">
            <w:pPr>
              <w:widowControl/>
              <w:jc w:val="left"/>
              <w:rPr>
                <w:color w:val="000000"/>
                <w:kern w:val="0"/>
                <w:sz w:val="22"/>
                <w:highlight w:val="none"/>
              </w:rPr>
            </w:pPr>
            <w:r>
              <w:rPr>
                <w:color w:val="000000"/>
                <w:kern w:val="0"/>
                <w:sz w:val="22"/>
                <w:highlight w:val="none"/>
              </w:rPr>
              <w:t>网络存储服务器</w:t>
            </w:r>
          </w:p>
        </w:tc>
        <w:tc>
          <w:tcPr>
            <w:tcW w:w="2378" w:type="dxa"/>
            <w:shd w:val="clear" w:color="000000" w:fill="FFFFFF"/>
            <w:vAlign w:val="center"/>
          </w:tcPr>
          <w:p w14:paraId="2CE9A05E">
            <w:pPr>
              <w:widowControl/>
              <w:jc w:val="left"/>
              <w:rPr>
                <w:color w:val="000000"/>
                <w:kern w:val="0"/>
                <w:sz w:val="22"/>
                <w:highlight w:val="none"/>
              </w:rPr>
            </w:pPr>
            <w:r>
              <w:rPr>
                <w:color w:val="000000"/>
                <w:kern w:val="0"/>
                <w:sz w:val="22"/>
                <w:highlight w:val="none"/>
              </w:rPr>
              <w:t>TC-RS1036LE-L7R</w:t>
            </w:r>
          </w:p>
        </w:tc>
        <w:tc>
          <w:tcPr>
            <w:tcW w:w="736" w:type="dxa"/>
            <w:shd w:val="clear" w:color="000000" w:fill="FFFFFF"/>
            <w:noWrap/>
            <w:vAlign w:val="center"/>
          </w:tcPr>
          <w:p w14:paraId="19BA0F9E">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11F5CF3B">
            <w:pPr>
              <w:widowControl/>
              <w:jc w:val="center"/>
              <w:rPr>
                <w:color w:val="000000"/>
                <w:kern w:val="0"/>
                <w:sz w:val="22"/>
                <w:highlight w:val="none"/>
              </w:rPr>
            </w:pPr>
            <w:r>
              <w:rPr>
                <w:color w:val="000000"/>
                <w:kern w:val="0"/>
                <w:sz w:val="22"/>
                <w:highlight w:val="none"/>
              </w:rPr>
              <w:t>4</w:t>
            </w:r>
          </w:p>
        </w:tc>
      </w:tr>
      <w:tr w14:paraId="0A3C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2C56A287">
            <w:pPr>
              <w:widowControl/>
              <w:jc w:val="left"/>
              <w:rPr>
                <w:color w:val="000000"/>
                <w:kern w:val="0"/>
                <w:sz w:val="22"/>
                <w:highlight w:val="none"/>
              </w:rPr>
            </w:pPr>
          </w:p>
        </w:tc>
        <w:tc>
          <w:tcPr>
            <w:tcW w:w="1738" w:type="dxa"/>
            <w:vMerge w:val="continue"/>
            <w:vAlign w:val="center"/>
          </w:tcPr>
          <w:p w14:paraId="12A5F268">
            <w:pPr>
              <w:widowControl/>
              <w:jc w:val="left"/>
              <w:rPr>
                <w:color w:val="000000"/>
                <w:kern w:val="0"/>
                <w:sz w:val="22"/>
                <w:highlight w:val="none"/>
              </w:rPr>
            </w:pPr>
          </w:p>
        </w:tc>
        <w:tc>
          <w:tcPr>
            <w:tcW w:w="1912" w:type="dxa"/>
            <w:shd w:val="clear" w:color="000000" w:fill="FFFFFF"/>
            <w:noWrap/>
            <w:vAlign w:val="center"/>
          </w:tcPr>
          <w:p w14:paraId="03513FB3">
            <w:pPr>
              <w:widowControl/>
              <w:jc w:val="left"/>
              <w:rPr>
                <w:color w:val="000000"/>
                <w:kern w:val="0"/>
                <w:sz w:val="22"/>
                <w:highlight w:val="none"/>
              </w:rPr>
            </w:pPr>
            <w:r>
              <w:rPr>
                <w:color w:val="000000"/>
                <w:kern w:val="0"/>
                <w:sz w:val="22"/>
                <w:highlight w:val="none"/>
              </w:rPr>
              <w:t>图片存储服务器</w:t>
            </w:r>
          </w:p>
        </w:tc>
        <w:tc>
          <w:tcPr>
            <w:tcW w:w="2378" w:type="dxa"/>
            <w:shd w:val="clear" w:color="000000" w:fill="FFFFFF"/>
            <w:vAlign w:val="center"/>
          </w:tcPr>
          <w:p w14:paraId="5F05672E">
            <w:pPr>
              <w:widowControl/>
              <w:jc w:val="left"/>
              <w:rPr>
                <w:color w:val="000000"/>
                <w:kern w:val="0"/>
                <w:sz w:val="22"/>
                <w:highlight w:val="none"/>
              </w:rPr>
            </w:pPr>
            <w:r>
              <w:rPr>
                <w:color w:val="000000"/>
                <w:kern w:val="0"/>
                <w:sz w:val="22"/>
                <w:highlight w:val="none"/>
              </w:rPr>
              <w:t>TC-RS1036-LE(J)</w:t>
            </w:r>
          </w:p>
        </w:tc>
        <w:tc>
          <w:tcPr>
            <w:tcW w:w="736" w:type="dxa"/>
            <w:shd w:val="clear" w:color="000000" w:fill="FFFFFF"/>
            <w:noWrap/>
            <w:vAlign w:val="center"/>
          </w:tcPr>
          <w:p w14:paraId="6D542F8B">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51B0E48D">
            <w:pPr>
              <w:widowControl/>
              <w:jc w:val="center"/>
              <w:rPr>
                <w:color w:val="000000"/>
                <w:kern w:val="0"/>
                <w:sz w:val="22"/>
                <w:highlight w:val="none"/>
              </w:rPr>
            </w:pPr>
            <w:r>
              <w:rPr>
                <w:color w:val="000000"/>
                <w:kern w:val="0"/>
                <w:sz w:val="22"/>
                <w:highlight w:val="none"/>
              </w:rPr>
              <w:t>1</w:t>
            </w:r>
          </w:p>
        </w:tc>
      </w:tr>
      <w:tr w14:paraId="17D8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5ACC1FE1">
            <w:pPr>
              <w:widowControl/>
              <w:jc w:val="left"/>
              <w:rPr>
                <w:color w:val="000000"/>
                <w:kern w:val="0"/>
                <w:sz w:val="22"/>
                <w:highlight w:val="none"/>
              </w:rPr>
            </w:pPr>
          </w:p>
        </w:tc>
        <w:tc>
          <w:tcPr>
            <w:tcW w:w="1738" w:type="dxa"/>
            <w:vMerge w:val="continue"/>
            <w:vAlign w:val="center"/>
          </w:tcPr>
          <w:p w14:paraId="63EFDB78">
            <w:pPr>
              <w:widowControl/>
              <w:jc w:val="left"/>
              <w:rPr>
                <w:color w:val="000000"/>
                <w:kern w:val="0"/>
                <w:sz w:val="22"/>
                <w:highlight w:val="none"/>
              </w:rPr>
            </w:pPr>
          </w:p>
        </w:tc>
        <w:tc>
          <w:tcPr>
            <w:tcW w:w="1912" w:type="dxa"/>
            <w:shd w:val="clear" w:color="000000" w:fill="FFFFFF"/>
            <w:noWrap/>
            <w:vAlign w:val="center"/>
          </w:tcPr>
          <w:p w14:paraId="03C3778B">
            <w:pPr>
              <w:widowControl/>
              <w:jc w:val="left"/>
              <w:rPr>
                <w:color w:val="000000"/>
                <w:kern w:val="0"/>
                <w:sz w:val="22"/>
                <w:highlight w:val="none"/>
              </w:rPr>
            </w:pPr>
            <w:r>
              <w:rPr>
                <w:color w:val="000000"/>
                <w:kern w:val="0"/>
                <w:sz w:val="22"/>
                <w:highlight w:val="none"/>
              </w:rPr>
              <w:t>企业级硬盘</w:t>
            </w:r>
          </w:p>
        </w:tc>
        <w:tc>
          <w:tcPr>
            <w:tcW w:w="2378" w:type="dxa"/>
            <w:shd w:val="clear" w:color="000000" w:fill="FFFFFF"/>
            <w:vAlign w:val="center"/>
          </w:tcPr>
          <w:p w14:paraId="7CCDC704">
            <w:pPr>
              <w:widowControl/>
              <w:jc w:val="left"/>
              <w:rPr>
                <w:color w:val="000000"/>
                <w:kern w:val="0"/>
                <w:sz w:val="22"/>
                <w:highlight w:val="none"/>
              </w:rPr>
            </w:pPr>
            <w:r>
              <w:rPr>
                <w:color w:val="000000"/>
                <w:kern w:val="0"/>
                <w:sz w:val="22"/>
                <w:highlight w:val="none"/>
              </w:rPr>
              <w:t>ST4000NM0035</w:t>
            </w:r>
          </w:p>
        </w:tc>
        <w:tc>
          <w:tcPr>
            <w:tcW w:w="736" w:type="dxa"/>
            <w:shd w:val="clear" w:color="000000" w:fill="FFFFFF"/>
            <w:noWrap/>
            <w:vAlign w:val="center"/>
          </w:tcPr>
          <w:p w14:paraId="7D58D524">
            <w:pPr>
              <w:widowControl/>
              <w:jc w:val="center"/>
              <w:rPr>
                <w:color w:val="000000"/>
                <w:kern w:val="0"/>
                <w:sz w:val="22"/>
                <w:highlight w:val="none"/>
              </w:rPr>
            </w:pPr>
            <w:r>
              <w:rPr>
                <w:color w:val="000000"/>
                <w:kern w:val="0"/>
                <w:sz w:val="22"/>
                <w:highlight w:val="none"/>
              </w:rPr>
              <w:t>块</w:t>
            </w:r>
          </w:p>
        </w:tc>
        <w:tc>
          <w:tcPr>
            <w:tcW w:w="725" w:type="dxa"/>
            <w:shd w:val="clear" w:color="000000" w:fill="FFFFFF"/>
            <w:noWrap/>
            <w:vAlign w:val="center"/>
          </w:tcPr>
          <w:p w14:paraId="53F5CD79">
            <w:pPr>
              <w:widowControl/>
              <w:jc w:val="center"/>
              <w:rPr>
                <w:color w:val="000000"/>
                <w:kern w:val="0"/>
                <w:sz w:val="22"/>
                <w:highlight w:val="none"/>
              </w:rPr>
            </w:pPr>
            <w:r>
              <w:rPr>
                <w:color w:val="000000"/>
                <w:kern w:val="0"/>
                <w:sz w:val="22"/>
                <w:highlight w:val="none"/>
              </w:rPr>
              <w:t>135</w:t>
            </w:r>
          </w:p>
        </w:tc>
      </w:tr>
      <w:tr w14:paraId="2FD71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6752F8C7">
            <w:pPr>
              <w:widowControl/>
              <w:jc w:val="left"/>
              <w:rPr>
                <w:color w:val="000000"/>
                <w:kern w:val="0"/>
                <w:sz w:val="22"/>
                <w:highlight w:val="none"/>
              </w:rPr>
            </w:pPr>
          </w:p>
        </w:tc>
        <w:tc>
          <w:tcPr>
            <w:tcW w:w="1738" w:type="dxa"/>
            <w:vMerge w:val="continue"/>
            <w:vAlign w:val="center"/>
          </w:tcPr>
          <w:p w14:paraId="751ED85C">
            <w:pPr>
              <w:widowControl/>
              <w:jc w:val="left"/>
              <w:rPr>
                <w:color w:val="000000"/>
                <w:kern w:val="0"/>
                <w:sz w:val="22"/>
                <w:highlight w:val="none"/>
              </w:rPr>
            </w:pPr>
          </w:p>
        </w:tc>
        <w:tc>
          <w:tcPr>
            <w:tcW w:w="1912" w:type="dxa"/>
            <w:shd w:val="clear" w:color="000000" w:fill="FFFFFF"/>
            <w:noWrap/>
            <w:vAlign w:val="center"/>
          </w:tcPr>
          <w:p w14:paraId="3B5F3B1B">
            <w:pPr>
              <w:widowControl/>
              <w:jc w:val="left"/>
              <w:rPr>
                <w:color w:val="000000"/>
                <w:kern w:val="0"/>
                <w:sz w:val="22"/>
                <w:highlight w:val="none"/>
              </w:rPr>
            </w:pPr>
            <w:r>
              <w:rPr>
                <w:color w:val="000000"/>
                <w:kern w:val="0"/>
                <w:sz w:val="22"/>
                <w:highlight w:val="none"/>
              </w:rPr>
              <w:t>大数据检索服务器</w:t>
            </w:r>
          </w:p>
        </w:tc>
        <w:tc>
          <w:tcPr>
            <w:tcW w:w="2378" w:type="dxa"/>
            <w:shd w:val="clear" w:color="000000" w:fill="FFFFFF"/>
            <w:vAlign w:val="center"/>
          </w:tcPr>
          <w:p w14:paraId="4F6B540C">
            <w:pPr>
              <w:widowControl/>
              <w:jc w:val="left"/>
              <w:rPr>
                <w:color w:val="000000"/>
                <w:kern w:val="0"/>
                <w:sz w:val="22"/>
                <w:highlight w:val="none"/>
              </w:rPr>
            </w:pPr>
            <w:r>
              <w:rPr>
                <w:color w:val="000000"/>
                <w:kern w:val="0"/>
                <w:sz w:val="22"/>
                <w:highlight w:val="none"/>
              </w:rPr>
              <w:t>TC-RV7220L</w:t>
            </w:r>
          </w:p>
        </w:tc>
        <w:tc>
          <w:tcPr>
            <w:tcW w:w="736" w:type="dxa"/>
            <w:shd w:val="clear" w:color="000000" w:fill="FFFFFF"/>
            <w:noWrap/>
            <w:vAlign w:val="center"/>
          </w:tcPr>
          <w:p w14:paraId="63843702">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623F4215">
            <w:pPr>
              <w:widowControl/>
              <w:jc w:val="center"/>
              <w:rPr>
                <w:color w:val="000000"/>
                <w:kern w:val="0"/>
                <w:sz w:val="22"/>
                <w:highlight w:val="none"/>
              </w:rPr>
            </w:pPr>
            <w:r>
              <w:rPr>
                <w:color w:val="000000"/>
                <w:kern w:val="0"/>
                <w:sz w:val="22"/>
                <w:highlight w:val="none"/>
              </w:rPr>
              <w:t>1</w:t>
            </w:r>
          </w:p>
        </w:tc>
      </w:tr>
      <w:tr w14:paraId="03F7C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restart"/>
            <w:shd w:val="clear" w:color="000000" w:fill="FFFFFF"/>
            <w:noWrap/>
            <w:vAlign w:val="center"/>
          </w:tcPr>
          <w:p w14:paraId="68BC7944">
            <w:pPr>
              <w:widowControl/>
              <w:jc w:val="center"/>
              <w:rPr>
                <w:color w:val="000000"/>
                <w:kern w:val="0"/>
                <w:sz w:val="22"/>
                <w:highlight w:val="none"/>
              </w:rPr>
            </w:pPr>
            <w:r>
              <w:rPr>
                <w:color w:val="000000"/>
                <w:kern w:val="0"/>
                <w:sz w:val="22"/>
                <w:highlight w:val="none"/>
              </w:rPr>
              <w:t>5</w:t>
            </w:r>
          </w:p>
        </w:tc>
        <w:tc>
          <w:tcPr>
            <w:tcW w:w="1738" w:type="dxa"/>
            <w:vMerge w:val="restart"/>
            <w:shd w:val="clear" w:color="000000" w:fill="FFFFFF"/>
            <w:noWrap/>
            <w:vAlign w:val="center"/>
          </w:tcPr>
          <w:p w14:paraId="2185236F">
            <w:pPr>
              <w:widowControl/>
              <w:jc w:val="left"/>
              <w:rPr>
                <w:color w:val="000000"/>
                <w:kern w:val="0"/>
                <w:sz w:val="22"/>
                <w:highlight w:val="none"/>
              </w:rPr>
            </w:pPr>
            <w:r>
              <w:rPr>
                <w:color w:val="000000"/>
                <w:kern w:val="0"/>
                <w:sz w:val="22"/>
                <w:highlight w:val="none"/>
              </w:rPr>
              <w:t>运维服务器</w:t>
            </w:r>
          </w:p>
        </w:tc>
        <w:tc>
          <w:tcPr>
            <w:tcW w:w="1912" w:type="dxa"/>
            <w:shd w:val="clear" w:color="000000" w:fill="FFFFFF"/>
            <w:noWrap/>
            <w:vAlign w:val="center"/>
          </w:tcPr>
          <w:p w14:paraId="0BAD2B39">
            <w:pPr>
              <w:widowControl/>
              <w:jc w:val="left"/>
              <w:rPr>
                <w:color w:val="000000"/>
                <w:kern w:val="0"/>
                <w:sz w:val="22"/>
                <w:highlight w:val="none"/>
              </w:rPr>
            </w:pPr>
            <w:r>
              <w:rPr>
                <w:color w:val="000000"/>
                <w:kern w:val="0"/>
                <w:sz w:val="22"/>
                <w:highlight w:val="none"/>
              </w:rPr>
              <w:t>运维模块</w:t>
            </w:r>
          </w:p>
        </w:tc>
        <w:tc>
          <w:tcPr>
            <w:tcW w:w="2378" w:type="dxa"/>
            <w:shd w:val="clear" w:color="000000" w:fill="FFFFFF"/>
            <w:vAlign w:val="center"/>
          </w:tcPr>
          <w:p w14:paraId="0D5FF1A4">
            <w:pPr>
              <w:widowControl/>
              <w:jc w:val="left"/>
              <w:rPr>
                <w:color w:val="000000"/>
                <w:kern w:val="0"/>
                <w:sz w:val="22"/>
                <w:highlight w:val="none"/>
              </w:rPr>
            </w:pPr>
            <w:r>
              <w:rPr>
                <w:color w:val="000000"/>
                <w:kern w:val="0"/>
                <w:sz w:val="22"/>
                <w:highlight w:val="none"/>
              </w:rPr>
              <w:t>V7.0(YWF)</w:t>
            </w:r>
          </w:p>
        </w:tc>
        <w:tc>
          <w:tcPr>
            <w:tcW w:w="736" w:type="dxa"/>
            <w:shd w:val="clear" w:color="000000" w:fill="FFFFFF"/>
            <w:noWrap/>
            <w:vAlign w:val="center"/>
          </w:tcPr>
          <w:p w14:paraId="34C5E271">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268CD5EE">
            <w:pPr>
              <w:widowControl/>
              <w:jc w:val="center"/>
              <w:rPr>
                <w:color w:val="000000"/>
                <w:kern w:val="0"/>
                <w:sz w:val="22"/>
                <w:highlight w:val="none"/>
              </w:rPr>
            </w:pPr>
            <w:r>
              <w:rPr>
                <w:color w:val="000000"/>
                <w:kern w:val="0"/>
                <w:sz w:val="22"/>
                <w:highlight w:val="none"/>
              </w:rPr>
              <w:t>1</w:t>
            </w:r>
          </w:p>
        </w:tc>
      </w:tr>
      <w:tr w14:paraId="00D8F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547B76CE">
            <w:pPr>
              <w:widowControl/>
              <w:jc w:val="left"/>
              <w:rPr>
                <w:color w:val="000000"/>
                <w:kern w:val="0"/>
                <w:sz w:val="22"/>
                <w:highlight w:val="none"/>
              </w:rPr>
            </w:pPr>
          </w:p>
        </w:tc>
        <w:tc>
          <w:tcPr>
            <w:tcW w:w="1738" w:type="dxa"/>
            <w:vMerge w:val="continue"/>
            <w:vAlign w:val="center"/>
          </w:tcPr>
          <w:p w14:paraId="1F8996FA">
            <w:pPr>
              <w:widowControl/>
              <w:jc w:val="left"/>
              <w:rPr>
                <w:color w:val="000000"/>
                <w:kern w:val="0"/>
                <w:sz w:val="22"/>
                <w:highlight w:val="none"/>
              </w:rPr>
            </w:pPr>
          </w:p>
        </w:tc>
        <w:tc>
          <w:tcPr>
            <w:tcW w:w="1912" w:type="dxa"/>
            <w:shd w:val="clear" w:color="000000" w:fill="FFFFFF"/>
            <w:noWrap/>
            <w:vAlign w:val="center"/>
          </w:tcPr>
          <w:p w14:paraId="7C71BC00">
            <w:pPr>
              <w:widowControl/>
              <w:jc w:val="left"/>
              <w:rPr>
                <w:color w:val="000000"/>
                <w:kern w:val="0"/>
                <w:sz w:val="22"/>
                <w:highlight w:val="none"/>
              </w:rPr>
            </w:pPr>
            <w:r>
              <w:rPr>
                <w:color w:val="000000"/>
                <w:kern w:val="0"/>
                <w:sz w:val="22"/>
                <w:highlight w:val="none"/>
              </w:rPr>
              <w:t>服务器</w:t>
            </w:r>
          </w:p>
        </w:tc>
        <w:tc>
          <w:tcPr>
            <w:tcW w:w="2378" w:type="dxa"/>
            <w:shd w:val="clear" w:color="000000" w:fill="FFFFFF"/>
            <w:vAlign w:val="center"/>
          </w:tcPr>
          <w:p w14:paraId="32463B45">
            <w:pPr>
              <w:widowControl/>
              <w:jc w:val="left"/>
              <w:rPr>
                <w:color w:val="000000"/>
                <w:kern w:val="0"/>
                <w:sz w:val="22"/>
                <w:highlight w:val="none"/>
              </w:rPr>
            </w:pPr>
            <w:r>
              <w:rPr>
                <w:color w:val="000000"/>
                <w:kern w:val="0"/>
                <w:sz w:val="22"/>
                <w:highlight w:val="none"/>
              </w:rPr>
              <w:t>TC-RV5230S</w:t>
            </w:r>
          </w:p>
        </w:tc>
        <w:tc>
          <w:tcPr>
            <w:tcW w:w="736" w:type="dxa"/>
            <w:shd w:val="clear" w:color="000000" w:fill="FFFFFF"/>
            <w:noWrap/>
            <w:vAlign w:val="center"/>
          </w:tcPr>
          <w:p w14:paraId="4B5C95DD">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39EE2A49">
            <w:pPr>
              <w:widowControl/>
              <w:jc w:val="center"/>
              <w:rPr>
                <w:color w:val="000000"/>
                <w:kern w:val="0"/>
                <w:sz w:val="22"/>
                <w:highlight w:val="none"/>
              </w:rPr>
            </w:pPr>
            <w:r>
              <w:rPr>
                <w:color w:val="000000"/>
                <w:kern w:val="0"/>
                <w:sz w:val="22"/>
                <w:highlight w:val="none"/>
              </w:rPr>
              <w:t>1</w:t>
            </w:r>
          </w:p>
        </w:tc>
      </w:tr>
      <w:tr w14:paraId="23825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1E2F9FF7">
            <w:pPr>
              <w:widowControl/>
              <w:jc w:val="center"/>
              <w:rPr>
                <w:color w:val="000000"/>
                <w:kern w:val="0"/>
                <w:sz w:val="22"/>
                <w:highlight w:val="none"/>
              </w:rPr>
            </w:pPr>
            <w:r>
              <w:rPr>
                <w:color w:val="000000"/>
                <w:kern w:val="0"/>
                <w:sz w:val="22"/>
                <w:highlight w:val="none"/>
              </w:rPr>
              <w:t>6</w:t>
            </w:r>
          </w:p>
        </w:tc>
        <w:tc>
          <w:tcPr>
            <w:tcW w:w="3650" w:type="dxa"/>
            <w:gridSpan w:val="2"/>
            <w:shd w:val="clear" w:color="000000" w:fill="FFFFFF"/>
            <w:noWrap/>
            <w:vAlign w:val="center"/>
          </w:tcPr>
          <w:p w14:paraId="241877A9">
            <w:pPr>
              <w:widowControl/>
              <w:jc w:val="left"/>
              <w:rPr>
                <w:color w:val="000000"/>
                <w:kern w:val="0"/>
                <w:sz w:val="22"/>
                <w:highlight w:val="none"/>
              </w:rPr>
            </w:pPr>
            <w:r>
              <w:rPr>
                <w:color w:val="000000"/>
                <w:kern w:val="0"/>
                <w:sz w:val="22"/>
                <w:highlight w:val="none"/>
              </w:rPr>
              <w:t>诊断服务器</w:t>
            </w:r>
          </w:p>
        </w:tc>
        <w:tc>
          <w:tcPr>
            <w:tcW w:w="2378" w:type="dxa"/>
            <w:shd w:val="clear" w:color="000000" w:fill="FFFFFF"/>
            <w:vAlign w:val="center"/>
          </w:tcPr>
          <w:p w14:paraId="59B364D3">
            <w:pPr>
              <w:widowControl/>
              <w:jc w:val="left"/>
              <w:rPr>
                <w:color w:val="000000"/>
                <w:kern w:val="0"/>
                <w:sz w:val="22"/>
                <w:highlight w:val="none"/>
              </w:rPr>
            </w:pPr>
            <w:r>
              <w:rPr>
                <w:color w:val="000000"/>
                <w:kern w:val="0"/>
                <w:sz w:val="22"/>
                <w:highlight w:val="none"/>
              </w:rPr>
              <w:t>TC-RV3120L-KFW</w:t>
            </w:r>
          </w:p>
        </w:tc>
        <w:tc>
          <w:tcPr>
            <w:tcW w:w="736" w:type="dxa"/>
            <w:shd w:val="clear" w:color="000000" w:fill="FFFFFF"/>
            <w:noWrap/>
            <w:vAlign w:val="center"/>
          </w:tcPr>
          <w:p w14:paraId="522FCD5A">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0EE5DE00">
            <w:pPr>
              <w:widowControl/>
              <w:jc w:val="center"/>
              <w:rPr>
                <w:color w:val="000000"/>
                <w:kern w:val="0"/>
                <w:sz w:val="22"/>
                <w:highlight w:val="none"/>
              </w:rPr>
            </w:pPr>
            <w:r>
              <w:rPr>
                <w:color w:val="000000"/>
                <w:kern w:val="0"/>
                <w:sz w:val="22"/>
                <w:highlight w:val="none"/>
              </w:rPr>
              <w:t>1</w:t>
            </w:r>
          </w:p>
        </w:tc>
      </w:tr>
      <w:tr w14:paraId="4A26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59C97956">
            <w:pPr>
              <w:widowControl/>
              <w:jc w:val="center"/>
              <w:rPr>
                <w:color w:val="000000"/>
                <w:kern w:val="0"/>
                <w:sz w:val="22"/>
                <w:highlight w:val="none"/>
              </w:rPr>
            </w:pPr>
            <w:r>
              <w:rPr>
                <w:color w:val="000000"/>
                <w:kern w:val="0"/>
                <w:sz w:val="22"/>
                <w:highlight w:val="none"/>
              </w:rPr>
              <w:t>7</w:t>
            </w:r>
          </w:p>
        </w:tc>
        <w:tc>
          <w:tcPr>
            <w:tcW w:w="3650" w:type="dxa"/>
            <w:gridSpan w:val="2"/>
            <w:shd w:val="clear" w:color="000000" w:fill="FFFFFF"/>
            <w:noWrap/>
            <w:vAlign w:val="center"/>
          </w:tcPr>
          <w:p w14:paraId="2140C869">
            <w:pPr>
              <w:widowControl/>
              <w:jc w:val="left"/>
              <w:rPr>
                <w:color w:val="000000"/>
                <w:kern w:val="0"/>
                <w:sz w:val="22"/>
                <w:highlight w:val="none"/>
              </w:rPr>
            </w:pPr>
            <w:r>
              <w:rPr>
                <w:color w:val="000000"/>
                <w:kern w:val="0"/>
                <w:sz w:val="22"/>
                <w:highlight w:val="none"/>
              </w:rPr>
              <w:t>千兆网络交换机</w:t>
            </w:r>
          </w:p>
        </w:tc>
        <w:tc>
          <w:tcPr>
            <w:tcW w:w="2378" w:type="dxa"/>
            <w:shd w:val="clear" w:color="000000" w:fill="FFFFFF"/>
            <w:vAlign w:val="center"/>
          </w:tcPr>
          <w:p w14:paraId="4D553AC3">
            <w:pPr>
              <w:widowControl/>
              <w:jc w:val="left"/>
              <w:rPr>
                <w:color w:val="000000"/>
                <w:kern w:val="0"/>
                <w:sz w:val="22"/>
                <w:highlight w:val="none"/>
              </w:rPr>
            </w:pPr>
            <w:r>
              <w:rPr>
                <w:color w:val="000000"/>
                <w:kern w:val="0"/>
                <w:sz w:val="22"/>
                <w:highlight w:val="none"/>
              </w:rPr>
              <w:t>S5110-28P</w:t>
            </w:r>
          </w:p>
        </w:tc>
        <w:tc>
          <w:tcPr>
            <w:tcW w:w="736" w:type="dxa"/>
            <w:shd w:val="clear" w:color="000000" w:fill="FFFFFF"/>
            <w:noWrap/>
            <w:vAlign w:val="center"/>
          </w:tcPr>
          <w:p w14:paraId="59BC23C7">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21B57A70">
            <w:pPr>
              <w:widowControl/>
              <w:jc w:val="center"/>
              <w:rPr>
                <w:color w:val="000000"/>
                <w:kern w:val="0"/>
                <w:sz w:val="22"/>
                <w:highlight w:val="none"/>
              </w:rPr>
            </w:pPr>
            <w:r>
              <w:rPr>
                <w:color w:val="000000"/>
                <w:kern w:val="0"/>
                <w:sz w:val="22"/>
                <w:highlight w:val="none"/>
              </w:rPr>
              <w:t>2</w:t>
            </w:r>
          </w:p>
        </w:tc>
      </w:tr>
      <w:tr w14:paraId="4DE65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4F582091">
            <w:pPr>
              <w:widowControl/>
              <w:jc w:val="center"/>
              <w:rPr>
                <w:color w:val="000000"/>
                <w:kern w:val="0"/>
                <w:sz w:val="22"/>
                <w:highlight w:val="none"/>
              </w:rPr>
            </w:pPr>
            <w:r>
              <w:rPr>
                <w:color w:val="000000"/>
                <w:kern w:val="0"/>
                <w:sz w:val="22"/>
                <w:highlight w:val="none"/>
              </w:rPr>
              <w:t>8</w:t>
            </w:r>
          </w:p>
        </w:tc>
        <w:tc>
          <w:tcPr>
            <w:tcW w:w="3650" w:type="dxa"/>
            <w:gridSpan w:val="2"/>
            <w:shd w:val="clear" w:color="000000" w:fill="FFFFFF"/>
            <w:noWrap/>
            <w:vAlign w:val="center"/>
          </w:tcPr>
          <w:p w14:paraId="02E62A54">
            <w:pPr>
              <w:widowControl/>
              <w:jc w:val="left"/>
              <w:rPr>
                <w:color w:val="000000"/>
                <w:kern w:val="0"/>
                <w:sz w:val="22"/>
                <w:highlight w:val="none"/>
              </w:rPr>
            </w:pPr>
            <w:r>
              <w:rPr>
                <w:color w:val="000000"/>
                <w:kern w:val="0"/>
                <w:sz w:val="22"/>
                <w:highlight w:val="none"/>
              </w:rPr>
              <w:t>千兆光模块</w:t>
            </w:r>
          </w:p>
        </w:tc>
        <w:tc>
          <w:tcPr>
            <w:tcW w:w="2378" w:type="dxa"/>
            <w:shd w:val="clear" w:color="000000" w:fill="FFFFFF"/>
            <w:vAlign w:val="center"/>
          </w:tcPr>
          <w:p w14:paraId="52F28F36">
            <w:pPr>
              <w:widowControl/>
              <w:jc w:val="left"/>
              <w:rPr>
                <w:color w:val="000000"/>
                <w:kern w:val="0"/>
                <w:sz w:val="22"/>
                <w:highlight w:val="none"/>
              </w:rPr>
            </w:pPr>
            <w:r>
              <w:rPr>
                <w:color w:val="000000"/>
                <w:kern w:val="0"/>
                <w:sz w:val="22"/>
                <w:highlight w:val="none"/>
              </w:rPr>
              <w:t>SFP-GE-LH40-SM1310</w:t>
            </w:r>
          </w:p>
        </w:tc>
        <w:tc>
          <w:tcPr>
            <w:tcW w:w="736" w:type="dxa"/>
            <w:shd w:val="clear" w:color="000000" w:fill="FFFFFF"/>
            <w:noWrap/>
            <w:vAlign w:val="center"/>
          </w:tcPr>
          <w:p w14:paraId="3E6CFB63">
            <w:pPr>
              <w:widowControl/>
              <w:jc w:val="center"/>
              <w:rPr>
                <w:color w:val="000000"/>
                <w:kern w:val="0"/>
                <w:sz w:val="22"/>
                <w:highlight w:val="none"/>
              </w:rPr>
            </w:pPr>
            <w:r>
              <w:rPr>
                <w:color w:val="000000"/>
                <w:kern w:val="0"/>
                <w:sz w:val="22"/>
                <w:highlight w:val="none"/>
              </w:rPr>
              <w:t>个</w:t>
            </w:r>
          </w:p>
        </w:tc>
        <w:tc>
          <w:tcPr>
            <w:tcW w:w="725" w:type="dxa"/>
            <w:shd w:val="clear" w:color="000000" w:fill="FFFFFF"/>
            <w:noWrap/>
            <w:vAlign w:val="center"/>
          </w:tcPr>
          <w:p w14:paraId="75F4DD9A">
            <w:pPr>
              <w:widowControl/>
              <w:jc w:val="center"/>
              <w:rPr>
                <w:color w:val="000000"/>
                <w:kern w:val="0"/>
                <w:sz w:val="22"/>
                <w:highlight w:val="none"/>
              </w:rPr>
            </w:pPr>
            <w:r>
              <w:rPr>
                <w:color w:val="000000"/>
                <w:kern w:val="0"/>
                <w:sz w:val="22"/>
                <w:highlight w:val="none"/>
              </w:rPr>
              <w:t>6</w:t>
            </w:r>
          </w:p>
        </w:tc>
      </w:tr>
      <w:tr w14:paraId="5C99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18E0F485">
            <w:pPr>
              <w:widowControl/>
              <w:jc w:val="center"/>
              <w:rPr>
                <w:color w:val="000000"/>
                <w:kern w:val="0"/>
                <w:sz w:val="22"/>
                <w:highlight w:val="none"/>
              </w:rPr>
            </w:pPr>
            <w:r>
              <w:rPr>
                <w:color w:val="000000"/>
                <w:kern w:val="0"/>
                <w:sz w:val="22"/>
                <w:highlight w:val="none"/>
              </w:rPr>
              <w:t>9</w:t>
            </w:r>
          </w:p>
        </w:tc>
        <w:tc>
          <w:tcPr>
            <w:tcW w:w="3650" w:type="dxa"/>
            <w:gridSpan w:val="2"/>
            <w:shd w:val="clear" w:color="000000" w:fill="FFFFFF"/>
            <w:noWrap/>
            <w:vAlign w:val="center"/>
          </w:tcPr>
          <w:p w14:paraId="09114220">
            <w:pPr>
              <w:widowControl/>
              <w:jc w:val="left"/>
              <w:rPr>
                <w:color w:val="000000"/>
                <w:kern w:val="0"/>
                <w:sz w:val="22"/>
                <w:highlight w:val="none"/>
              </w:rPr>
            </w:pPr>
            <w:r>
              <w:rPr>
                <w:color w:val="000000"/>
                <w:kern w:val="0"/>
                <w:sz w:val="22"/>
                <w:highlight w:val="none"/>
              </w:rPr>
              <w:t>万兆三层交换机</w:t>
            </w:r>
          </w:p>
        </w:tc>
        <w:tc>
          <w:tcPr>
            <w:tcW w:w="2378" w:type="dxa"/>
            <w:shd w:val="clear" w:color="000000" w:fill="FFFFFF"/>
            <w:vAlign w:val="center"/>
          </w:tcPr>
          <w:p w14:paraId="762274C0">
            <w:pPr>
              <w:widowControl/>
              <w:jc w:val="left"/>
              <w:rPr>
                <w:color w:val="000000"/>
                <w:kern w:val="0"/>
                <w:sz w:val="22"/>
                <w:highlight w:val="none"/>
              </w:rPr>
            </w:pPr>
            <w:r>
              <w:rPr>
                <w:color w:val="000000"/>
                <w:kern w:val="0"/>
                <w:sz w:val="22"/>
                <w:highlight w:val="none"/>
              </w:rPr>
              <w:t>S10510</w:t>
            </w:r>
          </w:p>
        </w:tc>
        <w:tc>
          <w:tcPr>
            <w:tcW w:w="736" w:type="dxa"/>
            <w:shd w:val="clear" w:color="000000" w:fill="FFFFFF"/>
            <w:noWrap/>
            <w:vAlign w:val="center"/>
          </w:tcPr>
          <w:p w14:paraId="22E5F39F">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6ABFD6A1">
            <w:pPr>
              <w:widowControl/>
              <w:jc w:val="center"/>
              <w:rPr>
                <w:color w:val="000000"/>
                <w:kern w:val="0"/>
                <w:sz w:val="22"/>
                <w:highlight w:val="none"/>
              </w:rPr>
            </w:pPr>
            <w:r>
              <w:rPr>
                <w:color w:val="000000"/>
                <w:kern w:val="0"/>
                <w:sz w:val="22"/>
                <w:highlight w:val="none"/>
              </w:rPr>
              <w:t>1</w:t>
            </w:r>
          </w:p>
        </w:tc>
      </w:tr>
      <w:tr w14:paraId="06B25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restart"/>
            <w:shd w:val="clear" w:color="000000" w:fill="FFFFFF"/>
            <w:noWrap/>
            <w:vAlign w:val="center"/>
          </w:tcPr>
          <w:p w14:paraId="1101D787">
            <w:pPr>
              <w:widowControl/>
              <w:jc w:val="center"/>
              <w:rPr>
                <w:color w:val="000000"/>
                <w:kern w:val="0"/>
                <w:sz w:val="22"/>
                <w:highlight w:val="none"/>
              </w:rPr>
            </w:pPr>
            <w:r>
              <w:rPr>
                <w:color w:val="000000"/>
                <w:kern w:val="0"/>
                <w:sz w:val="22"/>
                <w:highlight w:val="none"/>
              </w:rPr>
              <w:t>10</w:t>
            </w:r>
          </w:p>
        </w:tc>
        <w:tc>
          <w:tcPr>
            <w:tcW w:w="3650" w:type="dxa"/>
            <w:gridSpan w:val="2"/>
            <w:vMerge w:val="restart"/>
            <w:shd w:val="clear" w:color="000000" w:fill="FFFFFF"/>
            <w:noWrap/>
            <w:vAlign w:val="center"/>
          </w:tcPr>
          <w:p w14:paraId="0EB60181">
            <w:pPr>
              <w:widowControl/>
              <w:jc w:val="left"/>
              <w:rPr>
                <w:color w:val="000000"/>
                <w:kern w:val="0"/>
                <w:sz w:val="22"/>
                <w:highlight w:val="none"/>
              </w:rPr>
            </w:pPr>
            <w:r>
              <w:rPr>
                <w:color w:val="000000"/>
                <w:kern w:val="0"/>
                <w:sz w:val="22"/>
                <w:highlight w:val="none"/>
              </w:rPr>
              <w:t>万兆光模块</w:t>
            </w:r>
          </w:p>
        </w:tc>
        <w:tc>
          <w:tcPr>
            <w:tcW w:w="2378" w:type="dxa"/>
            <w:shd w:val="clear" w:color="000000" w:fill="FFFFFF"/>
            <w:vAlign w:val="center"/>
          </w:tcPr>
          <w:p w14:paraId="776472D3">
            <w:pPr>
              <w:widowControl/>
              <w:jc w:val="left"/>
              <w:rPr>
                <w:color w:val="000000"/>
                <w:kern w:val="0"/>
                <w:sz w:val="22"/>
                <w:highlight w:val="none"/>
              </w:rPr>
            </w:pPr>
            <w:r>
              <w:rPr>
                <w:color w:val="000000"/>
                <w:kern w:val="0"/>
                <w:sz w:val="22"/>
                <w:highlight w:val="none"/>
              </w:rPr>
              <w:t>SFP-XG-LH40-SM1550</w:t>
            </w:r>
          </w:p>
        </w:tc>
        <w:tc>
          <w:tcPr>
            <w:tcW w:w="736" w:type="dxa"/>
            <w:shd w:val="clear" w:color="000000" w:fill="FFFFFF"/>
            <w:noWrap/>
            <w:vAlign w:val="center"/>
          </w:tcPr>
          <w:p w14:paraId="6395F4FF">
            <w:pPr>
              <w:widowControl/>
              <w:jc w:val="center"/>
              <w:rPr>
                <w:color w:val="000000"/>
                <w:kern w:val="0"/>
                <w:sz w:val="22"/>
                <w:highlight w:val="none"/>
              </w:rPr>
            </w:pPr>
            <w:r>
              <w:rPr>
                <w:color w:val="000000"/>
                <w:kern w:val="0"/>
                <w:sz w:val="22"/>
                <w:highlight w:val="none"/>
              </w:rPr>
              <w:t>个</w:t>
            </w:r>
          </w:p>
        </w:tc>
        <w:tc>
          <w:tcPr>
            <w:tcW w:w="725" w:type="dxa"/>
            <w:shd w:val="clear" w:color="000000" w:fill="FFFFFF"/>
            <w:noWrap/>
            <w:vAlign w:val="center"/>
          </w:tcPr>
          <w:p w14:paraId="0AE4CDA8">
            <w:pPr>
              <w:widowControl/>
              <w:jc w:val="center"/>
              <w:rPr>
                <w:color w:val="000000"/>
                <w:kern w:val="0"/>
                <w:sz w:val="22"/>
                <w:highlight w:val="none"/>
              </w:rPr>
            </w:pPr>
            <w:r>
              <w:rPr>
                <w:color w:val="000000"/>
                <w:kern w:val="0"/>
                <w:sz w:val="22"/>
                <w:highlight w:val="none"/>
              </w:rPr>
              <w:t>2</w:t>
            </w:r>
          </w:p>
        </w:tc>
      </w:tr>
      <w:tr w14:paraId="4EA1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02154DEE">
            <w:pPr>
              <w:widowControl/>
              <w:jc w:val="left"/>
              <w:rPr>
                <w:color w:val="000000"/>
                <w:kern w:val="0"/>
                <w:sz w:val="22"/>
                <w:highlight w:val="none"/>
              </w:rPr>
            </w:pPr>
          </w:p>
        </w:tc>
        <w:tc>
          <w:tcPr>
            <w:tcW w:w="3650" w:type="dxa"/>
            <w:gridSpan w:val="2"/>
            <w:vMerge w:val="continue"/>
            <w:vAlign w:val="center"/>
          </w:tcPr>
          <w:p w14:paraId="065B561E">
            <w:pPr>
              <w:widowControl/>
              <w:jc w:val="left"/>
              <w:rPr>
                <w:color w:val="000000"/>
                <w:kern w:val="0"/>
                <w:sz w:val="22"/>
                <w:highlight w:val="none"/>
              </w:rPr>
            </w:pPr>
          </w:p>
        </w:tc>
        <w:tc>
          <w:tcPr>
            <w:tcW w:w="2378" w:type="dxa"/>
            <w:shd w:val="clear" w:color="000000" w:fill="FFFFFF"/>
            <w:vAlign w:val="center"/>
          </w:tcPr>
          <w:p w14:paraId="79036848">
            <w:pPr>
              <w:widowControl/>
              <w:jc w:val="left"/>
              <w:rPr>
                <w:color w:val="000000"/>
                <w:kern w:val="0"/>
                <w:sz w:val="22"/>
                <w:highlight w:val="none"/>
              </w:rPr>
            </w:pPr>
            <w:r>
              <w:rPr>
                <w:color w:val="000000"/>
                <w:kern w:val="0"/>
                <w:sz w:val="22"/>
                <w:highlight w:val="none"/>
              </w:rPr>
              <w:t>SFP-XG-SX-M850</w:t>
            </w:r>
          </w:p>
        </w:tc>
        <w:tc>
          <w:tcPr>
            <w:tcW w:w="736" w:type="dxa"/>
            <w:shd w:val="clear" w:color="000000" w:fill="FFFFFF"/>
            <w:noWrap/>
            <w:vAlign w:val="center"/>
          </w:tcPr>
          <w:p w14:paraId="12C48983">
            <w:pPr>
              <w:widowControl/>
              <w:jc w:val="center"/>
              <w:rPr>
                <w:color w:val="000000"/>
                <w:kern w:val="0"/>
                <w:sz w:val="22"/>
                <w:highlight w:val="none"/>
              </w:rPr>
            </w:pPr>
            <w:r>
              <w:rPr>
                <w:color w:val="000000"/>
                <w:kern w:val="0"/>
                <w:sz w:val="22"/>
                <w:highlight w:val="none"/>
              </w:rPr>
              <w:t>个</w:t>
            </w:r>
          </w:p>
        </w:tc>
        <w:tc>
          <w:tcPr>
            <w:tcW w:w="725" w:type="dxa"/>
            <w:shd w:val="clear" w:color="000000" w:fill="FFFFFF"/>
            <w:noWrap/>
            <w:vAlign w:val="center"/>
          </w:tcPr>
          <w:p w14:paraId="18DC186B">
            <w:pPr>
              <w:widowControl/>
              <w:jc w:val="center"/>
              <w:rPr>
                <w:color w:val="000000"/>
                <w:kern w:val="0"/>
                <w:sz w:val="22"/>
                <w:highlight w:val="none"/>
              </w:rPr>
            </w:pPr>
            <w:r>
              <w:rPr>
                <w:color w:val="000000"/>
                <w:kern w:val="0"/>
                <w:sz w:val="22"/>
                <w:highlight w:val="none"/>
              </w:rPr>
              <w:t>4</w:t>
            </w:r>
          </w:p>
        </w:tc>
      </w:tr>
      <w:tr w14:paraId="5408D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278577A1">
            <w:pPr>
              <w:widowControl/>
              <w:jc w:val="center"/>
              <w:rPr>
                <w:b/>
                <w:bCs/>
                <w:color w:val="000000"/>
                <w:kern w:val="0"/>
                <w:sz w:val="22"/>
                <w:highlight w:val="none"/>
              </w:rPr>
            </w:pPr>
            <w:r>
              <w:rPr>
                <w:b/>
                <w:bCs/>
                <w:color w:val="000000"/>
                <w:kern w:val="0"/>
                <w:sz w:val="22"/>
                <w:highlight w:val="none"/>
              </w:rPr>
              <w:t>（二）</w:t>
            </w:r>
          </w:p>
        </w:tc>
        <w:tc>
          <w:tcPr>
            <w:tcW w:w="6028" w:type="dxa"/>
            <w:gridSpan w:val="3"/>
            <w:shd w:val="clear" w:color="000000" w:fill="FFFFFF"/>
            <w:noWrap/>
            <w:vAlign w:val="center"/>
          </w:tcPr>
          <w:p w14:paraId="464B2179">
            <w:pPr>
              <w:widowControl/>
              <w:jc w:val="left"/>
              <w:rPr>
                <w:b/>
                <w:bCs/>
                <w:color w:val="000000"/>
                <w:kern w:val="0"/>
                <w:sz w:val="22"/>
                <w:highlight w:val="none"/>
              </w:rPr>
            </w:pPr>
            <w:r>
              <w:rPr>
                <w:b/>
                <w:bCs/>
                <w:color w:val="000000"/>
                <w:kern w:val="0"/>
                <w:sz w:val="22"/>
                <w:highlight w:val="none"/>
              </w:rPr>
              <w:t>电子卡口系统</w:t>
            </w:r>
          </w:p>
        </w:tc>
        <w:tc>
          <w:tcPr>
            <w:tcW w:w="1461" w:type="dxa"/>
            <w:gridSpan w:val="2"/>
            <w:shd w:val="clear" w:color="000000" w:fill="FFFFFF"/>
            <w:noWrap/>
            <w:vAlign w:val="center"/>
          </w:tcPr>
          <w:p w14:paraId="4B4FEB75">
            <w:pPr>
              <w:widowControl/>
              <w:jc w:val="left"/>
              <w:rPr>
                <w:b/>
                <w:bCs/>
                <w:color w:val="000000"/>
                <w:kern w:val="0"/>
                <w:sz w:val="22"/>
                <w:highlight w:val="none"/>
              </w:rPr>
            </w:pPr>
            <w:r>
              <w:rPr>
                <w:b/>
                <w:bCs/>
                <w:color w:val="000000"/>
                <w:kern w:val="0"/>
                <w:sz w:val="22"/>
                <w:highlight w:val="none"/>
              </w:rPr>
              <w:t>　</w:t>
            </w:r>
          </w:p>
        </w:tc>
      </w:tr>
      <w:tr w14:paraId="14D8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restart"/>
            <w:shd w:val="clear" w:color="000000" w:fill="FFFFFF"/>
            <w:noWrap/>
            <w:vAlign w:val="center"/>
          </w:tcPr>
          <w:p w14:paraId="718BE081">
            <w:pPr>
              <w:widowControl/>
              <w:jc w:val="center"/>
              <w:rPr>
                <w:color w:val="000000"/>
                <w:kern w:val="0"/>
                <w:sz w:val="22"/>
                <w:highlight w:val="none"/>
              </w:rPr>
            </w:pPr>
            <w:r>
              <w:rPr>
                <w:color w:val="000000"/>
                <w:kern w:val="0"/>
                <w:sz w:val="22"/>
                <w:highlight w:val="none"/>
              </w:rPr>
              <w:t>1</w:t>
            </w:r>
          </w:p>
        </w:tc>
        <w:tc>
          <w:tcPr>
            <w:tcW w:w="1738" w:type="dxa"/>
            <w:vMerge w:val="restart"/>
            <w:shd w:val="clear" w:color="000000" w:fill="FFFFFF"/>
            <w:noWrap/>
            <w:vAlign w:val="center"/>
          </w:tcPr>
          <w:p w14:paraId="1E30B37F">
            <w:pPr>
              <w:widowControl/>
              <w:jc w:val="left"/>
              <w:rPr>
                <w:color w:val="000000"/>
                <w:kern w:val="0"/>
                <w:sz w:val="22"/>
                <w:highlight w:val="none"/>
              </w:rPr>
            </w:pPr>
            <w:r>
              <w:rPr>
                <w:color w:val="000000"/>
                <w:kern w:val="0"/>
                <w:sz w:val="22"/>
                <w:highlight w:val="none"/>
              </w:rPr>
              <w:t>电子卡口后台处理系统</w:t>
            </w:r>
          </w:p>
        </w:tc>
        <w:tc>
          <w:tcPr>
            <w:tcW w:w="1912" w:type="dxa"/>
            <w:shd w:val="clear" w:color="000000" w:fill="FFFFFF"/>
            <w:noWrap/>
            <w:vAlign w:val="center"/>
          </w:tcPr>
          <w:p w14:paraId="4D62C1B6">
            <w:pPr>
              <w:widowControl/>
              <w:jc w:val="left"/>
              <w:rPr>
                <w:color w:val="000000"/>
                <w:kern w:val="0"/>
                <w:sz w:val="22"/>
                <w:highlight w:val="none"/>
              </w:rPr>
            </w:pPr>
            <w:r>
              <w:rPr>
                <w:color w:val="000000"/>
                <w:kern w:val="0"/>
                <w:sz w:val="22"/>
                <w:highlight w:val="none"/>
              </w:rPr>
              <w:t>总控管理模块</w:t>
            </w:r>
          </w:p>
        </w:tc>
        <w:tc>
          <w:tcPr>
            <w:tcW w:w="2378" w:type="dxa"/>
            <w:shd w:val="clear" w:color="000000" w:fill="FFFFFF"/>
            <w:vAlign w:val="center"/>
          </w:tcPr>
          <w:p w14:paraId="60AE5442">
            <w:pPr>
              <w:widowControl/>
              <w:jc w:val="left"/>
              <w:rPr>
                <w:color w:val="000000"/>
                <w:kern w:val="0"/>
                <w:sz w:val="22"/>
                <w:highlight w:val="none"/>
              </w:rPr>
            </w:pPr>
            <w:r>
              <w:rPr>
                <w:color w:val="000000"/>
                <w:kern w:val="0"/>
                <w:sz w:val="22"/>
                <w:highlight w:val="none"/>
              </w:rPr>
              <w:t>V7.0(BMS-K)</w:t>
            </w:r>
          </w:p>
        </w:tc>
        <w:tc>
          <w:tcPr>
            <w:tcW w:w="736" w:type="dxa"/>
            <w:shd w:val="clear" w:color="000000" w:fill="FFFFFF"/>
            <w:noWrap/>
            <w:vAlign w:val="center"/>
          </w:tcPr>
          <w:p w14:paraId="1AE34C75">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1CF8EE3C">
            <w:pPr>
              <w:widowControl/>
              <w:jc w:val="center"/>
              <w:rPr>
                <w:color w:val="000000"/>
                <w:kern w:val="0"/>
                <w:sz w:val="22"/>
                <w:highlight w:val="none"/>
              </w:rPr>
            </w:pPr>
            <w:r>
              <w:rPr>
                <w:color w:val="000000"/>
                <w:kern w:val="0"/>
                <w:sz w:val="22"/>
                <w:highlight w:val="none"/>
              </w:rPr>
              <w:t>1</w:t>
            </w:r>
          </w:p>
        </w:tc>
      </w:tr>
      <w:tr w14:paraId="5BD5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47A0497A">
            <w:pPr>
              <w:widowControl/>
              <w:jc w:val="left"/>
              <w:rPr>
                <w:color w:val="000000"/>
                <w:kern w:val="0"/>
                <w:sz w:val="22"/>
                <w:highlight w:val="none"/>
              </w:rPr>
            </w:pPr>
          </w:p>
        </w:tc>
        <w:tc>
          <w:tcPr>
            <w:tcW w:w="1738" w:type="dxa"/>
            <w:vMerge w:val="continue"/>
            <w:vAlign w:val="center"/>
          </w:tcPr>
          <w:p w14:paraId="6B2F97B9">
            <w:pPr>
              <w:widowControl/>
              <w:jc w:val="left"/>
              <w:rPr>
                <w:color w:val="000000"/>
                <w:kern w:val="0"/>
                <w:sz w:val="22"/>
                <w:highlight w:val="none"/>
              </w:rPr>
            </w:pPr>
          </w:p>
        </w:tc>
        <w:tc>
          <w:tcPr>
            <w:tcW w:w="1912" w:type="dxa"/>
            <w:shd w:val="clear" w:color="000000" w:fill="FFFFFF"/>
            <w:noWrap/>
            <w:vAlign w:val="center"/>
          </w:tcPr>
          <w:p w14:paraId="1BDC7C36">
            <w:pPr>
              <w:widowControl/>
              <w:jc w:val="left"/>
              <w:rPr>
                <w:color w:val="000000"/>
                <w:kern w:val="0"/>
                <w:sz w:val="22"/>
                <w:highlight w:val="none"/>
              </w:rPr>
            </w:pPr>
            <w:r>
              <w:rPr>
                <w:color w:val="000000"/>
                <w:kern w:val="0"/>
                <w:sz w:val="22"/>
                <w:highlight w:val="none"/>
              </w:rPr>
              <w:t>存储模块</w:t>
            </w:r>
          </w:p>
        </w:tc>
        <w:tc>
          <w:tcPr>
            <w:tcW w:w="2378" w:type="dxa"/>
            <w:shd w:val="clear" w:color="000000" w:fill="FFFFFF"/>
            <w:vAlign w:val="center"/>
          </w:tcPr>
          <w:p w14:paraId="7495DB96">
            <w:pPr>
              <w:widowControl/>
              <w:jc w:val="left"/>
              <w:rPr>
                <w:color w:val="000000"/>
                <w:kern w:val="0"/>
                <w:sz w:val="22"/>
                <w:highlight w:val="none"/>
              </w:rPr>
            </w:pPr>
            <w:r>
              <w:rPr>
                <w:color w:val="000000"/>
                <w:kern w:val="0"/>
                <w:sz w:val="22"/>
                <w:highlight w:val="none"/>
              </w:rPr>
              <w:t>V7.0 (Recorder )</w:t>
            </w:r>
          </w:p>
        </w:tc>
        <w:tc>
          <w:tcPr>
            <w:tcW w:w="736" w:type="dxa"/>
            <w:shd w:val="clear" w:color="000000" w:fill="FFFFFF"/>
            <w:noWrap/>
            <w:vAlign w:val="center"/>
          </w:tcPr>
          <w:p w14:paraId="3415FDA2">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4AAFF84F">
            <w:pPr>
              <w:widowControl/>
              <w:jc w:val="center"/>
              <w:rPr>
                <w:color w:val="000000"/>
                <w:kern w:val="0"/>
                <w:sz w:val="22"/>
                <w:highlight w:val="none"/>
              </w:rPr>
            </w:pPr>
            <w:r>
              <w:rPr>
                <w:color w:val="000000"/>
                <w:kern w:val="0"/>
                <w:sz w:val="22"/>
                <w:highlight w:val="none"/>
              </w:rPr>
              <w:t>1</w:t>
            </w:r>
          </w:p>
        </w:tc>
      </w:tr>
      <w:tr w14:paraId="2846F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3172DF37">
            <w:pPr>
              <w:widowControl/>
              <w:jc w:val="left"/>
              <w:rPr>
                <w:color w:val="000000"/>
                <w:kern w:val="0"/>
                <w:sz w:val="22"/>
                <w:highlight w:val="none"/>
              </w:rPr>
            </w:pPr>
          </w:p>
        </w:tc>
        <w:tc>
          <w:tcPr>
            <w:tcW w:w="1738" w:type="dxa"/>
            <w:vMerge w:val="continue"/>
            <w:vAlign w:val="center"/>
          </w:tcPr>
          <w:p w14:paraId="1EEA0505">
            <w:pPr>
              <w:widowControl/>
              <w:jc w:val="left"/>
              <w:rPr>
                <w:color w:val="000000"/>
                <w:kern w:val="0"/>
                <w:sz w:val="22"/>
                <w:highlight w:val="none"/>
              </w:rPr>
            </w:pPr>
          </w:p>
        </w:tc>
        <w:tc>
          <w:tcPr>
            <w:tcW w:w="1912" w:type="dxa"/>
            <w:shd w:val="clear" w:color="000000" w:fill="FFFFFF"/>
            <w:noWrap/>
            <w:vAlign w:val="center"/>
          </w:tcPr>
          <w:p w14:paraId="12CF4199">
            <w:pPr>
              <w:widowControl/>
              <w:jc w:val="left"/>
              <w:rPr>
                <w:color w:val="000000"/>
                <w:kern w:val="0"/>
                <w:sz w:val="22"/>
                <w:highlight w:val="none"/>
              </w:rPr>
            </w:pPr>
            <w:r>
              <w:rPr>
                <w:color w:val="000000"/>
                <w:kern w:val="0"/>
                <w:sz w:val="22"/>
                <w:highlight w:val="none"/>
              </w:rPr>
              <w:t>服务器</w:t>
            </w:r>
          </w:p>
        </w:tc>
        <w:tc>
          <w:tcPr>
            <w:tcW w:w="2378" w:type="dxa"/>
            <w:shd w:val="clear" w:color="000000" w:fill="FFFFFF"/>
            <w:vAlign w:val="center"/>
          </w:tcPr>
          <w:p w14:paraId="34144793">
            <w:pPr>
              <w:widowControl/>
              <w:jc w:val="left"/>
              <w:rPr>
                <w:color w:val="000000"/>
                <w:kern w:val="0"/>
                <w:sz w:val="22"/>
                <w:highlight w:val="none"/>
              </w:rPr>
            </w:pPr>
            <w:r>
              <w:rPr>
                <w:color w:val="000000"/>
                <w:kern w:val="0"/>
                <w:sz w:val="22"/>
                <w:highlight w:val="none"/>
              </w:rPr>
              <w:t>TC-RV35230S</w:t>
            </w:r>
          </w:p>
        </w:tc>
        <w:tc>
          <w:tcPr>
            <w:tcW w:w="736" w:type="dxa"/>
            <w:shd w:val="clear" w:color="000000" w:fill="FFFFFF"/>
            <w:noWrap/>
            <w:vAlign w:val="center"/>
          </w:tcPr>
          <w:p w14:paraId="090AA6B3">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78A9E1C3">
            <w:pPr>
              <w:widowControl/>
              <w:jc w:val="center"/>
              <w:rPr>
                <w:color w:val="000000"/>
                <w:kern w:val="0"/>
                <w:sz w:val="22"/>
                <w:highlight w:val="none"/>
              </w:rPr>
            </w:pPr>
            <w:r>
              <w:rPr>
                <w:color w:val="000000"/>
                <w:kern w:val="0"/>
                <w:sz w:val="22"/>
                <w:highlight w:val="none"/>
              </w:rPr>
              <w:t>1</w:t>
            </w:r>
          </w:p>
        </w:tc>
      </w:tr>
      <w:tr w14:paraId="6F4EE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44FDD9E2">
            <w:pPr>
              <w:widowControl/>
              <w:jc w:val="left"/>
              <w:rPr>
                <w:color w:val="000000"/>
                <w:kern w:val="0"/>
                <w:sz w:val="22"/>
                <w:highlight w:val="none"/>
              </w:rPr>
            </w:pPr>
          </w:p>
        </w:tc>
        <w:tc>
          <w:tcPr>
            <w:tcW w:w="1738" w:type="dxa"/>
            <w:vMerge w:val="continue"/>
            <w:vAlign w:val="center"/>
          </w:tcPr>
          <w:p w14:paraId="599C7DE1">
            <w:pPr>
              <w:widowControl/>
              <w:jc w:val="left"/>
              <w:rPr>
                <w:color w:val="000000"/>
                <w:kern w:val="0"/>
                <w:sz w:val="22"/>
                <w:highlight w:val="none"/>
              </w:rPr>
            </w:pPr>
          </w:p>
        </w:tc>
        <w:tc>
          <w:tcPr>
            <w:tcW w:w="1912" w:type="dxa"/>
            <w:shd w:val="clear" w:color="000000" w:fill="FFFFFF"/>
            <w:noWrap/>
            <w:vAlign w:val="center"/>
          </w:tcPr>
          <w:p w14:paraId="63960537">
            <w:pPr>
              <w:widowControl/>
              <w:jc w:val="left"/>
              <w:rPr>
                <w:color w:val="000000"/>
                <w:kern w:val="0"/>
                <w:sz w:val="22"/>
                <w:highlight w:val="none"/>
              </w:rPr>
            </w:pPr>
            <w:r>
              <w:rPr>
                <w:color w:val="000000"/>
                <w:kern w:val="0"/>
                <w:sz w:val="22"/>
                <w:highlight w:val="none"/>
              </w:rPr>
              <w:t>流媒体转发服务器</w:t>
            </w:r>
          </w:p>
        </w:tc>
        <w:tc>
          <w:tcPr>
            <w:tcW w:w="2378" w:type="dxa"/>
            <w:shd w:val="clear" w:color="000000" w:fill="FFFFFF"/>
            <w:vAlign w:val="center"/>
          </w:tcPr>
          <w:p w14:paraId="0D52FF14">
            <w:pPr>
              <w:widowControl/>
              <w:jc w:val="left"/>
              <w:rPr>
                <w:color w:val="000000"/>
                <w:kern w:val="0"/>
                <w:sz w:val="22"/>
                <w:highlight w:val="none"/>
              </w:rPr>
            </w:pPr>
            <w:r>
              <w:rPr>
                <w:color w:val="000000"/>
                <w:kern w:val="0"/>
                <w:sz w:val="22"/>
                <w:highlight w:val="none"/>
              </w:rPr>
              <w:t>RV3120L-L7P</w:t>
            </w:r>
          </w:p>
        </w:tc>
        <w:tc>
          <w:tcPr>
            <w:tcW w:w="736" w:type="dxa"/>
            <w:shd w:val="clear" w:color="000000" w:fill="FFFFFF"/>
            <w:noWrap/>
            <w:vAlign w:val="center"/>
          </w:tcPr>
          <w:p w14:paraId="44104B8D">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402F3D49">
            <w:pPr>
              <w:widowControl/>
              <w:jc w:val="center"/>
              <w:rPr>
                <w:color w:val="000000"/>
                <w:kern w:val="0"/>
                <w:sz w:val="22"/>
                <w:highlight w:val="none"/>
              </w:rPr>
            </w:pPr>
            <w:r>
              <w:rPr>
                <w:color w:val="000000"/>
                <w:kern w:val="0"/>
                <w:sz w:val="22"/>
                <w:highlight w:val="none"/>
              </w:rPr>
              <w:t>1</w:t>
            </w:r>
          </w:p>
        </w:tc>
      </w:tr>
      <w:tr w14:paraId="4A2C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restart"/>
            <w:shd w:val="clear" w:color="000000" w:fill="FFFFFF"/>
            <w:noWrap/>
            <w:vAlign w:val="center"/>
          </w:tcPr>
          <w:p w14:paraId="408ABCBC">
            <w:pPr>
              <w:widowControl/>
              <w:jc w:val="center"/>
              <w:rPr>
                <w:color w:val="000000"/>
                <w:kern w:val="0"/>
                <w:sz w:val="22"/>
                <w:highlight w:val="none"/>
              </w:rPr>
            </w:pPr>
            <w:r>
              <w:rPr>
                <w:color w:val="000000"/>
                <w:kern w:val="0"/>
                <w:sz w:val="22"/>
                <w:highlight w:val="none"/>
              </w:rPr>
              <w:t>2</w:t>
            </w:r>
          </w:p>
        </w:tc>
        <w:tc>
          <w:tcPr>
            <w:tcW w:w="1738" w:type="dxa"/>
            <w:vMerge w:val="restart"/>
            <w:shd w:val="clear" w:color="000000" w:fill="FFFFFF"/>
            <w:noWrap/>
            <w:vAlign w:val="center"/>
          </w:tcPr>
          <w:p w14:paraId="257756A2">
            <w:pPr>
              <w:widowControl/>
              <w:jc w:val="left"/>
              <w:rPr>
                <w:color w:val="000000"/>
                <w:kern w:val="0"/>
                <w:sz w:val="22"/>
                <w:highlight w:val="none"/>
              </w:rPr>
            </w:pPr>
            <w:r>
              <w:rPr>
                <w:color w:val="000000"/>
                <w:kern w:val="0"/>
                <w:sz w:val="22"/>
                <w:highlight w:val="none"/>
              </w:rPr>
              <w:t>存储系统</w:t>
            </w:r>
          </w:p>
        </w:tc>
        <w:tc>
          <w:tcPr>
            <w:tcW w:w="1912" w:type="dxa"/>
            <w:shd w:val="clear" w:color="000000" w:fill="FFFFFF"/>
            <w:noWrap/>
            <w:vAlign w:val="center"/>
          </w:tcPr>
          <w:p w14:paraId="6E4352A0">
            <w:pPr>
              <w:widowControl/>
              <w:jc w:val="left"/>
              <w:rPr>
                <w:color w:val="000000"/>
                <w:kern w:val="0"/>
                <w:sz w:val="22"/>
                <w:highlight w:val="none"/>
              </w:rPr>
            </w:pPr>
            <w:r>
              <w:rPr>
                <w:color w:val="000000"/>
                <w:kern w:val="0"/>
                <w:sz w:val="22"/>
                <w:highlight w:val="none"/>
              </w:rPr>
              <w:t>网络存储服务器</w:t>
            </w:r>
          </w:p>
        </w:tc>
        <w:tc>
          <w:tcPr>
            <w:tcW w:w="2378" w:type="dxa"/>
            <w:shd w:val="clear" w:color="000000" w:fill="FFFFFF"/>
            <w:vAlign w:val="center"/>
          </w:tcPr>
          <w:p w14:paraId="27C5B2CC">
            <w:pPr>
              <w:widowControl/>
              <w:jc w:val="left"/>
              <w:rPr>
                <w:color w:val="000000"/>
                <w:kern w:val="0"/>
                <w:sz w:val="22"/>
                <w:highlight w:val="none"/>
              </w:rPr>
            </w:pPr>
            <w:r>
              <w:rPr>
                <w:color w:val="000000"/>
                <w:kern w:val="0"/>
                <w:sz w:val="22"/>
                <w:highlight w:val="none"/>
              </w:rPr>
              <w:t>TC-RS1036LE-L7R</w:t>
            </w:r>
          </w:p>
        </w:tc>
        <w:tc>
          <w:tcPr>
            <w:tcW w:w="736" w:type="dxa"/>
            <w:shd w:val="clear" w:color="000000" w:fill="FFFFFF"/>
            <w:noWrap/>
            <w:vAlign w:val="center"/>
          </w:tcPr>
          <w:p w14:paraId="6668FA86">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645FCC48">
            <w:pPr>
              <w:widowControl/>
              <w:jc w:val="center"/>
              <w:rPr>
                <w:color w:val="000000"/>
                <w:kern w:val="0"/>
                <w:sz w:val="22"/>
                <w:highlight w:val="none"/>
              </w:rPr>
            </w:pPr>
            <w:r>
              <w:rPr>
                <w:color w:val="000000"/>
                <w:kern w:val="0"/>
                <w:sz w:val="22"/>
                <w:highlight w:val="none"/>
              </w:rPr>
              <w:t>1</w:t>
            </w:r>
          </w:p>
        </w:tc>
      </w:tr>
      <w:tr w14:paraId="412F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338ED723">
            <w:pPr>
              <w:widowControl/>
              <w:jc w:val="left"/>
              <w:rPr>
                <w:color w:val="000000"/>
                <w:kern w:val="0"/>
                <w:sz w:val="22"/>
                <w:highlight w:val="none"/>
              </w:rPr>
            </w:pPr>
          </w:p>
        </w:tc>
        <w:tc>
          <w:tcPr>
            <w:tcW w:w="1738" w:type="dxa"/>
            <w:vMerge w:val="continue"/>
            <w:vAlign w:val="center"/>
          </w:tcPr>
          <w:p w14:paraId="09E01609">
            <w:pPr>
              <w:widowControl/>
              <w:jc w:val="left"/>
              <w:rPr>
                <w:color w:val="000000"/>
                <w:kern w:val="0"/>
                <w:sz w:val="22"/>
                <w:highlight w:val="none"/>
              </w:rPr>
            </w:pPr>
          </w:p>
        </w:tc>
        <w:tc>
          <w:tcPr>
            <w:tcW w:w="1912" w:type="dxa"/>
            <w:shd w:val="clear" w:color="000000" w:fill="FFFFFF"/>
            <w:noWrap/>
            <w:vAlign w:val="center"/>
          </w:tcPr>
          <w:p w14:paraId="74BA1336">
            <w:pPr>
              <w:widowControl/>
              <w:jc w:val="left"/>
              <w:rPr>
                <w:color w:val="000000"/>
                <w:kern w:val="0"/>
                <w:sz w:val="22"/>
                <w:highlight w:val="none"/>
              </w:rPr>
            </w:pPr>
            <w:r>
              <w:rPr>
                <w:color w:val="000000"/>
                <w:kern w:val="0"/>
                <w:sz w:val="22"/>
                <w:highlight w:val="none"/>
              </w:rPr>
              <w:t>图片存储服务器</w:t>
            </w:r>
          </w:p>
        </w:tc>
        <w:tc>
          <w:tcPr>
            <w:tcW w:w="2378" w:type="dxa"/>
            <w:shd w:val="clear" w:color="000000" w:fill="FFFFFF"/>
            <w:vAlign w:val="center"/>
          </w:tcPr>
          <w:p w14:paraId="217FE472">
            <w:pPr>
              <w:widowControl/>
              <w:jc w:val="left"/>
              <w:rPr>
                <w:color w:val="000000"/>
                <w:kern w:val="0"/>
                <w:sz w:val="22"/>
                <w:highlight w:val="none"/>
              </w:rPr>
            </w:pPr>
            <w:r>
              <w:rPr>
                <w:color w:val="000000"/>
                <w:kern w:val="0"/>
                <w:sz w:val="22"/>
                <w:highlight w:val="none"/>
              </w:rPr>
              <w:t>TC-RS1036-LE(J)</w:t>
            </w:r>
          </w:p>
        </w:tc>
        <w:tc>
          <w:tcPr>
            <w:tcW w:w="736" w:type="dxa"/>
            <w:shd w:val="clear" w:color="000000" w:fill="FFFFFF"/>
            <w:noWrap/>
            <w:vAlign w:val="center"/>
          </w:tcPr>
          <w:p w14:paraId="426BBD8F">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3A53F01D">
            <w:pPr>
              <w:widowControl/>
              <w:jc w:val="center"/>
              <w:rPr>
                <w:color w:val="000000"/>
                <w:kern w:val="0"/>
                <w:sz w:val="22"/>
                <w:highlight w:val="none"/>
              </w:rPr>
            </w:pPr>
            <w:r>
              <w:rPr>
                <w:color w:val="000000"/>
                <w:kern w:val="0"/>
                <w:sz w:val="22"/>
                <w:highlight w:val="none"/>
              </w:rPr>
              <w:t>1</w:t>
            </w:r>
          </w:p>
        </w:tc>
      </w:tr>
      <w:tr w14:paraId="40F58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52BE0475">
            <w:pPr>
              <w:widowControl/>
              <w:jc w:val="left"/>
              <w:rPr>
                <w:color w:val="000000"/>
                <w:kern w:val="0"/>
                <w:sz w:val="22"/>
                <w:highlight w:val="none"/>
              </w:rPr>
            </w:pPr>
          </w:p>
        </w:tc>
        <w:tc>
          <w:tcPr>
            <w:tcW w:w="1738" w:type="dxa"/>
            <w:vMerge w:val="continue"/>
            <w:vAlign w:val="center"/>
          </w:tcPr>
          <w:p w14:paraId="5EBDEDB8">
            <w:pPr>
              <w:widowControl/>
              <w:jc w:val="left"/>
              <w:rPr>
                <w:color w:val="000000"/>
                <w:kern w:val="0"/>
                <w:sz w:val="22"/>
                <w:highlight w:val="none"/>
              </w:rPr>
            </w:pPr>
          </w:p>
        </w:tc>
        <w:tc>
          <w:tcPr>
            <w:tcW w:w="1912" w:type="dxa"/>
            <w:shd w:val="clear" w:color="000000" w:fill="FFFFFF"/>
            <w:noWrap/>
            <w:vAlign w:val="center"/>
          </w:tcPr>
          <w:p w14:paraId="3755974B">
            <w:pPr>
              <w:widowControl/>
              <w:jc w:val="left"/>
              <w:rPr>
                <w:color w:val="000000"/>
                <w:kern w:val="0"/>
                <w:sz w:val="22"/>
                <w:highlight w:val="none"/>
              </w:rPr>
            </w:pPr>
            <w:r>
              <w:rPr>
                <w:color w:val="000000"/>
                <w:kern w:val="0"/>
                <w:sz w:val="22"/>
                <w:highlight w:val="none"/>
              </w:rPr>
              <w:t>企业级硬盘</w:t>
            </w:r>
          </w:p>
        </w:tc>
        <w:tc>
          <w:tcPr>
            <w:tcW w:w="2378" w:type="dxa"/>
            <w:shd w:val="clear" w:color="000000" w:fill="FFFFFF"/>
            <w:vAlign w:val="center"/>
          </w:tcPr>
          <w:p w14:paraId="6999DDDA">
            <w:pPr>
              <w:widowControl/>
              <w:jc w:val="left"/>
              <w:rPr>
                <w:color w:val="000000"/>
                <w:kern w:val="0"/>
                <w:sz w:val="22"/>
                <w:highlight w:val="none"/>
              </w:rPr>
            </w:pPr>
            <w:r>
              <w:rPr>
                <w:color w:val="000000"/>
                <w:kern w:val="0"/>
                <w:sz w:val="22"/>
                <w:highlight w:val="none"/>
              </w:rPr>
              <w:t>ST4000NM0035</w:t>
            </w:r>
          </w:p>
        </w:tc>
        <w:tc>
          <w:tcPr>
            <w:tcW w:w="736" w:type="dxa"/>
            <w:shd w:val="clear" w:color="000000" w:fill="FFFFFF"/>
            <w:noWrap/>
            <w:vAlign w:val="center"/>
          </w:tcPr>
          <w:p w14:paraId="4EE0EA95">
            <w:pPr>
              <w:widowControl/>
              <w:jc w:val="center"/>
              <w:rPr>
                <w:color w:val="000000"/>
                <w:kern w:val="0"/>
                <w:sz w:val="22"/>
                <w:highlight w:val="none"/>
              </w:rPr>
            </w:pPr>
            <w:r>
              <w:rPr>
                <w:color w:val="000000"/>
                <w:kern w:val="0"/>
                <w:sz w:val="22"/>
                <w:highlight w:val="none"/>
              </w:rPr>
              <w:t>块</w:t>
            </w:r>
          </w:p>
        </w:tc>
        <w:tc>
          <w:tcPr>
            <w:tcW w:w="725" w:type="dxa"/>
            <w:shd w:val="clear" w:color="000000" w:fill="FFFFFF"/>
            <w:noWrap/>
            <w:vAlign w:val="center"/>
          </w:tcPr>
          <w:p w14:paraId="25942FAC">
            <w:pPr>
              <w:widowControl/>
              <w:jc w:val="center"/>
              <w:rPr>
                <w:color w:val="000000"/>
                <w:kern w:val="0"/>
                <w:sz w:val="22"/>
                <w:highlight w:val="none"/>
              </w:rPr>
            </w:pPr>
            <w:r>
              <w:rPr>
                <w:color w:val="000000"/>
                <w:kern w:val="0"/>
                <w:sz w:val="22"/>
                <w:highlight w:val="none"/>
              </w:rPr>
              <w:t>32</w:t>
            </w:r>
          </w:p>
        </w:tc>
      </w:tr>
      <w:tr w14:paraId="6FCC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restart"/>
            <w:shd w:val="clear" w:color="000000" w:fill="FFFFFF"/>
            <w:noWrap/>
            <w:vAlign w:val="center"/>
          </w:tcPr>
          <w:p w14:paraId="2786A708">
            <w:pPr>
              <w:widowControl/>
              <w:jc w:val="center"/>
              <w:rPr>
                <w:color w:val="000000"/>
                <w:kern w:val="0"/>
                <w:sz w:val="22"/>
                <w:highlight w:val="none"/>
              </w:rPr>
            </w:pPr>
            <w:r>
              <w:rPr>
                <w:color w:val="000000"/>
                <w:kern w:val="0"/>
                <w:sz w:val="22"/>
                <w:highlight w:val="none"/>
              </w:rPr>
              <w:t>3</w:t>
            </w:r>
          </w:p>
        </w:tc>
        <w:tc>
          <w:tcPr>
            <w:tcW w:w="1738" w:type="dxa"/>
            <w:vMerge w:val="restart"/>
            <w:shd w:val="clear" w:color="000000" w:fill="FFFFFF"/>
            <w:noWrap/>
            <w:vAlign w:val="center"/>
          </w:tcPr>
          <w:p w14:paraId="73C2AAA1">
            <w:pPr>
              <w:widowControl/>
              <w:jc w:val="left"/>
              <w:rPr>
                <w:color w:val="000000"/>
                <w:kern w:val="0"/>
                <w:sz w:val="22"/>
                <w:highlight w:val="none"/>
              </w:rPr>
            </w:pPr>
            <w:r>
              <w:rPr>
                <w:color w:val="000000"/>
                <w:kern w:val="0"/>
                <w:sz w:val="22"/>
                <w:highlight w:val="none"/>
              </w:rPr>
              <w:t>违法数据上传服务器</w:t>
            </w:r>
          </w:p>
        </w:tc>
        <w:tc>
          <w:tcPr>
            <w:tcW w:w="1912" w:type="dxa"/>
            <w:shd w:val="clear" w:color="000000" w:fill="FFFFFF"/>
            <w:noWrap/>
            <w:vAlign w:val="center"/>
          </w:tcPr>
          <w:p w14:paraId="0E18E2B2">
            <w:pPr>
              <w:widowControl/>
              <w:jc w:val="left"/>
              <w:rPr>
                <w:color w:val="000000"/>
                <w:kern w:val="0"/>
                <w:sz w:val="22"/>
                <w:highlight w:val="none"/>
              </w:rPr>
            </w:pPr>
            <w:r>
              <w:rPr>
                <w:color w:val="000000"/>
                <w:kern w:val="0"/>
                <w:sz w:val="22"/>
                <w:highlight w:val="none"/>
              </w:rPr>
              <w:t>违法数据上传模块</w:t>
            </w:r>
          </w:p>
        </w:tc>
        <w:tc>
          <w:tcPr>
            <w:tcW w:w="2378" w:type="dxa"/>
            <w:shd w:val="clear" w:color="000000" w:fill="FFFFFF"/>
            <w:vAlign w:val="center"/>
          </w:tcPr>
          <w:p w14:paraId="6BBD720C">
            <w:pPr>
              <w:widowControl/>
              <w:jc w:val="left"/>
              <w:rPr>
                <w:color w:val="000000"/>
                <w:kern w:val="0"/>
                <w:sz w:val="22"/>
                <w:highlight w:val="none"/>
              </w:rPr>
            </w:pPr>
            <w:r>
              <w:rPr>
                <w:color w:val="000000"/>
                <w:kern w:val="0"/>
                <w:sz w:val="22"/>
                <w:highlight w:val="none"/>
              </w:rPr>
              <w:t>v7.0(WFS)</w:t>
            </w:r>
          </w:p>
        </w:tc>
        <w:tc>
          <w:tcPr>
            <w:tcW w:w="736" w:type="dxa"/>
            <w:shd w:val="clear" w:color="000000" w:fill="FFFFFF"/>
            <w:noWrap/>
            <w:vAlign w:val="center"/>
          </w:tcPr>
          <w:p w14:paraId="5DCD16B7">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1FED5B1A">
            <w:pPr>
              <w:widowControl/>
              <w:jc w:val="center"/>
              <w:rPr>
                <w:color w:val="000000"/>
                <w:kern w:val="0"/>
                <w:sz w:val="22"/>
                <w:highlight w:val="none"/>
              </w:rPr>
            </w:pPr>
            <w:r>
              <w:rPr>
                <w:color w:val="000000"/>
                <w:kern w:val="0"/>
                <w:sz w:val="22"/>
                <w:highlight w:val="none"/>
              </w:rPr>
              <w:t>1</w:t>
            </w:r>
          </w:p>
        </w:tc>
      </w:tr>
      <w:tr w14:paraId="1921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195B7A05">
            <w:pPr>
              <w:widowControl/>
              <w:jc w:val="left"/>
              <w:rPr>
                <w:color w:val="000000"/>
                <w:kern w:val="0"/>
                <w:sz w:val="22"/>
                <w:highlight w:val="none"/>
              </w:rPr>
            </w:pPr>
          </w:p>
        </w:tc>
        <w:tc>
          <w:tcPr>
            <w:tcW w:w="1738" w:type="dxa"/>
            <w:vMerge w:val="continue"/>
            <w:vAlign w:val="center"/>
          </w:tcPr>
          <w:p w14:paraId="6564DEEA">
            <w:pPr>
              <w:widowControl/>
              <w:jc w:val="left"/>
              <w:rPr>
                <w:color w:val="000000"/>
                <w:kern w:val="0"/>
                <w:sz w:val="22"/>
                <w:highlight w:val="none"/>
              </w:rPr>
            </w:pPr>
          </w:p>
        </w:tc>
        <w:tc>
          <w:tcPr>
            <w:tcW w:w="1912" w:type="dxa"/>
            <w:shd w:val="clear" w:color="000000" w:fill="FFFFFF"/>
            <w:noWrap/>
            <w:vAlign w:val="center"/>
          </w:tcPr>
          <w:p w14:paraId="69C8B3B0">
            <w:pPr>
              <w:widowControl/>
              <w:jc w:val="left"/>
              <w:rPr>
                <w:color w:val="000000"/>
                <w:kern w:val="0"/>
                <w:sz w:val="22"/>
                <w:highlight w:val="none"/>
              </w:rPr>
            </w:pPr>
            <w:r>
              <w:rPr>
                <w:color w:val="000000"/>
                <w:kern w:val="0"/>
                <w:sz w:val="22"/>
                <w:highlight w:val="none"/>
              </w:rPr>
              <w:t>服务器</w:t>
            </w:r>
          </w:p>
        </w:tc>
        <w:tc>
          <w:tcPr>
            <w:tcW w:w="2378" w:type="dxa"/>
            <w:shd w:val="clear" w:color="000000" w:fill="FFFFFF"/>
            <w:vAlign w:val="center"/>
          </w:tcPr>
          <w:p w14:paraId="53A24A5E">
            <w:pPr>
              <w:widowControl/>
              <w:jc w:val="left"/>
              <w:rPr>
                <w:color w:val="000000"/>
                <w:kern w:val="0"/>
                <w:sz w:val="22"/>
                <w:highlight w:val="none"/>
              </w:rPr>
            </w:pPr>
            <w:r>
              <w:rPr>
                <w:color w:val="000000"/>
                <w:kern w:val="0"/>
                <w:sz w:val="22"/>
                <w:highlight w:val="none"/>
              </w:rPr>
              <w:t>TC-RV5230S</w:t>
            </w:r>
          </w:p>
        </w:tc>
        <w:tc>
          <w:tcPr>
            <w:tcW w:w="736" w:type="dxa"/>
            <w:shd w:val="clear" w:color="000000" w:fill="FFFFFF"/>
            <w:noWrap/>
            <w:vAlign w:val="center"/>
          </w:tcPr>
          <w:p w14:paraId="140BD36A">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24BA4620">
            <w:pPr>
              <w:widowControl/>
              <w:jc w:val="center"/>
              <w:rPr>
                <w:color w:val="000000"/>
                <w:kern w:val="0"/>
                <w:sz w:val="22"/>
                <w:highlight w:val="none"/>
              </w:rPr>
            </w:pPr>
            <w:r>
              <w:rPr>
                <w:color w:val="000000"/>
                <w:kern w:val="0"/>
                <w:sz w:val="22"/>
                <w:highlight w:val="none"/>
              </w:rPr>
              <w:t>1</w:t>
            </w:r>
          </w:p>
        </w:tc>
      </w:tr>
      <w:tr w14:paraId="75815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24A6F165">
            <w:pPr>
              <w:widowControl/>
              <w:jc w:val="center"/>
              <w:rPr>
                <w:color w:val="000000"/>
                <w:kern w:val="0"/>
                <w:sz w:val="22"/>
                <w:highlight w:val="none"/>
              </w:rPr>
            </w:pPr>
            <w:r>
              <w:rPr>
                <w:color w:val="000000"/>
                <w:kern w:val="0"/>
                <w:sz w:val="22"/>
                <w:highlight w:val="none"/>
              </w:rPr>
              <w:t>4</w:t>
            </w:r>
          </w:p>
        </w:tc>
        <w:tc>
          <w:tcPr>
            <w:tcW w:w="3650" w:type="dxa"/>
            <w:gridSpan w:val="2"/>
            <w:shd w:val="clear" w:color="000000" w:fill="FFFFFF"/>
            <w:noWrap/>
            <w:vAlign w:val="center"/>
          </w:tcPr>
          <w:p w14:paraId="33878543">
            <w:pPr>
              <w:widowControl/>
              <w:jc w:val="left"/>
              <w:rPr>
                <w:color w:val="000000"/>
                <w:kern w:val="0"/>
                <w:sz w:val="22"/>
                <w:highlight w:val="none"/>
              </w:rPr>
            </w:pPr>
            <w:r>
              <w:rPr>
                <w:color w:val="000000"/>
                <w:kern w:val="0"/>
                <w:sz w:val="22"/>
                <w:highlight w:val="none"/>
              </w:rPr>
              <w:t>千兆网络交换机</w:t>
            </w:r>
          </w:p>
        </w:tc>
        <w:tc>
          <w:tcPr>
            <w:tcW w:w="2378" w:type="dxa"/>
            <w:shd w:val="clear" w:color="000000" w:fill="FFFFFF"/>
            <w:vAlign w:val="center"/>
          </w:tcPr>
          <w:p w14:paraId="71101F72">
            <w:pPr>
              <w:widowControl/>
              <w:jc w:val="left"/>
              <w:rPr>
                <w:color w:val="000000"/>
                <w:kern w:val="0"/>
                <w:sz w:val="22"/>
                <w:highlight w:val="none"/>
              </w:rPr>
            </w:pPr>
            <w:r>
              <w:rPr>
                <w:color w:val="000000"/>
                <w:kern w:val="0"/>
                <w:sz w:val="22"/>
                <w:highlight w:val="none"/>
              </w:rPr>
              <w:t>S5110-28P</w:t>
            </w:r>
          </w:p>
        </w:tc>
        <w:tc>
          <w:tcPr>
            <w:tcW w:w="736" w:type="dxa"/>
            <w:shd w:val="clear" w:color="000000" w:fill="FFFFFF"/>
            <w:noWrap/>
            <w:vAlign w:val="center"/>
          </w:tcPr>
          <w:p w14:paraId="12935CE4">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3A5F4FB3">
            <w:pPr>
              <w:widowControl/>
              <w:jc w:val="center"/>
              <w:rPr>
                <w:color w:val="000000"/>
                <w:kern w:val="0"/>
                <w:sz w:val="22"/>
                <w:highlight w:val="none"/>
              </w:rPr>
            </w:pPr>
            <w:r>
              <w:rPr>
                <w:color w:val="000000"/>
                <w:kern w:val="0"/>
                <w:sz w:val="22"/>
                <w:highlight w:val="none"/>
              </w:rPr>
              <w:t>1</w:t>
            </w:r>
          </w:p>
        </w:tc>
      </w:tr>
      <w:tr w14:paraId="5705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7E81423E">
            <w:pPr>
              <w:widowControl/>
              <w:jc w:val="center"/>
              <w:rPr>
                <w:color w:val="000000"/>
                <w:kern w:val="0"/>
                <w:sz w:val="22"/>
                <w:highlight w:val="none"/>
              </w:rPr>
            </w:pPr>
            <w:r>
              <w:rPr>
                <w:color w:val="000000"/>
                <w:kern w:val="0"/>
                <w:sz w:val="22"/>
                <w:highlight w:val="none"/>
              </w:rPr>
              <w:t>5</w:t>
            </w:r>
          </w:p>
        </w:tc>
        <w:tc>
          <w:tcPr>
            <w:tcW w:w="3650" w:type="dxa"/>
            <w:gridSpan w:val="2"/>
            <w:shd w:val="clear" w:color="000000" w:fill="FFFFFF"/>
            <w:noWrap/>
            <w:vAlign w:val="center"/>
          </w:tcPr>
          <w:p w14:paraId="3FD72DCC">
            <w:pPr>
              <w:widowControl/>
              <w:jc w:val="left"/>
              <w:rPr>
                <w:color w:val="000000"/>
                <w:kern w:val="0"/>
                <w:sz w:val="22"/>
                <w:highlight w:val="none"/>
              </w:rPr>
            </w:pPr>
            <w:r>
              <w:rPr>
                <w:color w:val="000000"/>
                <w:kern w:val="0"/>
                <w:sz w:val="22"/>
                <w:highlight w:val="none"/>
              </w:rPr>
              <w:t>千兆光模块</w:t>
            </w:r>
          </w:p>
        </w:tc>
        <w:tc>
          <w:tcPr>
            <w:tcW w:w="2378" w:type="dxa"/>
            <w:shd w:val="clear" w:color="000000" w:fill="FFFFFF"/>
            <w:vAlign w:val="center"/>
          </w:tcPr>
          <w:p w14:paraId="3D04CCE4">
            <w:pPr>
              <w:widowControl/>
              <w:jc w:val="left"/>
              <w:rPr>
                <w:color w:val="000000"/>
                <w:kern w:val="0"/>
                <w:sz w:val="22"/>
                <w:highlight w:val="none"/>
              </w:rPr>
            </w:pPr>
            <w:r>
              <w:rPr>
                <w:color w:val="000000"/>
                <w:kern w:val="0"/>
                <w:sz w:val="22"/>
                <w:highlight w:val="none"/>
              </w:rPr>
              <w:t>SFP-GE-LH40-SM1310</w:t>
            </w:r>
          </w:p>
        </w:tc>
        <w:tc>
          <w:tcPr>
            <w:tcW w:w="736" w:type="dxa"/>
            <w:shd w:val="clear" w:color="000000" w:fill="FFFFFF"/>
            <w:noWrap/>
            <w:vAlign w:val="center"/>
          </w:tcPr>
          <w:p w14:paraId="7C35223D">
            <w:pPr>
              <w:widowControl/>
              <w:jc w:val="center"/>
              <w:rPr>
                <w:color w:val="000000"/>
                <w:kern w:val="0"/>
                <w:sz w:val="22"/>
                <w:highlight w:val="none"/>
              </w:rPr>
            </w:pPr>
            <w:r>
              <w:rPr>
                <w:color w:val="000000"/>
                <w:kern w:val="0"/>
                <w:sz w:val="22"/>
                <w:highlight w:val="none"/>
              </w:rPr>
              <w:t>个</w:t>
            </w:r>
          </w:p>
        </w:tc>
        <w:tc>
          <w:tcPr>
            <w:tcW w:w="725" w:type="dxa"/>
            <w:shd w:val="clear" w:color="000000" w:fill="FFFFFF"/>
            <w:noWrap/>
            <w:vAlign w:val="center"/>
          </w:tcPr>
          <w:p w14:paraId="1D6F6F14">
            <w:pPr>
              <w:widowControl/>
              <w:jc w:val="center"/>
              <w:rPr>
                <w:color w:val="000000"/>
                <w:kern w:val="0"/>
                <w:sz w:val="22"/>
                <w:highlight w:val="none"/>
              </w:rPr>
            </w:pPr>
            <w:r>
              <w:rPr>
                <w:color w:val="000000"/>
                <w:kern w:val="0"/>
                <w:sz w:val="22"/>
                <w:highlight w:val="none"/>
              </w:rPr>
              <w:t>4</w:t>
            </w:r>
          </w:p>
        </w:tc>
      </w:tr>
      <w:tr w14:paraId="1CC6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restart"/>
            <w:shd w:val="clear" w:color="000000" w:fill="FFFFFF"/>
            <w:noWrap/>
            <w:vAlign w:val="center"/>
          </w:tcPr>
          <w:p w14:paraId="7AF2EB11">
            <w:pPr>
              <w:widowControl/>
              <w:jc w:val="center"/>
              <w:rPr>
                <w:color w:val="000000"/>
                <w:kern w:val="0"/>
                <w:sz w:val="22"/>
                <w:highlight w:val="none"/>
              </w:rPr>
            </w:pPr>
            <w:r>
              <w:rPr>
                <w:color w:val="000000"/>
                <w:kern w:val="0"/>
                <w:sz w:val="22"/>
                <w:highlight w:val="none"/>
              </w:rPr>
              <w:t>6</w:t>
            </w:r>
          </w:p>
        </w:tc>
        <w:tc>
          <w:tcPr>
            <w:tcW w:w="1738" w:type="dxa"/>
            <w:vMerge w:val="restart"/>
            <w:shd w:val="clear" w:color="000000" w:fill="FFFFFF"/>
            <w:noWrap/>
            <w:vAlign w:val="center"/>
          </w:tcPr>
          <w:p w14:paraId="5430DBF1">
            <w:pPr>
              <w:widowControl/>
              <w:jc w:val="left"/>
              <w:rPr>
                <w:color w:val="000000"/>
                <w:kern w:val="0"/>
                <w:sz w:val="22"/>
                <w:highlight w:val="none"/>
              </w:rPr>
            </w:pPr>
            <w:r>
              <w:rPr>
                <w:color w:val="000000"/>
                <w:kern w:val="0"/>
                <w:sz w:val="22"/>
                <w:highlight w:val="none"/>
              </w:rPr>
              <w:t>卡口数据上传汇集库功能</w:t>
            </w:r>
          </w:p>
        </w:tc>
        <w:tc>
          <w:tcPr>
            <w:tcW w:w="1912" w:type="dxa"/>
            <w:shd w:val="clear" w:color="000000" w:fill="FFFFFF"/>
            <w:noWrap/>
            <w:vAlign w:val="center"/>
          </w:tcPr>
          <w:p w14:paraId="717294A0">
            <w:pPr>
              <w:widowControl/>
              <w:jc w:val="left"/>
              <w:rPr>
                <w:color w:val="000000"/>
                <w:kern w:val="0"/>
                <w:sz w:val="22"/>
                <w:highlight w:val="none"/>
              </w:rPr>
            </w:pPr>
            <w:r>
              <w:rPr>
                <w:color w:val="000000"/>
                <w:kern w:val="0"/>
                <w:sz w:val="22"/>
                <w:highlight w:val="none"/>
              </w:rPr>
              <w:t>数据推送模块</w:t>
            </w:r>
          </w:p>
        </w:tc>
        <w:tc>
          <w:tcPr>
            <w:tcW w:w="2378" w:type="dxa"/>
            <w:shd w:val="clear" w:color="000000" w:fill="FFFFFF"/>
            <w:vAlign w:val="center"/>
          </w:tcPr>
          <w:p w14:paraId="53BCA36D">
            <w:pPr>
              <w:widowControl/>
              <w:jc w:val="left"/>
              <w:rPr>
                <w:color w:val="000000"/>
                <w:kern w:val="0"/>
                <w:sz w:val="22"/>
                <w:highlight w:val="none"/>
              </w:rPr>
            </w:pPr>
            <w:r>
              <w:rPr>
                <w:color w:val="000000"/>
                <w:kern w:val="0"/>
                <w:sz w:val="22"/>
                <w:highlight w:val="none"/>
              </w:rPr>
              <w:t>V7.0(KDS)</w:t>
            </w:r>
          </w:p>
        </w:tc>
        <w:tc>
          <w:tcPr>
            <w:tcW w:w="736" w:type="dxa"/>
            <w:shd w:val="clear" w:color="000000" w:fill="FFFFFF"/>
            <w:noWrap/>
            <w:vAlign w:val="center"/>
          </w:tcPr>
          <w:p w14:paraId="06D67C9F">
            <w:pPr>
              <w:widowControl/>
              <w:jc w:val="center"/>
              <w:rPr>
                <w:color w:val="000000"/>
                <w:kern w:val="0"/>
                <w:sz w:val="22"/>
                <w:highlight w:val="none"/>
              </w:rPr>
            </w:pPr>
            <w:r>
              <w:rPr>
                <w:color w:val="000000"/>
                <w:kern w:val="0"/>
                <w:sz w:val="22"/>
                <w:highlight w:val="none"/>
              </w:rPr>
              <w:t>套</w:t>
            </w:r>
          </w:p>
        </w:tc>
        <w:tc>
          <w:tcPr>
            <w:tcW w:w="725" w:type="dxa"/>
            <w:shd w:val="clear" w:color="000000" w:fill="FFFFFF"/>
            <w:noWrap/>
            <w:vAlign w:val="center"/>
          </w:tcPr>
          <w:p w14:paraId="6D778214">
            <w:pPr>
              <w:widowControl/>
              <w:jc w:val="center"/>
              <w:rPr>
                <w:color w:val="000000"/>
                <w:kern w:val="0"/>
                <w:sz w:val="22"/>
                <w:highlight w:val="none"/>
              </w:rPr>
            </w:pPr>
            <w:r>
              <w:rPr>
                <w:color w:val="000000"/>
                <w:kern w:val="0"/>
                <w:sz w:val="22"/>
                <w:highlight w:val="none"/>
              </w:rPr>
              <w:t>2</w:t>
            </w:r>
          </w:p>
        </w:tc>
      </w:tr>
      <w:tr w14:paraId="6DAA0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vMerge w:val="continue"/>
            <w:vAlign w:val="center"/>
          </w:tcPr>
          <w:p w14:paraId="76F177E1">
            <w:pPr>
              <w:widowControl/>
              <w:jc w:val="left"/>
              <w:rPr>
                <w:color w:val="000000"/>
                <w:kern w:val="0"/>
                <w:sz w:val="22"/>
                <w:highlight w:val="none"/>
              </w:rPr>
            </w:pPr>
          </w:p>
        </w:tc>
        <w:tc>
          <w:tcPr>
            <w:tcW w:w="1738" w:type="dxa"/>
            <w:vMerge w:val="continue"/>
            <w:vAlign w:val="center"/>
          </w:tcPr>
          <w:p w14:paraId="2890E53B">
            <w:pPr>
              <w:widowControl/>
              <w:jc w:val="left"/>
              <w:rPr>
                <w:color w:val="000000"/>
                <w:kern w:val="0"/>
                <w:sz w:val="22"/>
                <w:highlight w:val="none"/>
              </w:rPr>
            </w:pPr>
          </w:p>
        </w:tc>
        <w:tc>
          <w:tcPr>
            <w:tcW w:w="1912" w:type="dxa"/>
            <w:shd w:val="clear" w:color="000000" w:fill="FFFFFF"/>
            <w:noWrap/>
            <w:vAlign w:val="center"/>
          </w:tcPr>
          <w:p w14:paraId="59B6D0E3">
            <w:pPr>
              <w:widowControl/>
              <w:jc w:val="left"/>
              <w:rPr>
                <w:color w:val="000000"/>
                <w:kern w:val="0"/>
                <w:sz w:val="22"/>
                <w:highlight w:val="none"/>
              </w:rPr>
            </w:pPr>
            <w:r>
              <w:rPr>
                <w:color w:val="000000"/>
                <w:kern w:val="0"/>
                <w:sz w:val="22"/>
                <w:highlight w:val="none"/>
              </w:rPr>
              <w:t>服务器</w:t>
            </w:r>
          </w:p>
        </w:tc>
        <w:tc>
          <w:tcPr>
            <w:tcW w:w="2378" w:type="dxa"/>
            <w:shd w:val="clear" w:color="000000" w:fill="FFFFFF"/>
            <w:vAlign w:val="center"/>
          </w:tcPr>
          <w:p w14:paraId="5578871B">
            <w:pPr>
              <w:widowControl/>
              <w:jc w:val="left"/>
              <w:rPr>
                <w:color w:val="000000"/>
                <w:kern w:val="0"/>
                <w:sz w:val="22"/>
                <w:highlight w:val="none"/>
              </w:rPr>
            </w:pPr>
            <w:r>
              <w:rPr>
                <w:color w:val="000000"/>
                <w:kern w:val="0"/>
                <w:sz w:val="22"/>
                <w:highlight w:val="none"/>
              </w:rPr>
              <w:t>NF8460M4</w:t>
            </w:r>
          </w:p>
        </w:tc>
        <w:tc>
          <w:tcPr>
            <w:tcW w:w="736" w:type="dxa"/>
            <w:shd w:val="clear" w:color="000000" w:fill="FFFFFF"/>
            <w:noWrap/>
            <w:vAlign w:val="center"/>
          </w:tcPr>
          <w:p w14:paraId="0BE3ED34">
            <w:pPr>
              <w:widowControl/>
              <w:jc w:val="center"/>
              <w:rPr>
                <w:color w:val="000000"/>
                <w:kern w:val="0"/>
                <w:sz w:val="22"/>
                <w:highlight w:val="none"/>
              </w:rPr>
            </w:pPr>
            <w:r>
              <w:rPr>
                <w:color w:val="000000"/>
                <w:kern w:val="0"/>
                <w:sz w:val="22"/>
                <w:highlight w:val="none"/>
              </w:rPr>
              <w:t>台</w:t>
            </w:r>
          </w:p>
        </w:tc>
        <w:tc>
          <w:tcPr>
            <w:tcW w:w="725" w:type="dxa"/>
            <w:shd w:val="clear" w:color="000000" w:fill="FFFFFF"/>
            <w:noWrap/>
            <w:vAlign w:val="center"/>
          </w:tcPr>
          <w:p w14:paraId="420FA7ED">
            <w:pPr>
              <w:widowControl/>
              <w:jc w:val="center"/>
              <w:rPr>
                <w:color w:val="000000"/>
                <w:kern w:val="0"/>
                <w:sz w:val="22"/>
                <w:highlight w:val="none"/>
              </w:rPr>
            </w:pPr>
            <w:r>
              <w:rPr>
                <w:color w:val="000000"/>
                <w:kern w:val="0"/>
                <w:sz w:val="22"/>
                <w:highlight w:val="none"/>
              </w:rPr>
              <w:t>2</w:t>
            </w:r>
          </w:p>
        </w:tc>
      </w:tr>
      <w:tr w14:paraId="15AC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2EBE3584">
            <w:pPr>
              <w:widowControl/>
              <w:jc w:val="center"/>
              <w:rPr>
                <w:b/>
                <w:bCs/>
                <w:color w:val="000000"/>
                <w:kern w:val="0"/>
                <w:sz w:val="22"/>
                <w:highlight w:val="none"/>
              </w:rPr>
            </w:pPr>
            <w:r>
              <w:rPr>
                <w:b/>
                <w:bCs/>
                <w:color w:val="000000"/>
                <w:kern w:val="0"/>
                <w:sz w:val="22"/>
                <w:highlight w:val="none"/>
              </w:rPr>
              <w:t>三</w:t>
            </w:r>
          </w:p>
        </w:tc>
        <w:tc>
          <w:tcPr>
            <w:tcW w:w="6028" w:type="dxa"/>
            <w:gridSpan w:val="3"/>
            <w:shd w:val="clear" w:color="000000" w:fill="FFFFFF"/>
            <w:noWrap/>
            <w:vAlign w:val="center"/>
          </w:tcPr>
          <w:p w14:paraId="5217DD66">
            <w:pPr>
              <w:widowControl/>
              <w:jc w:val="left"/>
              <w:rPr>
                <w:b/>
                <w:bCs/>
                <w:color w:val="000000"/>
                <w:kern w:val="0"/>
                <w:sz w:val="22"/>
                <w:highlight w:val="none"/>
              </w:rPr>
            </w:pPr>
            <w:r>
              <w:rPr>
                <w:b/>
                <w:bCs/>
                <w:color w:val="000000"/>
                <w:kern w:val="0"/>
                <w:sz w:val="22"/>
                <w:highlight w:val="none"/>
              </w:rPr>
              <w:t>监控</w:t>
            </w:r>
            <w:r>
              <w:rPr>
                <w:rFonts w:hint="eastAsia"/>
                <w:b/>
                <w:bCs/>
                <w:color w:val="000000"/>
                <w:kern w:val="0"/>
                <w:sz w:val="22"/>
                <w:highlight w:val="none"/>
              </w:rPr>
              <w:t>杆体迁移</w:t>
            </w:r>
          </w:p>
        </w:tc>
        <w:tc>
          <w:tcPr>
            <w:tcW w:w="1461" w:type="dxa"/>
            <w:gridSpan w:val="2"/>
            <w:shd w:val="clear" w:color="000000" w:fill="FFFFFF"/>
            <w:noWrap/>
            <w:vAlign w:val="center"/>
          </w:tcPr>
          <w:p w14:paraId="789560BA">
            <w:pPr>
              <w:widowControl/>
              <w:jc w:val="left"/>
              <w:rPr>
                <w:b/>
                <w:bCs/>
                <w:color w:val="000000"/>
                <w:kern w:val="0"/>
                <w:sz w:val="22"/>
                <w:highlight w:val="none"/>
              </w:rPr>
            </w:pPr>
            <w:r>
              <w:rPr>
                <w:b/>
                <w:bCs/>
                <w:color w:val="000000"/>
                <w:kern w:val="0"/>
                <w:sz w:val="22"/>
                <w:highlight w:val="none"/>
              </w:rPr>
              <w:t>　</w:t>
            </w:r>
          </w:p>
        </w:tc>
      </w:tr>
      <w:tr w14:paraId="1244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1DADB30B">
            <w:pPr>
              <w:widowControl/>
              <w:jc w:val="center"/>
              <w:rPr>
                <w:b/>
                <w:bCs/>
                <w:color w:val="000000"/>
                <w:kern w:val="0"/>
                <w:sz w:val="22"/>
                <w:highlight w:val="none"/>
              </w:rPr>
            </w:pPr>
            <w:r>
              <w:rPr>
                <w:b/>
                <w:bCs/>
                <w:color w:val="000000"/>
                <w:kern w:val="0"/>
                <w:sz w:val="22"/>
                <w:highlight w:val="none"/>
              </w:rPr>
              <w:t>序号</w:t>
            </w:r>
          </w:p>
        </w:tc>
        <w:tc>
          <w:tcPr>
            <w:tcW w:w="3650" w:type="dxa"/>
            <w:gridSpan w:val="2"/>
            <w:shd w:val="clear" w:color="000000" w:fill="FFFFFF"/>
            <w:noWrap/>
            <w:vAlign w:val="center"/>
          </w:tcPr>
          <w:p w14:paraId="2BBA70BC">
            <w:pPr>
              <w:widowControl/>
              <w:jc w:val="left"/>
              <w:rPr>
                <w:b/>
                <w:bCs/>
                <w:color w:val="000000"/>
                <w:kern w:val="0"/>
                <w:sz w:val="22"/>
                <w:highlight w:val="none"/>
              </w:rPr>
            </w:pPr>
            <w:r>
              <w:rPr>
                <w:b/>
                <w:bCs/>
                <w:color w:val="000000"/>
                <w:kern w:val="0"/>
                <w:sz w:val="22"/>
                <w:highlight w:val="none"/>
              </w:rPr>
              <w:t>货物名称</w:t>
            </w:r>
          </w:p>
        </w:tc>
        <w:tc>
          <w:tcPr>
            <w:tcW w:w="2378" w:type="dxa"/>
            <w:shd w:val="clear" w:color="000000" w:fill="FFFFFF"/>
            <w:vAlign w:val="center"/>
          </w:tcPr>
          <w:p w14:paraId="2A839791">
            <w:pPr>
              <w:widowControl/>
              <w:jc w:val="center"/>
              <w:rPr>
                <w:b/>
                <w:bCs/>
                <w:color w:val="000000"/>
                <w:kern w:val="0"/>
                <w:sz w:val="22"/>
                <w:highlight w:val="none"/>
              </w:rPr>
            </w:pPr>
            <w:r>
              <w:rPr>
                <w:b/>
                <w:bCs/>
                <w:color w:val="000000"/>
                <w:kern w:val="0"/>
                <w:sz w:val="22"/>
                <w:highlight w:val="none"/>
              </w:rPr>
              <w:t>规格型号</w:t>
            </w:r>
          </w:p>
        </w:tc>
        <w:tc>
          <w:tcPr>
            <w:tcW w:w="736" w:type="dxa"/>
            <w:shd w:val="clear" w:color="000000" w:fill="FFFFFF"/>
            <w:noWrap/>
            <w:vAlign w:val="center"/>
          </w:tcPr>
          <w:p w14:paraId="155A6328">
            <w:pPr>
              <w:widowControl/>
              <w:jc w:val="center"/>
              <w:rPr>
                <w:b/>
                <w:bCs/>
                <w:color w:val="000000"/>
                <w:kern w:val="0"/>
                <w:sz w:val="22"/>
                <w:highlight w:val="none"/>
              </w:rPr>
            </w:pPr>
            <w:r>
              <w:rPr>
                <w:b/>
                <w:bCs/>
                <w:color w:val="000000"/>
                <w:kern w:val="0"/>
                <w:sz w:val="22"/>
                <w:highlight w:val="none"/>
              </w:rPr>
              <w:t>单位</w:t>
            </w:r>
          </w:p>
        </w:tc>
        <w:tc>
          <w:tcPr>
            <w:tcW w:w="725" w:type="dxa"/>
            <w:shd w:val="clear" w:color="000000" w:fill="FFFFFF"/>
            <w:noWrap/>
            <w:vAlign w:val="center"/>
          </w:tcPr>
          <w:p w14:paraId="479AA1F7">
            <w:pPr>
              <w:widowControl/>
              <w:jc w:val="center"/>
              <w:rPr>
                <w:b/>
                <w:bCs/>
                <w:color w:val="000000"/>
                <w:kern w:val="0"/>
                <w:sz w:val="22"/>
                <w:highlight w:val="none"/>
              </w:rPr>
            </w:pPr>
            <w:r>
              <w:rPr>
                <w:b/>
                <w:bCs/>
                <w:color w:val="000000"/>
                <w:kern w:val="0"/>
                <w:sz w:val="22"/>
                <w:highlight w:val="none"/>
              </w:rPr>
              <w:t>数量</w:t>
            </w:r>
          </w:p>
        </w:tc>
      </w:tr>
      <w:tr w14:paraId="3706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61ACD7B8">
            <w:pPr>
              <w:widowControl/>
              <w:jc w:val="center"/>
              <w:rPr>
                <w:color w:val="000000"/>
                <w:kern w:val="0"/>
                <w:sz w:val="22"/>
                <w:highlight w:val="none"/>
              </w:rPr>
            </w:pPr>
            <w:r>
              <w:rPr>
                <w:color w:val="000000"/>
                <w:kern w:val="0"/>
                <w:sz w:val="22"/>
                <w:highlight w:val="none"/>
              </w:rPr>
              <w:t>1</w:t>
            </w:r>
          </w:p>
        </w:tc>
        <w:tc>
          <w:tcPr>
            <w:tcW w:w="3650" w:type="dxa"/>
            <w:gridSpan w:val="2"/>
            <w:vAlign w:val="center"/>
          </w:tcPr>
          <w:p w14:paraId="3EDCA594">
            <w:pPr>
              <w:widowControl/>
              <w:jc w:val="left"/>
              <w:rPr>
                <w:color w:val="000000"/>
                <w:kern w:val="0"/>
                <w:sz w:val="22"/>
                <w:highlight w:val="none"/>
              </w:rPr>
            </w:pPr>
            <w:r>
              <w:rPr>
                <w:color w:val="000000"/>
                <w:kern w:val="0"/>
                <w:sz w:val="22"/>
                <w:highlight w:val="none"/>
              </w:rPr>
              <w:t>杆体拆除</w:t>
            </w:r>
          </w:p>
        </w:tc>
        <w:tc>
          <w:tcPr>
            <w:tcW w:w="2378" w:type="dxa"/>
            <w:vAlign w:val="center"/>
          </w:tcPr>
          <w:p w14:paraId="31C902A5">
            <w:pPr>
              <w:widowControl/>
              <w:jc w:val="left"/>
              <w:rPr>
                <w:color w:val="000000"/>
                <w:kern w:val="0"/>
                <w:sz w:val="22"/>
                <w:highlight w:val="none"/>
              </w:rPr>
            </w:pPr>
            <w:r>
              <w:rPr>
                <w:color w:val="000000"/>
                <w:kern w:val="0"/>
                <w:sz w:val="22"/>
                <w:highlight w:val="none"/>
              </w:rPr>
              <w:t>1.杆体从原位置拆除。</w:t>
            </w:r>
            <w:r>
              <w:rPr>
                <w:color w:val="000000"/>
                <w:kern w:val="0"/>
                <w:sz w:val="22"/>
                <w:highlight w:val="none"/>
              </w:rPr>
              <w:br w:type="textWrapping"/>
            </w:r>
            <w:r>
              <w:rPr>
                <w:color w:val="000000"/>
                <w:kern w:val="0"/>
                <w:sz w:val="22"/>
                <w:highlight w:val="none"/>
              </w:rPr>
              <w:t>2.杆体拆除后需清理地面钢铁结构及碎渣杂物，将杆体基础顶面修整至低于周边路面一个面包砖的厚度，重新铺设面包砖，使恢复后路面与周边路边齐平。</w:t>
            </w:r>
            <w:r>
              <w:rPr>
                <w:color w:val="000000"/>
                <w:kern w:val="0"/>
                <w:sz w:val="22"/>
                <w:highlight w:val="none"/>
              </w:rPr>
              <w:br w:type="textWrapping"/>
            </w:r>
            <w:r>
              <w:rPr>
                <w:color w:val="000000"/>
                <w:kern w:val="0"/>
                <w:sz w:val="22"/>
                <w:highlight w:val="none"/>
              </w:rPr>
              <w:t>3.电源线按规范接续后埋地保护，确保监控系统供电回路连续完整。</w:t>
            </w:r>
            <w:r>
              <w:rPr>
                <w:color w:val="000000"/>
                <w:kern w:val="0"/>
                <w:sz w:val="22"/>
                <w:highlight w:val="none"/>
              </w:rPr>
              <w:br w:type="textWrapping"/>
            </w:r>
            <w:r>
              <w:rPr>
                <w:color w:val="000000"/>
                <w:kern w:val="0"/>
                <w:sz w:val="22"/>
                <w:highlight w:val="none"/>
              </w:rPr>
              <w:t>4.杆体运输至新位置。</w:t>
            </w:r>
            <w:r>
              <w:rPr>
                <w:color w:val="000000"/>
                <w:kern w:val="0"/>
                <w:sz w:val="22"/>
                <w:highlight w:val="none"/>
              </w:rPr>
              <w:br w:type="textWrapping"/>
            </w:r>
            <w:r>
              <w:rPr>
                <w:color w:val="000000"/>
                <w:kern w:val="0"/>
                <w:sz w:val="22"/>
                <w:highlight w:val="none"/>
              </w:rPr>
              <w:t>5.暂定为6根，数量以实际发生为准。</w:t>
            </w:r>
          </w:p>
        </w:tc>
        <w:tc>
          <w:tcPr>
            <w:tcW w:w="736" w:type="dxa"/>
            <w:vAlign w:val="center"/>
          </w:tcPr>
          <w:p w14:paraId="077752A8">
            <w:pPr>
              <w:widowControl/>
              <w:jc w:val="center"/>
              <w:rPr>
                <w:color w:val="000000"/>
                <w:kern w:val="0"/>
                <w:sz w:val="22"/>
                <w:highlight w:val="none"/>
              </w:rPr>
            </w:pPr>
            <w:r>
              <w:rPr>
                <w:color w:val="000000"/>
                <w:kern w:val="0"/>
                <w:sz w:val="22"/>
                <w:highlight w:val="none"/>
              </w:rPr>
              <w:t>根</w:t>
            </w:r>
          </w:p>
        </w:tc>
        <w:tc>
          <w:tcPr>
            <w:tcW w:w="725" w:type="dxa"/>
            <w:shd w:val="clear" w:color="000000" w:fill="FFFFFF"/>
            <w:noWrap/>
            <w:vAlign w:val="center"/>
          </w:tcPr>
          <w:p w14:paraId="07AA9AED">
            <w:pPr>
              <w:widowControl/>
              <w:jc w:val="center"/>
              <w:rPr>
                <w:color w:val="000000"/>
                <w:kern w:val="0"/>
                <w:sz w:val="22"/>
                <w:highlight w:val="none"/>
              </w:rPr>
            </w:pPr>
            <w:r>
              <w:rPr>
                <w:color w:val="000000"/>
                <w:kern w:val="0"/>
                <w:sz w:val="22"/>
                <w:highlight w:val="none"/>
              </w:rPr>
              <w:t xml:space="preserve">6 </w:t>
            </w:r>
          </w:p>
        </w:tc>
      </w:tr>
      <w:tr w14:paraId="7A45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027E5DB1">
            <w:pPr>
              <w:widowControl/>
              <w:jc w:val="center"/>
              <w:rPr>
                <w:color w:val="000000"/>
                <w:kern w:val="0"/>
                <w:sz w:val="22"/>
                <w:highlight w:val="none"/>
              </w:rPr>
            </w:pPr>
            <w:r>
              <w:rPr>
                <w:color w:val="000000"/>
                <w:kern w:val="0"/>
                <w:sz w:val="22"/>
                <w:highlight w:val="none"/>
              </w:rPr>
              <w:t>2</w:t>
            </w:r>
          </w:p>
        </w:tc>
        <w:tc>
          <w:tcPr>
            <w:tcW w:w="3650" w:type="dxa"/>
            <w:gridSpan w:val="2"/>
            <w:vAlign w:val="center"/>
          </w:tcPr>
          <w:p w14:paraId="44DCF5F7">
            <w:pPr>
              <w:widowControl/>
              <w:jc w:val="left"/>
              <w:rPr>
                <w:color w:val="000000"/>
                <w:kern w:val="0"/>
                <w:sz w:val="22"/>
                <w:highlight w:val="none"/>
              </w:rPr>
            </w:pPr>
            <w:r>
              <w:rPr>
                <w:color w:val="000000"/>
                <w:kern w:val="0"/>
                <w:sz w:val="22"/>
                <w:highlight w:val="none"/>
              </w:rPr>
              <w:t>杆体迁移后安装</w:t>
            </w:r>
          </w:p>
        </w:tc>
        <w:tc>
          <w:tcPr>
            <w:tcW w:w="2378" w:type="dxa"/>
            <w:vAlign w:val="center"/>
          </w:tcPr>
          <w:p w14:paraId="6BD4D414">
            <w:pPr>
              <w:widowControl/>
              <w:jc w:val="left"/>
              <w:rPr>
                <w:color w:val="000000"/>
                <w:kern w:val="0"/>
                <w:sz w:val="22"/>
                <w:highlight w:val="none"/>
              </w:rPr>
            </w:pPr>
            <w:r>
              <w:rPr>
                <w:color w:val="000000"/>
                <w:kern w:val="0"/>
                <w:sz w:val="22"/>
                <w:highlight w:val="none"/>
              </w:rPr>
              <w:t>1.杆体位置拆除面包砖路面，拆除路面面积：1.44m²。</w:t>
            </w:r>
            <w:r>
              <w:rPr>
                <w:color w:val="000000"/>
                <w:kern w:val="0"/>
                <w:sz w:val="22"/>
                <w:highlight w:val="none"/>
              </w:rPr>
              <w:br w:type="textWrapping"/>
            </w:r>
            <w:r>
              <w:rPr>
                <w:color w:val="000000"/>
                <w:kern w:val="0"/>
                <w:sz w:val="22"/>
                <w:highlight w:val="none"/>
              </w:rPr>
              <w:t>2.杆体位置人工挖土方，土方尺寸：1.2m*1.2m*1.2m。</w:t>
            </w:r>
            <w:r>
              <w:rPr>
                <w:color w:val="000000"/>
                <w:kern w:val="0"/>
                <w:sz w:val="22"/>
                <w:highlight w:val="none"/>
              </w:rPr>
              <w:br w:type="textWrapping"/>
            </w:r>
            <w:r>
              <w:rPr>
                <w:color w:val="000000"/>
                <w:kern w:val="0"/>
                <w:sz w:val="22"/>
                <w:highlight w:val="none"/>
              </w:rPr>
              <w:t>3.制作安装杆体无筋混凝土设备基础，尺寸：1.2m*1.2m*1.2m。</w:t>
            </w:r>
            <w:r>
              <w:rPr>
                <w:color w:val="000000"/>
                <w:kern w:val="0"/>
                <w:sz w:val="22"/>
                <w:highlight w:val="none"/>
              </w:rPr>
              <w:br w:type="textWrapping"/>
            </w:r>
            <w:r>
              <w:rPr>
                <w:color w:val="000000"/>
                <w:kern w:val="0"/>
                <w:sz w:val="22"/>
                <w:highlight w:val="none"/>
              </w:rPr>
              <w:t>4.杆体迁移后重新立杆。</w:t>
            </w:r>
            <w:r>
              <w:rPr>
                <w:color w:val="000000"/>
                <w:kern w:val="0"/>
                <w:sz w:val="22"/>
                <w:highlight w:val="none"/>
              </w:rPr>
              <w:br w:type="textWrapping"/>
            </w:r>
            <w:r>
              <w:rPr>
                <w:color w:val="000000"/>
                <w:kern w:val="0"/>
                <w:sz w:val="22"/>
                <w:highlight w:val="none"/>
              </w:rPr>
              <w:t>5.杆体立杆后做防雷接地。</w:t>
            </w:r>
          </w:p>
        </w:tc>
        <w:tc>
          <w:tcPr>
            <w:tcW w:w="736" w:type="dxa"/>
            <w:vAlign w:val="center"/>
          </w:tcPr>
          <w:p w14:paraId="5ED901D1">
            <w:pPr>
              <w:widowControl/>
              <w:jc w:val="center"/>
              <w:rPr>
                <w:color w:val="000000"/>
                <w:kern w:val="0"/>
                <w:sz w:val="22"/>
                <w:highlight w:val="none"/>
              </w:rPr>
            </w:pPr>
            <w:r>
              <w:rPr>
                <w:color w:val="000000"/>
                <w:kern w:val="0"/>
                <w:sz w:val="22"/>
                <w:highlight w:val="none"/>
              </w:rPr>
              <w:t>项</w:t>
            </w:r>
          </w:p>
        </w:tc>
        <w:tc>
          <w:tcPr>
            <w:tcW w:w="725" w:type="dxa"/>
            <w:shd w:val="clear" w:color="000000" w:fill="FFFFFF"/>
            <w:noWrap/>
            <w:vAlign w:val="center"/>
          </w:tcPr>
          <w:p w14:paraId="4627A730">
            <w:pPr>
              <w:widowControl/>
              <w:jc w:val="center"/>
              <w:rPr>
                <w:color w:val="000000"/>
                <w:kern w:val="0"/>
                <w:sz w:val="22"/>
                <w:highlight w:val="none"/>
              </w:rPr>
            </w:pPr>
            <w:r>
              <w:rPr>
                <w:color w:val="000000"/>
                <w:kern w:val="0"/>
                <w:sz w:val="22"/>
                <w:highlight w:val="none"/>
              </w:rPr>
              <w:t xml:space="preserve">6 </w:t>
            </w:r>
          </w:p>
        </w:tc>
      </w:tr>
      <w:tr w14:paraId="25DF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807" w:type="dxa"/>
            <w:shd w:val="clear" w:color="000000" w:fill="FFFFFF"/>
            <w:noWrap/>
            <w:vAlign w:val="center"/>
          </w:tcPr>
          <w:p w14:paraId="5CBF925F">
            <w:pPr>
              <w:widowControl/>
              <w:jc w:val="center"/>
              <w:rPr>
                <w:color w:val="000000"/>
                <w:kern w:val="0"/>
                <w:sz w:val="22"/>
                <w:highlight w:val="none"/>
              </w:rPr>
            </w:pPr>
            <w:r>
              <w:rPr>
                <w:color w:val="000000"/>
                <w:kern w:val="0"/>
                <w:sz w:val="22"/>
                <w:highlight w:val="none"/>
              </w:rPr>
              <w:t>3</w:t>
            </w:r>
          </w:p>
        </w:tc>
        <w:tc>
          <w:tcPr>
            <w:tcW w:w="3650" w:type="dxa"/>
            <w:gridSpan w:val="2"/>
            <w:vAlign w:val="center"/>
          </w:tcPr>
          <w:p w14:paraId="3C5F39D4">
            <w:pPr>
              <w:widowControl/>
              <w:jc w:val="left"/>
              <w:rPr>
                <w:color w:val="000000"/>
                <w:kern w:val="0"/>
                <w:sz w:val="22"/>
                <w:highlight w:val="none"/>
              </w:rPr>
            </w:pPr>
            <w:r>
              <w:rPr>
                <w:color w:val="000000"/>
                <w:kern w:val="0"/>
                <w:sz w:val="22"/>
                <w:highlight w:val="none"/>
              </w:rPr>
              <w:t>杆体迁移后取电</w:t>
            </w:r>
          </w:p>
        </w:tc>
        <w:tc>
          <w:tcPr>
            <w:tcW w:w="2378" w:type="dxa"/>
            <w:vAlign w:val="center"/>
          </w:tcPr>
          <w:p w14:paraId="2C3A4266">
            <w:pPr>
              <w:widowControl/>
              <w:jc w:val="left"/>
              <w:rPr>
                <w:color w:val="000000"/>
                <w:kern w:val="0"/>
                <w:sz w:val="22"/>
                <w:highlight w:val="none"/>
              </w:rPr>
            </w:pPr>
            <w:r>
              <w:rPr>
                <w:color w:val="000000"/>
                <w:kern w:val="0"/>
                <w:sz w:val="22"/>
                <w:highlight w:val="none"/>
              </w:rPr>
              <w:t>1.拆除面包砖路面，长度50米，宽度0.5米，路面面积：25m²。</w:t>
            </w:r>
            <w:r>
              <w:rPr>
                <w:color w:val="000000"/>
                <w:kern w:val="0"/>
                <w:sz w:val="22"/>
                <w:highlight w:val="none"/>
              </w:rPr>
              <w:br w:type="textWrapping"/>
            </w:r>
            <w:r>
              <w:rPr>
                <w:color w:val="000000"/>
                <w:kern w:val="0"/>
                <w:sz w:val="22"/>
                <w:highlight w:val="none"/>
              </w:rPr>
              <w:t>2.人工挖土方，尺寸：宽0.5m*深0.7m*长度50m。</w:t>
            </w:r>
            <w:r>
              <w:rPr>
                <w:color w:val="000000"/>
                <w:kern w:val="0"/>
                <w:sz w:val="22"/>
                <w:highlight w:val="none"/>
              </w:rPr>
              <w:br w:type="textWrapping"/>
            </w:r>
            <w:r>
              <w:rPr>
                <w:color w:val="000000"/>
                <w:kern w:val="0"/>
                <w:sz w:val="22"/>
                <w:highlight w:val="none"/>
              </w:rPr>
              <w:t>3.地埋铺设镀锌钢管DN25,铺设长度50m。</w:t>
            </w:r>
            <w:r>
              <w:rPr>
                <w:color w:val="000000"/>
                <w:kern w:val="0"/>
                <w:sz w:val="22"/>
                <w:highlight w:val="none"/>
              </w:rPr>
              <w:br w:type="textWrapping"/>
            </w:r>
            <w:r>
              <w:rPr>
                <w:color w:val="000000"/>
                <w:kern w:val="0"/>
                <w:sz w:val="22"/>
                <w:highlight w:val="none"/>
              </w:rPr>
              <w:t>4.穿管铺设YJV 3*6电源线，长度55m。</w:t>
            </w:r>
            <w:r>
              <w:rPr>
                <w:color w:val="000000"/>
                <w:kern w:val="0"/>
                <w:sz w:val="22"/>
                <w:highlight w:val="none"/>
              </w:rPr>
              <w:br w:type="textWrapping"/>
            </w:r>
            <w:r>
              <w:rPr>
                <w:color w:val="000000"/>
                <w:kern w:val="0"/>
                <w:sz w:val="22"/>
                <w:highlight w:val="none"/>
              </w:rPr>
              <w:t>5.线管铺设后人工回填土并夯实。</w:t>
            </w:r>
            <w:r>
              <w:rPr>
                <w:color w:val="000000"/>
                <w:kern w:val="0"/>
                <w:sz w:val="22"/>
                <w:highlight w:val="none"/>
              </w:rPr>
              <w:br w:type="textWrapping"/>
            </w:r>
            <w:r>
              <w:rPr>
                <w:color w:val="000000"/>
                <w:kern w:val="0"/>
                <w:sz w:val="22"/>
                <w:highlight w:val="none"/>
              </w:rPr>
              <w:t>6.面包砖铺设，恢复原样，面包砖利旧使用。</w:t>
            </w:r>
          </w:p>
        </w:tc>
        <w:tc>
          <w:tcPr>
            <w:tcW w:w="736" w:type="dxa"/>
            <w:vAlign w:val="center"/>
          </w:tcPr>
          <w:p w14:paraId="5212085D">
            <w:pPr>
              <w:widowControl/>
              <w:jc w:val="center"/>
              <w:rPr>
                <w:color w:val="000000"/>
                <w:kern w:val="0"/>
                <w:sz w:val="22"/>
                <w:highlight w:val="none"/>
              </w:rPr>
            </w:pPr>
            <w:r>
              <w:rPr>
                <w:color w:val="000000"/>
                <w:kern w:val="0"/>
                <w:sz w:val="22"/>
                <w:highlight w:val="none"/>
              </w:rPr>
              <w:t>项</w:t>
            </w:r>
          </w:p>
        </w:tc>
        <w:tc>
          <w:tcPr>
            <w:tcW w:w="725" w:type="dxa"/>
            <w:shd w:val="clear" w:color="000000" w:fill="FFFFFF"/>
            <w:noWrap/>
            <w:vAlign w:val="center"/>
          </w:tcPr>
          <w:p w14:paraId="18D7B24D">
            <w:pPr>
              <w:widowControl/>
              <w:jc w:val="center"/>
              <w:rPr>
                <w:color w:val="000000"/>
                <w:kern w:val="0"/>
                <w:sz w:val="22"/>
                <w:highlight w:val="none"/>
              </w:rPr>
            </w:pPr>
            <w:r>
              <w:rPr>
                <w:color w:val="000000"/>
                <w:kern w:val="0"/>
                <w:sz w:val="22"/>
                <w:highlight w:val="none"/>
              </w:rPr>
              <w:t xml:space="preserve">6 </w:t>
            </w:r>
          </w:p>
        </w:tc>
      </w:tr>
    </w:tbl>
    <w:p w14:paraId="1C2BDC84">
      <w:pPr>
        <w:keepNext/>
        <w:keepLines/>
        <w:ind w:firstLine="448" w:firstLineChars="200"/>
        <w:outlineLvl w:val="4"/>
        <w:rPr>
          <w:b/>
          <w:bCs/>
          <w:sz w:val="24"/>
          <w:szCs w:val="28"/>
          <w:highlight w:val="none"/>
        </w:rPr>
      </w:pPr>
      <w:r>
        <w:rPr>
          <w:rFonts w:hint="eastAsia"/>
          <w:b/>
          <w:bCs/>
          <w:sz w:val="24"/>
          <w:szCs w:val="28"/>
          <w:highlight w:val="none"/>
        </w:rPr>
        <w:t>（二）平台巡检服务</w:t>
      </w:r>
    </w:p>
    <w:tbl>
      <w:tblPr>
        <w:tblStyle w:val="19"/>
        <w:tblW w:w="5000" w:type="pct"/>
        <w:tblInd w:w="0" w:type="dxa"/>
        <w:tblLayout w:type="autofit"/>
        <w:tblCellMar>
          <w:top w:w="0" w:type="dxa"/>
          <w:left w:w="108" w:type="dxa"/>
          <w:bottom w:w="0" w:type="dxa"/>
          <w:right w:w="108" w:type="dxa"/>
        </w:tblCellMar>
      </w:tblPr>
      <w:tblGrid>
        <w:gridCol w:w="755"/>
        <w:gridCol w:w="1135"/>
        <w:gridCol w:w="5065"/>
        <w:gridCol w:w="698"/>
        <w:gridCol w:w="659"/>
      </w:tblGrid>
      <w:tr w14:paraId="75BAF844">
        <w:tblPrEx>
          <w:tblCellMar>
            <w:top w:w="0" w:type="dxa"/>
            <w:left w:w="108" w:type="dxa"/>
            <w:bottom w:w="0" w:type="dxa"/>
            <w:right w:w="108" w:type="dxa"/>
          </w:tblCellMar>
        </w:tblPrEx>
        <w:trPr>
          <w:tblHeader/>
        </w:trPr>
        <w:tc>
          <w:tcPr>
            <w:tcW w:w="454" w:type="pct"/>
            <w:tcBorders>
              <w:top w:val="single" w:color="auto" w:sz="4" w:space="0"/>
              <w:left w:val="single" w:color="auto" w:sz="4" w:space="0"/>
              <w:bottom w:val="single" w:color="auto" w:sz="4" w:space="0"/>
              <w:right w:val="single" w:color="auto" w:sz="4" w:space="0"/>
            </w:tcBorders>
            <w:noWrap/>
            <w:vAlign w:val="center"/>
          </w:tcPr>
          <w:p w14:paraId="59B7858C">
            <w:pPr>
              <w:jc w:val="center"/>
              <w:rPr>
                <w:rFonts w:ascii="宋体" w:hAnsi="宋体" w:cs="宋体"/>
                <w:b/>
                <w:bCs/>
                <w:color w:val="000000" w:themeColor="text1"/>
                <w:kern w:val="0"/>
                <w:sz w:val="22"/>
                <w:highlight w:val="none"/>
                <w14:textFill>
                  <w14:solidFill>
                    <w14:schemeClr w14:val="tx1"/>
                  </w14:solidFill>
                </w14:textFill>
              </w:rPr>
            </w:pPr>
            <w:r>
              <w:rPr>
                <w:rFonts w:hint="eastAsia" w:ascii="宋体" w:hAnsi="宋体" w:cs="宋体"/>
                <w:b/>
                <w:bCs/>
                <w:color w:val="000000" w:themeColor="text1"/>
                <w:kern w:val="0"/>
                <w:sz w:val="22"/>
                <w:highlight w:val="none"/>
                <w14:textFill>
                  <w14:solidFill>
                    <w14:schemeClr w14:val="tx1"/>
                  </w14:solidFill>
                </w14:textFill>
              </w:rPr>
              <w:t>序号</w:t>
            </w:r>
          </w:p>
        </w:tc>
        <w:tc>
          <w:tcPr>
            <w:tcW w:w="683" w:type="pct"/>
            <w:tcBorders>
              <w:top w:val="single" w:color="auto" w:sz="4" w:space="0"/>
              <w:left w:val="nil"/>
              <w:bottom w:val="single" w:color="auto" w:sz="4" w:space="0"/>
              <w:right w:val="single" w:color="auto" w:sz="4" w:space="0"/>
            </w:tcBorders>
            <w:noWrap/>
            <w:vAlign w:val="center"/>
          </w:tcPr>
          <w:p w14:paraId="708B44A4">
            <w:pPr>
              <w:jc w:val="center"/>
              <w:rPr>
                <w:rFonts w:ascii="宋体" w:hAnsi="宋体" w:cs="宋体"/>
                <w:b/>
                <w:bCs/>
                <w:color w:val="000000" w:themeColor="text1"/>
                <w:kern w:val="0"/>
                <w:sz w:val="22"/>
                <w:highlight w:val="none"/>
                <w14:textFill>
                  <w14:solidFill>
                    <w14:schemeClr w14:val="tx1"/>
                  </w14:solidFill>
                </w14:textFill>
              </w:rPr>
            </w:pPr>
            <w:r>
              <w:rPr>
                <w:rFonts w:hint="eastAsia" w:ascii="宋体" w:hAnsi="宋体" w:cs="宋体"/>
                <w:b/>
                <w:bCs/>
                <w:color w:val="000000" w:themeColor="text1"/>
                <w:kern w:val="0"/>
                <w:sz w:val="22"/>
                <w:highlight w:val="none"/>
                <w14:textFill>
                  <w14:solidFill>
                    <w14:schemeClr w14:val="tx1"/>
                  </w14:solidFill>
                </w14:textFill>
              </w:rPr>
              <w:t>项目名称</w:t>
            </w:r>
          </w:p>
        </w:tc>
        <w:tc>
          <w:tcPr>
            <w:tcW w:w="3047" w:type="pct"/>
            <w:tcBorders>
              <w:top w:val="single" w:color="auto" w:sz="4" w:space="0"/>
              <w:left w:val="nil"/>
              <w:bottom w:val="single" w:color="auto" w:sz="4" w:space="0"/>
              <w:right w:val="single" w:color="auto" w:sz="4" w:space="0"/>
            </w:tcBorders>
            <w:noWrap/>
            <w:vAlign w:val="center"/>
          </w:tcPr>
          <w:p w14:paraId="29D5404A">
            <w:pPr>
              <w:jc w:val="center"/>
              <w:rPr>
                <w:rFonts w:ascii="宋体" w:hAnsi="宋体" w:cs="宋体"/>
                <w:b/>
                <w:bCs/>
                <w:color w:val="000000" w:themeColor="text1"/>
                <w:kern w:val="0"/>
                <w:sz w:val="22"/>
                <w:highlight w:val="none"/>
                <w14:textFill>
                  <w14:solidFill>
                    <w14:schemeClr w14:val="tx1"/>
                  </w14:solidFill>
                </w14:textFill>
              </w:rPr>
            </w:pPr>
            <w:r>
              <w:rPr>
                <w:rFonts w:hint="eastAsia" w:ascii="宋体" w:hAnsi="宋体" w:cs="宋体"/>
                <w:b/>
                <w:bCs/>
                <w:color w:val="000000" w:themeColor="text1"/>
                <w:kern w:val="0"/>
                <w:sz w:val="22"/>
                <w:highlight w:val="none"/>
                <w14:textFill>
                  <w14:solidFill>
                    <w14:schemeClr w14:val="tx1"/>
                  </w14:solidFill>
                </w14:textFill>
              </w:rPr>
              <w:t>运维职责</w:t>
            </w:r>
          </w:p>
        </w:tc>
        <w:tc>
          <w:tcPr>
            <w:tcW w:w="420" w:type="pct"/>
            <w:tcBorders>
              <w:top w:val="single" w:color="auto" w:sz="4" w:space="0"/>
              <w:left w:val="nil"/>
              <w:bottom w:val="single" w:color="auto" w:sz="4" w:space="0"/>
              <w:right w:val="single" w:color="auto" w:sz="4" w:space="0"/>
            </w:tcBorders>
            <w:noWrap/>
            <w:vAlign w:val="center"/>
          </w:tcPr>
          <w:p w14:paraId="75102255">
            <w:pPr>
              <w:jc w:val="center"/>
              <w:rPr>
                <w:rFonts w:ascii="宋体" w:hAnsi="宋体" w:cs="宋体"/>
                <w:b/>
                <w:bCs/>
                <w:color w:val="000000" w:themeColor="text1"/>
                <w:kern w:val="0"/>
                <w:sz w:val="22"/>
                <w:highlight w:val="none"/>
                <w14:textFill>
                  <w14:solidFill>
                    <w14:schemeClr w14:val="tx1"/>
                  </w14:solidFill>
                </w14:textFill>
              </w:rPr>
            </w:pPr>
            <w:r>
              <w:rPr>
                <w:rFonts w:hint="eastAsia" w:ascii="宋体" w:hAnsi="宋体" w:cs="宋体"/>
                <w:b/>
                <w:bCs/>
                <w:color w:val="000000" w:themeColor="text1"/>
                <w:kern w:val="0"/>
                <w:sz w:val="22"/>
                <w:highlight w:val="none"/>
                <w14:textFill>
                  <w14:solidFill>
                    <w14:schemeClr w14:val="tx1"/>
                  </w14:solidFill>
                </w14:textFill>
              </w:rPr>
              <w:t>单位</w:t>
            </w:r>
          </w:p>
        </w:tc>
        <w:tc>
          <w:tcPr>
            <w:tcW w:w="397" w:type="pct"/>
            <w:tcBorders>
              <w:top w:val="single" w:color="auto" w:sz="4" w:space="0"/>
              <w:left w:val="nil"/>
              <w:bottom w:val="single" w:color="auto" w:sz="4" w:space="0"/>
              <w:right w:val="single" w:color="auto" w:sz="4" w:space="0"/>
            </w:tcBorders>
            <w:noWrap/>
            <w:vAlign w:val="center"/>
          </w:tcPr>
          <w:p w14:paraId="070213B7">
            <w:pPr>
              <w:jc w:val="center"/>
              <w:rPr>
                <w:rFonts w:ascii="宋体" w:hAnsi="宋体" w:cs="宋体"/>
                <w:b/>
                <w:bCs/>
                <w:color w:val="000000" w:themeColor="text1"/>
                <w:kern w:val="0"/>
                <w:sz w:val="22"/>
                <w:highlight w:val="none"/>
                <w14:textFill>
                  <w14:solidFill>
                    <w14:schemeClr w14:val="tx1"/>
                  </w14:solidFill>
                </w14:textFill>
              </w:rPr>
            </w:pPr>
            <w:r>
              <w:rPr>
                <w:rFonts w:hint="eastAsia" w:ascii="宋体" w:hAnsi="宋体" w:cs="宋体"/>
                <w:b/>
                <w:bCs/>
                <w:color w:val="000000" w:themeColor="text1"/>
                <w:kern w:val="0"/>
                <w:sz w:val="22"/>
                <w:highlight w:val="none"/>
                <w14:textFill>
                  <w14:solidFill>
                    <w14:schemeClr w14:val="tx1"/>
                  </w14:solidFill>
                </w14:textFill>
              </w:rPr>
              <w:t>数量</w:t>
            </w:r>
          </w:p>
        </w:tc>
      </w:tr>
      <w:tr w14:paraId="68415D5D">
        <w:tblPrEx>
          <w:tblCellMar>
            <w:top w:w="0" w:type="dxa"/>
            <w:left w:w="108" w:type="dxa"/>
            <w:bottom w:w="0" w:type="dxa"/>
            <w:right w:w="108" w:type="dxa"/>
          </w:tblCellMar>
        </w:tblPrEx>
        <w:tc>
          <w:tcPr>
            <w:tcW w:w="454" w:type="pct"/>
            <w:tcBorders>
              <w:top w:val="nil"/>
              <w:left w:val="single" w:color="auto" w:sz="4" w:space="0"/>
              <w:bottom w:val="single" w:color="auto" w:sz="4" w:space="0"/>
              <w:right w:val="single" w:color="auto" w:sz="4" w:space="0"/>
            </w:tcBorders>
            <w:noWrap/>
            <w:vAlign w:val="center"/>
          </w:tcPr>
          <w:p w14:paraId="20D35007">
            <w:pPr>
              <w:jc w:val="center"/>
              <w:rPr>
                <w:rFonts w:ascii="宋体" w:hAnsi="宋体" w:cs="宋体"/>
                <w:color w:val="000000" w:themeColor="text1"/>
                <w:kern w:val="0"/>
                <w:sz w:val="22"/>
                <w:highlight w:val="none"/>
                <w14:textFill>
                  <w14:solidFill>
                    <w14:schemeClr w14:val="tx1"/>
                  </w14:solidFill>
                </w14:textFill>
              </w:rPr>
            </w:pPr>
            <w:r>
              <w:rPr>
                <w:rFonts w:ascii="宋体" w:hAnsi="宋体" w:cs="宋体"/>
                <w:color w:val="000000" w:themeColor="text1"/>
                <w:kern w:val="0"/>
                <w:sz w:val="22"/>
                <w:highlight w:val="none"/>
                <w14:textFill>
                  <w14:solidFill>
                    <w14:schemeClr w14:val="tx1"/>
                  </w14:solidFill>
                </w14:textFill>
              </w:rPr>
              <w:t>1</w:t>
            </w:r>
          </w:p>
        </w:tc>
        <w:tc>
          <w:tcPr>
            <w:tcW w:w="683" w:type="pct"/>
            <w:tcBorders>
              <w:top w:val="nil"/>
              <w:left w:val="nil"/>
              <w:bottom w:val="single" w:color="auto" w:sz="4" w:space="0"/>
              <w:right w:val="single" w:color="auto" w:sz="4" w:space="0"/>
            </w:tcBorders>
            <w:vAlign w:val="center"/>
          </w:tcPr>
          <w:p w14:paraId="65B1D1D1">
            <w:pPr>
              <w:jc w:val="left"/>
              <w:rPr>
                <w:rFonts w:ascii="宋体" w:hAnsi="宋体" w:cs="宋体"/>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t>平台巡检服务</w:t>
            </w:r>
          </w:p>
        </w:tc>
        <w:tc>
          <w:tcPr>
            <w:tcW w:w="3047" w:type="pct"/>
            <w:tcBorders>
              <w:top w:val="nil"/>
              <w:left w:val="nil"/>
              <w:bottom w:val="single" w:color="auto" w:sz="4" w:space="0"/>
              <w:right w:val="single" w:color="auto" w:sz="4" w:space="0"/>
            </w:tcBorders>
            <w:vAlign w:val="center"/>
          </w:tcPr>
          <w:p w14:paraId="71CB1E62">
            <w:pPr>
              <w:ind w:left="-25" w:leftChars="-13" w:firstLine="35" w:firstLineChars="17"/>
              <w:jc w:val="left"/>
              <w:rPr>
                <w:rFonts w:ascii="宋体" w:hAnsi="宋体" w:cs="宋体"/>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t>安排1</w:t>
            </w:r>
            <w:r>
              <w:rPr>
                <w:rFonts w:ascii="宋体" w:hAnsi="宋体" w:cs="宋体"/>
                <w:color w:val="000000" w:themeColor="text1"/>
                <w:kern w:val="0"/>
                <w:sz w:val="22"/>
                <w:highlight w:val="none"/>
                <w14:textFill>
                  <w14:solidFill>
                    <w14:schemeClr w14:val="tx1"/>
                  </w14:solidFill>
                </w14:textFill>
              </w:rPr>
              <w:t>名专职平台巡检人员，在采购人认可安全可靠的物理、网络环境下，每天对平台进行巡检，并接受采购人考勤管理；巡检内容包括前端点位完好情况监测，主动发现问题，查看后端存储设备运行状态及性能，识别系统资源利用率、服务可用性及响应时间，检查系统数据完整性，识别系统故障及异常行为，记录巡检情况（问题、响应时间、解决时间等）；服从采购人管理，完成采购人安排的其他运维服务相关工作；</w:t>
            </w:r>
          </w:p>
          <w:p w14:paraId="18597F2E">
            <w:pPr>
              <w:jc w:val="left"/>
              <w:rPr>
                <w:rFonts w:ascii="宋体" w:hAnsi="宋体" w:cs="宋体"/>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t>日常响应：</w:t>
            </w:r>
            <w:r>
              <w:rPr>
                <w:rFonts w:ascii="宋体" w:hAnsi="宋体" w:cs="宋体"/>
                <w:color w:val="000000" w:themeColor="text1"/>
                <w:kern w:val="0"/>
                <w:sz w:val="22"/>
                <w:highlight w:val="none"/>
                <w14:textFill>
                  <w14:solidFill>
                    <w14:schemeClr w14:val="tx1"/>
                  </w14:solidFill>
                </w14:textFill>
              </w:rPr>
              <w:t>7*8小时响应时间为电话立即响应，10分钟到场；其他时间电话5分钟内响应，1小时到场；</w:t>
            </w:r>
          </w:p>
          <w:p w14:paraId="3C70B8A4">
            <w:pPr>
              <w:jc w:val="left"/>
              <w:rPr>
                <w:rFonts w:ascii="宋体" w:hAnsi="宋体" w:cs="宋体"/>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t>重保响应：</w:t>
            </w:r>
            <w:r>
              <w:rPr>
                <w:rFonts w:ascii="宋体" w:hAnsi="宋体" w:cs="宋体"/>
                <w:color w:val="000000" w:themeColor="text1"/>
                <w:kern w:val="0"/>
                <w:sz w:val="22"/>
                <w:highlight w:val="none"/>
                <w14:textFill>
                  <w14:solidFill>
                    <w14:schemeClr w14:val="tx1"/>
                  </w14:solidFill>
                </w14:textFill>
              </w:rPr>
              <w:t>7*24小时响应时间为电话立即响应，10分钟到场；</w:t>
            </w:r>
          </w:p>
          <w:p w14:paraId="4B683682">
            <w:pPr>
              <w:jc w:val="left"/>
              <w:rPr>
                <w:rFonts w:ascii="宋体" w:hAnsi="宋体" w:cs="宋体"/>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t>采购人特殊任务响应：在“</w:t>
            </w:r>
            <w:r>
              <w:rPr>
                <w:rFonts w:ascii="宋体" w:hAnsi="宋体" w:cs="宋体"/>
                <w:color w:val="000000" w:themeColor="text1"/>
                <w:kern w:val="0"/>
                <w:sz w:val="22"/>
                <w:highlight w:val="none"/>
                <w14:textFill>
                  <w14:solidFill>
                    <w14:schemeClr w14:val="tx1"/>
                  </w14:solidFill>
                </w14:textFill>
              </w:rPr>
              <w:t>7*8小时响应时间为电话立即响应，10分钟到场”的基础上根据采购人具体要求执行；</w:t>
            </w:r>
          </w:p>
          <w:p w14:paraId="77FFE547">
            <w:pPr>
              <w:jc w:val="left"/>
              <w:rPr>
                <w:rFonts w:ascii="宋体" w:hAnsi="宋体" w:cs="宋体"/>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t>平台巡检人员数量及工作时间需根据采购人工作进行调配，人员信息提前向采购人备案。</w:t>
            </w:r>
          </w:p>
        </w:tc>
        <w:tc>
          <w:tcPr>
            <w:tcW w:w="420" w:type="pct"/>
            <w:tcBorders>
              <w:top w:val="nil"/>
              <w:left w:val="nil"/>
              <w:bottom w:val="single" w:color="auto" w:sz="4" w:space="0"/>
              <w:right w:val="single" w:color="auto" w:sz="4" w:space="0"/>
            </w:tcBorders>
            <w:noWrap/>
            <w:vAlign w:val="center"/>
          </w:tcPr>
          <w:p w14:paraId="2F0BBCA5">
            <w:pPr>
              <w:jc w:val="center"/>
              <w:rPr>
                <w:rFonts w:ascii="宋体" w:hAnsi="宋体" w:cs="宋体"/>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t>项</w:t>
            </w:r>
          </w:p>
        </w:tc>
        <w:tc>
          <w:tcPr>
            <w:tcW w:w="397" w:type="pct"/>
            <w:tcBorders>
              <w:top w:val="nil"/>
              <w:left w:val="nil"/>
              <w:bottom w:val="single" w:color="auto" w:sz="4" w:space="0"/>
              <w:right w:val="single" w:color="auto" w:sz="4" w:space="0"/>
            </w:tcBorders>
            <w:vAlign w:val="center"/>
          </w:tcPr>
          <w:p w14:paraId="7050D67D">
            <w:pPr>
              <w:jc w:val="center"/>
              <w:rPr>
                <w:rFonts w:ascii="宋体" w:hAnsi="宋体" w:cs="宋体"/>
                <w:color w:val="000000" w:themeColor="text1"/>
                <w:kern w:val="0"/>
                <w:sz w:val="22"/>
                <w:highlight w:val="none"/>
                <w14:textFill>
                  <w14:solidFill>
                    <w14:schemeClr w14:val="tx1"/>
                  </w14:solidFill>
                </w14:textFill>
              </w:rPr>
            </w:pPr>
            <w:r>
              <w:rPr>
                <w:rFonts w:ascii="宋体" w:hAnsi="宋体" w:cs="宋体"/>
                <w:color w:val="000000" w:themeColor="text1"/>
                <w:kern w:val="0"/>
                <w:sz w:val="22"/>
                <w:highlight w:val="none"/>
                <w14:textFill>
                  <w14:solidFill>
                    <w14:schemeClr w14:val="tx1"/>
                  </w14:solidFill>
                </w14:textFill>
              </w:rPr>
              <w:t>1</w:t>
            </w:r>
          </w:p>
        </w:tc>
      </w:tr>
    </w:tbl>
    <w:p w14:paraId="2EA79E9D">
      <w:pPr>
        <w:keepNext/>
        <w:keepLines/>
        <w:ind w:firstLine="448" w:firstLineChars="200"/>
        <w:outlineLvl w:val="4"/>
        <w:rPr>
          <w:b/>
          <w:bCs/>
          <w:sz w:val="24"/>
          <w:szCs w:val="28"/>
          <w:highlight w:val="none"/>
        </w:rPr>
      </w:pPr>
      <w:r>
        <w:rPr>
          <w:rFonts w:hint="eastAsia"/>
          <w:b/>
          <w:bCs/>
          <w:sz w:val="24"/>
          <w:szCs w:val="28"/>
          <w:highlight w:val="none"/>
        </w:rPr>
        <w:t>（三）电力保障服务</w:t>
      </w:r>
    </w:p>
    <w:tbl>
      <w:tblPr>
        <w:tblStyle w:val="19"/>
        <w:tblW w:w="5000" w:type="pct"/>
        <w:tblInd w:w="0" w:type="dxa"/>
        <w:tblLayout w:type="autofit"/>
        <w:tblCellMar>
          <w:top w:w="0" w:type="dxa"/>
          <w:left w:w="108" w:type="dxa"/>
          <w:bottom w:w="0" w:type="dxa"/>
          <w:right w:w="108" w:type="dxa"/>
        </w:tblCellMar>
      </w:tblPr>
      <w:tblGrid>
        <w:gridCol w:w="758"/>
        <w:gridCol w:w="1182"/>
        <w:gridCol w:w="4479"/>
        <w:gridCol w:w="929"/>
        <w:gridCol w:w="964"/>
      </w:tblGrid>
      <w:tr w14:paraId="7EB6C2DC">
        <w:tblPrEx>
          <w:tblCellMar>
            <w:top w:w="0" w:type="dxa"/>
            <w:left w:w="108" w:type="dxa"/>
            <w:bottom w:w="0" w:type="dxa"/>
            <w:right w:w="108" w:type="dxa"/>
          </w:tblCellMar>
        </w:tblPrEx>
        <w:tc>
          <w:tcPr>
            <w:tcW w:w="456" w:type="pct"/>
            <w:tcBorders>
              <w:top w:val="single" w:color="auto" w:sz="4" w:space="0"/>
              <w:left w:val="single" w:color="auto" w:sz="4" w:space="0"/>
              <w:bottom w:val="single" w:color="auto" w:sz="4" w:space="0"/>
              <w:right w:val="single" w:color="auto" w:sz="4" w:space="0"/>
            </w:tcBorders>
            <w:noWrap/>
            <w:vAlign w:val="center"/>
          </w:tcPr>
          <w:p w14:paraId="6F7CC11A">
            <w:pPr>
              <w:jc w:val="center"/>
              <w:rPr>
                <w:rFonts w:ascii="宋体" w:hAnsi="宋体"/>
                <w:b/>
                <w:bCs/>
                <w:color w:val="000000" w:themeColor="text1"/>
                <w:kern w:val="0"/>
                <w:sz w:val="22"/>
                <w:highlight w:val="none"/>
                <w14:textFill>
                  <w14:solidFill>
                    <w14:schemeClr w14:val="tx1"/>
                  </w14:solidFill>
                </w14:textFill>
              </w:rPr>
            </w:pPr>
            <w:r>
              <w:rPr>
                <w:rFonts w:ascii="宋体" w:hAnsi="宋体"/>
                <w:b/>
                <w:bCs/>
                <w:color w:val="000000" w:themeColor="text1"/>
                <w:kern w:val="0"/>
                <w:sz w:val="22"/>
                <w:highlight w:val="none"/>
                <w14:textFill>
                  <w14:solidFill>
                    <w14:schemeClr w14:val="tx1"/>
                  </w14:solidFill>
                </w14:textFill>
              </w:rPr>
              <w:t>序号</w:t>
            </w:r>
          </w:p>
        </w:tc>
        <w:tc>
          <w:tcPr>
            <w:tcW w:w="711" w:type="pct"/>
            <w:tcBorders>
              <w:top w:val="single" w:color="auto" w:sz="4" w:space="0"/>
              <w:left w:val="nil"/>
              <w:bottom w:val="single" w:color="auto" w:sz="4" w:space="0"/>
              <w:right w:val="single" w:color="auto" w:sz="4" w:space="0"/>
            </w:tcBorders>
            <w:noWrap/>
            <w:vAlign w:val="center"/>
          </w:tcPr>
          <w:p w14:paraId="2008FB02">
            <w:pPr>
              <w:jc w:val="center"/>
              <w:rPr>
                <w:rFonts w:ascii="宋体" w:hAnsi="宋体"/>
                <w:b/>
                <w:bCs/>
                <w:color w:val="000000" w:themeColor="text1"/>
                <w:kern w:val="0"/>
                <w:sz w:val="22"/>
                <w:highlight w:val="none"/>
                <w14:textFill>
                  <w14:solidFill>
                    <w14:schemeClr w14:val="tx1"/>
                  </w14:solidFill>
                </w14:textFill>
              </w:rPr>
            </w:pPr>
            <w:r>
              <w:rPr>
                <w:rFonts w:ascii="宋体" w:hAnsi="宋体"/>
                <w:b/>
                <w:bCs/>
                <w:color w:val="000000" w:themeColor="text1"/>
                <w:kern w:val="0"/>
                <w:sz w:val="22"/>
                <w:highlight w:val="none"/>
                <w14:textFill>
                  <w14:solidFill>
                    <w14:schemeClr w14:val="tx1"/>
                  </w14:solidFill>
                </w14:textFill>
              </w:rPr>
              <w:t>项目名称</w:t>
            </w:r>
          </w:p>
        </w:tc>
        <w:tc>
          <w:tcPr>
            <w:tcW w:w="2694" w:type="pct"/>
            <w:tcBorders>
              <w:top w:val="single" w:color="auto" w:sz="4" w:space="0"/>
              <w:left w:val="nil"/>
              <w:bottom w:val="single" w:color="auto" w:sz="4" w:space="0"/>
              <w:right w:val="single" w:color="auto" w:sz="4" w:space="0"/>
            </w:tcBorders>
            <w:noWrap/>
            <w:vAlign w:val="center"/>
          </w:tcPr>
          <w:p w14:paraId="1392393F">
            <w:pPr>
              <w:ind w:left="163" w:hanging="164" w:hangingChars="80"/>
              <w:jc w:val="center"/>
              <w:rPr>
                <w:rFonts w:ascii="宋体" w:hAnsi="宋体"/>
                <w:b/>
                <w:bCs/>
                <w:color w:val="000000" w:themeColor="text1"/>
                <w:kern w:val="0"/>
                <w:sz w:val="22"/>
                <w:highlight w:val="none"/>
                <w14:textFill>
                  <w14:solidFill>
                    <w14:schemeClr w14:val="tx1"/>
                  </w14:solidFill>
                </w14:textFill>
              </w:rPr>
            </w:pPr>
            <w:r>
              <w:rPr>
                <w:rFonts w:ascii="宋体" w:hAnsi="宋体"/>
                <w:b/>
                <w:bCs/>
                <w:color w:val="000000" w:themeColor="text1"/>
                <w:kern w:val="0"/>
                <w:sz w:val="22"/>
                <w:highlight w:val="none"/>
                <w14:textFill>
                  <w14:solidFill>
                    <w14:schemeClr w14:val="tx1"/>
                  </w14:solidFill>
                </w14:textFill>
              </w:rPr>
              <w:t>服务内容</w:t>
            </w:r>
          </w:p>
        </w:tc>
        <w:tc>
          <w:tcPr>
            <w:tcW w:w="559" w:type="pct"/>
            <w:tcBorders>
              <w:top w:val="single" w:color="auto" w:sz="4" w:space="0"/>
              <w:left w:val="nil"/>
              <w:bottom w:val="single" w:color="auto" w:sz="4" w:space="0"/>
              <w:right w:val="single" w:color="auto" w:sz="4" w:space="0"/>
            </w:tcBorders>
            <w:noWrap/>
            <w:vAlign w:val="center"/>
          </w:tcPr>
          <w:p w14:paraId="6BAADE3B">
            <w:pPr>
              <w:jc w:val="center"/>
              <w:rPr>
                <w:rFonts w:ascii="宋体" w:hAnsi="宋体"/>
                <w:b/>
                <w:bCs/>
                <w:color w:val="000000" w:themeColor="text1"/>
                <w:kern w:val="0"/>
                <w:sz w:val="22"/>
                <w:highlight w:val="none"/>
                <w14:textFill>
                  <w14:solidFill>
                    <w14:schemeClr w14:val="tx1"/>
                  </w14:solidFill>
                </w14:textFill>
              </w:rPr>
            </w:pPr>
            <w:r>
              <w:rPr>
                <w:rFonts w:ascii="宋体" w:hAnsi="宋体"/>
                <w:b/>
                <w:bCs/>
                <w:color w:val="000000" w:themeColor="text1"/>
                <w:kern w:val="0"/>
                <w:sz w:val="22"/>
                <w:highlight w:val="none"/>
                <w14:textFill>
                  <w14:solidFill>
                    <w14:schemeClr w14:val="tx1"/>
                  </w14:solidFill>
                </w14:textFill>
              </w:rPr>
              <w:t>单位</w:t>
            </w:r>
          </w:p>
        </w:tc>
        <w:tc>
          <w:tcPr>
            <w:tcW w:w="580" w:type="pct"/>
            <w:tcBorders>
              <w:top w:val="single" w:color="auto" w:sz="4" w:space="0"/>
              <w:left w:val="nil"/>
              <w:bottom w:val="single" w:color="auto" w:sz="4" w:space="0"/>
              <w:right w:val="single" w:color="auto" w:sz="4" w:space="0"/>
            </w:tcBorders>
            <w:noWrap/>
            <w:vAlign w:val="center"/>
          </w:tcPr>
          <w:p w14:paraId="151C6E0E">
            <w:pPr>
              <w:jc w:val="center"/>
              <w:rPr>
                <w:rFonts w:ascii="宋体" w:hAnsi="宋体"/>
                <w:b/>
                <w:bCs/>
                <w:color w:val="000000" w:themeColor="text1"/>
                <w:kern w:val="0"/>
                <w:sz w:val="22"/>
                <w:highlight w:val="none"/>
                <w14:textFill>
                  <w14:solidFill>
                    <w14:schemeClr w14:val="tx1"/>
                  </w14:solidFill>
                </w14:textFill>
              </w:rPr>
            </w:pPr>
            <w:r>
              <w:rPr>
                <w:rFonts w:ascii="宋体" w:hAnsi="宋体"/>
                <w:b/>
                <w:bCs/>
                <w:color w:val="000000" w:themeColor="text1"/>
                <w:kern w:val="0"/>
                <w:sz w:val="22"/>
                <w:highlight w:val="none"/>
                <w14:textFill>
                  <w14:solidFill>
                    <w14:schemeClr w14:val="tx1"/>
                  </w14:solidFill>
                </w14:textFill>
              </w:rPr>
              <w:t>数量</w:t>
            </w:r>
          </w:p>
        </w:tc>
      </w:tr>
      <w:tr w14:paraId="34B28B72">
        <w:tblPrEx>
          <w:tblCellMar>
            <w:top w:w="0" w:type="dxa"/>
            <w:left w:w="108" w:type="dxa"/>
            <w:bottom w:w="0" w:type="dxa"/>
            <w:right w:w="108" w:type="dxa"/>
          </w:tblCellMar>
        </w:tblPrEx>
        <w:trPr>
          <w:trHeight w:val="1029" w:hRule="atLeast"/>
        </w:trPr>
        <w:tc>
          <w:tcPr>
            <w:tcW w:w="456" w:type="pct"/>
            <w:tcBorders>
              <w:top w:val="nil"/>
              <w:left w:val="single" w:color="auto" w:sz="4" w:space="0"/>
              <w:bottom w:val="single" w:color="auto" w:sz="4" w:space="0"/>
              <w:right w:val="single" w:color="auto" w:sz="4" w:space="0"/>
            </w:tcBorders>
            <w:noWrap/>
            <w:vAlign w:val="center"/>
          </w:tcPr>
          <w:p w14:paraId="445E5F78">
            <w:pPr>
              <w:jc w:val="center"/>
              <w:rPr>
                <w:rFonts w:ascii="宋体" w:hAnsi="宋体"/>
                <w:color w:val="000000" w:themeColor="text1"/>
                <w:kern w:val="0"/>
                <w:sz w:val="22"/>
                <w:highlight w:val="none"/>
                <w14:textFill>
                  <w14:solidFill>
                    <w14:schemeClr w14:val="tx1"/>
                  </w14:solidFill>
                </w14:textFill>
              </w:rPr>
            </w:pPr>
            <w:r>
              <w:rPr>
                <w:rFonts w:ascii="宋体" w:hAnsi="宋体"/>
                <w:color w:val="000000" w:themeColor="text1"/>
                <w:kern w:val="0"/>
                <w:sz w:val="22"/>
                <w:highlight w:val="none"/>
                <w14:textFill>
                  <w14:solidFill>
                    <w14:schemeClr w14:val="tx1"/>
                  </w14:solidFill>
                </w14:textFill>
              </w:rPr>
              <w:t>1</w:t>
            </w:r>
          </w:p>
        </w:tc>
        <w:tc>
          <w:tcPr>
            <w:tcW w:w="711" w:type="pct"/>
            <w:tcBorders>
              <w:top w:val="nil"/>
              <w:left w:val="nil"/>
              <w:bottom w:val="single" w:color="auto" w:sz="4" w:space="0"/>
              <w:right w:val="single" w:color="auto" w:sz="4" w:space="0"/>
            </w:tcBorders>
            <w:vAlign w:val="center"/>
          </w:tcPr>
          <w:p w14:paraId="738147A5">
            <w:pPr>
              <w:jc w:val="left"/>
              <w:rPr>
                <w:rFonts w:ascii="宋体" w:hAnsi="宋体"/>
                <w:color w:val="000000" w:themeColor="text1"/>
                <w:kern w:val="0"/>
                <w:sz w:val="22"/>
                <w:highlight w:val="none"/>
                <w14:textFill>
                  <w14:solidFill>
                    <w14:schemeClr w14:val="tx1"/>
                  </w14:solidFill>
                </w14:textFill>
              </w:rPr>
            </w:pPr>
            <w:r>
              <w:rPr>
                <w:rFonts w:ascii="宋体" w:hAnsi="宋体"/>
                <w:color w:val="000000" w:themeColor="text1"/>
                <w:kern w:val="0"/>
                <w:sz w:val="22"/>
                <w:highlight w:val="none"/>
                <w14:textFill>
                  <w14:solidFill>
                    <w14:schemeClr w14:val="tx1"/>
                  </w14:solidFill>
                </w14:textFill>
              </w:rPr>
              <w:t>电力保障服务</w:t>
            </w:r>
          </w:p>
        </w:tc>
        <w:tc>
          <w:tcPr>
            <w:tcW w:w="2694" w:type="pct"/>
            <w:tcBorders>
              <w:top w:val="nil"/>
              <w:left w:val="nil"/>
              <w:bottom w:val="single" w:color="auto" w:sz="4" w:space="0"/>
              <w:right w:val="single" w:color="auto" w:sz="4" w:space="0"/>
            </w:tcBorders>
            <w:vAlign w:val="center"/>
          </w:tcPr>
          <w:p w14:paraId="41A688F7">
            <w:pPr>
              <w:jc w:val="left"/>
              <w:rPr>
                <w:rFonts w:ascii="宋体" w:hAnsi="宋体"/>
                <w:color w:val="000000" w:themeColor="text1"/>
                <w:kern w:val="0"/>
                <w:sz w:val="22"/>
                <w:highlight w:val="none"/>
                <w14:textFill>
                  <w14:solidFill>
                    <w14:schemeClr w14:val="tx1"/>
                  </w14:solidFill>
                </w14:textFill>
              </w:rPr>
            </w:pPr>
            <w:r>
              <w:rPr>
                <w:rFonts w:ascii="宋体" w:hAnsi="宋体"/>
                <w:color w:val="000000" w:themeColor="text1"/>
                <w:kern w:val="0"/>
                <w:sz w:val="22"/>
                <w:highlight w:val="none"/>
                <w14:textFill>
                  <w14:solidFill>
                    <w14:schemeClr w14:val="tx1"/>
                  </w14:solidFill>
                </w14:textFill>
              </w:rPr>
              <w:t>包含运维范围内前端设备的用电供应，中标供应商应保证前端设备电力供应，保障正常运行，并负责前端监控设备的电路保障。</w:t>
            </w:r>
          </w:p>
        </w:tc>
        <w:tc>
          <w:tcPr>
            <w:tcW w:w="559" w:type="pct"/>
            <w:tcBorders>
              <w:top w:val="nil"/>
              <w:left w:val="nil"/>
              <w:bottom w:val="single" w:color="auto" w:sz="4" w:space="0"/>
              <w:right w:val="single" w:color="auto" w:sz="4" w:space="0"/>
            </w:tcBorders>
            <w:noWrap/>
            <w:vAlign w:val="center"/>
          </w:tcPr>
          <w:p w14:paraId="2CE147AB">
            <w:pPr>
              <w:jc w:val="center"/>
              <w:rPr>
                <w:rFonts w:ascii="宋体" w:hAnsi="宋体"/>
                <w:color w:val="000000" w:themeColor="text1"/>
                <w:kern w:val="0"/>
                <w:sz w:val="22"/>
                <w:highlight w:val="none"/>
                <w14:textFill>
                  <w14:solidFill>
                    <w14:schemeClr w14:val="tx1"/>
                  </w14:solidFill>
                </w14:textFill>
              </w:rPr>
            </w:pPr>
            <w:r>
              <w:rPr>
                <w:rFonts w:ascii="宋体" w:hAnsi="宋体"/>
                <w:color w:val="000000" w:themeColor="text1"/>
                <w:kern w:val="0"/>
                <w:sz w:val="22"/>
                <w:highlight w:val="none"/>
                <w14:textFill>
                  <w14:solidFill>
                    <w14:schemeClr w14:val="tx1"/>
                  </w14:solidFill>
                </w14:textFill>
              </w:rPr>
              <w:t>项</w:t>
            </w:r>
          </w:p>
        </w:tc>
        <w:tc>
          <w:tcPr>
            <w:tcW w:w="580" w:type="pct"/>
            <w:tcBorders>
              <w:top w:val="nil"/>
              <w:left w:val="nil"/>
              <w:bottom w:val="single" w:color="auto" w:sz="4" w:space="0"/>
              <w:right w:val="single" w:color="auto" w:sz="4" w:space="0"/>
            </w:tcBorders>
            <w:vAlign w:val="center"/>
          </w:tcPr>
          <w:p w14:paraId="59874017">
            <w:pPr>
              <w:jc w:val="center"/>
              <w:rPr>
                <w:rFonts w:ascii="宋体" w:hAnsi="宋体"/>
                <w:color w:val="000000" w:themeColor="text1"/>
                <w:kern w:val="0"/>
                <w:sz w:val="22"/>
                <w:highlight w:val="none"/>
                <w14:textFill>
                  <w14:solidFill>
                    <w14:schemeClr w14:val="tx1"/>
                  </w14:solidFill>
                </w14:textFill>
              </w:rPr>
            </w:pPr>
            <w:r>
              <w:rPr>
                <w:rFonts w:ascii="宋体" w:hAnsi="宋体"/>
                <w:color w:val="000000" w:themeColor="text1"/>
                <w:kern w:val="0"/>
                <w:sz w:val="22"/>
                <w:highlight w:val="none"/>
                <w14:textFill>
                  <w14:solidFill>
                    <w14:schemeClr w14:val="tx1"/>
                  </w14:solidFill>
                </w14:textFill>
              </w:rPr>
              <w:t>1</w:t>
            </w:r>
          </w:p>
        </w:tc>
      </w:tr>
    </w:tbl>
    <w:p w14:paraId="409C6D21">
      <w:pPr>
        <w:keepNext/>
        <w:keepLines/>
        <w:ind w:firstLine="448" w:firstLineChars="200"/>
        <w:outlineLvl w:val="4"/>
        <w:rPr>
          <w:b/>
          <w:bCs/>
          <w:sz w:val="24"/>
          <w:szCs w:val="28"/>
          <w:highlight w:val="none"/>
        </w:rPr>
      </w:pPr>
      <w:r>
        <w:rPr>
          <w:rFonts w:hint="eastAsia"/>
          <w:b/>
          <w:bCs/>
          <w:sz w:val="24"/>
          <w:szCs w:val="28"/>
          <w:highlight w:val="none"/>
        </w:rPr>
        <w:t>（四）网络链路保障服务</w:t>
      </w:r>
    </w:p>
    <w:tbl>
      <w:tblPr>
        <w:tblStyle w:val="19"/>
        <w:tblW w:w="5000" w:type="pct"/>
        <w:tblInd w:w="0" w:type="dxa"/>
        <w:tblLayout w:type="autofit"/>
        <w:tblCellMar>
          <w:top w:w="0" w:type="dxa"/>
          <w:left w:w="108" w:type="dxa"/>
          <w:bottom w:w="0" w:type="dxa"/>
          <w:right w:w="108" w:type="dxa"/>
        </w:tblCellMar>
      </w:tblPr>
      <w:tblGrid>
        <w:gridCol w:w="1662"/>
        <w:gridCol w:w="1662"/>
        <w:gridCol w:w="1662"/>
        <w:gridCol w:w="1663"/>
        <w:gridCol w:w="1663"/>
      </w:tblGrid>
      <w:tr w14:paraId="723C5A59">
        <w:tblPrEx>
          <w:tblCellMar>
            <w:top w:w="0" w:type="dxa"/>
            <w:left w:w="108" w:type="dxa"/>
            <w:bottom w:w="0" w:type="dxa"/>
            <w:right w:w="108" w:type="dxa"/>
          </w:tblCellMar>
        </w:tblPrEx>
        <w:trPr>
          <w:trHeight w:val="270" w:hRule="atLeast"/>
        </w:trPr>
        <w:tc>
          <w:tcPr>
            <w:tcW w:w="1000" w:type="pct"/>
            <w:tcBorders>
              <w:top w:val="single" w:color="auto" w:sz="4" w:space="0"/>
              <w:left w:val="single" w:color="auto" w:sz="4" w:space="0"/>
              <w:bottom w:val="single" w:color="auto" w:sz="4" w:space="0"/>
              <w:right w:val="single" w:color="auto" w:sz="4" w:space="0"/>
            </w:tcBorders>
            <w:vAlign w:val="center"/>
          </w:tcPr>
          <w:p w14:paraId="4C136739">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序号</w:t>
            </w:r>
          </w:p>
        </w:tc>
        <w:tc>
          <w:tcPr>
            <w:tcW w:w="1000" w:type="pct"/>
            <w:tcBorders>
              <w:top w:val="single" w:color="auto" w:sz="4" w:space="0"/>
              <w:left w:val="nil"/>
              <w:bottom w:val="single" w:color="auto" w:sz="4" w:space="0"/>
              <w:right w:val="single" w:color="auto" w:sz="4" w:space="0"/>
            </w:tcBorders>
            <w:vAlign w:val="center"/>
          </w:tcPr>
          <w:p w14:paraId="1F6BE68D">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项目名称</w:t>
            </w:r>
          </w:p>
        </w:tc>
        <w:tc>
          <w:tcPr>
            <w:tcW w:w="1000" w:type="pct"/>
            <w:tcBorders>
              <w:top w:val="single" w:color="auto" w:sz="4" w:space="0"/>
              <w:left w:val="nil"/>
              <w:bottom w:val="single" w:color="auto" w:sz="4" w:space="0"/>
              <w:right w:val="single" w:color="auto" w:sz="4" w:space="0"/>
            </w:tcBorders>
            <w:vAlign w:val="center"/>
          </w:tcPr>
          <w:p w14:paraId="097877D5">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带宽</w:t>
            </w:r>
          </w:p>
        </w:tc>
        <w:tc>
          <w:tcPr>
            <w:tcW w:w="1000" w:type="pct"/>
            <w:tcBorders>
              <w:top w:val="single" w:color="auto" w:sz="4" w:space="0"/>
              <w:left w:val="nil"/>
              <w:bottom w:val="single" w:color="auto" w:sz="4" w:space="0"/>
              <w:right w:val="single" w:color="auto" w:sz="4" w:space="0"/>
            </w:tcBorders>
            <w:vAlign w:val="center"/>
          </w:tcPr>
          <w:p w14:paraId="6D99DA3A">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时长</w:t>
            </w:r>
          </w:p>
        </w:tc>
        <w:tc>
          <w:tcPr>
            <w:tcW w:w="1000" w:type="pct"/>
            <w:tcBorders>
              <w:top w:val="single" w:color="auto" w:sz="4" w:space="0"/>
              <w:left w:val="nil"/>
              <w:bottom w:val="single" w:color="auto" w:sz="4" w:space="0"/>
              <w:right w:val="single" w:color="auto" w:sz="4" w:space="0"/>
            </w:tcBorders>
            <w:vAlign w:val="center"/>
          </w:tcPr>
          <w:p w14:paraId="4255D796">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数量</w:t>
            </w:r>
          </w:p>
        </w:tc>
      </w:tr>
      <w:tr w14:paraId="6FEA5AE8">
        <w:tblPrEx>
          <w:tblCellMar>
            <w:top w:w="0" w:type="dxa"/>
            <w:left w:w="108" w:type="dxa"/>
            <w:bottom w:w="0" w:type="dxa"/>
            <w:right w:w="108" w:type="dxa"/>
          </w:tblCellMar>
        </w:tblPrEx>
        <w:trPr>
          <w:trHeight w:val="270" w:hRule="atLeast"/>
        </w:trPr>
        <w:tc>
          <w:tcPr>
            <w:tcW w:w="1000" w:type="pct"/>
            <w:tcBorders>
              <w:top w:val="nil"/>
              <w:left w:val="single" w:color="auto" w:sz="4" w:space="0"/>
              <w:bottom w:val="single" w:color="auto" w:sz="4" w:space="0"/>
              <w:right w:val="single" w:color="auto" w:sz="4" w:space="0"/>
            </w:tcBorders>
            <w:vAlign w:val="center"/>
          </w:tcPr>
          <w:p w14:paraId="106305C4">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c>
          <w:tcPr>
            <w:tcW w:w="1000" w:type="pct"/>
            <w:tcBorders>
              <w:top w:val="nil"/>
              <w:left w:val="nil"/>
              <w:bottom w:val="single" w:color="auto" w:sz="4" w:space="0"/>
              <w:right w:val="single" w:color="auto" w:sz="4" w:space="0"/>
            </w:tcBorders>
            <w:vAlign w:val="center"/>
          </w:tcPr>
          <w:p w14:paraId="41E0E660">
            <w:pPr>
              <w:widowControl/>
              <w:jc w:val="center"/>
              <w:rPr>
                <w:rFonts w:ascii="宋体" w:hAnsi="宋体" w:cs="宋体"/>
                <w:color w:val="000000"/>
                <w:kern w:val="0"/>
                <w:sz w:val="22"/>
                <w:highlight w:val="none"/>
              </w:rPr>
            </w:pPr>
            <w:r>
              <w:rPr>
                <w:rFonts w:ascii="宋体" w:hAnsi="宋体" w:cs="宋体"/>
                <w:color w:val="000000"/>
                <w:kern w:val="0"/>
                <w:sz w:val="22"/>
                <w:highlight w:val="none"/>
              </w:rPr>
              <w:t>百兆链路</w:t>
            </w:r>
          </w:p>
        </w:tc>
        <w:tc>
          <w:tcPr>
            <w:tcW w:w="1000" w:type="pct"/>
            <w:tcBorders>
              <w:top w:val="nil"/>
              <w:left w:val="nil"/>
              <w:bottom w:val="single" w:color="auto" w:sz="4" w:space="0"/>
              <w:right w:val="single" w:color="auto" w:sz="4" w:space="0"/>
            </w:tcBorders>
            <w:vAlign w:val="center"/>
          </w:tcPr>
          <w:p w14:paraId="6BF2D73A">
            <w:pPr>
              <w:widowControl/>
              <w:jc w:val="center"/>
              <w:rPr>
                <w:rFonts w:ascii="宋体" w:hAnsi="宋体" w:cs="宋体"/>
                <w:color w:val="000000"/>
                <w:kern w:val="0"/>
                <w:sz w:val="22"/>
                <w:highlight w:val="none"/>
              </w:rPr>
            </w:pPr>
            <w:r>
              <w:rPr>
                <w:rFonts w:ascii="宋体" w:hAnsi="宋体" w:cs="宋体"/>
                <w:color w:val="000000"/>
                <w:kern w:val="0"/>
                <w:sz w:val="22"/>
                <w:highlight w:val="none"/>
              </w:rPr>
              <w:t>100M</w:t>
            </w:r>
          </w:p>
        </w:tc>
        <w:tc>
          <w:tcPr>
            <w:tcW w:w="1000" w:type="pct"/>
            <w:tcBorders>
              <w:top w:val="nil"/>
              <w:left w:val="nil"/>
              <w:bottom w:val="single" w:color="auto" w:sz="4" w:space="0"/>
              <w:right w:val="single" w:color="auto" w:sz="4" w:space="0"/>
            </w:tcBorders>
            <w:vAlign w:val="center"/>
          </w:tcPr>
          <w:p w14:paraId="5E37AA8E">
            <w:pPr>
              <w:widowControl/>
              <w:jc w:val="center"/>
              <w:rPr>
                <w:rFonts w:ascii="宋体" w:hAnsi="宋体" w:cs="宋体"/>
                <w:color w:val="000000"/>
                <w:kern w:val="0"/>
                <w:sz w:val="22"/>
                <w:highlight w:val="none"/>
              </w:rPr>
            </w:pPr>
            <w:r>
              <w:rPr>
                <w:rFonts w:ascii="宋体" w:hAnsi="宋体" w:cs="宋体"/>
                <w:color w:val="000000"/>
                <w:kern w:val="0"/>
                <w:sz w:val="22"/>
                <w:highlight w:val="none"/>
              </w:rPr>
              <w:t>12个月</w:t>
            </w:r>
          </w:p>
        </w:tc>
        <w:tc>
          <w:tcPr>
            <w:tcW w:w="1000" w:type="pct"/>
            <w:tcBorders>
              <w:top w:val="nil"/>
              <w:left w:val="nil"/>
              <w:bottom w:val="single" w:color="auto" w:sz="4" w:space="0"/>
              <w:right w:val="single" w:color="auto" w:sz="4" w:space="0"/>
            </w:tcBorders>
            <w:noWrap/>
            <w:vAlign w:val="center"/>
          </w:tcPr>
          <w:p w14:paraId="1896E560">
            <w:pPr>
              <w:widowControl/>
              <w:jc w:val="center"/>
              <w:rPr>
                <w:rFonts w:ascii="宋体" w:hAnsi="宋体" w:cs="宋体"/>
                <w:color w:val="000000"/>
                <w:kern w:val="0"/>
                <w:sz w:val="22"/>
                <w:highlight w:val="none"/>
              </w:rPr>
            </w:pPr>
            <w:r>
              <w:rPr>
                <w:rFonts w:hint="eastAsia" w:ascii="宋体" w:hAnsi="宋体" w:cs="宋体"/>
                <w:color w:val="000000"/>
                <w:kern w:val="0"/>
                <w:sz w:val="22"/>
                <w:highlight w:val="none"/>
              </w:rPr>
              <w:t>81</w:t>
            </w:r>
          </w:p>
        </w:tc>
      </w:tr>
      <w:tr w14:paraId="403ABFAA">
        <w:tblPrEx>
          <w:tblCellMar>
            <w:top w:w="0" w:type="dxa"/>
            <w:left w:w="108" w:type="dxa"/>
            <w:bottom w:w="0" w:type="dxa"/>
            <w:right w:w="108" w:type="dxa"/>
          </w:tblCellMar>
        </w:tblPrEx>
        <w:trPr>
          <w:trHeight w:val="270" w:hRule="atLeast"/>
        </w:trPr>
        <w:tc>
          <w:tcPr>
            <w:tcW w:w="1000" w:type="pct"/>
            <w:tcBorders>
              <w:top w:val="nil"/>
              <w:left w:val="single" w:color="auto" w:sz="4" w:space="0"/>
              <w:bottom w:val="single" w:color="auto" w:sz="4" w:space="0"/>
              <w:right w:val="single" w:color="auto" w:sz="4" w:space="0"/>
            </w:tcBorders>
            <w:vAlign w:val="center"/>
          </w:tcPr>
          <w:p w14:paraId="0CAE579E">
            <w:pPr>
              <w:widowControl/>
              <w:jc w:val="center"/>
              <w:rPr>
                <w:rFonts w:ascii="宋体" w:hAnsi="宋体" w:cs="宋体"/>
                <w:color w:val="000000"/>
                <w:kern w:val="0"/>
                <w:sz w:val="22"/>
                <w:highlight w:val="none"/>
              </w:rPr>
            </w:pPr>
            <w:r>
              <w:rPr>
                <w:rFonts w:ascii="宋体" w:hAnsi="宋体" w:cs="宋体"/>
                <w:color w:val="000000"/>
                <w:kern w:val="0"/>
                <w:sz w:val="22"/>
                <w:highlight w:val="none"/>
              </w:rPr>
              <w:t>2</w:t>
            </w:r>
          </w:p>
        </w:tc>
        <w:tc>
          <w:tcPr>
            <w:tcW w:w="1000" w:type="pct"/>
            <w:tcBorders>
              <w:top w:val="nil"/>
              <w:left w:val="nil"/>
              <w:bottom w:val="single" w:color="auto" w:sz="4" w:space="0"/>
              <w:right w:val="single" w:color="auto" w:sz="4" w:space="0"/>
            </w:tcBorders>
            <w:vAlign w:val="center"/>
          </w:tcPr>
          <w:p w14:paraId="1763FA14">
            <w:pPr>
              <w:widowControl/>
              <w:jc w:val="center"/>
              <w:rPr>
                <w:rFonts w:ascii="宋体" w:hAnsi="宋体" w:cs="宋体"/>
                <w:color w:val="000000"/>
                <w:kern w:val="0"/>
                <w:sz w:val="22"/>
                <w:highlight w:val="none"/>
              </w:rPr>
            </w:pPr>
            <w:r>
              <w:rPr>
                <w:rFonts w:ascii="宋体" w:hAnsi="宋体" w:cs="宋体"/>
                <w:color w:val="000000"/>
                <w:kern w:val="0"/>
                <w:sz w:val="22"/>
                <w:highlight w:val="none"/>
              </w:rPr>
              <w:t>千兆链路</w:t>
            </w:r>
          </w:p>
        </w:tc>
        <w:tc>
          <w:tcPr>
            <w:tcW w:w="1000" w:type="pct"/>
            <w:tcBorders>
              <w:top w:val="nil"/>
              <w:left w:val="nil"/>
              <w:bottom w:val="single" w:color="auto" w:sz="4" w:space="0"/>
              <w:right w:val="single" w:color="auto" w:sz="4" w:space="0"/>
            </w:tcBorders>
            <w:vAlign w:val="center"/>
          </w:tcPr>
          <w:p w14:paraId="717D9526">
            <w:pPr>
              <w:widowControl/>
              <w:jc w:val="center"/>
              <w:rPr>
                <w:rFonts w:ascii="宋体" w:hAnsi="宋体" w:cs="宋体"/>
                <w:color w:val="000000"/>
                <w:kern w:val="0"/>
                <w:sz w:val="22"/>
                <w:highlight w:val="none"/>
              </w:rPr>
            </w:pPr>
            <w:r>
              <w:rPr>
                <w:rFonts w:ascii="宋体" w:hAnsi="宋体" w:cs="宋体"/>
                <w:color w:val="000000"/>
                <w:kern w:val="0"/>
                <w:sz w:val="22"/>
                <w:highlight w:val="none"/>
              </w:rPr>
              <w:t>1000M</w:t>
            </w:r>
          </w:p>
        </w:tc>
        <w:tc>
          <w:tcPr>
            <w:tcW w:w="1000" w:type="pct"/>
            <w:tcBorders>
              <w:top w:val="nil"/>
              <w:left w:val="nil"/>
              <w:bottom w:val="single" w:color="auto" w:sz="4" w:space="0"/>
              <w:right w:val="single" w:color="auto" w:sz="4" w:space="0"/>
            </w:tcBorders>
            <w:vAlign w:val="center"/>
          </w:tcPr>
          <w:p w14:paraId="79CFC25F">
            <w:pPr>
              <w:widowControl/>
              <w:jc w:val="center"/>
              <w:rPr>
                <w:rFonts w:ascii="宋体" w:hAnsi="宋体" w:cs="宋体"/>
                <w:color w:val="000000"/>
                <w:kern w:val="0"/>
                <w:sz w:val="22"/>
                <w:highlight w:val="none"/>
              </w:rPr>
            </w:pPr>
            <w:r>
              <w:rPr>
                <w:rFonts w:ascii="宋体" w:hAnsi="宋体" w:cs="宋体"/>
                <w:color w:val="000000"/>
                <w:kern w:val="0"/>
                <w:sz w:val="22"/>
                <w:highlight w:val="none"/>
              </w:rPr>
              <w:t>12个月</w:t>
            </w:r>
          </w:p>
        </w:tc>
        <w:tc>
          <w:tcPr>
            <w:tcW w:w="1000" w:type="pct"/>
            <w:tcBorders>
              <w:top w:val="nil"/>
              <w:left w:val="nil"/>
              <w:bottom w:val="single" w:color="auto" w:sz="4" w:space="0"/>
              <w:right w:val="single" w:color="auto" w:sz="4" w:space="0"/>
            </w:tcBorders>
            <w:noWrap/>
            <w:vAlign w:val="center"/>
          </w:tcPr>
          <w:p w14:paraId="3260A22F">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r w14:paraId="7F9F024A">
        <w:tblPrEx>
          <w:tblCellMar>
            <w:top w:w="0" w:type="dxa"/>
            <w:left w:w="108" w:type="dxa"/>
            <w:bottom w:w="0" w:type="dxa"/>
            <w:right w:w="108" w:type="dxa"/>
          </w:tblCellMar>
        </w:tblPrEx>
        <w:trPr>
          <w:trHeight w:val="270" w:hRule="atLeast"/>
        </w:trPr>
        <w:tc>
          <w:tcPr>
            <w:tcW w:w="1000" w:type="pct"/>
            <w:tcBorders>
              <w:top w:val="nil"/>
              <w:left w:val="single" w:color="auto" w:sz="4" w:space="0"/>
              <w:bottom w:val="single" w:color="auto" w:sz="4" w:space="0"/>
              <w:right w:val="single" w:color="auto" w:sz="4" w:space="0"/>
            </w:tcBorders>
            <w:noWrap/>
            <w:vAlign w:val="center"/>
          </w:tcPr>
          <w:p w14:paraId="28D7A763">
            <w:pPr>
              <w:widowControl/>
              <w:jc w:val="center"/>
              <w:rPr>
                <w:rFonts w:ascii="宋体" w:hAnsi="宋体" w:cs="宋体"/>
                <w:color w:val="000000"/>
                <w:kern w:val="0"/>
                <w:sz w:val="22"/>
                <w:highlight w:val="none"/>
              </w:rPr>
            </w:pPr>
            <w:r>
              <w:rPr>
                <w:rFonts w:ascii="宋体" w:hAnsi="宋体" w:cs="宋体"/>
                <w:color w:val="000000"/>
                <w:kern w:val="0"/>
                <w:sz w:val="22"/>
                <w:highlight w:val="none"/>
              </w:rPr>
              <w:t>3</w:t>
            </w:r>
          </w:p>
        </w:tc>
        <w:tc>
          <w:tcPr>
            <w:tcW w:w="1000" w:type="pct"/>
            <w:tcBorders>
              <w:top w:val="nil"/>
              <w:left w:val="nil"/>
              <w:bottom w:val="single" w:color="auto" w:sz="4" w:space="0"/>
              <w:right w:val="single" w:color="auto" w:sz="4" w:space="0"/>
            </w:tcBorders>
            <w:vAlign w:val="center"/>
          </w:tcPr>
          <w:p w14:paraId="743D5781">
            <w:pPr>
              <w:widowControl/>
              <w:jc w:val="center"/>
              <w:rPr>
                <w:rFonts w:ascii="宋体" w:hAnsi="宋体" w:cs="宋体"/>
                <w:color w:val="000000"/>
                <w:kern w:val="0"/>
                <w:sz w:val="22"/>
                <w:highlight w:val="none"/>
              </w:rPr>
            </w:pPr>
            <w:r>
              <w:rPr>
                <w:rFonts w:ascii="宋体" w:hAnsi="宋体" w:cs="宋体"/>
                <w:color w:val="000000"/>
                <w:kern w:val="0"/>
                <w:sz w:val="22"/>
                <w:highlight w:val="none"/>
              </w:rPr>
              <w:t>万兆链路</w:t>
            </w:r>
          </w:p>
        </w:tc>
        <w:tc>
          <w:tcPr>
            <w:tcW w:w="1000" w:type="pct"/>
            <w:tcBorders>
              <w:top w:val="nil"/>
              <w:left w:val="nil"/>
              <w:bottom w:val="single" w:color="auto" w:sz="4" w:space="0"/>
              <w:right w:val="single" w:color="auto" w:sz="4" w:space="0"/>
            </w:tcBorders>
            <w:vAlign w:val="center"/>
          </w:tcPr>
          <w:p w14:paraId="7052E832">
            <w:pPr>
              <w:widowControl/>
              <w:jc w:val="center"/>
              <w:rPr>
                <w:rFonts w:ascii="宋体" w:hAnsi="宋体" w:cs="宋体"/>
                <w:color w:val="000000"/>
                <w:kern w:val="0"/>
                <w:sz w:val="22"/>
                <w:highlight w:val="none"/>
              </w:rPr>
            </w:pPr>
            <w:r>
              <w:rPr>
                <w:rFonts w:ascii="宋体" w:hAnsi="宋体" w:cs="宋体"/>
                <w:color w:val="000000"/>
                <w:kern w:val="0"/>
                <w:sz w:val="22"/>
                <w:highlight w:val="none"/>
              </w:rPr>
              <w:t>10000M</w:t>
            </w:r>
          </w:p>
        </w:tc>
        <w:tc>
          <w:tcPr>
            <w:tcW w:w="1000" w:type="pct"/>
            <w:tcBorders>
              <w:top w:val="nil"/>
              <w:left w:val="nil"/>
              <w:bottom w:val="single" w:color="auto" w:sz="4" w:space="0"/>
              <w:right w:val="single" w:color="auto" w:sz="4" w:space="0"/>
            </w:tcBorders>
            <w:vAlign w:val="center"/>
          </w:tcPr>
          <w:p w14:paraId="37A2BB94">
            <w:pPr>
              <w:widowControl/>
              <w:jc w:val="center"/>
              <w:rPr>
                <w:rFonts w:ascii="宋体" w:hAnsi="宋体" w:cs="宋体"/>
                <w:color w:val="000000"/>
                <w:kern w:val="0"/>
                <w:sz w:val="22"/>
                <w:highlight w:val="none"/>
              </w:rPr>
            </w:pPr>
            <w:r>
              <w:rPr>
                <w:rFonts w:ascii="宋体" w:hAnsi="宋体" w:cs="宋体"/>
                <w:color w:val="000000"/>
                <w:kern w:val="0"/>
                <w:sz w:val="22"/>
                <w:highlight w:val="none"/>
              </w:rPr>
              <w:t>12个月</w:t>
            </w:r>
          </w:p>
        </w:tc>
        <w:tc>
          <w:tcPr>
            <w:tcW w:w="1000" w:type="pct"/>
            <w:tcBorders>
              <w:top w:val="nil"/>
              <w:left w:val="nil"/>
              <w:bottom w:val="single" w:color="auto" w:sz="4" w:space="0"/>
              <w:right w:val="single" w:color="auto" w:sz="4" w:space="0"/>
            </w:tcBorders>
            <w:noWrap/>
            <w:vAlign w:val="center"/>
          </w:tcPr>
          <w:p w14:paraId="7902E884">
            <w:pPr>
              <w:widowControl/>
              <w:jc w:val="center"/>
              <w:rPr>
                <w:rFonts w:ascii="宋体" w:hAnsi="宋体" w:cs="宋体"/>
                <w:color w:val="000000"/>
                <w:kern w:val="0"/>
                <w:sz w:val="22"/>
                <w:highlight w:val="none"/>
              </w:rPr>
            </w:pPr>
            <w:r>
              <w:rPr>
                <w:rFonts w:ascii="宋体" w:hAnsi="宋体" w:cs="宋体"/>
                <w:color w:val="000000"/>
                <w:kern w:val="0"/>
                <w:sz w:val="22"/>
                <w:highlight w:val="none"/>
              </w:rPr>
              <w:t>1</w:t>
            </w:r>
          </w:p>
        </w:tc>
      </w:tr>
    </w:tbl>
    <w:p w14:paraId="1227D848">
      <w:pPr>
        <w:keepNext/>
        <w:keepLines/>
        <w:ind w:firstLine="448" w:firstLineChars="200"/>
        <w:outlineLvl w:val="4"/>
        <w:rPr>
          <w:b/>
          <w:bCs/>
          <w:sz w:val="24"/>
          <w:szCs w:val="28"/>
          <w:highlight w:val="none"/>
        </w:rPr>
      </w:pPr>
      <w:r>
        <w:rPr>
          <w:rFonts w:hint="eastAsia"/>
          <w:b/>
          <w:bCs/>
          <w:sz w:val="24"/>
          <w:szCs w:val="28"/>
          <w:highlight w:val="none"/>
        </w:rPr>
        <w:t>（五）机柜租赁保障服务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9"/>
        <w:gridCol w:w="2248"/>
        <w:gridCol w:w="1629"/>
        <w:gridCol w:w="3186"/>
      </w:tblGrid>
      <w:tr w14:paraId="49B29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46" w:type="pct"/>
            <w:vAlign w:val="center"/>
          </w:tcPr>
          <w:p w14:paraId="1DA0FE53">
            <w:pPr>
              <w:widowControl/>
              <w:jc w:val="center"/>
              <w:rPr>
                <w:rFonts w:eastAsia="等线"/>
                <w:b/>
                <w:bCs/>
                <w:color w:val="000000"/>
                <w:kern w:val="0"/>
                <w:sz w:val="22"/>
                <w:highlight w:val="none"/>
              </w:rPr>
            </w:pPr>
            <w:r>
              <w:rPr>
                <w:rFonts w:ascii="宋体" w:hAnsi="宋体"/>
                <w:b/>
                <w:bCs/>
                <w:color w:val="000000"/>
                <w:kern w:val="0"/>
                <w:sz w:val="22"/>
                <w:highlight w:val="none"/>
              </w:rPr>
              <w:t>序号</w:t>
            </w:r>
          </w:p>
        </w:tc>
        <w:tc>
          <w:tcPr>
            <w:tcW w:w="1354" w:type="pct"/>
            <w:vAlign w:val="center"/>
          </w:tcPr>
          <w:p w14:paraId="44498A86">
            <w:pPr>
              <w:widowControl/>
              <w:jc w:val="center"/>
              <w:rPr>
                <w:rFonts w:eastAsia="等线"/>
                <w:b/>
                <w:bCs/>
                <w:color w:val="000000"/>
                <w:kern w:val="0"/>
                <w:sz w:val="22"/>
                <w:highlight w:val="none"/>
              </w:rPr>
            </w:pPr>
            <w:r>
              <w:rPr>
                <w:rFonts w:ascii="宋体" w:hAnsi="宋体"/>
                <w:b/>
                <w:bCs/>
                <w:color w:val="000000"/>
                <w:kern w:val="0"/>
                <w:sz w:val="22"/>
                <w:highlight w:val="none"/>
              </w:rPr>
              <w:t>项目名称</w:t>
            </w:r>
          </w:p>
        </w:tc>
        <w:tc>
          <w:tcPr>
            <w:tcW w:w="981" w:type="pct"/>
            <w:vAlign w:val="center"/>
          </w:tcPr>
          <w:p w14:paraId="5453FE63">
            <w:pPr>
              <w:widowControl/>
              <w:jc w:val="center"/>
              <w:rPr>
                <w:rFonts w:eastAsia="等线"/>
                <w:b/>
                <w:bCs/>
                <w:color w:val="000000"/>
                <w:kern w:val="0"/>
                <w:sz w:val="22"/>
                <w:highlight w:val="none"/>
              </w:rPr>
            </w:pPr>
            <w:r>
              <w:rPr>
                <w:rFonts w:ascii="宋体" w:hAnsi="宋体"/>
                <w:b/>
                <w:bCs/>
                <w:color w:val="000000"/>
                <w:kern w:val="0"/>
                <w:sz w:val="22"/>
                <w:highlight w:val="none"/>
              </w:rPr>
              <w:t>数量</w:t>
            </w:r>
          </w:p>
        </w:tc>
        <w:tc>
          <w:tcPr>
            <w:tcW w:w="1919" w:type="pct"/>
            <w:vAlign w:val="center"/>
          </w:tcPr>
          <w:p w14:paraId="3552EF49">
            <w:pPr>
              <w:widowControl/>
              <w:jc w:val="center"/>
              <w:rPr>
                <w:rFonts w:ascii="宋体" w:hAnsi="宋体" w:cs="宋体"/>
                <w:b/>
                <w:bCs/>
                <w:color w:val="000000"/>
                <w:kern w:val="0"/>
                <w:sz w:val="22"/>
                <w:highlight w:val="none"/>
              </w:rPr>
            </w:pPr>
            <w:r>
              <w:rPr>
                <w:rFonts w:ascii="宋体" w:hAnsi="宋体" w:cs="宋体"/>
                <w:b/>
                <w:bCs/>
                <w:color w:val="000000"/>
                <w:kern w:val="0"/>
                <w:sz w:val="22"/>
                <w:highlight w:val="none"/>
              </w:rPr>
              <w:t>租赁时间（月）</w:t>
            </w:r>
          </w:p>
        </w:tc>
      </w:tr>
      <w:tr w14:paraId="509D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46" w:type="pct"/>
            <w:vAlign w:val="center"/>
          </w:tcPr>
          <w:p w14:paraId="6434A520">
            <w:pPr>
              <w:widowControl/>
              <w:jc w:val="center"/>
              <w:rPr>
                <w:rFonts w:eastAsia="等线"/>
                <w:color w:val="000000"/>
                <w:kern w:val="0"/>
                <w:sz w:val="22"/>
                <w:highlight w:val="none"/>
              </w:rPr>
            </w:pPr>
            <w:r>
              <w:rPr>
                <w:rFonts w:hint="eastAsia" w:eastAsia="等线"/>
                <w:color w:val="000000"/>
                <w:kern w:val="0"/>
                <w:sz w:val="22"/>
                <w:highlight w:val="none"/>
              </w:rPr>
              <w:t>2</w:t>
            </w:r>
          </w:p>
        </w:tc>
        <w:tc>
          <w:tcPr>
            <w:tcW w:w="1354" w:type="pct"/>
            <w:vAlign w:val="center"/>
          </w:tcPr>
          <w:p w14:paraId="52AFB6FB">
            <w:pPr>
              <w:widowControl/>
              <w:jc w:val="center"/>
              <w:rPr>
                <w:rFonts w:ascii="宋体" w:hAnsi="宋体" w:cs="宋体"/>
                <w:color w:val="000000"/>
                <w:kern w:val="0"/>
                <w:sz w:val="22"/>
                <w:highlight w:val="none"/>
              </w:rPr>
            </w:pPr>
            <w:r>
              <w:rPr>
                <w:rFonts w:ascii="宋体" w:hAnsi="宋体" w:cs="宋体"/>
                <w:color w:val="000000"/>
                <w:kern w:val="0"/>
                <w:sz w:val="22"/>
                <w:highlight w:val="none"/>
              </w:rPr>
              <w:t>机柜租赁</w:t>
            </w:r>
            <w:r>
              <w:rPr>
                <w:rFonts w:hint="eastAsia" w:ascii="宋体" w:hAnsi="宋体" w:cs="宋体"/>
                <w:color w:val="000000"/>
                <w:kern w:val="0"/>
                <w:sz w:val="22"/>
                <w:highlight w:val="none"/>
              </w:rPr>
              <w:t>保障服务</w:t>
            </w:r>
          </w:p>
        </w:tc>
        <w:tc>
          <w:tcPr>
            <w:tcW w:w="981" w:type="pct"/>
            <w:vAlign w:val="center"/>
          </w:tcPr>
          <w:p w14:paraId="3A0BACC7">
            <w:pPr>
              <w:widowControl/>
              <w:jc w:val="center"/>
              <w:rPr>
                <w:rFonts w:eastAsia="等线"/>
                <w:color w:val="000000"/>
                <w:kern w:val="0"/>
                <w:sz w:val="22"/>
                <w:highlight w:val="none"/>
              </w:rPr>
            </w:pPr>
            <w:r>
              <w:rPr>
                <w:rFonts w:hint="eastAsia" w:eastAsia="等线"/>
                <w:color w:val="000000"/>
                <w:kern w:val="0"/>
                <w:sz w:val="22"/>
                <w:highlight w:val="none"/>
              </w:rPr>
              <w:t>8</w:t>
            </w:r>
          </w:p>
        </w:tc>
        <w:tc>
          <w:tcPr>
            <w:tcW w:w="1919" w:type="pct"/>
            <w:vAlign w:val="center"/>
          </w:tcPr>
          <w:p w14:paraId="6CF00FDA">
            <w:pPr>
              <w:widowControl/>
              <w:jc w:val="center"/>
              <w:rPr>
                <w:rFonts w:eastAsia="等线"/>
                <w:color w:val="000000"/>
                <w:kern w:val="0"/>
                <w:sz w:val="22"/>
                <w:highlight w:val="none"/>
              </w:rPr>
            </w:pPr>
            <w:r>
              <w:rPr>
                <w:rFonts w:hint="eastAsia" w:eastAsia="等线"/>
                <w:color w:val="000000"/>
                <w:kern w:val="0"/>
                <w:sz w:val="22"/>
                <w:highlight w:val="none"/>
              </w:rPr>
              <w:t>12</w:t>
            </w:r>
          </w:p>
        </w:tc>
      </w:tr>
    </w:tbl>
    <w:p w14:paraId="36452525">
      <w:pPr>
        <w:adjustRightInd w:val="0"/>
        <w:snapToGrid w:val="0"/>
        <w:spacing w:line="288" w:lineRule="auto"/>
        <w:ind w:firstLine="448" w:firstLineChars="200"/>
        <w:rPr>
          <w:sz w:val="24"/>
          <w:highlight w:val="none"/>
        </w:rPr>
      </w:pPr>
      <w:r>
        <w:rPr>
          <w:rFonts w:hint="eastAsia"/>
          <w:sz w:val="24"/>
          <w:highlight w:val="none"/>
        </w:rPr>
        <w:t>中标供应商确定中标后，须对本包运维范围内涉及软硬件设备及配套设施进行核查，与本运维工程量清单进行对比，将对比结果提交采购人进行确认，以采购人确认结果为本包最终运维工程量清单。</w:t>
      </w:r>
    </w:p>
    <w:p w14:paraId="15AED250">
      <w:pPr>
        <w:keepNext/>
        <w:keepLines/>
        <w:adjustRightInd w:val="0"/>
        <w:snapToGrid w:val="0"/>
        <w:spacing w:line="288" w:lineRule="auto"/>
        <w:ind w:firstLine="448" w:firstLineChars="200"/>
        <w:outlineLvl w:val="3"/>
        <w:rPr>
          <w:rFonts w:ascii="Cambria" w:hAnsi="Cambria"/>
          <w:b/>
          <w:bCs/>
          <w:sz w:val="24"/>
          <w:szCs w:val="28"/>
          <w:highlight w:val="none"/>
        </w:rPr>
      </w:pPr>
    </w:p>
    <w:p w14:paraId="6EC700AE">
      <w:pPr>
        <w:widowControl/>
        <w:jc w:val="left"/>
        <w:rPr>
          <w:sz w:val="24"/>
          <w:highlight w:val="none"/>
        </w:rPr>
      </w:pPr>
      <w:r>
        <w:rPr>
          <w:sz w:val="24"/>
          <w:highlight w:val="none"/>
        </w:rPr>
        <w:br w:type="page"/>
      </w:r>
    </w:p>
    <w:p w14:paraId="63720733">
      <w:pPr>
        <w:pStyle w:val="15"/>
        <w:rPr>
          <w:rFonts w:ascii="Times New Roman" w:hAnsi="Times New Roman"/>
          <w:highlight w:val="none"/>
        </w:rPr>
      </w:pPr>
      <w:r>
        <w:rPr>
          <w:rFonts w:ascii="Times New Roman" w:hAnsiTheme="minorEastAsia"/>
          <w:highlight w:val="none"/>
        </w:rPr>
        <w:t>第三部分投标须知</w:t>
      </w:r>
    </w:p>
    <w:p w14:paraId="288B1043">
      <w:pPr>
        <w:pStyle w:val="25"/>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A  </w:t>
      </w:r>
      <w:r>
        <w:rPr>
          <w:rFonts w:ascii="Times New Roman" w:eastAsia="宋体" w:cs="Times New Roman" w:hAnsiTheme="minorEastAsia"/>
          <w:color w:val="auto"/>
          <w:highlight w:val="none"/>
        </w:rPr>
        <w:t>说明</w:t>
      </w:r>
    </w:p>
    <w:p w14:paraId="79FBA0EB">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 </w:t>
      </w:r>
      <w:r>
        <w:rPr>
          <w:rFonts w:ascii="Times New Roman" w:eastAsia="宋体" w:cs="Times New Roman" w:hAnsiTheme="minorEastAsia"/>
          <w:color w:val="auto"/>
          <w:highlight w:val="none"/>
        </w:rPr>
        <w:t>概述</w:t>
      </w:r>
    </w:p>
    <w:p w14:paraId="45595B9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 </w:t>
      </w:r>
      <w:r>
        <w:rPr>
          <w:rFonts w:ascii="Times New Roman" w:eastAsia="宋体" w:cs="Times New Roman" w:hAnsiTheme="minorEastAsia"/>
          <w:color w:val="auto"/>
          <w:highlight w:val="none"/>
        </w:rPr>
        <w:t>根据《中华人民共和国政府采购法》、《中华人民共和国政府采购法实施条例》《中华人民共和国招标投标法》等有关法律、法规和规章的规定，本采购项目已具备招标条件。</w:t>
      </w:r>
    </w:p>
    <w:p w14:paraId="101CAD2B">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 </w:t>
      </w:r>
      <w:r>
        <w:rPr>
          <w:rFonts w:ascii="Times New Roman" w:eastAsia="宋体" w:cs="Times New Roman" w:hAnsiTheme="minorEastAsia"/>
          <w:color w:val="auto"/>
          <w:highlight w:val="none"/>
        </w:rPr>
        <w:t>本招标文件仅适用于投标邀请函中所叙述项目货物和服务的采购。</w:t>
      </w:r>
    </w:p>
    <w:p w14:paraId="372C0C4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 </w:t>
      </w:r>
      <w:r>
        <w:rPr>
          <w:rFonts w:ascii="Times New Roman" w:eastAsia="宋体" w:cs="Times New Roman" w:hAnsiTheme="minorEastAsia"/>
          <w:color w:val="auto"/>
          <w:highlight w:val="none"/>
        </w:rPr>
        <w:t>参与招标投标活动的所有各方，对在参与招标投标过程中获悉的国家、商业和技术秘密以及其它依法应当保密的内容，均负有保密义务，违者应对由此造成的后果承担全部法律责任。</w:t>
      </w:r>
    </w:p>
    <w:p w14:paraId="2FDF1E5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 </w:t>
      </w:r>
      <w:r>
        <w:rPr>
          <w:rFonts w:ascii="Times New Roman" w:eastAsia="宋体" w:cs="Times New Roman" w:hAnsiTheme="minorEastAsia"/>
          <w:color w:val="auto"/>
          <w:highlight w:val="none"/>
        </w:rPr>
        <w:t>定义</w:t>
      </w:r>
    </w:p>
    <w:p w14:paraId="1D9AB0D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 “</w:t>
      </w:r>
      <w:r>
        <w:rPr>
          <w:rFonts w:ascii="Times New Roman" w:eastAsia="宋体" w:cs="Times New Roman" w:hAnsiTheme="minorEastAsia"/>
          <w:color w:val="auto"/>
          <w:highlight w:val="none"/>
        </w:rPr>
        <w:t>采购人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和</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招标人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系指本次招标活动的采购单位。</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采购代理机构</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系指组织本次招标活动的机构，即</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天津市滨海新区政府采购中心</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p>
    <w:p w14:paraId="527EF069">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2.2 “</w:t>
      </w:r>
      <w:r>
        <w:rPr>
          <w:rFonts w:ascii="Times New Roman" w:eastAsia="宋体" w:cs="Times New Roman" w:hAnsiTheme="minorEastAsia"/>
          <w:color w:val="auto"/>
          <w:highlight w:val="none"/>
        </w:rPr>
        <w:t>投标人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系指</w:t>
      </w:r>
      <w:r>
        <w:rPr>
          <w:rFonts w:hint="eastAsia" w:ascii="Times New Roman" w:eastAsia="宋体" w:cs="Times New Roman" w:hAnsiTheme="minorEastAsia"/>
          <w:color w:val="auto"/>
          <w:highlight w:val="none"/>
        </w:rPr>
        <w:t>响应招标、参加投标竞争的法人、其他组织或者自然人。</w:t>
      </w:r>
    </w:p>
    <w:p w14:paraId="6AD9D0D9">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2.3 “</w:t>
      </w:r>
      <w:r>
        <w:rPr>
          <w:rFonts w:ascii="Times New Roman" w:eastAsia="宋体" w:cs="Times New Roman" w:hAnsiTheme="minorEastAsia"/>
          <w:color w:val="auto"/>
          <w:highlight w:val="none"/>
        </w:rPr>
        <w:t>服务</w:t>
      </w:r>
      <w:r>
        <w:rPr>
          <w:rFonts w:ascii="Times New Roman" w:hAnsi="Times New Roman" w:eastAsia="宋体" w:cs="Times New Roman"/>
          <w:color w:val="auto"/>
          <w:highlight w:val="none"/>
        </w:rPr>
        <w:t>”</w:t>
      </w:r>
      <w:r>
        <w:rPr>
          <w:rFonts w:ascii="Times New Roman" w:eastAsia="宋体" w:cs="Times New Roman" w:hAnsiTheme="minorEastAsia"/>
          <w:color w:val="auto"/>
          <w:szCs w:val="21"/>
          <w:highlight w:val="none"/>
        </w:rPr>
        <w:t>系指招标文件规定的投标人为完成采购项目所需承担的全部义务。</w:t>
      </w:r>
    </w:p>
    <w:p w14:paraId="412DF37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 </w:t>
      </w:r>
      <w:r>
        <w:rPr>
          <w:rFonts w:ascii="Times New Roman" w:eastAsia="宋体" w:cs="Times New Roman" w:hAnsiTheme="minorEastAsia"/>
          <w:color w:val="auto"/>
          <w:highlight w:val="none"/>
        </w:rPr>
        <w:t>解释权</w:t>
      </w:r>
    </w:p>
    <w:p w14:paraId="1AE205F5">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 </w:t>
      </w:r>
      <w:r>
        <w:rPr>
          <w:rFonts w:ascii="Times New Roman" w:eastAsia="宋体" w:cs="Times New Roman" w:hAnsiTheme="minorEastAsia"/>
          <w:color w:val="auto"/>
          <w:highlight w:val="none"/>
        </w:rPr>
        <w:t>本次招投标的最终解释权归为采购人、采购代理机构。</w:t>
      </w:r>
    </w:p>
    <w:p w14:paraId="6C0B46CB">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 </w:t>
      </w:r>
      <w:r>
        <w:rPr>
          <w:rFonts w:ascii="Times New Roman" w:eastAsia="宋体" w:cs="Times New Roman" w:hAnsiTheme="minorEastAsia"/>
          <w:color w:val="auto"/>
          <w:highlight w:val="none"/>
        </w:rPr>
        <w:t>本文件未作须知明示，而又有相关法律、法规规定的，采购人、采购代理机构将对此解释为依据有关法律、法规的规定。</w:t>
      </w:r>
    </w:p>
    <w:p w14:paraId="07A7BBD5">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 </w:t>
      </w:r>
      <w:r>
        <w:rPr>
          <w:rFonts w:ascii="Times New Roman" w:eastAsia="宋体" w:cs="Times New Roman" w:hAnsiTheme="minorEastAsia"/>
          <w:color w:val="auto"/>
          <w:highlight w:val="none"/>
        </w:rPr>
        <w:t>合格的投标人</w:t>
      </w:r>
    </w:p>
    <w:p w14:paraId="48DD850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4.1 </w:t>
      </w:r>
      <w:r>
        <w:rPr>
          <w:rFonts w:ascii="Times New Roman" w:eastAsia="宋体" w:cs="Times New Roman" w:hAnsiTheme="minorEastAsia"/>
          <w:color w:val="auto"/>
          <w:highlight w:val="none"/>
        </w:rPr>
        <w:t>符合《中华人民共和国政府采购法》第二十二条供应商参加政府采购活动应当具备的条件及其他有关法律、法规关于供应商的有关规定，有能力提供招标采购服务的供应商。</w:t>
      </w:r>
    </w:p>
    <w:p w14:paraId="7544AB7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4.2 </w:t>
      </w:r>
      <w:r>
        <w:rPr>
          <w:rFonts w:ascii="Times New Roman" w:eastAsia="宋体" w:cs="Times New Roman" w:hAnsiTheme="minorEastAsia"/>
          <w:color w:val="auto"/>
          <w:highlight w:val="none"/>
        </w:rPr>
        <w:t>符合《投标邀请函》中关于供应商资格要求（实质性要求）的规定。</w:t>
      </w:r>
    </w:p>
    <w:p w14:paraId="6673CDB9">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4.3 </w:t>
      </w:r>
      <w:r>
        <w:rPr>
          <w:rFonts w:ascii="Times New Roman" w:eastAsia="宋体" w:cs="Times New Roman" w:hAnsiTheme="minorEastAsia"/>
          <w:color w:val="auto"/>
          <w:highlight w:val="none"/>
        </w:rPr>
        <w:t>关于联合体投标</w:t>
      </w:r>
    </w:p>
    <w:p w14:paraId="03A82108">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若</w:t>
      </w:r>
      <w:r>
        <w:rPr>
          <w:rFonts w:ascii="Times New Roman" w:eastAsia="宋体" w:cs="Times New Roman" w:hAnsiTheme="minorEastAsia"/>
          <w:color w:val="auto"/>
          <w:highlight w:val="none"/>
        </w:rPr>
        <w:t>《投标邀请函》接受联合体投标的：</w:t>
      </w:r>
    </w:p>
    <w:p w14:paraId="6407D5D1">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）两个以上的自然人、法人或者其他组织可以组成一个联合体，以一个供应商的身份共同参加政府采购。</w:t>
      </w:r>
    </w:p>
    <w:p w14:paraId="1BA2AFAF">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eastAsia="宋体" w:cs="Times New Roman" w:hAnsiTheme="minorEastAsia"/>
          <w:color w:val="auto"/>
          <w:highlight w:val="none"/>
        </w:rPr>
        <w:t>要求</w:t>
      </w:r>
      <w:r>
        <w:rPr>
          <w:rFonts w:ascii="Times New Roman" w:eastAsia="宋体" w:cs="Times New Roman" w:hAnsiTheme="minorEastAsia"/>
          <w:color w:val="auto"/>
          <w:highlight w:val="none"/>
        </w:rPr>
        <w:t>）。</w:t>
      </w:r>
    </w:p>
    <w:p w14:paraId="4B3A909C">
      <w:pPr>
        <w:pStyle w:val="25"/>
        <w:spacing w:line="360" w:lineRule="auto"/>
        <w:ind w:firstLine="448" w:firstLineChars="200"/>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）联合体各方之间应当签订共同投标协议并在投标文件内提交，明确约定联合体主体及联合体各方承担的工作和相应的责任。</w:t>
      </w:r>
      <w:r>
        <w:rPr>
          <w:rFonts w:hint="eastAsia" w:ascii="Times New Roman" w:eastAsia="宋体" w:cs="Times New Roman" w:hAnsiTheme="minorEastAsia"/>
          <w:color w:val="auto"/>
          <w:highlight w:val="none"/>
        </w:rPr>
        <w:t>联合体各方签订共同投标协议后，</w:t>
      </w:r>
      <w:r>
        <w:rPr>
          <w:rFonts w:ascii="Times New Roman" w:eastAsia="宋体" w:cs="Times New Roman" w:hAnsiTheme="minorEastAsia"/>
          <w:color w:val="auto"/>
          <w:highlight w:val="none"/>
        </w:rPr>
        <w:t>不得再以自己名义单独在</w:t>
      </w:r>
      <w:r>
        <w:rPr>
          <w:rFonts w:hint="eastAsia" w:ascii="Times New Roman" w:eastAsia="宋体" w:cs="Times New Roman" w:hAnsiTheme="minorEastAsia"/>
          <w:color w:val="auto"/>
          <w:highlight w:val="none"/>
        </w:rPr>
        <w:t>同一合同项下</w:t>
      </w:r>
      <w:r>
        <w:rPr>
          <w:rFonts w:ascii="Times New Roman" w:eastAsia="宋体" w:cs="Times New Roman" w:hAnsiTheme="minorEastAsia"/>
          <w:color w:val="auto"/>
          <w:highlight w:val="none"/>
        </w:rPr>
        <w:t>投标，也不得组成新的联合体参加同一</w:t>
      </w:r>
      <w:r>
        <w:rPr>
          <w:rFonts w:hint="eastAsia" w:ascii="Times New Roman" w:eastAsia="宋体" w:cs="Times New Roman" w:hAnsiTheme="minorEastAsia"/>
          <w:color w:val="auto"/>
          <w:highlight w:val="none"/>
        </w:rPr>
        <w:t>合同</w:t>
      </w:r>
      <w:r>
        <w:rPr>
          <w:rFonts w:ascii="Times New Roman" w:eastAsia="宋体" w:cs="Times New Roman" w:hAnsiTheme="minorEastAsia"/>
          <w:color w:val="auto"/>
          <w:highlight w:val="none"/>
        </w:rPr>
        <w:t>项下的投标。</w:t>
      </w:r>
    </w:p>
    <w:p w14:paraId="20CA87D1">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4</w:t>
      </w:r>
      <w:r>
        <w:rPr>
          <w:rFonts w:ascii="Times New Roman" w:eastAsia="宋体" w:cs="Times New Roman" w:hAnsiTheme="minorEastAsia"/>
          <w:color w:val="auto"/>
          <w:highlight w:val="none"/>
        </w:rPr>
        <w:t>）</w:t>
      </w:r>
      <w:r>
        <w:rPr>
          <w:rFonts w:hint="eastAsia" w:ascii="Times New Roman" w:eastAsia="宋体" w:hAnsiTheme="minorEastAsia"/>
          <w:color w:val="auto"/>
          <w:highlight w:val="none"/>
        </w:rPr>
        <w:t>下载招标文件</w:t>
      </w:r>
      <w:r>
        <w:rPr>
          <w:rFonts w:ascii="Times New Roman" w:eastAsia="宋体" w:hAnsiTheme="minorEastAsia"/>
          <w:color w:val="auto"/>
          <w:highlight w:val="none"/>
        </w:rPr>
        <w:t>时，应以联合体协议中确定的主体方名义</w:t>
      </w:r>
      <w:r>
        <w:rPr>
          <w:rFonts w:hint="eastAsia" w:ascii="Times New Roman" w:eastAsia="宋体" w:hAnsiTheme="minorEastAsia"/>
          <w:color w:val="auto"/>
          <w:highlight w:val="none"/>
        </w:rPr>
        <w:t>下载</w:t>
      </w:r>
      <w:r>
        <w:rPr>
          <w:rFonts w:ascii="Times New Roman" w:eastAsia="宋体" w:hAnsiTheme="minorEastAsia"/>
          <w:color w:val="auto"/>
          <w:highlight w:val="none"/>
        </w:rPr>
        <w:t>。</w:t>
      </w:r>
    </w:p>
    <w:p w14:paraId="14C919EC">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5</w:t>
      </w:r>
      <w:r>
        <w:rPr>
          <w:rFonts w:ascii="Times New Roman" w:eastAsia="宋体" w:cs="Times New Roman" w:hAnsiTheme="minorEastAsia"/>
          <w:color w:val="auto"/>
          <w:highlight w:val="none"/>
        </w:rPr>
        <w:t>）联合体投标的，应以主体方名义提交投标保证金（如有），对联合体各方均具有约束力。</w:t>
      </w:r>
    </w:p>
    <w:p w14:paraId="01F420AB">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w:t>
      </w:r>
      <w:r>
        <w:rPr>
          <w:rFonts w:ascii="Times New Roman" w:eastAsia="宋体" w:cs="Times New Roman" w:hAnsiTheme="minorEastAsia"/>
          <w:color w:val="auto"/>
          <w:highlight w:val="none"/>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0D9600DD">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（7）联合体中任意一方为中小企业的，该方应提供《中小企业声明函》。</w:t>
      </w:r>
    </w:p>
    <w:p w14:paraId="4EABCF5D">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8</w:t>
      </w:r>
      <w:r>
        <w:rPr>
          <w:rFonts w:ascii="Times New Roman" w:eastAsia="宋体" w:cs="Times New Roman" w:hAnsiTheme="minorEastAsia"/>
          <w:color w:val="auto"/>
          <w:highlight w:val="none"/>
        </w:rPr>
        <w:t>）联合体各方应当共同与采购人签订采购合同，就采购合同约定的事项对采购人承担连带责任。</w:t>
      </w:r>
    </w:p>
    <w:p w14:paraId="303F12A8">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4.4 </w:t>
      </w:r>
      <w:r>
        <w:rPr>
          <w:rFonts w:ascii="Times New Roman" w:eastAsia="宋体" w:cs="Times New Roman" w:hAnsiTheme="minorEastAsia"/>
          <w:color w:val="auto"/>
          <w:highlight w:val="none"/>
        </w:rPr>
        <w:t>关于关联企业</w:t>
      </w:r>
    </w:p>
    <w:p w14:paraId="7EBB71C6">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除联合体外，法定代表人或单位负责人为同一个人或者存在直接控股、管理关系的不同供应商，不得同时参加同一项目或同一子项目的投标。如同时参加，则评审时将同时被拒绝。</w:t>
      </w:r>
    </w:p>
    <w:p w14:paraId="7808A25A">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4.5 </w:t>
      </w:r>
      <w:r>
        <w:rPr>
          <w:rFonts w:ascii="Times New Roman" w:eastAsia="宋体" w:cs="Times New Roman" w:hAnsiTheme="minorEastAsia"/>
          <w:color w:val="auto"/>
          <w:highlight w:val="none"/>
        </w:rPr>
        <w:t>关于中小微企业投标</w:t>
      </w:r>
    </w:p>
    <w:p w14:paraId="7E494669">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中小微企业是指符合《政府采购促进中小企业发展管理办法》（财库</w:t>
      </w:r>
      <w:r>
        <w:rPr>
          <w:rFonts w:ascii="Times New Roman" w:hAnsi="Times New Roman" w:eastAsia="宋体" w:cs="Times New Roman"/>
          <w:color w:val="auto"/>
          <w:highlight w:val="none"/>
        </w:rPr>
        <w:t>[2020]46</w:t>
      </w:r>
      <w:r>
        <w:rPr>
          <w:rFonts w:hint="eastAsia" w:ascii="Times New Roman" w:hAnsi="Times New Roman" w:eastAsia="宋体" w:cs="Times New Roman"/>
          <w:color w:val="auto"/>
          <w:highlight w:val="none"/>
        </w:rPr>
        <w:t>号）规定的供应商。中小微企业参与投标应提供《中小企业声明函》。</w:t>
      </w:r>
    </w:p>
    <w:p w14:paraId="5C1F23C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根据财库〔</w:t>
      </w:r>
      <w:r>
        <w:rPr>
          <w:rFonts w:ascii="Times New Roman" w:hAnsi="Times New Roman" w:eastAsia="宋体" w:cs="Times New Roman"/>
          <w:color w:val="auto"/>
          <w:highlight w:val="none"/>
        </w:rPr>
        <w:t>2014</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68</w:t>
      </w:r>
      <w:r>
        <w:rPr>
          <w:rFonts w:ascii="Times New Roman" w:eastAsia="宋体" w:cs="Times New Roman" w:hAnsiTheme="minorEastAsia"/>
          <w:color w:val="auto"/>
          <w:highlight w:val="none"/>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设区的市</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31AB757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szCs w:val="21"/>
          <w:highlight w:val="none"/>
        </w:rPr>
        <w:t>根据《财政部民政部中国残疾人联合会关于促进残疾人就业政府采购政策的通知》（财库〔</w:t>
      </w:r>
      <w:r>
        <w:rPr>
          <w:rFonts w:ascii="Times New Roman" w:hAnsi="Times New Roman" w:eastAsia="宋体" w:cs="Times New Roman"/>
          <w:color w:val="auto"/>
          <w:szCs w:val="21"/>
          <w:highlight w:val="none"/>
        </w:rPr>
        <w:t>2017</w:t>
      </w:r>
      <w:r>
        <w:rPr>
          <w:rFonts w:ascii="Times New Roman" w:eastAsia="宋体" w:cs="Times New Roman" w:hAnsiTheme="minorEastAsia"/>
          <w:color w:val="auto"/>
          <w:szCs w:val="21"/>
          <w:highlight w:val="none"/>
        </w:rPr>
        <w:t>〕</w:t>
      </w:r>
      <w:r>
        <w:rPr>
          <w:rFonts w:ascii="Times New Roman" w:hAnsi="Times New Roman" w:eastAsia="宋体" w:cs="Times New Roman"/>
          <w:color w:val="auto"/>
          <w:szCs w:val="21"/>
          <w:highlight w:val="none"/>
        </w:rPr>
        <w:t>141</w:t>
      </w:r>
      <w:r>
        <w:rPr>
          <w:rFonts w:ascii="Times New Roman" w:eastAsia="宋体" w:cs="Times New Roman" w:hAnsiTheme="minorEastAsia"/>
          <w:color w:val="auto"/>
          <w:szCs w:val="21"/>
          <w:highlight w:val="none"/>
        </w:rPr>
        <w:t>号）的规定，残疾人福利性单位视同为小型、微型企业。</w:t>
      </w:r>
    </w:p>
    <w:p w14:paraId="19C5FB3F">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4.6</w:t>
      </w:r>
      <w:r>
        <w:rPr>
          <w:rFonts w:hint="eastAsia" w:ascii="Times New Roman" w:eastAsia="宋体" w:cs="Times New Roman" w:hAnsiTheme="minorEastAsia"/>
          <w:color w:val="auto"/>
          <w:highlight w:val="none"/>
        </w:rPr>
        <w:t>关于分公司投标</w:t>
      </w:r>
    </w:p>
    <w:p w14:paraId="5B446F62">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6B71F816">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4.7</w:t>
      </w:r>
      <w:r>
        <w:rPr>
          <w:rFonts w:hint="eastAsia" w:ascii="Times New Roman" w:eastAsia="宋体" w:cs="Times New Roman" w:hAnsiTheme="minorEastAsia"/>
          <w:color w:val="auto"/>
          <w:highlight w:val="none"/>
        </w:rPr>
        <w:t>关于提供前期服务的供应商</w:t>
      </w:r>
    </w:p>
    <w:p w14:paraId="0E475D01">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为采购项目提供整体设计、规范编制或者项目管理、监理、检测等服务的供应商，不得再参加该采购项目的其他采购活动。</w:t>
      </w:r>
    </w:p>
    <w:p w14:paraId="62C7B05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5. </w:t>
      </w:r>
      <w:r>
        <w:rPr>
          <w:rFonts w:ascii="Times New Roman" w:eastAsia="宋体" w:cs="Times New Roman" w:hAnsiTheme="minorEastAsia"/>
          <w:color w:val="auto"/>
          <w:highlight w:val="none"/>
        </w:rPr>
        <w:t>合格的服务</w:t>
      </w:r>
    </w:p>
    <w:p w14:paraId="21C44C8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5.1 </w:t>
      </w:r>
      <w:r>
        <w:rPr>
          <w:rFonts w:ascii="Times New Roman" w:eastAsia="宋体" w:cs="Times New Roman" w:hAnsiTheme="minorEastAsia"/>
          <w:color w:val="auto"/>
          <w:highlight w:val="none"/>
        </w:rPr>
        <w:t>投标人所提供的服务应当没有侵犯任何第三方的知识产权、技术秘密等合法权利。</w:t>
      </w:r>
    </w:p>
    <w:p w14:paraId="02B79701">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5.2 </w:t>
      </w:r>
      <w:r>
        <w:rPr>
          <w:rFonts w:ascii="Times New Roman" w:eastAsia="宋体" w:cs="Times New Roman" w:hAnsiTheme="minorEastAsia"/>
          <w:color w:val="auto"/>
          <w:highlight w:val="none"/>
        </w:rPr>
        <w:t>投标人提供的服务应当符合招标文件的要求，并且其质量完全符合国家标准、行业标准或地方标准。</w:t>
      </w:r>
    </w:p>
    <w:p w14:paraId="5828C64C">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5.3</w:t>
      </w:r>
      <w:r>
        <w:rPr>
          <w:rFonts w:hint="eastAsia" w:ascii="Times New Roman" w:eastAsia="宋体" w:cs="Times New Roman" w:hAnsiTheme="minorEastAsia"/>
          <w:color w:val="auto"/>
          <w:highlight w:val="none"/>
        </w:rPr>
        <w:t>系统软件、通用软件必须是具有在中国境内的合法使用权或版权的正版软件，涉及到第三方提出侵权或知识产权的起诉及支付版税等费用由投标人承担所有责任及费用。</w:t>
      </w:r>
    </w:p>
    <w:p w14:paraId="2F4C2FA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6. </w:t>
      </w:r>
      <w:r>
        <w:rPr>
          <w:rFonts w:ascii="Times New Roman" w:eastAsia="宋体" w:cs="Times New Roman" w:hAnsiTheme="minorEastAsia"/>
          <w:color w:val="auto"/>
          <w:highlight w:val="none"/>
        </w:rPr>
        <w:t>投标费用</w:t>
      </w:r>
    </w:p>
    <w:p w14:paraId="18CCBC3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6.1 </w:t>
      </w:r>
      <w:r>
        <w:rPr>
          <w:rFonts w:ascii="Times New Roman" w:eastAsia="宋体" w:cs="Times New Roman" w:hAnsiTheme="minorEastAsia"/>
          <w:color w:val="auto"/>
          <w:highlight w:val="none"/>
        </w:rPr>
        <w:t>本项目不收取招标代理服务费。</w:t>
      </w:r>
    </w:p>
    <w:p w14:paraId="015D335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6.2 </w:t>
      </w:r>
      <w:r>
        <w:rPr>
          <w:rFonts w:ascii="Times New Roman" w:eastAsia="宋体" w:cs="Times New Roman" w:hAnsiTheme="minorEastAsia"/>
          <w:color w:val="auto"/>
          <w:highlight w:val="none"/>
        </w:rPr>
        <w:t>无论投标过程中的做法和结果如何，投标人自行承担所有与参加投标有关的费用。</w:t>
      </w:r>
    </w:p>
    <w:p w14:paraId="6F8774A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7. </w:t>
      </w:r>
      <w:r>
        <w:rPr>
          <w:rFonts w:ascii="Times New Roman" w:eastAsia="宋体" w:cs="Times New Roman" w:hAnsiTheme="minorEastAsia"/>
          <w:color w:val="auto"/>
          <w:highlight w:val="none"/>
        </w:rPr>
        <w:t>信息发布</w:t>
      </w:r>
    </w:p>
    <w:p w14:paraId="3A92578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本项目需要公开的有关信息，包括招标公告、更正公告、中标公告、终止公告等与招标活动有关的通知，采购人、采购代理机构均将通过</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天津政府采购网（</w:t>
      </w:r>
      <w:r>
        <w:rPr>
          <w:highlight w:val="none"/>
        </w:rPr>
        <w:fldChar w:fldCharType="begin"/>
      </w:r>
      <w:r>
        <w:rPr>
          <w:highlight w:val="none"/>
        </w:rPr>
        <w:instrText xml:space="preserve"> HYPERLINK "http://tjgp.cz.tj.gov.cn" </w:instrText>
      </w:r>
      <w:r>
        <w:rPr>
          <w:highlight w:val="none"/>
        </w:rPr>
        <w:fldChar w:fldCharType="separate"/>
      </w:r>
      <w:r>
        <w:rPr>
          <w:rStyle w:val="23"/>
          <w:rFonts w:ascii="Times New Roman" w:hAnsi="Times New Roman" w:eastAsia="宋体" w:cs="Times New Roman"/>
          <w:highlight w:val="none"/>
        </w:rPr>
        <w:t>http://tjgp.cz.tj.gov.cn</w:t>
      </w:r>
      <w:r>
        <w:rPr>
          <w:rStyle w:val="23"/>
          <w:rFonts w:ascii="Times New Roman" w:hAnsi="Times New Roman" w:eastAsia="宋体" w:cs="Times New Roman"/>
          <w:highlight w:val="none"/>
        </w:rPr>
        <w:fldChar w:fldCharType="end"/>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和</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天津政府采购中心网（</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highlight w:val="none"/>
        </w:rPr>
        <w:t>http://tjgpc.cz.tj.gov.cn</w:t>
      </w:r>
      <w:r>
        <w:rPr>
          <w:rStyle w:val="23"/>
          <w:rFonts w:ascii="Times New Roman" w:hAnsi="Times New Roman" w:eastAsia="宋体"/>
          <w:highlight w:val="none"/>
        </w:rPr>
        <w:fldChar w:fldCharType="end"/>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公开发布。投标人在参与本采购项目招投标活动期间，请及时关注上述媒体和天津市政府采购中心招投标系统</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查看项目文件</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的相关信息。因没有及时关注而未能如期获取相关信息，投标人自行承担由此可能产生的风险。</w:t>
      </w:r>
    </w:p>
    <w:p w14:paraId="1B33970E">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 </w:t>
      </w:r>
      <w:r>
        <w:rPr>
          <w:rFonts w:hint="eastAsia" w:ascii="Times New Roman" w:eastAsia="宋体" w:cs="Times New Roman" w:hAnsiTheme="minorEastAsia"/>
          <w:color w:val="auto"/>
          <w:highlight w:val="none"/>
        </w:rPr>
        <w:t>询问与质疑</w:t>
      </w:r>
    </w:p>
    <w:p w14:paraId="2536A77D">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滨海新区政府采购中心提出。</w:t>
      </w:r>
    </w:p>
    <w:p w14:paraId="3CC4311D">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8.2 </w:t>
      </w:r>
      <w:r>
        <w:rPr>
          <w:rFonts w:hint="eastAsia" w:ascii="Times New Roman" w:eastAsia="宋体" w:cs="Times New Roman" w:hAnsiTheme="minorEastAsia"/>
          <w:color w:val="auto"/>
          <w:highlight w:val="none"/>
        </w:rPr>
        <w:t>询问</w:t>
      </w:r>
    </w:p>
    <w:p w14:paraId="4D9D030C">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w:t>
      </w:r>
      <w:r>
        <w:rPr>
          <w:rFonts w:hint="eastAsia" w:ascii="Times New Roman" w:eastAsia="宋体" w:cs="Times New Roman" w:hAnsiTheme="minorEastAsia"/>
          <w:color w:val="auto"/>
          <w:highlight w:val="none"/>
        </w:rPr>
        <w:t>）询问可以采取电话、当面或书面等形式。</w:t>
      </w:r>
    </w:p>
    <w:p w14:paraId="1B8AB136">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hint="eastAsia" w:ascii="Times New Roman" w:eastAsia="宋体" w:cs="Times New Roman" w:hAnsiTheme="minorEastAsia"/>
          <w:color w:val="auto"/>
          <w:highlight w:val="none"/>
        </w:rPr>
        <w:t>）采购人应当自收到供应商询问之日起</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个工作日内作出答复，但答复的内容不得涉及商业秘密或者依法应当保密的内容。</w:t>
      </w:r>
    </w:p>
    <w:p w14:paraId="32BD33E4">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8.3 </w:t>
      </w:r>
      <w:r>
        <w:rPr>
          <w:rFonts w:hint="eastAsia" w:ascii="Times New Roman" w:eastAsia="宋体" w:cs="Times New Roman" w:hAnsiTheme="minorEastAsia"/>
          <w:color w:val="auto"/>
          <w:highlight w:val="none"/>
        </w:rPr>
        <w:t>质疑</w:t>
      </w:r>
    </w:p>
    <w:p w14:paraId="1F7C926A">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w:t>
      </w:r>
      <w:r>
        <w:rPr>
          <w:rFonts w:hint="eastAsia" w:ascii="Times New Roman" w:eastAsia="宋体" w:cs="Times New Roman" w:hAnsiTheme="minorEastAsia"/>
          <w:color w:val="auto"/>
          <w:highlight w:val="none"/>
        </w:rPr>
        <w:t>）提出质疑的供应商应当是参与所质疑项目采购活动的供应商。</w:t>
      </w:r>
    </w:p>
    <w:p w14:paraId="0909A528">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供应商认为采购文件、采购过程和采购结果使自己的权益受到损害的，可以在知道或者应知其权益受到损害之日起七个工作日内，以书面原件形式针对同一采购程序环节一次性向采购人提出质疑，否则不予受理。</w:t>
      </w:r>
    </w:p>
    <w:p w14:paraId="5211AF4B">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针对采购结果的质疑，供应商可通过天津市政府采购中心招投标系统“质疑”模块在线提出。</w:t>
      </w:r>
    </w:p>
    <w:p w14:paraId="0B7EC031">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（3）质疑函应当符合《政府采购质疑和投诉办法》（财政部令第94号）第十二条的规定，并按照统一格式提出（具体格式可参照天津市政府采购网（</w:t>
      </w:r>
      <w:r>
        <w:rPr>
          <w:highlight w:val="none"/>
        </w:rPr>
        <w:fldChar w:fldCharType="begin"/>
      </w:r>
      <w:r>
        <w:rPr>
          <w:highlight w:val="none"/>
        </w:rPr>
        <w:instrText xml:space="preserve"> HYPERLINK "http://tjgp.cz.tj.gov.cn" </w:instrText>
      </w:r>
      <w:r>
        <w:rPr>
          <w:highlight w:val="none"/>
        </w:rPr>
        <w:fldChar w:fldCharType="separate"/>
      </w:r>
      <w:r>
        <w:rPr>
          <w:rStyle w:val="23"/>
          <w:rFonts w:hint="eastAsia" w:ascii="Times New Roman" w:hAnsi="Times New Roman" w:eastAsia="宋体" w:cs="Times New Roman"/>
          <w:highlight w:val="none"/>
        </w:rPr>
        <w:t>http://tjgp.cz.tj.gov.cn</w:t>
      </w:r>
      <w:r>
        <w:rPr>
          <w:rStyle w:val="23"/>
          <w:rFonts w:hint="eastAsia"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下载专区”中的“质疑函格式文本”）。质疑函应当明确阐述采购文件、采购过程、采购结果使自己的合法权益受到损害的法律依据、事实依据、相关证明材料及证据来源，以便于有关单位调查、答复和处理。</w:t>
      </w:r>
    </w:p>
    <w:p w14:paraId="189FD984">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hint="eastAsia" w:ascii="Times New Roman" w:eastAsia="宋体" w:cs="Times New Roman" w:hAnsiTheme="minorEastAsia"/>
          <w:color w:val="auto"/>
          <w:highlight w:val="none"/>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作出解释说明。对捏造事实、滥用维权扰乱采购秩序的恶意质疑者，将上报天津市滨海新区财政局政府采购办公室依法处理。</w:t>
      </w:r>
    </w:p>
    <w:p w14:paraId="47685BE5">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8.4 </w:t>
      </w:r>
      <w:r>
        <w:rPr>
          <w:rFonts w:hint="eastAsia" w:ascii="Times New Roman" w:eastAsia="宋体" w:cs="Times New Roman" w:hAnsiTheme="minorEastAsia"/>
          <w:color w:val="auto"/>
          <w:highlight w:val="none"/>
        </w:rPr>
        <w:t>针对询问或质疑的答复内容需要修改采购文件的，其修改内容应当以天津市政府采购网发布的更正公告为准。</w:t>
      </w:r>
    </w:p>
    <w:p w14:paraId="099A29D9">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9. </w:t>
      </w:r>
      <w:r>
        <w:rPr>
          <w:rFonts w:ascii="Times New Roman" w:eastAsia="宋体" w:cs="Times New Roman" w:hAnsiTheme="minorEastAsia"/>
          <w:color w:val="auto"/>
          <w:highlight w:val="none"/>
        </w:rPr>
        <w:t>其他</w:t>
      </w:r>
    </w:p>
    <w:p w14:paraId="7A44328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本《投标须知》的条款如与《投标邀请函》、《招标项目需求》就同一内容的表述不一致的，以《投标邀请函》、《招标项目需求》中规定的内容为准。</w:t>
      </w:r>
    </w:p>
    <w:p w14:paraId="2552ACC6">
      <w:pPr>
        <w:pStyle w:val="25"/>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B  </w:t>
      </w:r>
      <w:r>
        <w:rPr>
          <w:rFonts w:ascii="Times New Roman" w:eastAsia="宋体" w:cs="Times New Roman" w:hAnsiTheme="minorEastAsia"/>
          <w:color w:val="auto"/>
          <w:highlight w:val="none"/>
        </w:rPr>
        <w:t>招标文件说明</w:t>
      </w:r>
    </w:p>
    <w:p w14:paraId="6FBAF20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10. </w:t>
      </w:r>
      <w:r>
        <w:rPr>
          <w:rFonts w:ascii="Times New Roman" w:eastAsia="宋体" w:cs="Times New Roman" w:hAnsiTheme="minorEastAsia"/>
          <w:color w:val="auto"/>
          <w:highlight w:val="none"/>
        </w:rPr>
        <w:t>招标文件的构成</w:t>
      </w:r>
    </w:p>
    <w:p w14:paraId="71E40F65">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10.1</w:t>
      </w:r>
      <w:r>
        <w:rPr>
          <w:rFonts w:ascii="Times New Roman" w:eastAsia="宋体" w:cs="Times New Roman" w:hAnsiTheme="minorEastAsia"/>
          <w:color w:val="auto"/>
          <w:highlight w:val="none"/>
        </w:rPr>
        <w:t>招标文件由下述部分组成：</w:t>
      </w:r>
    </w:p>
    <w:p w14:paraId="552F848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）投标邀请函</w:t>
      </w:r>
    </w:p>
    <w:p w14:paraId="1AFB61F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）招标项目需求</w:t>
      </w:r>
    </w:p>
    <w:p w14:paraId="38E937E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）投标须知</w:t>
      </w:r>
    </w:p>
    <w:p w14:paraId="6612CBEB">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4</w:t>
      </w:r>
      <w:r>
        <w:rPr>
          <w:rFonts w:ascii="Times New Roman" w:eastAsia="宋体" w:cs="Times New Roman" w:hAnsiTheme="minorEastAsia"/>
          <w:color w:val="auto"/>
          <w:highlight w:val="none"/>
        </w:rPr>
        <w:t>）合同条款</w:t>
      </w:r>
    </w:p>
    <w:p w14:paraId="7A25F43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5</w:t>
      </w:r>
      <w:r>
        <w:rPr>
          <w:rFonts w:ascii="Times New Roman" w:eastAsia="宋体" w:cs="Times New Roman" w:hAnsiTheme="minorEastAsia"/>
          <w:color w:val="auto"/>
          <w:highlight w:val="none"/>
        </w:rPr>
        <w:t>）投标文件格式</w:t>
      </w:r>
    </w:p>
    <w:p w14:paraId="1D181B1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w:t>
      </w:r>
      <w:r>
        <w:rPr>
          <w:rFonts w:ascii="Times New Roman" w:eastAsia="宋体" w:cs="Times New Roman" w:hAnsiTheme="minorEastAsia"/>
          <w:color w:val="auto"/>
          <w:highlight w:val="none"/>
        </w:rPr>
        <w:t>）本项目招标文件的更正公告内容（如有）</w:t>
      </w:r>
    </w:p>
    <w:p w14:paraId="40D3DAC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10.2 </w:t>
      </w:r>
      <w:r>
        <w:rPr>
          <w:rFonts w:ascii="Times New Roman" w:eastAsia="宋体" w:cs="Times New Roman" w:hAnsiTheme="minorEastAsia"/>
          <w:color w:val="auto"/>
          <w:highlight w:val="none"/>
        </w:rPr>
        <w:t>除非有特殊要求，招标文件不单独提供招标项目使用地的自然环境、气候条件、公用设施等情况，投标人被视为熟悉上述与履行合同有关的一切情况。</w:t>
      </w:r>
    </w:p>
    <w:p w14:paraId="1A7C0E0F">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10.3</w:t>
      </w:r>
      <w:r>
        <w:rPr>
          <w:rFonts w:hint="eastAsia" w:ascii="Times New Roman" w:eastAsia="宋体" w:cs="Times New Roman" w:hAnsiTheme="minorEastAsia"/>
          <w:color w:val="auto"/>
          <w:highlight w:val="none"/>
        </w:rPr>
        <w:t>加注</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号条款为实质性条款，不得出现负偏离，发生负偏离即做无效标处理。</w:t>
      </w:r>
    </w:p>
    <w:p w14:paraId="2434172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10.4 </w:t>
      </w:r>
      <w:r>
        <w:rPr>
          <w:rFonts w:ascii="Times New Roman" w:eastAsia="宋体" w:cs="Times New Roman" w:hAnsiTheme="minorEastAsia"/>
          <w:color w:val="auto"/>
          <w:highlight w:val="none"/>
        </w:rPr>
        <w:t>招标文件中涉及的参照品牌、型号仅起说明作用，并没有任何限制性，投标人在投标中可以选用其他替代品牌或型号，但这些替代要实质上优于或相当于招标要求。</w:t>
      </w:r>
    </w:p>
    <w:p w14:paraId="7D69653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 </w:t>
      </w:r>
      <w:r>
        <w:rPr>
          <w:rFonts w:ascii="Times New Roman" w:eastAsia="宋体" w:cs="Times New Roman" w:hAnsiTheme="minorEastAsia"/>
          <w:color w:val="auto"/>
          <w:highlight w:val="none"/>
        </w:rPr>
        <w:t>招标文件的澄清和修改</w:t>
      </w:r>
    </w:p>
    <w:p w14:paraId="4F5C1F2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11.1 </w:t>
      </w:r>
      <w:r>
        <w:rPr>
          <w:rFonts w:ascii="Times New Roman" w:eastAsia="宋体" w:cs="Times New Roman" w:hAnsiTheme="minorEastAsia"/>
          <w:color w:val="auto"/>
          <w:highlight w:val="none"/>
        </w:rPr>
        <w:t>投标截止前，采购人、采购代理机构需要对招标文件进行补充或修改的，采购人、采购代理机构将会通过</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天津市政府采购中心网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以更正公告形式发布。</w:t>
      </w:r>
    </w:p>
    <w:p w14:paraId="1C2516D5">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11.2 </w:t>
      </w:r>
      <w:r>
        <w:rPr>
          <w:rFonts w:ascii="Times New Roman" w:eastAsia="宋体" w:cs="Times New Roman" w:hAnsiTheme="minorEastAsia"/>
          <w:color w:val="auto"/>
          <w:highlight w:val="none"/>
        </w:rPr>
        <w:t>更正公告一经在</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天津市政府采购中心网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发布，天津市政府采购中心招投标系统将自动发送通知至已报名供应商的</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查看项目文件</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，视同已书面通知所有招标文件的收受人。请参与项目的供应商及时关注更正公告，由此导致的风险由投标人自行承担，采购人、采购代理机构不承担任何责任。</w:t>
      </w:r>
    </w:p>
    <w:p w14:paraId="55E9AB2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11.3 </w:t>
      </w:r>
      <w:r>
        <w:rPr>
          <w:rFonts w:ascii="Times New Roman" w:eastAsia="宋体" w:cs="Times New Roman" w:hAnsiTheme="minorEastAsia"/>
          <w:color w:val="auto"/>
          <w:highlight w:val="none"/>
        </w:rPr>
        <w:t>更正公告的内容为招标文件的组成部分。当招标文件与更正公告就同一内容的表述不一致时，以最后发出的更正公告内容为准。</w:t>
      </w:r>
    </w:p>
    <w:p w14:paraId="00585689">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11.4 </w:t>
      </w:r>
      <w:r>
        <w:rPr>
          <w:rFonts w:ascii="Times New Roman" w:eastAsia="宋体" w:cs="Times New Roman" w:hAnsiTheme="minorEastAsia"/>
          <w:color w:val="auto"/>
          <w:highlight w:val="none"/>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57FC64F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 </w:t>
      </w:r>
      <w:r>
        <w:rPr>
          <w:rFonts w:ascii="Times New Roman" w:eastAsia="宋体" w:cs="Times New Roman" w:hAnsiTheme="minorEastAsia"/>
          <w:color w:val="auto"/>
          <w:highlight w:val="none"/>
        </w:rPr>
        <w:t>答疑会和踏勘现场</w:t>
      </w:r>
    </w:p>
    <w:p w14:paraId="08B93A9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12.1 </w:t>
      </w:r>
      <w:r>
        <w:rPr>
          <w:rFonts w:ascii="Times New Roman" w:eastAsia="宋体" w:cs="Times New Roman" w:hAnsiTheme="minorEastAsia"/>
          <w:color w:val="auto"/>
          <w:highlight w:val="none"/>
        </w:rPr>
        <w:t>采购人、采购代理机构召开答疑会的，所有投标人应按《投标邀请函》规定的时间、地点参加答疑会。投标人如不参加，其风险由投标人自行承担，采购人、采购代理机构不承担任何责任。</w:t>
      </w:r>
    </w:p>
    <w:p w14:paraId="450A385B">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12.2 </w:t>
      </w:r>
      <w:r>
        <w:rPr>
          <w:rFonts w:ascii="Times New Roman" w:eastAsia="宋体" w:cs="Times New Roman" w:hAnsiTheme="minorEastAsia"/>
          <w:color w:val="auto"/>
          <w:highlight w:val="none"/>
        </w:rPr>
        <w:t>采购人、采购代理机构组织踏勘现场的，所有投标人按《投标邀请函》规定的时间、地点参加踏勘现场活动。投标人如不参加，其风险由投标人自行承担，采购人、采购代理机构不承担任何责任。</w:t>
      </w:r>
    </w:p>
    <w:p w14:paraId="3420D20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12.3 </w:t>
      </w:r>
      <w:r>
        <w:rPr>
          <w:rFonts w:ascii="Times New Roman" w:eastAsia="宋体" w:cs="Times New Roman" w:hAnsiTheme="minorEastAsia"/>
          <w:color w:val="auto"/>
          <w:highlight w:val="none"/>
        </w:rPr>
        <w:t>采购人、采购代理机构在答疑会或踏勘现场中口头介绍的情况，除经</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天津市政府采购中心网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以更正公告的形式发布外，不构成对招标文件的修改，不作为投标人编制投标文件的依据。</w:t>
      </w:r>
    </w:p>
    <w:p w14:paraId="6A271223">
      <w:pPr>
        <w:pStyle w:val="25"/>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C  </w:t>
      </w:r>
      <w:r>
        <w:rPr>
          <w:rFonts w:ascii="Times New Roman" w:eastAsia="宋体" w:cs="Times New Roman" w:hAnsiTheme="minorEastAsia"/>
          <w:color w:val="auto"/>
          <w:highlight w:val="none"/>
        </w:rPr>
        <w:t>投标文件的编制</w:t>
      </w:r>
    </w:p>
    <w:p w14:paraId="77EFCB9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 </w:t>
      </w:r>
      <w:r>
        <w:rPr>
          <w:rFonts w:ascii="Times New Roman" w:eastAsia="宋体" w:cs="Times New Roman" w:hAnsiTheme="minorEastAsia"/>
          <w:color w:val="auto"/>
          <w:highlight w:val="none"/>
        </w:rPr>
        <w:t>要求</w:t>
      </w:r>
    </w:p>
    <w:p w14:paraId="45632C6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13.1 </w:t>
      </w:r>
      <w:r>
        <w:rPr>
          <w:rFonts w:ascii="Times New Roman" w:eastAsia="宋体" w:cs="Times New Roman" w:hAnsiTheme="minorEastAsia"/>
          <w:color w:val="auto"/>
          <w:highlight w:val="none"/>
        </w:rPr>
        <w:t>投标人应仔细阅读招标文件的所有内容，按招标文件要求编制投标文件，以使其投标对招标文件做出实质性响应。否则，其投标文件可能被拒绝，投标人须自行承担由此引起的风险和责任。</w:t>
      </w:r>
    </w:p>
    <w:p w14:paraId="08AAB09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13.2 </w:t>
      </w:r>
      <w:r>
        <w:rPr>
          <w:rFonts w:ascii="Times New Roman" w:eastAsia="宋体" w:cs="Times New Roman" w:hAnsiTheme="minorEastAsia"/>
          <w:color w:val="auto"/>
          <w:highlight w:val="none"/>
        </w:rPr>
        <w:t>投标人应根据招标项目需求和投标文件格式编制投标文件，保证其真实有效，并承担相应的法律责任。</w:t>
      </w:r>
    </w:p>
    <w:p w14:paraId="1745C73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13.3 </w:t>
      </w:r>
      <w:r>
        <w:rPr>
          <w:rFonts w:ascii="Times New Roman" w:eastAsia="宋体" w:cs="Times New Roman" w:hAnsiTheme="minorEastAsia"/>
          <w:color w:val="auto"/>
          <w:highlight w:val="none"/>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6AF9009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14. </w:t>
      </w:r>
      <w:r>
        <w:rPr>
          <w:rFonts w:ascii="Times New Roman" w:eastAsia="宋体" w:cs="Times New Roman" w:hAnsiTheme="minorEastAsia"/>
          <w:color w:val="auto"/>
          <w:highlight w:val="none"/>
        </w:rPr>
        <w:t>投标语言及计量单位</w:t>
      </w:r>
    </w:p>
    <w:p w14:paraId="6D999399">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14.1 </w:t>
      </w:r>
      <w:r>
        <w:rPr>
          <w:rFonts w:ascii="Times New Roman" w:eastAsia="宋体" w:cs="Times New Roman" w:hAnsiTheme="minorEastAsia"/>
          <w:color w:val="auto"/>
          <w:highlight w:val="none"/>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审委员会有权拒绝其投标。</w:t>
      </w:r>
    </w:p>
    <w:p w14:paraId="37C04B7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14.2 </w:t>
      </w:r>
      <w:r>
        <w:rPr>
          <w:rFonts w:ascii="Times New Roman" w:eastAsia="宋体" w:cs="Times New Roman" w:hAnsiTheme="minorEastAsia"/>
          <w:color w:val="auto"/>
          <w:highlight w:val="none"/>
        </w:rPr>
        <w:t>除在招标文件中另有规定，投标文件所使用的计量单位均应使用中华人民共和国法定计量单位。</w:t>
      </w:r>
    </w:p>
    <w:p w14:paraId="671D04C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15. </w:t>
      </w:r>
      <w:r>
        <w:rPr>
          <w:rFonts w:ascii="Times New Roman" w:eastAsia="宋体" w:cs="Times New Roman" w:hAnsiTheme="minorEastAsia"/>
          <w:color w:val="auto"/>
          <w:highlight w:val="none"/>
        </w:rPr>
        <w:t>投标文件格式</w:t>
      </w:r>
    </w:p>
    <w:p w14:paraId="5F4E191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15.1 </w:t>
      </w:r>
      <w:r>
        <w:rPr>
          <w:rFonts w:ascii="Times New Roman" w:eastAsia="宋体" w:cs="Times New Roman" w:hAnsiTheme="minorEastAsia"/>
          <w:color w:val="auto"/>
          <w:highlight w:val="none"/>
        </w:rPr>
        <w:t>投标人应按招标文件中提供的投标文件格式完整填写。因不按要求编制而引起系统无法检索、读取相关信息时，其后果由投标人自行承担。</w:t>
      </w:r>
    </w:p>
    <w:p w14:paraId="52267C4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15.2 </w:t>
      </w:r>
      <w:r>
        <w:rPr>
          <w:rFonts w:ascii="Times New Roman" w:eastAsia="宋体" w:cs="Times New Roman" w:hAnsiTheme="minorEastAsia"/>
          <w:color w:val="auto"/>
          <w:highlight w:val="none"/>
        </w:rPr>
        <w:t>投标人可对本招标文件</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招标项目要求</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所列的所有服务进行投标，也可只对其中一包或几包的服务投标；若无特殊说明，每一包的内容不得分项投标，采购人原则上按照整包确定中标供应商。</w:t>
      </w:r>
    </w:p>
    <w:p w14:paraId="297A643F">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15.3 </w:t>
      </w:r>
      <w:r>
        <w:rPr>
          <w:rFonts w:hint="eastAsia" w:ascii="Times New Roman" w:eastAsia="宋体" w:cs="Times New Roman" w:hAnsiTheme="minorEastAsia"/>
          <w:color w:val="auto"/>
          <w:highlight w:val="none"/>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57647E0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4</w:t>
      </w:r>
      <w:r>
        <w:rPr>
          <w:rFonts w:ascii="Times New Roman" w:eastAsia="宋体" w:cs="Times New Roman" w:hAnsiTheme="minorEastAsia"/>
          <w:color w:val="auto"/>
          <w:highlight w:val="none"/>
        </w:rPr>
        <w:t>如投标多个包的，要求按包分别独立制作投标文件。</w:t>
      </w:r>
    </w:p>
    <w:p w14:paraId="4544CFA1">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5</w:t>
      </w:r>
      <w:r>
        <w:rPr>
          <w:rFonts w:ascii="Times New Roman" w:eastAsia="宋体" w:cs="Times New Roman" w:hAnsiTheme="minorEastAsia"/>
          <w:color w:val="auto"/>
          <w:highlight w:val="none"/>
        </w:rPr>
        <w:t>投标文件（包括封面和目录）的每一页，从封面开始按阿拉伯数字</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顺序编制页码。</w:t>
      </w:r>
    </w:p>
    <w:p w14:paraId="7BDE2695">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16. </w:t>
      </w:r>
      <w:r>
        <w:rPr>
          <w:rFonts w:ascii="Times New Roman" w:eastAsia="宋体" w:cs="Times New Roman" w:hAnsiTheme="minorEastAsia"/>
          <w:color w:val="auto"/>
          <w:highlight w:val="none"/>
        </w:rPr>
        <w:t>投标报价</w:t>
      </w:r>
    </w:p>
    <w:p w14:paraId="147B0CD4">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16.1 </w:t>
      </w:r>
      <w:r>
        <w:rPr>
          <w:rFonts w:ascii="Times New Roman" w:eastAsia="宋体" w:cs="Times New Roman" w:hAnsiTheme="minorEastAsia"/>
          <w:color w:val="auto"/>
          <w:highlight w:val="none"/>
        </w:rPr>
        <w:t>投标书、开标一览表等各表中的报价，若无特殊说明应采用人民币填报。</w:t>
      </w:r>
    </w:p>
    <w:p w14:paraId="4FA7EDAB">
      <w:pPr>
        <w:pStyle w:val="25"/>
        <w:ind w:firstLine="446"/>
        <w:rPr>
          <w:rFonts w:ascii="Times New Roman" w:hAnsi="Times New Roman" w:eastAsia="宋体"/>
          <w:highlight w:val="none"/>
        </w:rPr>
      </w:pPr>
      <w:r>
        <w:rPr>
          <w:rFonts w:ascii="Times New Roman" w:hAnsi="Times New Roman" w:eastAsia="宋体" w:cs="Times New Roman"/>
          <w:color w:val="auto"/>
          <w:highlight w:val="none"/>
        </w:rPr>
        <w:t>16.2</w:t>
      </w:r>
      <w:r>
        <w:rPr>
          <w:rFonts w:ascii="Times New Roman" w:eastAsia="宋体" w:hAnsiTheme="minorEastAsia"/>
          <w:highlight w:val="none"/>
        </w:rPr>
        <w:t>投标报价是为完成招标文件规定的一切工作所需的全部费用的最终优惠价格。</w:t>
      </w:r>
    </w:p>
    <w:p w14:paraId="78558BF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16.3 </w:t>
      </w:r>
      <w:r>
        <w:rPr>
          <w:rFonts w:ascii="Times New Roman" w:eastAsia="宋体" w:cs="Times New Roman" w:hAnsiTheme="minorEastAsia"/>
          <w:color w:val="auto"/>
          <w:highlight w:val="none"/>
        </w:rPr>
        <w:t>除《招标项目需求》中说明并允许外，投标的每一个货物、服务的单项报价以及采购项目的投标总价均只允许有一个报价，任何有选择的报价，采购人、采购代理机构均将予以拒绝。</w:t>
      </w:r>
    </w:p>
    <w:p w14:paraId="04E8651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17. </w:t>
      </w:r>
      <w:r>
        <w:rPr>
          <w:rFonts w:ascii="Times New Roman" w:eastAsia="宋体" w:cs="Times New Roman" w:hAnsiTheme="minorEastAsia"/>
          <w:color w:val="auto"/>
          <w:highlight w:val="none"/>
        </w:rPr>
        <w:t>投标人资格证明文件</w:t>
      </w:r>
    </w:p>
    <w:p w14:paraId="627A1644">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投标人必须提交证明其有资格进行投标和有能力履行合同的文件，作为投标文件的一部分。</w:t>
      </w:r>
    </w:p>
    <w:p w14:paraId="00B5076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）《投标邀请函》中规定的供应商资格要求（实质性要求）证明文件；</w:t>
      </w:r>
    </w:p>
    <w:p w14:paraId="3BEA701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）若国家及行业对投标项目有特殊资格要求的，还须提供特殊资格证明文件；</w:t>
      </w:r>
    </w:p>
    <w:p w14:paraId="2BDBACA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）涉及本须知中</w:t>
      </w:r>
      <w:r>
        <w:rPr>
          <w:rFonts w:ascii="Times New Roman" w:hAnsi="Times New Roman" w:eastAsia="宋体" w:cs="Times New Roman"/>
          <w:color w:val="auto"/>
          <w:highlight w:val="none"/>
        </w:rPr>
        <w:t xml:space="preserve">“4. </w:t>
      </w:r>
      <w:r>
        <w:rPr>
          <w:rFonts w:ascii="Times New Roman" w:eastAsia="宋体" w:cs="Times New Roman" w:hAnsiTheme="minorEastAsia"/>
          <w:color w:val="auto"/>
          <w:highlight w:val="none"/>
        </w:rPr>
        <w:t>合格的投标人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相关要求的，按其要求执行。</w:t>
      </w:r>
    </w:p>
    <w:p w14:paraId="257B56B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18. </w:t>
      </w:r>
      <w:r>
        <w:rPr>
          <w:rFonts w:ascii="Times New Roman" w:eastAsia="宋体" w:cs="Times New Roman" w:hAnsiTheme="minorEastAsia"/>
          <w:color w:val="auto"/>
          <w:highlight w:val="none"/>
        </w:rPr>
        <w:t>技术响应文件</w:t>
      </w:r>
    </w:p>
    <w:p w14:paraId="07BB62D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18.1 </w:t>
      </w:r>
      <w:r>
        <w:rPr>
          <w:rFonts w:ascii="Times New Roman" w:eastAsia="宋体" w:cs="Times New Roman" w:hAnsiTheme="minorEastAsia"/>
          <w:color w:val="auto"/>
          <w:highlight w:val="none"/>
        </w:rPr>
        <w:t>投标人须提交证明其拟提供的服务符合招标文件规定的技术响应文件，作为投标文件的一部分。</w:t>
      </w:r>
    </w:p>
    <w:p w14:paraId="3ACC4F5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18.2 </w:t>
      </w:r>
      <w:r>
        <w:rPr>
          <w:rFonts w:ascii="Times New Roman" w:eastAsia="宋体" w:cs="Times New Roman" w:hAnsiTheme="minorEastAsia"/>
          <w:color w:val="auto"/>
          <w:highlight w:val="none"/>
        </w:rPr>
        <w:t>上述技术响应文件可以是文字资料、图纸或数据，</w:t>
      </w:r>
      <w:r>
        <w:rPr>
          <w:rFonts w:ascii="Times New Roman" w:eastAsia="宋体" w:cs="Times New Roman" w:hAnsiTheme="minorEastAsia"/>
          <w:color w:val="auto"/>
          <w:szCs w:val="21"/>
          <w:highlight w:val="none"/>
        </w:rPr>
        <w:t>其内容应包括但不限于人力、物力等资源的投入以及服务内容、方式、手段、措施、质量保证及建议等。</w:t>
      </w:r>
    </w:p>
    <w:p w14:paraId="4B0D7A8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19. </w:t>
      </w:r>
      <w:r>
        <w:rPr>
          <w:rFonts w:ascii="Times New Roman" w:eastAsia="宋体" w:cs="Times New Roman" w:hAnsiTheme="minorEastAsia"/>
          <w:color w:val="auto"/>
          <w:highlight w:val="none"/>
        </w:rPr>
        <w:t>投标保证金</w:t>
      </w:r>
    </w:p>
    <w:p w14:paraId="5F225B6B">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19.1 </w:t>
      </w:r>
      <w:r>
        <w:rPr>
          <w:rFonts w:ascii="Times New Roman" w:eastAsia="宋体" w:cs="Times New Roman" w:hAnsiTheme="minorEastAsia"/>
          <w:color w:val="auto"/>
          <w:highlight w:val="none"/>
        </w:rPr>
        <w:t>按照《招标项目要求》要求执行。</w:t>
      </w:r>
    </w:p>
    <w:p w14:paraId="4419F18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19.2 </w:t>
      </w:r>
      <w:r>
        <w:rPr>
          <w:rFonts w:ascii="Times New Roman" w:eastAsia="宋体" w:cs="Times New Roman" w:hAnsiTheme="minorEastAsia"/>
          <w:color w:val="auto"/>
          <w:highlight w:val="none"/>
        </w:rPr>
        <w:t>符合《政府采购货物和服务招标投标管理办法》和《政府采购法实施条例》相关规定。</w:t>
      </w:r>
    </w:p>
    <w:p w14:paraId="3254E50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20. </w:t>
      </w:r>
      <w:r>
        <w:rPr>
          <w:rFonts w:ascii="Times New Roman" w:eastAsia="宋体" w:cs="Times New Roman" w:hAnsiTheme="minorEastAsia"/>
          <w:color w:val="auto"/>
          <w:highlight w:val="none"/>
        </w:rPr>
        <w:t>投标有效期</w:t>
      </w:r>
    </w:p>
    <w:p w14:paraId="7DE3DEF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20.1 </w:t>
      </w:r>
      <w:r>
        <w:rPr>
          <w:rFonts w:ascii="Times New Roman" w:eastAsia="宋体" w:cs="Times New Roman" w:hAnsiTheme="minorEastAsia"/>
          <w:color w:val="auto"/>
          <w:highlight w:val="none"/>
        </w:rPr>
        <w:t>投标有效期为</w:t>
      </w:r>
      <w:r>
        <w:rPr>
          <w:rFonts w:hint="eastAsia" w:ascii="Times New Roman" w:eastAsia="宋体" w:cs="Times New Roman" w:hAnsiTheme="minorEastAsia"/>
          <w:color w:val="auto"/>
          <w:highlight w:val="none"/>
        </w:rPr>
        <w:t>提交投标文件的截止之日</w:t>
      </w:r>
      <w:r>
        <w:rPr>
          <w:rFonts w:ascii="Times New Roman" w:eastAsia="宋体" w:cs="Times New Roman" w:hAnsiTheme="minorEastAsia"/>
          <w:color w:val="auto"/>
          <w:highlight w:val="none"/>
        </w:rPr>
        <w:t>起</w:t>
      </w:r>
      <w:r>
        <w:rPr>
          <w:rFonts w:ascii="Times New Roman" w:hAnsi="Times New Roman" w:eastAsia="宋体" w:cs="Times New Roman"/>
          <w:color w:val="auto"/>
          <w:highlight w:val="none"/>
        </w:rPr>
        <w:t>60</w:t>
      </w:r>
      <w:r>
        <w:rPr>
          <w:rFonts w:ascii="Times New Roman" w:eastAsia="宋体" w:cs="Times New Roman" w:hAnsiTheme="minorEastAsia"/>
          <w:color w:val="auto"/>
          <w:highlight w:val="none"/>
        </w:rPr>
        <w:t>天。投标书中规定的有效期短于招标文件规定的，其投标将被拒绝。</w:t>
      </w:r>
    </w:p>
    <w:p w14:paraId="29EE83C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20.2 </w:t>
      </w:r>
      <w:r>
        <w:rPr>
          <w:rFonts w:ascii="Times New Roman" w:eastAsia="宋体" w:cs="Times New Roman" w:hAnsiTheme="minorEastAsia"/>
          <w:color w:val="auto"/>
          <w:highlight w:val="none"/>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3E412FB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21. </w:t>
      </w:r>
      <w:r>
        <w:rPr>
          <w:rFonts w:ascii="Times New Roman" w:eastAsia="宋体" w:cs="Times New Roman" w:hAnsiTheme="minorEastAsia"/>
          <w:color w:val="auto"/>
          <w:highlight w:val="none"/>
        </w:rPr>
        <w:t>投标文件的签署及规定</w:t>
      </w:r>
    </w:p>
    <w:p w14:paraId="65CF9C6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21.1 </w:t>
      </w:r>
      <w:r>
        <w:rPr>
          <w:rFonts w:ascii="Times New Roman" w:eastAsia="宋体" w:cs="Times New Roman" w:hAnsiTheme="minorEastAsia"/>
          <w:color w:val="auto"/>
          <w:highlight w:val="none"/>
        </w:rPr>
        <w:t>投标文件应按《招标项目要求》和《投标文件格式》如实编写，未尽事宜可自行补充。投标文件内容不完整、格式不符合导致投标文件被误读、漏读或者查找不到相关内容的，投标人自行承担由此产生的风险。</w:t>
      </w:r>
    </w:p>
    <w:p w14:paraId="68B0D67D">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21.2 </w:t>
      </w:r>
      <w:r>
        <w:rPr>
          <w:rFonts w:hint="eastAsia" w:ascii="Times New Roman" w:eastAsia="宋体" w:cs="Times New Roman" w:hAnsiTheme="minorEastAsia"/>
          <w:color w:val="auto"/>
          <w:highlight w:val="none"/>
        </w:rPr>
        <w:t>投标人按照《投标邀请函》的要求提交网上应答并</w:t>
      </w:r>
      <w:r>
        <w:rPr>
          <w:rFonts w:hint="eastAsia" w:ascii="Times New Roman" w:eastAsia="宋体" w:cs="Times New Roman" w:hAnsiTheme="minorEastAsia"/>
          <w:color w:val="auto"/>
          <w:szCs w:val="32"/>
          <w:highlight w:val="none"/>
        </w:rPr>
        <w:t>上传</w:t>
      </w:r>
      <w:r>
        <w:rPr>
          <w:rFonts w:hint="eastAsia" w:ascii="Times New Roman" w:eastAsia="宋体" w:cs="Times New Roman" w:hAnsiTheme="minorEastAsia"/>
          <w:color w:val="auto"/>
          <w:highlight w:val="none"/>
        </w:rPr>
        <w:t>加盖投标人电子签章的电子投标文件（以通过天津公共资源电子签章客户端正确读取签章信息为准）。</w:t>
      </w:r>
    </w:p>
    <w:p w14:paraId="632171E5">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hAnsi="Times New Roman" w:eastAsia="宋体" w:cs="Times New Roman"/>
          <w:color w:val="auto"/>
          <w:highlight w:val="none"/>
        </w:rPr>
        <w:t xml:space="preserve">21.3 </w:t>
      </w:r>
      <w:r>
        <w:rPr>
          <w:rFonts w:ascii="Times New Roman" w:eastAsia="宋体" w:cs="Times New Roman" w:hAnsiTheme="minorEastAsia"/>
          <w:color w:val="auto"/>
          <w:highlight w:val="none"/>
        </w:rPr>
        <w:t>若有修改须于规定时间内重新提交电子投标文件。投标文件因模糊不清或表达不清所引起的后果由投标人自负。</w:t>
      </w:r>
    </w:p>
    <w:p w14:paraId="151B3B08">
      <w:pPr>
        <w:widowControl/>
        <w:autoSpaceDE w:val="0"/>
        <w:autoSpaceDN w:val="0"/>
        <w:adjustRightInd w:val="0"/>
        <w:spacing w:line="360" w:lineRule="auto"/>
        <w:ind w:firstLine="448" w:firstLineChars="200"/>
        <w:rPr>
          <w:rFonts w:cs="......."/>
          <w:kern w:val="0"/>
          <w:sz w:val="24"/>
          <w:szCs w:val="24"/>
          <w:highlight w:val="none"/>
        </w:rPr>
      </w:pPr>
      <w:r>
        <w:rPr>
          <w:kern w:val="0"/>
          <w:sz w:val="24"/>
          <w:szCs w:val="24"/>
          <w:highlight w:val="none"/>
        </w:rPr>
        <w:t>21.4</w:t>
      </w:r>
      <w:r>
        <w:rPr>
          <w:rFonts w:hint="eastAsia"/>
          <w:kern w:val="0"/>
          <w:sz w:val="24"/>
          <w:szCs w:val="24"/>
          <w:highlight w:val="none"/>
        </w:rPr>
        <w:t xml:space="preserve"> 文件中的电子件指扫描件、电子证照、照片等形式电子文件；要求第三方出具的盖章件原件（如联合协议、分包意向协议、制造商授权书等），投标文件中应使用原件的电子件。</w:t>
      </w:r>
    </w:p>
    <w:p w14:paraId="50B45768">
      <w:pPr>
        <w:pStyle w:val="25"/>
        <w:spacing w:line="360" w:lineRule="auto"/>
        <w:ind w:firstLine="448" w:firstLineChars="200"/>
        <w:jc w:val="both"/>
        <w:rPr>
          <w:rFonts w:ascii="Times New Roman" w:hAnsi="Times New Roman" w:eastAsia="宋体" w:cs="Times New Roman"/>
          <w:color w:val="auto"/>
          <w:highlight w:val="none"/>
        </w:rPr>
      </w:pPr>
    </w:p>
    <w:p w14:paraId="3189FEC8">
      <w:pPr>
        <w:pStyle w:val="25"/>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D  </w:t>
      </w:r>
      <w:r>
        <w:rPr>
          <w:rFonts w:ascii="Times New Roman" w:eastAsia="宋体" w:cs="Times New Roman" w:hAnsiTheme="minorEastAsia"/>
          <w:color w:val="auto"/>
          <w:highlight w:val="none"/>
        </w:rPr>
        <w:t>投标文件的网上应答和提交</w:t>
      </w:r>
    </w:p>
    <w:p w14:paraId="16001BDF">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22. </w:t>
      </w:r>
      <w:r>
        <w:rPr>
          <w:rFonts w:hint="eastAsia" w:ascii="Times New Roman" w:eastAsia="宋体" w:cs="Times New Roman" w:hAnsiTheme="minorEastAsia"/>
          <w:color w:val="auto"/>
          <w:highlight w:val="none"/>
        </w:rPr>
        <w:t>投标人须按《投标邀请函》规定提交网上应答并上传加盖投标人电子签章的电子投标文件（以通过天津公共资源电子签章客户端正确读取签章信息为准）。具体方式：</w:t>
      </w:r>
      <w:r>
        <w:rPr>
          <w:rFonts w:ascii="Times New Roman" w:eastAsia="宋体" w:cs="Times New Roman" w:hAnsiTheme="minorEastAsia"/>
          <w:color w:val="auto"/>
          <w:highlight w:val="none"/>
        </w:rPr>
        <w:t>使用天津数字认证有限公司发出的CA数字证书（原天津市电子认证中心发出尚在有效期内的CA数字证书仍可使用）登录</w:t>
      </w:r>
      <w:r>
        <w:rPr>
          <w:rFonts w:hint="eastAsia" w:ascii="Times New Roman" w:eastAsia="宋体" w:cs="Times New Roman" w:hAnsiTheme="minorEastAsia"/>
          <w:color w:val="auto"/>
          <w:highlight w:val="none"/>
        </w:rPr>
        <w:t>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网上招投标”-“供应商登录”-“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hint="eastAsia" w:ascii="Times New Roman" w:hAnsi="Times New Roman" w:eastAsia="宋体" w:cs="Times New Roman"/>
          <w:color w:val="auto"/>
          <w:highlight w:val="none"/>
        </w:rPr>
        <w:t>79</w:t>
      </w:r>
      <w:r>
        <w:rPr>
          <w:rFonts w:hint="eastAsia" w:ascii="Times New Roman" w:eastAsia="宋体" w:cs="Times New Roman" w:hAnsiTheme="minorEastAsia"/>
          <w:color w:val="auto"/>
          <w:highlight w:val="none"/>
        </w:rPr>
        <w:t>号天津市政府采购中心窗口完成上述操作。</w:t>
      </w:r>
    </w:p>
    <w:p w14:paraId="1D39EBF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23. </w:t>
      </w:r>
      <w:r>
        <w:rPr>
          <w:rFonts w:hint="eastAsia" w:ascii="Times New Roman" w:eastAsia="宋体" w:cs="Times New Roman" w:hAnsiTheme="minorEastAsia"/>
          <w:color w:val="auto"/>
          <w:highlight w:val="none"/>
        </w:rPr>
        <w:t>制作和上传电子投标文件要求</w:t>
      </w:r>
    </w:p>
    <w:p w14:paraId="521F28AB">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23.1 </w:t>
      </w:r>
      <w:r>
        <w:rPr>
          <w:rFonts w:hint="eastAsia" w:ascii="Times New Roman" w:eastAsia="宋体" w:cs="Times New Roman" w:hAnsiTheme="minorEastAsia"/>
          <w:color w:val="auto"/>
          <w:highlight w:val="none"/>
        </w:rPr>
        <w:t>投标人须下载天津市政府采购中心网</w:t>
      </w:r>
      <w:r>
        <w:rPr>
          <w:rFonts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下载中心</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《天津公共资源电子签章客户端安装包及使用说明》</w:t>
      </w:r>
      <w:r>
        <w:rPr>
          <w:rFonts w:hint="eastAsia" w:ascii="Times New Roman" w:eastAsia="宋体" w:cs="Times New Roman" w:hAnsiTheme="minorEastAsia"/>
          <w:color w:val="auto"/>
          <w:highlight w:val="none"/>
        </w:rPr>
        <w:t>。</w:t>
      </w:r>
    </w:p>
    <w:p w14:paraId="10680735">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23.2 </w:t>
      </w:r>
      <w:r>
        <w:rPr>
          <w:rFonts w:hint="eastAsia" w:ascii="Times New Roman" w:eastAsia="宋体" w:cs="Times New Roman" w:hAnsiTheme="minorEastAsia"/>
          <w:color w:val="auto"/>
          <w:highlight w:val="none"/>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01E942FE">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特别提醒：</w:t>
      </w:r>
    </w:p>
    <w:p w14:paraId="6CBBA95E">
      <w:pPr>
        <w:pStyle w:val="25"/>
        <w:spacing w:line="360" w:lineRule="auto"/>
        <w:ind w:firstLine="448" w:firstLineChars="200"/>
        <w:rPr>
          <w:rFonts w:cs="Times New Roman" w:asciiTheme="minorEastAsia" w:hAnsiTheme="minorEastAsia" w:eastAsiaTheme="minorEastAsia"/>
          <w:color w:val="auto"/>
          <w:highlight w:val="none"/>
        </w:rPr>
      </w:pPr>
      <w:r>
        <w:rPr>
          <w:rFonts w:hint="eastAsia" w:cs="Times New Roman" w:asciiTheme="minorEastAsia" w:hAnsiTheme="minorEastAsia" w:eastAsiaTheme="minorEastAsia"/>
          <w:color w:val="auto"/>
          <w:highlight w:val="none"/>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765D6399">
      <w:pPr>
        <w:pStyle w:val="25"/>
        <w:spacing w:line="360" w:lineRule="auto"/>
        <w:ind w:firstLine="448" w:firstLineChars="200"/>
        <w:rPr>
          <w:rFonts w:cs="Times New Roman" w:asciiTheme="minorEastAsia" w:hAnsiTheme="minorEastAsia" w:eastAsiaTheme="minorEastAsia"/>
          <w:color w:val="auto"/>
          <w:highlight w:val="none"/>
        </w:rPr>
      </w:pPr>
      <w:r>
        <w:rPr>
          <w:rFonts w:hint="eastAsia" w:cs="Times New Roman" w:asciiTheme="minorEastAsia" w:hAnsiTheme="minorEastAsia" w:eastAsiaTheme="minorEastAsia"/>
          <w:color w:val="auto"/>
          <w:highlight w:val="none"/>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77C2DD70">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23.3 </w:t>
      </w:r>
      <w:r>
        <w:rPr>
          <w:rFonts w:hint="eastAsia" w:ascii="Times New Roman" w:eastAsia="宋体" w:cs="Times New Roman" w:hAnsiTheme="minorEastAsia"/>
          <w:color w:val="auto"/>
          <w:highlight w:val="none"/>
        </w:rPr>
        <w:t>投标人须保证电子投标文件清晰，便于识别，如因上传、扫描、格式等原因导致评审时受到影响，由投标人自行承担相应责任。</w:t>
      </w:r>
    </w:p>
    <w:p w14:paraId="09B61172">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24. </w:t>
      </w:r>
      <w:r>
        <w:rPr>
          <w:rFonts w:ascii="Times New Roman" w:eastAsia="宋体" w:cs="Times New Roman" w:hAnsiTheme="minorEastAsia"/>
          <w:color w:val="auto"/>
          <w:highlight w:val="none"/>
        </w:rPr>
        <w:t>投标人须承诺接受电子投标的方式，并自行承担由此带来的废标、无效投标的风险。</w:t>
      </w:r>
    </w:p>
    <w:p w14:paraId="28C7EA5A">
      <w:pPr>
        <w:pStyle w:val="25"/>
        <w:spacing w:line="360" w:lineRule="auto"/>
        <w:ind w:firstLine="448" w:firstLineChars="200"/>
        <w:jc w:val="both"/>
        <w:rPr>
          <w:rFonts w:ascii="Times New Roman" w:eastAsia="宋体" w:hAnsiTheme="minorEastAsia"/>
          <w:color w:val="auto"/>
          <w:highlight w:val="none"/>
        </w:rPr>
      </w:pPr>
      <w:r>
        <w:rPr>
          <w:rFonts w:hint="eastAsia" w:ascii="Times New Roman" w:hAnsi="Times New Roman" w:eastAsia="宋体" w:cs="Times New Roman"/>
          <w:color w:val="auto"/>
          <w:highlight w:val="none"/>
        </w:rPr>
        <w:t xml:space="preserve">25. </w:t>
      </w:r>
      <w:r>
        <w:rPr>
          <w:rFonts w:hint="eastAsia" w:ascii="Times New Roman" w:eastAsia="宋体" w:cs="Times New Roman" w:hAnsiTheme="minorEastAsia"/>
          <w:color w:val="auto"/>
          <w:highlight w:val="none"/>
        </w:rPr>
        <w:t>未按招标文件的规定提交网上应答和上传加盖投标人电子签章的电子投标文件（以通过天津公共资源电子签章客户端正确读取签章信息为准）的投标将被拒绝。</w:t>
      </w:r>
      <w:r>
        <w:rPr>
          <w:rFonts w:hint="eastAsia" w:ascii="Times New Roman" w:eastAsia="宋体" w:hAnsiTheme="minorEastAsia"/>
          <w:color w:val="auto"/>
          <w:highlight w:val="none"/>
        </w:rPr>
        <w:t>网上应答和电子投标文件内容不一致的，以电子投标文件内容为准。</w:t>
      </w:r>
    </w:p>
    <w:p w14:paraId="1876516B">
      <w:pPr>
        <w:pStyle w:val="25"/>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E  </w:t>
      </w:r>
      <w:r>
        <w:rPr>
          <w:rFonts w:ascii="Times New Roman" w:eastAsia="宋体" w:cs="Times New Roman" w:hAnsiTheme="minorEastAsia"/>
          <w:color w:val="auto"/>
          <w:highlight w:val="none"/>
        </w:rPr>
        <w:t>开标和评标</w:t>
      </w:r>
    </w:p>
    <w:p w14:paraId="0E1E3DBB">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 </w:t>
      </w:r>
      <w:r>
        <w:rPr>
          <w:rFonts w:hint="eastAsia" w:ascii="Times New Roman" w:eastAsia="宋体" w:cs="Times New Roman" w:hAnsiTheme="minorEastAsia"/>
          <w:color w:val="auto"/>
          <w:highlight w:val="none"/>
        </w:rPr>
        <w:t>开标解密和资格审查</w:t>
      </w:r>
    </w:p>
    <w:p w14:paraId="3932E9D4">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26.1 </w:t>
      </w:r>
      <w:r>
        <w:rPr>
          <w:rFonts w:hint="eastAsia" w:ascii="Times New Roman" w:eastAsia="宋体" w:cs="Times New Roman" w:hAnsiTheme="minorEastAsia"/>
          <w:color w:val="auto"/>
          <w:highlight w:val="none"/>
        </w:rPr>
        <w:t>投标人须于《投标邀请函》中规定的时间内使用天津数字认证有限公司发出的CA数字证书（原天津市电子认证中心发出尚在有效期内的CA数字证书仍可使用）登录天津市政府采购中心网（网址：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网上招投标”-“供应商登录”-“区级集采机构入口”完成开标解密。</w:t>
      </w:r>
    </w:p>
    <w:p w14:paraId="71413B0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26.2 </w:t>
      </w:r>
      <w:r>
        <w:rPr>
          <w:rFonts w:ascii="Times New Roman" w:eastAsia="宋体" w:cs="Times New Roman" w:hAnsiTheme="minorEastAsia"/>
          <w:color w:val="auto"/>
          <w:highlight w:val="none"/>
        </w:rPr>
        <w:t>由于投标人原因，没有在规定时间内进行网上开标解密，视为无效投标。</w:t>
      </w:r>
    </w:p>
    <w:p w14:paraId="6E81C97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26.3 </w:t>
      </w:r>
      <w:r>
        <w:rPr>
          <w:rFonts w:ascii="Times New Roman" w:eastAsia="宋体" w:cs="Times New Roman" w:hAnsiTheme="minorEastAsia"/>
          <w:color w:val="auto"/>
          <w:highlight w:val="none"/>
        </w:rPr>
        <w:t>开标解密后，对开标结果进行网上公示，投标人报价为空、为零的将被视为无效投标。</w:t>
      </w:r>
    </w:p>
    <w:p w14:paraId="041BB3BB">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26.4 </w:t>
      </w:r>
      <w:r>
        <w:rPr>
          <w:rFonts w:ascii="Times New Roman" w:eastAsia="宋体" w:cs="Times New Roman" w:hAnsiTheme="minorEastAsia"/>
          <w:color w:val="auto"/>
          <w:highlight w:val="none"/>
        </w:rPr>
        <w:t>开标解密后，投标代表人应保持电话畅通并具备相应的网络环境，随时准备接受评委的网上询标。</w:t>
      </w:r>
    </w:p>
    <w:p w14:paraId="35CAAF0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26.5 </w:t>
      </w:r>
      <w:r>
        <w:rPr>
          <w:rFonts w:ascii="Times New Roman" w:eastAsia="宋体" w:cs="Times New Roman" w:hAnsiTheme="minorEastAsia"/>
          <w:color w:val="auto"/>
          <w:highlight w:val="none"/>
        </w:rPr>
        <w:t>投标人须于规定时间内通过天津市政府采购中心招投标系统</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询标解答</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对评委的网上询标予以解答。如投标代表人被要求到评审现场答疑时，须携带身份证等有效证件原件，以备查验。</w:t>
      </w:r>
    </w:p>
    <w:p w14:paraId="3BA96BD2">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26.6 </w:t>
      </w:r>
      <w:r>
        <w:rPr>
          <w:rFonts w:hint="eastAsia" w:ascii="Times New Roman" w:eastAsia="宋体" w:cs="Times New Roman" w:hAnsiTheme="minorEastAsia"/>
          <w:color w:val="auto"/>
          <w:highlight w:val="none"/>
        </w:rPr>
        <w:t>投标截止时间后，投标人不足</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家的，不得开标。</w:t>
      </w:r>
    </w:p>
    <w:p w14:paraId="6D9A2DAE">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26.7 </w:t>
      </w:r>
      <w:r>
        <w:rPr>
          <w:rFonts w:hint="eastAsia" w:ascii="Times New Roman" w:eastAsia="宋体" w:cs="Times New Roman" w:hAnsiTheme="minorEastAsia"/>
          <w:color w:val="auto"/>
          <w:highlight w:val="none"/>
        </w:rPr>
        <w:t>开标解密后，采购人或采购代理机构应当依法对投标人的资格进行审查。资格审查合格的投标人不足</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家的，不得评标。</w:t>
      </w:r>
    </w:p>
    <w:p w14:paraId="4ED7569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27. </w:t>
      </w:r>
      <w:r>
        <w:rPr>
          <w:rFonts w:ascii="Times New Roman" w:eastAsia="宋体" w:cs="Times New Roman" w:hAnsiTheme="minorEastAsia"/>
          <w:color w:val="auto"/>
          <w:highlight w:val="none"/>
        </w:rPr>
        <w:t>评审委员会</w:t>
      </w:r>
    </w:p>
    <w:p w14:paraId="362275D0">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27.1 </w:t>
      </w:r>
      <w:r>
        <w:rPr>
          <w:rFonts w:hint="eastAsia" w:ascii="Times New Roman" w:eastAsia="宋体" w:cs="Times New Roman" w:hAnsiTheme="minorEastAsia"/>
          <w:color w:val="auto"/>
          <w:highlight w:val="none"/>
        </w:rPr>
        <w:t>评审委员会成员由采购人代表和评审专家组成，成员人数应当为</w:t>
      </w:r>
      <w:r>
        <w:rPr>
          <w:rFonts w:hint="eastAsia" w:ascii="Times New Roman" w:hAnsi="Times New Roman" w:eastAsia="宋体" w:cs="Times New Roman"/>
          <w:color w:val="auto"/>
          <w:highlight w:val="none"/>
        </w:rPr>
        <w:t>5</w:t>
      </w:r>
      <w:r>
        <w:rPr>
          <w:rFonts w:hint="eastAsia" w:ascii="Times New Roman" w:eastAsia="宋体" w:cs="Times New Roman" w:hAnsiTheme="minorEastAsia"/>
          <w:color w:val="auto"/>
          <w:highlight w:val="none"/>
        </w:rPr>
        <w:t>人以上单数，其中评审专家不得少于成员总数的三分之二。</w:t>
      </w:r>
    </w:p>
    <w:p w14:paraId="630E8FEA">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27.2 </w:t>
      </w:r>
      <w:r>
        <w:rPr>
          <w:rFonts w:hint="eastAsia" w:ascii="Times New Roman" w:eastAsia="宋体" w:cs="Times New Roman" w:hAnsiTheme="minorEastAsia"/>
          <w:color w:val="auto"/>
          <w:highlight w:val="none"/>
        </w:rPr>
        <w:t>评审委员会负责审查投标文件是否符合招标文件的要求，并进行审查、询标、评估和比较。评审委员会认为必要时，可向投标人进行询标。</w:t>
      </w:r>
    </w:p>
    <w:p w14:paraId="40B3FEAA">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27.3 </w:t>
      </w:r>
      <w:r>
        <w:rPr>
          <w:rFonts w:hint="eastAsia" w:ascii="Times New Roman" w:eastAsia="宋体" w:cs="Times New Roman" w:hAnsiTheme="minorEastAsia"/>
          <w:color w:val="auto"/>
          <w:highlight w:val="none"/>
        </w:rPr>
        <w:t>出现符合专业条件的供应商或者对招标文件作实质性响应的供应商不足三家，或投标人的报价均超过了采购预算，采购人不能支付的情况时，或出现影响采购公正的违法、违规行为时，评审委员会有权宣布废标。</w:t>
      </w:r>
    </w:p>
    <w:p w14:paraId="543DA6DC">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27.4 </w:t>
      </w:r>
      <w:r>
        <w:rPr>
          <w:rFonts w:hint="eastAsia" w:ascii="Times New Roman" w:eastAsia="宋体" w:cs="Times New Roman" w:hAnsiTheme="minorEastAsia"/>
          <w:color w:val="auto"/>
          <w:highlight w:val="none"/>
        </w:rPr>
        <w:t>评审委员会负责完成全部评标工作，向采购人提出经评审委员会签字的书面评标报告。</w:t>
      </w:r>
    </w:p>
    <w:p w14:paraId="5C371D5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28. </w:t>
      </w:r>
      <w:r>
        <w:rPr>
          <w:rFonts w:ascii="Times New Roman" w:eastAsia="宋体" w:cs="Times New Roman" w:hAnsiTheme="minorEastAsia"/>
          <w:color w:val="auto"/>
          <w:highlight w:val="none"/>
        </w:rPr>
        <w:t>对投标文件的审查和响应性的确定</w:t>
      </w:r>
    </w:p>
    <w:p w14:paraId="496E51A6">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28.1 </w:t>
      </w:r>
      <w:r>
        <w:rPr>
          <w:rFonts w:hint="eastAsia" w:ascii="Times New Roman" w:eastAsia="宋体" w:cs="Times New Roman" w:hAnsiTheme="minorEastAsia"/>
          <w:color w:val="auto"/>
          <w:highlight w:val="none"/>
        </w:rPr>
        <w:t>符合性检查。评审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283F377B">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28.2 </w:t>
      </w:r>
      <w:r>
        <w:rPr>
          <w:rFonts w:hint="eastAsia" w:ascii="Times New Roman" w:eastAsia="宋体" w:cs="Times New Roman" w:hAnsiTheme="minorEastAsia"/>
          <w:color w:val="auto"/>
          <w:highlight w:val="none"/>
        </w:rPr>
        <w:t>投标截止时间后，除评审委员会要求提供外，不接受投标人及与投标人有关的任何一方递交的材料。</w:t>
      </w:r>
    </w:p>
    <w:p w14:paraId="1C402BE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r>
        <w:rPr>
          <w:rFonts w:hint="eastAsia" w:ascii="Times New Roman" w:hAnsi="Times New Roman" w:eastAsia="宋体" w:cs="Times New Roman"/>
          <w:color w:val="auto"/>
          <w:highlight w:val="none"/>
        </w:rPr>
        <w:t>3</w:t>
      </w:r>
      <w:r>
        <w:rPr>
          <w:rFonts w:ascii="Times New Roman" w:eastAsia="宋体" w:cs="Times New Roman" w:hAnsiTheme="minorEastAsia"/>
          <w:color w:val="auto"/>
          <w:highlight w:val="none"/>
        </w:rPr>
        <w:t>实质上没有响应招标文件要求的投标文件，将被拒绝。投标人不得通过修改或撤回不符合要求的重大偏离而使其投标成为响应性的投标。如出现下列情况之一的，其投标将被拒绝或中标无效：</w:t>
      </w:r>
    </w:p>
    <w:p w14:paraId="64E1C61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）投标文件未按招标文件的要求加盖电子签章的；</w:t>
      </w:r>
    </w:p>
    <w:p w14:paraId="4479338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ascii="Times New Roman" w:eastAsia="宋体" w:cs="Times New Roman" w:hAnsiTheme="minorEastAsia"/>
          <w:color w:val="auto"/>
          <w:highlight w:val="none"/>
        </w:rPr>
        <w:t>）投标有效期短于招标文件要求的；</w:t>
      </w:r>
    </w:p>
    <w:p w14:paraId="78BA8D5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3</w:t>
      </w:r>
      <w:r>
        <w:rPr>
          <w:rFonts w:ascii="Times New Roman" w:eastAsia="宋体" w:cs="Times New Roman" w:hAnsiTheme="minorEastAsia"/>
          <w:color w:val="auto"/>
          <w:highlight w:val="none"/>
        </w:rPr>
        <w:t>）投标文件中提供虚假或失实资料的；</w:t>
      </w:r>
    </w:p>
    <w:p w14:paraId="27CD57DD">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（4）不能满足招标文件中全部实质性要求，或加注“★”号条款出现负偏离，或经评审委员会认定未实质性响应招标文件要求，或投标内容不符合相关政策性规定的；</w:t>
      </w:r>
    </w:p>
    <w:p w14:paraId="0BB08C89">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（5）未按时进行网上解密或电子投标文件损坏、无效的；</w:t>
      </w:r>
    </w:p>
    <w:p w14:paraId="0F0C0FAE">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（6）投标报价超出采购预算或最高限价；</w:t>
      </w:r>
    </w:p>
    <w:p w14:paraId="5CC24A9E">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（7）存在串通情形的；</w:t>
      </w:r>
    </w:p>
    <w:p w14:paraId="24B58962">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（8）单位负责人或法定代表人为同一人，或者存在控股、管理关系的不同供应商，参加同一包或者未划分包的同一项目投标的，相关投标均无效；</w:t>
      </w:r>
    </w:p>
    <w:p w14:paraId="63644359">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（9）根据《关于推动解决政府采购异常低价问题的通知》（财库〔2026〕2号）的规定被判定为异常低价，供应商在合理的时间内又不能提供书面说明和必要的证明材料并对投标价格作出解释的。</w:t>
      </w:r>
    </w:p>
    <w:p w14:paraId="1878A9DE">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（10）其他法定投标无效的情形。</w:t>
      </w:r>
    </w:p>
    <w:p w14:paraId="681958C7">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28.4 </w:t>
      </w:r>
      <w:r>
        <w:rPr>
          <w:rFonts w:hint="eastAsia" w:ascii="Times New Roman" w:eastAsia="宋体" w:cs="Times New Roman" w:hAnsiTheme="minorEastAsia"/>
          <w:color w:val="auto"/>
          <w:highlight w:val="none"/>
        </w:rPr>
        <w:t>评审委员会对确定为实质上响应的投标进行审核，</w:t>
      </w:r>
      <w:r>
        <w:rPr>
          <w:rFonts w:ascii="Times New Roman" w:eastAsia="宋体" w:cs="Times New Roman" w:hAnsiTheme="minorEastAsia"/>
          <w:color w:val="auto"/>
          <w:highlight w:val="none"/>
        </w:rPr>
        <w:t>投标文件报价出现前后不一致的</w:t>
      </w:r>
      <w:r>
        <w:rPr>
          <w:rFonts w:hint="eastAsia" w:ascii="Times New Roman" w:eastAsia="宋体" w:cs="Times New Roman" w:hAnsiTheme="minorEastAsia"/>
          <w:color w:val="auto"/>
          <w:highlight w:val="none"/>
        </w:rPr>
        <w:t>，修改错误的原则如下：</w:t>
      </w:r>
    </w:p>
    <w:p w14:paraId="2F6FADCD">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w:t>
      </w:r>
      <w:r>
        <w:rPr>
          <w:rFonts w:hint="eastAsia" w:ascii="Times New Roman" w:eastAsia="宋体" w:cs="Times New Roman" w:hAnsiTheme="minorEastAsia"/>
          <w:color w:val="auto"/>
          <w:highlight w:val="none"/>
        </w:rPr>
        <w:t>）投标文件中开标一览表（报价表）内容与投标文件中相应内容不一致的，以开标一览表（报价表）为准；</w:t>
      </w:r>
    </w:p>
    <w:p w14:paraId="6A6B4D57">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hint="eastAsia" w:ascii="Times New Roman" w:eastAsia="宋体" w:cs="Times New Roman" w:hAnsiTheme="minorEastAsia"/>
          <w:color w:val="auto"/>
          <w:highlight w:val="none"/>
        </w:rPr>
        <w:t>）大写金额和小写金额不一致的，以大写金额为准；</w:t>
      </w:r>
    </w:p>
    <w:p w14:paraId="3182E177">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）单价金额小数点或者百分比有明显错位的，以开标一览表的总价为准，并修改单价；</w:t>
      </w:r>
    </w:p>
    <w:p w14:paraId="05106A6D">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hint="eastAsia" w:ascii="Times New Roman" w:eastAsia="宋体" w:cs="Times New Roman" w:hAnsiTheme="minorEastAsia"/>
          <w:color w:val="auto"/>
          <w:highlight w:val="none"/>
        </w:rPr>
        <w:t>）总价金额与按单价汇总金额不一致的，以单价金额计算结果为准。</w:t>
      </w:r>
    </w:p>
    <w:p w14:paraId="61CF830E">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同时出现两种以上不一致的，按照前款规定的顺序修正。修正后的报价经投标人确认后产生约束力，投标人不确认的，其投标无效。（注：投标人的澄清、说明或者补正应当采用书面形式，并加盖公章，或者由法定代表人或其授权的代表签字。投标人的澄清、说明或者补正不得超出投标文件的范围或者改变投标文件的实质性内容。）</w:t>
      </w:r>
    </w:p>
    <w:p w14:paraId="70E39769">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r>
        <w:rPr>
          <w:rFonts w:hint="eastAsia" w:ascii="Times New Roman" w:hAnsi="Times New Roman" w:eastAsia="宋体" w:cs="Times New Roman"/>
          <w:color w:val="auto"/>
          <w:highlight w:val="none"/>
        </w:rPr>
        <w:t>5</w:t>
      </w:r>
      <w:r>
        <w:rPr>
          <w:rFonts w:ascii="Times New Roman" w:eastAsia="宋体" w:cs="Times New Roman" w:hAnsiTheme="minorEastAsia"/>
          <w:color w:val="auto"/>
          <w:highlight w:val="none"/>
        </w:rPr>
        <w:t>评审委员会将要求投标人按上述修改错误的方法调整投标报价，投标人同意后，调整后的报价对投标人起约束作用。如果投标人不接受修改后的报价，其投标将被拒绝。</w:t>
      </w:r>
    </w:p>
    <w:p w14:paraId="6634837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 </w:t>
      </w:r>
      <w:r>
        <w:rPr>
          <w:rFonts w:ascii="Times New Roman" w:eastAsia="宋体" w:cs="Times New Roman" w:hAnsiTheme="minorEastAsia"/>
          <w:color w:val="auto"/>
          <w:highlight w:val="none"/>
        </w:rPr>
        <w:t>投标文件的澄清</w:t>
      </w:r>
    </w:p>
    <w:p w14:paraId="07A5456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29.1 </w:t>
      </w:r>
      <w:r>
        <w:rPr>
          <w:rFonts w:ascii="Times New Roman" w:eastAsia="宋体" w:cs="Times New Roman" w:hAnsiTheme="minorEastAsia"/>
          <w:color w:val="auto"/>
          <w:highlight w:val="none"/>
        </w:rPr>
        <w:t>澄清有关问题。为了有助于对投标文件进行审查、评估和比较，评审委员会有权要求投标人对投标文件中含义不明确、同类问题表述不一致或者有明显文字和计算错误的内容作出必要的澄清、说明或者纠正。投标人有义务按照评审委员会通知的时间、地点指派投标代表人就相关问题进行澄清。</w:t>
      </w:r>
    </w:p>
    <w:p w14:paraId="6A653977">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29.2 </w:t>
      </w:r>
      <w:r>
        <w:rPr>
          <w:rFonts w:ascii="Times New Roman" w:eastAsia="宋体" w:cs="Times New Roman" w:hAnsiTheme="minorEastAsia"/>
          <w:color w:val="auto"/>
          <w:highlight w:val="none"/>
        </w:rPr>
        <w:t>投标人澄清、说明、答复或者补充的内容须为并加盖电子签章后上传至天津市政府采购中心招投标系统。</w:t>
      </w:r>
    </w:p>
    <w:p w14:paraId="485A866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29.3 </w:t>
      </w:r>
      <w:r>
        <w:rPr>
          <w:rFonts w:ascii="Times New Roman" w:eastAsia="宋体" w:cs="Times New Roman" w:hAnsiTheme="minorEastAsia"/>
          <w:color w:val="auto"/>
          <w:highlight w:val="none"/>
        </w:rPr>
        <w:t>投标人的澄清、说明、答复或者补充应在规定的时间内完成，并不得超出投标文件的范围或对投标内容进行实质性的修改。</w:t>
      </w:r>
    </w:p>
    <w:p w14:paraId="53E25CFB">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29.4 </w:t>
      </w:r>
      <w:r>
        <w:rPr>
          <w:rFonts w:ascii="Times New Roman" w:eastAsia="宋体" w:cs="Times New Roman" w:hAnsiTheme="minorEastAsia"/>
          <w:color w:val="auto"/>
          <w:highlight w:val="none"/>
        </w:rPr>
        <w:t>澄清文件将作为投标文件的一部分，与投标文件具有同等的法律效力。</w:t>
      </w:r>
    </w:p>
    <w:p w14:paraId="2E15DAE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30. </w:t>
      </w:r>
      <w:r>
        <w:rPr>
          <w:rFonts w:ascii="Times New Roman" w:eastAsia="宋体" w:cs="Times New Roman" w:hAnsiTheme="minorEastAsia"/>
          <w:color w:val="auto"/>
          <w:highlight w:val="none"/>
        </w:rPr>
        <w:t>投标的评估和比较</w:t>
      </w:r>
    </w:p>
    <w:p w14:paraId="177CBCD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评审委员会将根据招标文件确定的评标原则和评标方法对确定为实质上响应招标文件要求的投标进行评估和比较。</w:t>
      </w:r>
    </w:p>
    <w:p w14:paraId="27648E65">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 </w:t>
      </w:r>
      <w:r>
        <w:rPr>
          <w:rFonts w:ascii="Times New Roman" w:eastAsia="宋体" w:cs="Times New Roman" w:hAnsiTheme="minorEastAsia"/>
          <w:color w:val="auto"/>
          <w:highlight w:val="none"/>
        </w:rPr>
        <w:t>评标原则和评标方法</w:t>
      </w:r>
    </w:p>
    <w:p w14:paraId="57B784D1">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31.1 </w:t>
      </w:r>
      <w:r>
        <w:rPr>
          <w:rFonts w:ascii="Times New Roman" w:eastAsia="宋体" w:cs="Times New Roman" w:hAnsiTheme="minorEastAsia"/>
          <w:color w:val="auto"/>
          <w:highlight w:val="none"/>
        </w:rPr>
        <w:t>评标原则</w:t>
      </w:r>
    </w:p>
    <w:p w14:paraId="366F34BF">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）评审委员会应当按照客观、公正、审慎的原则，根据招标文件规定的评审程序、评审方法和评审标准进行独立评审。</w:t>
      </w:r>
    </w:p>
    <w:p w14:paraId="63474FA9">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hint="eastAsia" w:ascii="Times New Roman" w:eastAsia="宋体" w:cs="Times New Roman" w:hAnsiTheme="minorEastAsia"/>
          <w:color w:val="auto"/>
          <w:highlight w:val="none"/>
        </w:rPr>
        <w:t>）</w:t>
      </w:r>
      <w:r>
        <w:rPr>
          <w:rFonts w:ascii="Times New Roman" w:eastAsia="宋体" w:cs="Times New Roman" w:hAnsiTheme="minorEastAsia"/>
          <w:color w:val="auto"/>
          <w:highlight w:val="none"/>
        </w:rPr>
        <w:t>评审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41C8032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）对招标文件中描述有歧义或前后不一致的地方，</w:t>
      </w:r>
      <w:r>
        <w:rPr>
          <w:rFonts w:hint="eastAsia" w:ascii="Times New Roman" w:eastAsia="宋体" w:cs="Times New Roman" w:hAnsiTheme="minorEastAsia"/>
          <w:color w:val="auto"/>
          <w:highlight w:val="none"/>
        </w:rPr>
        <w:t>但不影响项目评审的，</w:t>
      </w:r>
      <w:r>
        <w:rPr>
          <w:rFonts w:ascii="Times New Roman" w:eastAsia="宋体" w:cs="Times New Roman" w:hAnsiTheme="minorEastAsia"/>
          <w:color w:val="auto"/>
          <w:highlight w:val="none"/>
        </w:rPr>
        <w:t>评审委员会有权进行评判，但对同一条款的评判应适用于每个投标人。</w:t>
      </w:r>
    </w:p>
    <w:p w14:paraId="312DB334">
      <w:pPr>
        <w:pStyle w:val="25"/>
        <w:spacing w:line="360" w:lineRule="auto"/>
        <w:ind w:firstLine="448" w:firstLineChars="200"/>
        <w:rPr>
          <w:rFonts w:ascii="Times New Roman" w:eastAsia="宋体" w:cs="Times New Roman" w:hAnsiTheme="minorEastAsia"/>
          <w:color w:val="000000" w:themeColor="text1"/>
          <w:highlight w:val="none"/>
          <w14:textFill>
            <w14:solidFill>
              <w14:schemeClr w14:val="tx1"/>
            </w14:solidFill>
          </w14:textFill>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政府采购评审中出现下列情形之一的，评审委员会应当启动异常低价投标审查程序：1.投标报价低于全部通过符合性审查供应商投标报价平均值50%的，即投标报价&lt;全部通过符合性审查供应商投标报价平均值×50%；2.投标报价低于通过符合性审查的次低报价供应商投标报价50%的，即投标报价&lt;通过符合性审查的次低报价供应商投标报价×50%；3.投标报价低于采购项目最高限价45%的，即投标报价&lt;采购项目最高限价×45%；4.评审委员会基于专业判断，认为供应商报价过低，有可能影响产品质量或者不能诚信履约的其他情形。采购人可以结合具体项目实际情况，提高上述第1项至第3项中启动异常低价投标审查的数值标准，但是最高不得超过65%。相关法律法规对供应商报价有规定的，从其规定。本项目启动异常低价投标审查的数值标准以第一部分政府采购政策中具体数值为准。</w:t>
      </w:r>
    </w:p>
    <w:p w14:paraId="4140A908">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68A17B42">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hAnsi="Times New Roman" w:eastAsia="宋体" w:cs="Times New Roman"/>
          <w:color w:val="auto"/>
          <w:highlight w:val="none"/>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16028DA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31.2 </w:t>
      </w:r>
      <w:r>
        <w:rPr>
          <w:rFonts w:ascii="Times New Roman" w:eastAsia="宋体" w:cs="Times New Roman" w:hAnsiTheme="minorEastAsia"/>
          <w:color w:val="auto"/>
          <w:highlight w:val="none"/>
        </w:rPr>
        <w:t>评标方法</w:t>
      </w:r>
    </w:p>
    <w:p w14:paraId="7B0066F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）采用</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综合评分法</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的评标方法，具体评审因素详见《招标项目需求》。评标采用百分制，各评委独立分别对实质上响应招标文件的投标进行逐项打分，对评审委员会各成员每一因素的打分汇总后取算术平均分，该平均分为供应商的得分。</w:t>
      </w:r>
    </w:p>
    <w:p w14:paraId="597A7615">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）根据《中华人民共和国政府采购法实施条例》和《关于进一步规范政府采购评审工作有关问题的通知》（财库〔</w:t>
      </w:r>
      <w:r>
        <w:rPr>
          <w:rFonts w:ascii="Times New Roman" w:hAnsi="Times New Roman" w:eastAsia="宋体" w:cs="Times New Roman"/>
          <w:color w:val="auto"/>
          <w:highlight w:val="none"/>
        </w:rPr>
        <w:t>2012</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69</w:t>
      </w:r>
      <w:r>
        <w:rPr>
          <w:rFonts w:ascii="Times New Roman" w:eastAsia="宋体" w:cs="Times New Roman" w:hAnsiTheme="minorEastAsia"/>
          <w:color w:val="auto"/>
          <w:highlight w:val="none"/>
        </w:rPr>
        <w:t>号）的规定，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14:paraId="4A10DC9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）评审委员会审查产品资质或检测报告等相关文件符合性时，应综合考虑行业特点、交易习惯、采购需求最本质原义等情况，而不应以投标文件中产品名称与招标文件产品名称是否一致作为审查的标准。</w:t>
      </w:r>
    </w:p>
    <w:p w14:paraId="03EA97D2">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4</w:t>
      </w:r>
      <w:r>
        <w:rPr>
          <w:rFonts w:ascii="Times New Roman" w:eastAsia="宋体" w:cs="Times New Roman" w:hAnsiTheme="minorEastAsia"/>
          <w:color w:val="auto"/>
          <w:highlight w:val="none"/>
        </w:rPr>
        <w:t>）中标候选供应商产生办法：按得分由高到低顺序确定中标候选供应商；得分相同的，按投标报价由低到高顺序确定中标候选供应商；得分且投标报价相同的，按</w:t>
      </w:r>
      <w:r>
        <w:rPr>
          <w:rFonts w:hint="eastAsia" w:ascii="Times New Roman" w:hAnsi="Times New Roman" w:eastAsia="宋体" w:cs="Times New Roman"/>
          <w:color w:val="auto"/>
          <w:highlight w:val="none"/>
        </w:rPr>
        <w:t>服务</w:t>
      </w:r>
      <w:r>
        <w:rPr>
          <w:rFonts w:ascii="Times New Roman" w:eastAsia="宋体" w:cs="Times New Roman" w:hAnsiTheme="minorEastAsia"/>
          <w:color w:val="auto"/>
          <w:highlight w:val="none"/>
        </w:rPr>
        <w:t>优劣顺序确定中标候选供应商，</w:t>
      </w:r>
      <w:r>
        <w:rPr>
          <w:rFonts w:hint="eastAsia" w:ascii="Times New Roman" w:eastAsia="宋体" w:cs="Times New Roman" w:hAnsiTheme="minorEastAsia"/>
          <w:color w:val="auto"/>
          <w:highlight w:val="none"/>
        </w:rPr>
        <w:t>采购人按中标候选供应商顺序确定中标供应商。</w:t>
      </w:r>
    </w:p>
    <w:p w14:paraId="59CF1167">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注：中标候选供应商为以上办法中排名前两名的供应商。</w:t>
      </w:r>
    </w:p>
    <w:p w14:paraId="77DB8C8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5</w:t>
      </w:r>
      <w:r>
        <w:rPr>
          <w:rFonts w:ascii="Times New Roman" w:eastAsia="宋体" w:cs="Times New Roman" w:hAnsiTheme="minorEastAsia"/>
          <w:color w:val="auto"/>
          <w:highlight w:val="none"/>
        </w:rPr>
        <w:t>）根据《政府采购货物和服务招标投标管理办法》（</w:t>
      </w:r>
      <w:r>
        <w:rPr>
          <w:rFonts w:hint="eastAsia" w:ascii="Times New Roman" w:eastAsia="宋体" w:cs="Times New Roman" w:hAnsiTheme="minorEastAsia"/>
          <w:color w:val="auto"/>
          <w:highlight w:val="none"/>
        </w:rPr>
        <w:t>财政部</w:t>
      </w:r>
      <w:r>
        <w:rPr>
          <w:rFonts w:ascii="Times New Roman" w:eastAsia="宋体" w:cs="Times New Roman" w:hAnsiTheme="minorEastAsia"/>
          <w:color w:val="auto"/>
          <w:highlight w:val="none"/>
        </w:rPr>
        <w:t>令第</w:t>
      </w:r>
      <w:r>
        <w:rPr>
          <w:rFonts w:hint="eastAsia" w:ascii="Times New Roman" w:hAnsi="Times New Roman" w:eastAsia="宋体" w:cs="Times New Roman"/>
          <w:color w:val="auto"/>
          <w:highlight w:val="none"/>
        </w:rPr>
        <w:t>87</w:t>
      </w:r>
      <w:r>
        <w:rPr>
          <w:rFonts w:ascii="Times New Roman" w:eastAsia="宋体" w:cs="Times New Roman" w:hAnsiTheme="minorEastAsia"/>
          <w:color w:val="auto"/>
          <w:highlight w:val="none"/>
        </w:rPr>
        <w:t>号）第</w:t>
      </w:r>
      <w:r>
        <w:rPr>
          <w:rFonts w:ascii="Times New Roman" w:hAnsi="Times New Roman" w:eastAsia="宋体" w:cs="Times New Roman"/>
          <w:color w:val="auto"/>
          <w:highlight w:val="none"/>
        </w:rPr>
        <w:t>43</w:t>
      </w:r>
      <w:r>
        <w:rPr>
          <w:rFonts w:ascii="Times New Roman" w:eastAsia="宋体" w:cs="Times New Roman" w:hAnsiTheme="minorEastAsia"/>
          <w:color w:val="auto"/>
          <w:highlight w:val="none"/>
        </w:rPr>
        <w:t>条规定，如评审现场经财政部门批准本项目转为其他采购方式的，按相应采购方式程序执行。</w:t>
      </w:r>
    </w:p>
    <w:p w14:paraId="3CAA4D3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 </w:t>
      </w:r>
      <w:r>
        <w:rPr>
          <w:rFonts w:ascii="Times New Roman" w:eastAsia="宋体" w:cs="Times New Roman" w:hAnsiTheme="minorEastAsia"/>
          <w:color w:val="auto"/>
          <w:highlight w:val="none"/>
        </w:rPr>
        <w:t>其他注意事项</w:t>
      </w:r>
    </w:p>
    <w:p w14:paraId="6C61FA4B">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32.1 </w:t>
      </w:r>
      <w:r>
        <w:rPr>
          <w:rFonts w:ascii="Times New Roman" w:eastAsia="宋体" w:cs="Times New Roman" w:hAnsiTheme="minorEastAsia"/>
          <w:color w:val="auto"/>
          <w:highlight w:val="none"/>
        </w:rPr>
        <w:t>在开标、投标期间，投标人不得向评审委员会成员或采购代理机构询问评标情况、施加任何影响，不得进行旨在影响评标结果的活动。</w:t>
      </w:r>
    </w:p>
    <w:p w14:paraId="05CC06F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32.2 </w:t>
      </w:r>
      <w:r>
        <w:rPr>
          <w:rFonts w:ascii="Times New Roman" w:eastAsia="宋体" w:cs="Times New Roman" w:hAnsiTheme="minorEastAsia"/>
          <w:color w:val="auto"/>
          <w:highlight w:val="none"/>
        </w:rPr>
        <w:t>为保证定标的公正性，在评标过程中，评审委员会成员不得与投标人私下交换意见。在开、评标期间及招标工作结束后，凡与评标情况有接触的任何人不得透露审查、澄清、评价和比较等投标的有关资料以及授标建议等评标情况。</w:t>
      </w:r>
    </w:p>
    <w:p w14:paraId="7F34AF36">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32. 3 </w:t>
      </w:r>
      <w:r>
        <w:rPr>
          <w:rFonts w:ascii="Times New Roman" w:eastAsia="宋体" w:cs="Times New Roman" w:hAnsiTheme="minorEastAsia"/>
          <w:color w:val="auto"/>
          <w:highlight w:val="none"/>
        </w:rPr>
        <w:t>本项目不接受赠品、回扣或者与采购无关的其他商品、服务。</w:t>
      </w:r>
    </w:p>
    <w:p w14:paraId="23329744">
      <w:pPr>
        <w:pStyle w:val="25"/>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F  </w:t>
      </w:r>
      <w:r>
        <w:rPr>
          <w:rFonts w:ascii="Times New Roman" w:eastAsia="宋体" w:cs="Times New Roman" w:hAnsiTheme="minorEastAsia"/>
          <w:color w:val="auto"/>
          <w:highlight w:val="none"/>
        </w:rPr>
        <w:t>授予合同</w:t>
      </w:r>
    </w:p>
    <w:p w14:paraId="66E1CDD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33. </w:t>
      </w:r>
      <w:r>
        <w:rPr>
          <w:rFonts w:ascii="Times New Roman" w:eastAsia="宋体" w:cs="Times New Roman" w:hAnsiTheme="minorEastAsia"/>
          <w:color w:val="auto"/>
          <w:highlight w:val="none"/>
        </w:rPr>
        <w:t>中标供应商的产生</w:t>
      </w:r>
    </w:p>
    <w:p w14:paraId="7FA3800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33.1 </w:t>
      </w:r>
      <w:r>
        <w:rPr>
          <w:rFonts w:ascii="Times New Roman" w:eastAsia="宋体" w:cs="Times New Roman" w:hAnsiTheme="minorEastAsia"/>
          <w:color w:val="auto"/>
          <w:highlight w:val="none"/>
        </w:rPr>
        <w:t>采购人可以事先授权评审委员会直接确定中标供应商。</w:t>
      </w:r>
    </w:p>
    <w:p w14:paraId="3E73B09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33.2 </w:t>
      </w:r>
      <w:r>
        <w:rPr>
          <w:rFonts w:ascii="Times New Roman" w:eastAsia="宋体" w:cs="Times New Roman" w:hAnsiTheme="minorEastAsia"/>
          <w:color w:val="auto"/>
          <w:highlight w:val="none"/>
        </w:rPr>
        <w:t>采购人也可以按照《政府采购法》及其实施条例等法律法规的规定和招标文件的要求确认中标供应商。</w:t>
      </w:r>
    </w:p>
    <w:p w14:paraId="77494F50">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34. </w:t>
      </w:r>
      <w:r>
        <w:rPr>
          <w:rFonts w:hint="eastAsia" w:ascii="Times New Roman" w:eastAsia="宋体" w:cs="Times New Roman" w:hAnsiTheme="minorEastAsia"/>
          <w:color w:val="auto"/>
          <w:highlight w:val="none"/>
        </w:rPr>
        <w:t>中标通知</w:t>
      </w:r>
    </w:p>
    <w:p w14:paraId="5274A972">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34.1 </w:t>
      </w:r>
      <w:r>
        <w:rPr>
          <w:rFonts w:hint="eastAsia" w:ascii="Times New Roman" w:eastAsia="宋体" w:cs="Times New Roman" w:hAnsiTheme="minorEastAsia"/>
          <w:color w:val="auto"/>
          <w:highlight w:val="none"/>
        </w:rPr>
        <w:t>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网上招投标”-“供应商登录”-“区级集采机构入口”，并从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查看项目文件</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中获取）。《中标通知书》一经发出即发生法律效力。</w:t>
      </w:r>
    </w:p>
    <w:p w14:paraId="60955E24">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35. </w:t>
      </w:r>
      <w:r>
        <w:rPr>
          <w:rFonts w:hint="eastAsia" w:ascii="Times New Roman" w:eastAsia="宋体" w:cs="Times New Roman" w:hAnsiTheme="minorEastAsia"/>
          <w:color w:val="auto"/>
          <w:highlight w:val="none"/>
        </w:rPr>
        <w:t>投标人可使用天津数字认证有限公司发出的CA数字证书（原天津市电子认证中心发出尚在有效期内的CA数字证书仍可使用）登录天津市政府采购中心网（网址：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网上招投标”-“供应商登录”-“区级集采机构入口”，并从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查看项目文件</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中获取未通过资格审查的原因或从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综合得分及排名</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中获取未中标人本人的评审得分与排序。</w:t>
      </w:r>
    </w:p>
    <w:p w14:paraId="5D498236">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36. </w:t>
      </w:r>
      <w:r>
        <w:rPr>
          <w:rFonts w:hint="eastAsia" w:ascii="Times New Roman" w:eastAsia="宋体" w:cs="Times New Roman" w:hAnsiTheme="minorEastAsia"/>
          <w:color w:val="auto"/>
          <w:highlight w:val="none"/>
        </w:rPr>
        <w:t>签订合同</w:t>
      </w:r>
    </w:p>
    <w:p w14:paraId="68154A79">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36.1 </w:t>
      </w:r>
      <w:r>
        <w:rPr>
          <w:rFonts w:hint="eastAsia" w:ascii="Times New Roman" w:eastAsia="宋体" w:cs="Times New Roman" w:hAnsiTheme="minorEastAsia"/>
          <w:color w:val="auto"/>
          <w:highlight w:val="none"/>
        </w:rPr>
        <w:t>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n</w:t>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网上招投标”-“供应商登录”-“区级集采机构入口”，并从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合同</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w:t>
      </w:r>
    </w:p>
    <w:p w14:paraId="13D703A3">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36.2 </w:t>
      </w:r>
      <w:r>
        <w:rPr>
          <w:rFonts w:hint="eastAsia" w:ascii="Times New Roman" w:eastAsia="宋体" w:cs="Times New Roman" w:hAnsiTheme="minorEastAsia"/>
          <w:color w:val="auto"/>
          <w:highlight w:val="none"/>
        </w:rPr>
        <w:t>招标文件、中标供应商的投标文件及其澄清文件等，均为签订合同的依据，且为合同的组成部分。</w:t>
      </w:r>
    </w:p>
    <w:p w14:paraId="3AB34B79">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37. </w:t>
      </w:r>
      <w:r>
        <w:rPr>
          <w:rFonts w:hint="eastAsia" w:ascii="Times New Roman" w:eastAsia="宋体" w:cs="Times New Roman" w:hAnsiTheme="minorEastAsia"/>
          <w:color w:val="auto"/>
          <w:highlight w:val="none"/>
        </w:rPr>
        <w:t>履约保证金</w:t>
      </w:r>
    </w:p>
    <w:p w14:paraId="0B6330D6">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37.1 </w:t>
      </w:r>
      <w:r>
        <w:rPr>
          <w:rFonts w:hint="eastAsia" w:ascii="Times New Roman" w:eastAsia="宋体" w:cs="Times New Roman" w:hAnsiTheme="minorEastAsia"/>
          <w:color w:val="auto"/>
          <w:highlight w:val="none"/>
        </w:rPr>
        <w:t>若《招标项目要求》规定须提交履约保证金的，合同签订前，中标供应商须按照规定要求提交履约保证金，履约保证金的有效期至货到并最终验收合格之日。</w:t>
      </w:r>
    </w:p>
    <w:p w14:paraId="775526FA">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37.2 </w:t>
      </w:r>
      <w:r>
        <w:rPr>
          <w:rFonts w:hint="eastAsia" w:ascii="Times New Roman" w:eastAsia="宋体" w:cs="Times New Roman" w:hAnsiTheme="minorEastAsia"/>
          <w:color w:val="auto"/>
          <w:highlight w:val="none"/>
        </w:rPr>
        <w:t>中标供应商未能按合同规定履行其义务，采购人有权没收其履约保证金。</w:t>
      </w:r>
    </w:p>
    <w:p w14:paraId="18C54F97">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38. </w:t>
      </w:r>
      <w:r>
        <w:rPr>
          <w:rFonts w:hint="eastAsia" w:ascii="Times New Roman" w:eastAsia="宋体" w:cs="Times New Roman" w:hAnsiTheme="minorEastAsia"/>
          <w:color w:val="auto"/>
          <w:highlight w:val="none"/>
        </w:rPr>
        <w:t>中标供应商拒绝与采购人签订合同的，采购人可以按照评审报告推荐的中标候选人名单排序，确定下一候选人为中标供应商，也可以重新开展政府采购活动。</w:t>
      </w:r>
    </w:p>
    <w:p w14:paraId="648B169D">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39. </w:t>
      </w:r>
      <w:r>
        <w:rPr>
          <w:rFonts w:hint="eastAsia" w:ascii="Times New Roman" w:eastAsia="宋体" w:cs="Times New Roman" w:hAnsiTheme="minorEastAsia"/>
          <w:color w:val="auto"/>
          <w:highlight w:val="none"/>
        </w:rPr>
        <w:t>合同分包</w:t>
      </w:r>
    </w:p>
    <w:p w14:paraId="46EF7F2B">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39.1 </w:t>
      </w:r>
      <w:r>
        <w:rPr>
          <w:rFonts w:hint="eastAsia" w:ascii="Times New Roman" w:eastAsia="宋体" w:cs="Times New Roman" w:hAnsiTheme="minorEastAsia"/>
          <w:color w:val="auto"/>
          <w:highlight w:val="none"/>
        </w:rPr>
        <w:t>未经采购人同意，中标供应商不得分包合同。</w:t>
      </w:r>
    </w:p>
    <w:p w14:paraId="6CEE714E">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hAnsi="Times New Roman" w:eastAsia="宋体" w:cs="Times New Roman"/>
          <w:color w:val="auto"/>
          <w:highlight w:val="none"/>
        </w:rPr>
        <w:t xml:space="preserve">39.2 </w:t>
      </w:r>
      <w:r>
        <w:rPr>
          <w:rFonts w:hint="eastAsia" w:ascii="Times New Roman" w:eastAsia="宋体" w:cs="Times New Roman" w:hAnsiTheme="minorEastAsia"/>
          <w:color w:val="auto"/>
          <w:highlight w:val="none"/>
        </w:rPr>
        <w:t>政府采购合同分包履行的，中标供应商就采购项目和分包项目向采购人负责，分包供应商就分包项目承担责任。</w:t>
      </w:r>
    </w:p>
    <w:p w14:paraId="127DB1A1">
      <w:pPr>
        <w:pStyle w:val="25"/>
        <w:spacing w:line="360" w:lineRule="auto"/>
        <w:ind w:firstLine="448" w:firstLineChars="200"/>
        <w:jc w:val="center"/>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G 政府采购“明白纸”</w:t>
      </w:r>
    </w:p>
    <w:p w14:paraId="7B141D5D">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40.1政府采购支持中小企业政策“明白纸”</w:t>
      </w:r>
    </w:p>
    <w:p w14:paraId="4DB77B9C">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区财政局区发展改革委区住房建设委区交通运输局区水务局区政务服务办关于进一步贯彻落实政府采购支持中小企业政策的通知》（津滨财采[2022]8号）（以下简称通知）提出了哪些进一步支持中小企业的措施？</w:t>
      </w:r>
    </w:p>
    <w:p w14:paraId="130DEF35">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一是阶段性提高政府采购工程面向中小企业预留份额。400万元以下的工程采购项目适宜由中小企业提供的应专门面向中小企业采购。超过400万元的工程采购项目中适宜由中小企业提供的，2022年下半年面向中小企业的预留份额由30%以上阶段性提高至40%以上。</w:t>
      </w:r>
    </w:p>
    <w:p w14:paraId="189E8E70">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二是调整对小微企业的价格评审优惠幅度。货物服务采购项目给予小微企业的价格扣除优惠，由6%-10%提高至10-%20%。大中型企业与小微企业组成联合体或者大中型企业向小微企业分包的，评审优惠幅度由2%-3%提高至4%-6%。货物、服务采购项目适宜由中小企业提供的，以及大中型企业与小微企业组成联合体或者大中型企业向小微企业分包的，对小微企业给予价格扣除优惠时按照上述比例区间上限执行。</w:t>
      </w:r>
    </w:p>
    <w:p w14:paraId="15CB0B6C">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ascii="Times New Roman" w:eastAsia="宋体" w:cs="Times New Roman" w:hAnsiTheme="minorEastAsia"/>
          <w:color w:val="auto"/>
          <w:highlight w:val="none"/>
        </w:rPr>
        <w:t>）《通知》是如何降低中小企业参与政府采购成本的？</w:t>
      </w:r>
    </w:p>
    <w:p w14:paraId="2981F292">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《通知》在保证金收取、资金支付、合同融资等方面对支持中小企业也作出了规定，多措并举降低中小企业参与政府采购成本。</w:t>
      </w:r>
    </w:p>
    <w:p w14:paraId="794397B0">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14:paraId="311F342C">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3</w:t>
      </w:r>
      <w:r>
        <w:rPr>
          <w:rFonts w:ascii="Times New Roman" w:eastAsia="宋体" w:cs="Times New Roman" w:hAnsiTheme="minorEastAsia"/>
          <w:color w:val="auto"/>
          <w:highlight w:val="none"/>
        </w:rPr>
        <w:t>）怎样确保政策落实到位？</w:t>
      </w:r>
    </w:p>
    <w:p w14:paraId="152151EE">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一是强化政策宣传。政策印发后，新区财政局制定政府采购支持中小企业政策“明白纸”，细致解读政策内容，通过开展线上腾讯会议营商环境大讲堂对政策进行宣讲解读，提高中小企业政策知晓率。</w:t>
      </w:r>
    </w:p>
    <w:p w14:paraId="3A50D80D">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二是形成监督合力，新区财政、发展改革、住房城乡建设、交通运输、水务、政务服务等部门根据各自职责分工，积极调整完善执行工程招投标领域有关标准文本、评标制度等规定和做法，广泛开展政策宣贯，确保预留份额、评审优惠等政策措施在全口径政府采购工程项目中得到有效贯彻执行，提高中小企业合同规模。</w:t>
      </w:r>
    </w:p>
    <w:p w14:paraId="4A7D343A">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ascii="Times New Roman" w:eastAsia="宋体" w:cs="Times New Roman" w:hAnsiTheme="minorEastAsia"/>
          <w:color w:val="auto"/>
          <w:highlight w:val="none"/>
        </w:rPr>
        <w:t>）中小企业怎样知晓采购项目是否面向中小企业？</w:t>
      </w:r>
    </w:p>
    <w:p w14:paraId="4049762D">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《政府采购促进中小企业发展管理办法》明确采购项目涉及中小企业采购的，预留份额、价格扣除比例或价格加分比例等内容应当在采购文件中明确。因此，中小企业可在采购文件中获取相关信息。</w:t>
      </w:r>
    </w:p>
    <w:p w14:paraId="5D4785C5">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5</w:t>
      </w:r>
      <w:r>
        <w:rPr>
          <w:rFonts w:ascii="Times New Roman" w:eastAsia="宋体" w:cs="Times New Roman" w:hAnsiTheme="minorEastAsia"/>
          <w:color w:val="auto"/>
          <w:highlight w:val="none"/>
        </w:rPr>
        <w:t>）中小企业享受扶持政策应提供什么份证明材料？</w:t>
      </w:r>
    </w:p>
    <w:p w14:paraId="1BE3C636">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函内容不实的，属于提供虚假材料谋取中标、成交，依照《中华人民共和国政府采购法》等国家有关规定追究相应责任。</w:t>
      </w:r>
    </w:p>
    <w:p w14:paraId="0C37D1D3">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6</w:t>
      </w:r>
      <w:r>
        <w:rPr>
          <w:rFonts w:ascii="Times New Roman" w:eastAsia="宋体" w:cs="Times New Roman" w:hAnsiTheme="minorEastAsia"/>
          <w:color w:val="auto"/>
          <w:highlight w:val="none"/>
        </w:rPr>
        <w:t>）企业不清楚自身是否为中小企业，怎么办？</w:t>
      </w:r>
    </w:p>
    <w:p w14:paraId="547934B6">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关于企业标准的判定，参与政府采购的企业可根据《中小企业划型标准规定》（工信部联企业〔2011〕300号）要求判定是否为中小企业。此外，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14:paraId="48E818A3">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40.2 滨海新区财政局</w:t>
      </w:r>
      <w:r>
        <w:rPr>
          <w:rFonts w:hint="eastAsia" w:ascii="Times New Roman" w:hAnsi="Times New Roman" w:eastAsia="宋体" w:cs="Times New Roman"/>
          <w:color w:val="auto"/>
          <w:highlight w:val="none"/>
        </w:rPr>
        <w:t>“政采贷”</w:t>
      </w:r>
      <w:r>
        <w:rPr>
          <w:rFonts w:hint="eastAsia" w:ascii="Times New Roman" w:eastAsia="宋体" w:cs="Times New Roman" w:hAnsiTheme="minorEastAsia"/>
          <w:color w:val="auto"/>
          <w:highlight w:val="none"/>
        </w:rPr>
        <w:t>明白纸</w:t>
      </w:r>
    </w:p>
    <w:p w14:paraId="0B05FBFC">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14:paraId="7FA0B30E">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一、“政采贷”概念</w:t>
      </w:r>
    </w:p>
    <w:p w14:paraId="53022F59">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政采贷”即政府采购合同融资的简称，是金融机构以中小企业的诚信考量和信用审查为基础，基于其取得并提供的政府采购合同，按优惠贷款利率直接向中小企业发放贷款的一种融资方式。政采贷能有效减轻企业融资成本和负担，助力解决民营企业、中小企业“融资难、融资贵、资金不足”的困难。</w:t>
      </w:r>
    </w:p>
    <w:p w14:paraId="15DF4E90">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二、“政采贷”基本流程介绍</w:t>
      </w:r>
    </w:p>
    <w:p w14:paraId="32D5AD00">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“企业申请”-“银行接受申请”-“获取政采业务数据、订单信息、合同信息等”-“线下尽调、审核资质”-“银行风控评估”-“预授信”-“放款、提款”</w:t>
      </w:r>
    </w:p>
    <w:p w14:paraId="4A5AA5CD">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三、我市主要金融机构开通“政采贷”情况</w:t>
      </w:r>
    </w:p>
    <w:p w14:paraId="12978A48">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目前“政采贷”业务已经逐步在各大商业金融机构上线，未来我市主要金融机构“政采贷”业务将实现全覆盖，中标供应商可以根据自身情况自行选择。其中部分金融机构及咨询电话见下表(后续将持续更新)：</w:t>
      </w:r>
    </w:p>
    <w:tbl>
      <w:tblPr>
        <w:tblStyle w:val="19"/>
        <w:tblW w:w="8519" w:type="dxa"/>
        <w:tblInd w:w="93" w:type="dxa"/>
        <w:tblLayout w:type="fixed"/>
        <w:tblCellMar>
          <w:top w:w="0" w:type="dxa"/>
          <w:left w:w="108" w:type="dxa"/>
          <w:bottom w:w="0" w:type="dxa"/>
          <w:right w:w="108" w:type="dxa"/>
        </w:tblCellMar>
      </w:tblPr>
      <w:tblGrid>
        <w:gridCol w:w="492"/>
        <w:gridCol w:w="1001"/>
        <w:gridCol w:w="1292"/>
        <w:gridCol w:w="964"/>
        <w:gridCol w:w="3384"/>
        <w:gridCol w:w="1386"/>
      </w:tblGrid>
      <w:tr w14:paraId="5E9574D1">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AA0B9B5">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序号</w:t>
            </w:r>
          </w:p>
        </w:tc>
        <w:tc>
          <w:tcPr>
            <w:tcW w:w="1001" w:type="dxa"/>
            <w:tcBorders>
              <w:top w:val="single" w:color="000000" w:sz="4" w:space="0"/>
              <w:left w:val="single" w:color="000000" w:sz="4" w:space="0"/>
              <w:bottom w:val="single" w:color="000000" w:sz="4" w:space="0"/>
              <w:right w:val="single" w:color="000000" w:sz="4" w:space="0"/>
            </w:tcBorders>
            <w:vAlign w:val="center"/>
          </w:tcPr>
          <w:p w14:paraId="63012E84">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金融机构名称</w:t>
            </w:r>
          </w:p>
        </w:tc>
        <w:tc>
          <w:tcPr>
            <w:tcW w:w="1292" w:type="dxa"/>
            <w:tcBorders>
              <w:top w:val="single" w:color="000000" w:sz="4" w:space="0"/>
              <w:left w:val="single" w:color="000000" w:sz="4" w:space="0"/>
              <w:bottom w:val="single" w:color="000000" w:sz="4" w:space="0"/>
              <w:right w:val="single" w:color="000000" w:sz="4" w:space="0"/>
            </w:tcBorders>
            <w:vAlign w:val="center"/>
          </w:tcPr>
          <w:p w14:paraId="3F626F05">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参考利率及额度</w:t>
            </w:r>
          </w:p>
        </w:tc>
        <w:tc>
          <w:tcPr>
            <w:tcW w:w="964" w:type="dxa"/>
            <w:tcBorders>
              <w:top w:val="single" w:color="000000" w:sz="4" w:space="0"/>
              <w:left w:val="single" w:color="000000" w:sz="4" w:space="0"/>
              <w:bottom w:val="single" w:color="000000" w:sz="4" w:space="0"/>
              <w:right w:val="single" w:color="000000" w:sz="4" w:space="0"/>
            </w:tcBorders>
            <w:vAlign w:val="center"/>
          </w:tcPr>
          <w:p w14:paraId="3E49F054">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现阶段面向范围</w:t>
            </w:r>
          </w:p>
        </w:tc>
        <w:tc>
          <w:tcPr>
            <w:tcW w:w="3384" w:type="dxa"/>
            <w:tcBorders>
              <w:top w:val="single" w:color="000000" w:sz="4" w:space="0"/>
              <w:left w:val="single" w:color="000000" w:sz="4" w:space="0"/>
              <w:bottom w:val="single" w:color="000000" w:sz="4" w:space="0"/>
              <w:right w:val="single" w:color="000000" w:sz="4" w:space="0"/>
            </w:tcBorders>
            <w:vAlign w:val="center"/>
          </w:tcPr>
          <w:p w14:paraId="3595945E">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申请条件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4669A96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咨询电话</w:t>
            </w:r>
          </w:p>
        </w:tc>
      </w:tr>
      <w:tr w14:paraId="144B97F7">
        <w:tblPrEx>
          <w:tblCellMar>
            <w:top w:w="0" w:type="dxa"/>
            <w:left w:w="108" w:type="dxa"/>
            <w:bottom w:w="0" w:type="dxa"/>
            <w:right w:w="108" w:type="dxa"/>
          </w:tblCellMar>
        </w:tblPrEx>
        <w:trPr>
          <w:trHeight w:val="31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6AF54F0">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w:t>
            </w:r>
          </w:p>
        </w:tc>
        <w:tc>
          <w:tcPr>
            <w:tcW w:w="1001" w:type="dxa"/>
            <w:tcBorders>
              <w:top w:val="single" w:color="000000" w:sz="4" w:space="0"/>
              <w:left w:val="single" w:color="000000" w:sz="4" w:space="0"/>
              <w:bottom w:val="single" w:color="000000" w:sz="4" w:space="0"/>
              <w:right w:val="single" w:color="000000" w:sz="4" w:space="0"/>
            </w:tcBorders>
            <w:vAlign w:val="center"/>
          </w:tcPr>
          <w:p w14:paraId="2F5A3AF4">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中国银行</w:t>
            </w:r>
          </w:p>
        </w:tc>
        <w:tc>
          <w:tcPr>
            <w:tcW w:w="1292" w:type="dxa"/>
            <w:tcBorders>
              <w:top w:val="single" w:color="000000" w:sz="4" w:space="0"/>
              <w:left w:val="single" w:color="000000" w:sz="4" w:space="0"/>
              <w:bottom w:val="single" w:color="000000" w:sz="4" w:space="0"/>
              <w:right w:val="single" w:color="000000" w:sz="4" w:space="0"/>
            </w:tcBorders>
            <w:vAlign w:val="bottom"/>
          </w:tcPr>
          <w:p w14:paraId="33946C39">
            <w:pPr>
              <w:widowControl/>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6008886B">
            <w:pPr>
              <w:widowControl/>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根据当期lpr进行综合核定，原则上不3.85%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4266562D">
            <w:pPr>
              <w:widowControl/>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小微企业不超过1000万元,大中型企业具体以政府采购金额为测算依据，无金额限制</w:t>
            </w:r>
          </w:p>
        </w:tc>
        <w:tc>
          <w:tcPr>
            <w:tcW w:w="964" w:type="dxa"/>
            <w:tcBorders>
              <w:top w:val="single" w:color="000000" w:sz="4" w:space="0"/>
              <w:left w:val="single" w:color="000000" w:sz="4" w:space="0"/>
              <w:bottom w:val="single" w:color="000000" w:sz="4" w:space="0"/>
              <w:right w:val="single" w:color="000000" w:sz="4" w:space="0"/>
            </w:tcBorders>
            <w:vAlign w:val="center"/>
          </w:tcPr>
          <w:p w14:paraId="6B04C600">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312CDD0C">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1、在政府采购中无不良履约记录；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2、企业及其实际控制人、法定代表人、受益所有人等关联人员不存在涉及洗钱、恐怖融资、金融诈骗、偷逃税、侵犯知识产权等违法犯罪行为或违反制裁规定的行为；</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color="000000" w:sz="4" w:space="0"/>
              <w:left w:val="single" w:color="000000" w:sz="4" w:space="0"/>
              <w:bottom w:val="single" w:color="000000" w:sz="4" w:space="0"/>
              <w:right w:val="single" w:color="000000" w:sz="4" w:space="0"/>
            </w:tcBorders>
            <w:vAlign w:val="center"/>
          </w:tcPr>
          <w:p w14:paraId="2128D055">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27106030 </w:t>
            </w:r>
          </w:p>
          <w:p w14:paraId="35CCFE7B">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吴楠</w:t>
            </w:r>
          </w:p>
        </w:tc>
      </w:tr>
      <w:tr w14:paraId="7418DFD2">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311AC0F">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2</w:t>
            </w:r>
          </w:p>
        </w:tc>
        <w:tc>
          <w:tcPr>
            <w:tcW w:w="1001" w:type="dxa"/>
            <w:tcBorders>
              <w:top w:val="single" w:color="000000" w:sz="4" w:space="0"/>
              <w:left w:val="single" w:color="000000" w:sz="4" w:space="0"/>
              <w:bottom w:val="single" w:color="000000" w:sz="4" w:space="0"/>
              <w:right w:val="single" w:color="000000" w:sz="4" w:space="0"/>
            </w:tcBorders>
            <w:vAlign w:val="center"/>
          </w:tcPr>
          <w:p w14:paraId="4802804F">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邮储银行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3012DC5">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7F459496">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约4.95%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2B623D46">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72D566CA">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7FD554B5">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企业经营满一年以上，有一年以上政府中标历史记录，当前有生效政府中标订单，企业及法定代表人征信记录良好</w:t>
            </w:r>
          </w:p>
        </w:tc>
        <w:tc>
          <w:tcPr>
            <w:tcW w:w="1386" w:type="dxa"/>
            <w:tcBorders>
              <w:top w:val="single" w:color="000000" w:sz="4" w:space="0"/>
              <w:left w:val="single" w:color="000000" w:sz="4" w:space="0"/>
              <w:bottom w:val="single" w:color="000000" w:sz="4" w:space="0"/>
              <w:right w:val="single" w:color="000000" w:sz="4" w:space="0"/>
            </w:tcBorders>
            <w:vAlign w:val="center"/>
          </w:tcPr>
          <w:p w14:paraId="361F9160">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13820988723</w:t>
            </w:r>
            <w:r>
              <w:rPr>
                <w:rFonts w:hint="eastAsia" w:ascii="宋体" w:hAnsi="宋体" w:cs="宋体"/>
                <w:color w:val="000000"/>
                <w:kern w:val="0"/>
                <w:sz w:val="19"/>
                <w:szCs w:val="19"/>
                <w:highlight w:val="none"/>
              </w:rPr>
              <w:t>张日超</w:t>
            </w:r>
          </w:p>
        </w:tc>
      </w:tr>
      <w:tr w14:paraId="76C02FC1">
        <w:tblPrEx>
          <w:tblCellMar>
            <w:top w:w="0" w:type="dxa"/>
            <w:left w:w="108" w:type="dxa"/>
            <w:bottom w:w="0" w:type="dxa"/>
            <w:right w:w="108" w:type="dxa"/>
          </w:tblCellMar>
        </w:tblPrEx>
        <w:trPr>
          <w:trHeight w:val="9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94F7438">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3</w:t>
            </w:r>
          </w:p>
        </w:tc>
        <w:tc>
          <w:tcPr>
            <w:tcW w:w="1001" w:type="dxa"/>
            <w:tcBorders>
              <w:top w:val="single" w:color="000000" w:sz="4" w:space="0"/>
              <w:left w:val="single" w:color="000000" w:sz="4" w:space="0"/>
              <w:bottom w:val="single" w:color="000000" w:sz="4" w:space="0"/>
              <w:right w:val="single" w:color="000000" w:sz="4" w:space="0"/>
            </w:tcBorders>
            <w:vAlign w:val="center"/>
          </w:tcPr>
          <w:p w14:paraId="782A8F23">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光大银行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3C2293A">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1AB4651F">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约4%</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159821F1">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085ADF90">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13F55F4">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1.具有独立承担民事责任的能力，有固定经营场所，将我行账户作为政府采购合同唯一回款账户。</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2.企业成立1年以上，且实际控制人具有3年以上的实际行业经验，具有良好的纳税记录、工商登记记录；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3.企业具有履行合同所必须的设备和服务能力；</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4.生产经营符合国家法律法规，产业政策和环境保护要求，符合我行信贷政策；</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5.人行征信信息查询系统查询显示借款人、实际控制人无重大不良记录，政府采购履约无不良记录。</w:t>
            </w:r>
          </w:p>
        </w:tc>
        <w:tc>
          <w:tcPr>
            <w:tcW w:w="1386" w:type="dxa"/>
            <w:tcBorders>
              <w:top w:val="single" w:color="000000" w:sz="4" w:space="0"/>
              <w:left w:val="single" w:color="000000" w:sz="4" w:space="0"/>
              <w:bottom w:val="single" w:color="000000" w:sz="4" w:space="0"/>
              <w:right w:val="single" w:color="000000" w:sz="4" w:space="0"/>
            </w:tcBorders>
            <w:vAlign w:val="center"/>
          </w:tcPr>
          <w:p w14:paraId="15D145CA">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 xml:space="preserve">18722110192谢凝 </w:t>
            </w:r>
            <w:r>
              <w:rPr>
                <w:rFonts w:hint="eastAsia" w:ascii="宋体" w:hAnsi="宋体" w:cs="宋体"/>
                <w:color w:val="000000"/>
                <w:kern w:val="0"/>
                <w:sz w:val="19"/>
                <w:szCs w:val="19"/>
                <w:highlight w:val="none"/>
              </w:rPr>
              <w:t>18622858578</w:t>
            </w:r>
          </w:p>
          <w:p w14:paraId="186F0930">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马嵘</w:t>
            </w:r>
          </w:p>
        </w:tc>
      </w:tr>
      <w:tr w14:paraId="065C0905">
        <w:tblPrEx>
          <w:tblCellMar>
            <w:top w:w="0" w:type="dxa"/>
            <w:left w:w="108" w:type="dxa"/>
            <w:bottom w:w="0" w:type="dxa"/>
            <w:right w:w="108" w:type="dxa"/>
          </w:tblCellMar>
        </w:tblPrEx>
        <w:trPr>
          <w:trHeight w:val="7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5F4FD98">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4</w:t>
            </w:r>
          </w:p>
        </w:tc>
        <w:tc>
          <w:tcPr>
            <w:tcW w:w="1001" w:type="dxa"/>
            <w:tcBorders>
              <w:top w:val="single" w:color="000000" w:sz="4" w:space="0"/>
              <w:left w:val="single" w:color="000000" w:sz="4" w:space="0"/>
              <w:bottom w:val="single" w:color="000000" w:sz="4" w:space="0"/>
              <w:right w:val="single" w:color="000000" w:sz="4" w:space="0"/>
            </w:tcBorders>
            <w:vAlign w:val="center"/>
          </w:tcPr>
          <w:p w14:paraId="62B17B12">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浦发银行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DCB4CFC">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0B554B86">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约3.8%</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融资额度：不超过500万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623EFD57">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589CC26">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1、申请人不得有失信记录；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2、订单对应的政府采购部门在天津市，中标企业注册地在天津。</w:t>
            </w:r>
          </w:p>
        </w:tc>
        <w:tc>
          <w:tcPr>
            <w:tcW w:w="1386" w:type="dxa"/>
            <w:tcBorders>
              <w:top w:val="single" w:color="000000" w:sz="4" w:space="0"/>
              <w:left w:val="single" w:color="000000" w:sz="4" w:space="0"/>
              <w:bottom w:val="single" w:color="000000" w:sz="4" w:space="0"/>
              <w:right w:val="single" w:color="000000" w:sz="4" w:space="0"/>
            </w:tcBorders>
            <w:vAlign w:val="center"/>
          </w:tcPr>
          <w:p w14:paraId="3269839B">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13612152218</w:t>
            </w:r>
          </w:p>
          <w:p w14:paraId="14EA94D2">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刘扬</w:t>
            </w:r>
          </w:p>
        </w:tc>
      </w:tr>
      <w:tr w14:paraId="01A3C3F4">
        <w:tblPrEx>
          <w:tblCellMar>
            <w:top w:w="0" w:type="dxa"/>
            <w:left w:w="108" w:type="dxa"/>
            <w:bottom w:w="0" w:type="dxa"/>
            <w:right w:w="108" w:type="dxa"/>
          </w:tblCellMar>
        </w:tblPrEx>
        <w:trPr>
          <w:trHeight w:val="19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3D2B84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5</w:t>
            </w:r>
          </w:p>
        </w:tc>
        <w:tc>
          <w:tcPr>
            <w:tcW w:w="1001" w:type="dxa"/>
            <w:tcBorders>
              <w:top w:val="single" w:color="000000" w:sz="4" w:space="0"/>
              <w:left w:val="single" w:color="000000" w:sz="4" w:space="0"/>
              <w:bottom w:val="single" w:color="000000" w:sz="4" w:space="0"/>
              <w:right w:val="single" w:color="000000" w:sz="4" w:space="0"/>
            </w:tcBorders>
            <w:vAlign w:val="center"/>
          </w:tcPr>
          <w:p w14:paraId="15F4E6E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齐鲁银行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F4B9EC2">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43166D11">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4.50%起</w:t>
            </w:r>
          </w:p>
          <w:p w14:paraId="4E62F0ED">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融资额度：</w:t>
            </w:r>
          </w:p>
          <w:p w14:paraId="44C1A670">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541AF792">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998708F">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1、获得政府采购订单，中标信息可在公开网站查询。如无法查询，可出示国家扶持政策内不公开中标信息文件。</w:t>
            </w:r>
          </w:p>
          <w:p w14:paraId="5822F397">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2、采购合同回款账户为齐鲁银行，并做质押登记。</w:t>
            </w:r>
          </w:p>
          <w:p w14:paraId="4FE7D94C">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3、符合我行客户准入要求（同上一条）。</w:t>
            </w:r>
          </w:p>
        </w:tc>
        <w:tc>
          <w:tcPr>
            <w:tcW w:w="1386" w:type="dxa"/>
            <w:tcBorders>
              <w:top w:val="single" w:color="000000" w:sz="4" w:space="0"/>
              <w:left w:val="single" w:color="000000" w:sz="4" w:space="0"/>
              <w:bottom w:val="single" w:color="000000" w:sz="4" w:space="0"/>
              <w:right w:val="single" w:color="000000" w:sz="4" w:space="0"/>
            </w:tcBorders>
            <w:vAlign w:val="center"/>
          </w:tcPr>
          <w:p w14:paraId="0C88129A">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022-23271885</w:t>
            </w:r>
          </w:p>
          <w:p w14:paraId="5B3E5730">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朱怡璇</w:t>
            </w:r>
          </w:p>
        </w:tc>
      </w:tr>
      <w:tr w14:paraId="5ED071E6">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2A11041">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6</w:t>
            </w:r>
          </w:p>
        </w:tc>
        <w:tc>
          <w:tcPr>
            <w:tcW w:w="1001" w:type="dxa"/>
            <w:tcBorders>
              <w:top w:val="single" w:color="000000" w:sz="4" w:space="0"/>
              <w:left w:val="single" w:color="000000" w:sz="4" w:space="0"/>
              <w:bottom w:val="single" w:color="000000" w:sz="4" w:space="0"/>
              <w:right w:val="single" w:color="000000" w:sz="4" w:space="0"/>
            </w:tcBorders>
            <w:vAlign w:val="center"/>
          </w:tcPr>
          <w:p w14:paraId="77F95252">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天津银行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2D80EC8">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25BBEB0B">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不低于3.85%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3534DD6A">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481EEBDF">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654BA4F9">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1、连续从事政府采购活动一年以上，或主要股东从事政府采购活动两年以上，且交易及信用记录良好；</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2、持有政府采购中标通知书、签订政府采购合同等资料。</w:t>
            </w:r>
          </w:p>
        </w:tc>
        <w:tc>
          <w:tcPr>
            <w:tcW w:w="1386" w:type="dxa"/>
            <w:tcBorders>
              <w:top w:val="single" w:color="000000" w:sz="4" w:space="0"/>
              <w:left w:val="single" w:color="000000" w:sz="4" w:space="0"/>
              <w:bottom w:val="single" w:color="000000" w:sz="4" w:space="0"/>
              <w:right w:val="single" w:color="000000" w:sz="4" w:space="0"/>
            </w:tcBorders>
            <w:vAlign w:val="center"/>
          </w:tcPr>
          <w:p w14:paraId="2204D1EE">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28405397</w:t>
            </w:r>
          </w:p>
          <w:p w14:paraId="2DF65966">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王小一</w:t>
            </w:r>
          </w:p>
        </w:tc>
      </w:tr>
      <w:tr w14:paraId="0FEEB333">
        <w:tblPrEx>
          <w:tblCellMar>
            <w:top w:w="0" w:type="dxa"/>
            <w:left w:w="108" w:type="dxa"/>
            <w:bottom w:w="0" w:type="dxa"/>
            <w:right w:w="108" w:type="dxa"/>
          </w:tblCellMar>
        </w:tblPrEx>
        <w:trPr>
          <w:trHeight w:val="21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DAE6835">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7</w:t>
            </w:r>
          </w:p>
        </w:tc>
        <w:tc>
          <w:tcPr>
            <w:tcW w:w="1001" w:type="dxa"/>
            <w:tcBorders>
              <w:top w:val="single" w:color="000000" w:sz="4" w:space="0"/>
              <w:left w:val="single" w:color="000000" w:sz="4" w:space="0"/>
              <w:bottom w:val="single" w:color="000000" w:sz="4" w:space="0"/>
              <w:right w:val="single" w:color="000000" w:sz="4" w:space="0"/>
            </w:tcBorders>
            <w:vAlign w:val="center"/>
          </w:tcPr>
          <w:p w14:paraId="26E0A96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天津农商银行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3D06AEE">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3DA2E602">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结合借款人经营规模、偿债能力、营运效率等因素合理确定</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2D5EA163">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22621175">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7447BB7">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1、中标供应商财务状况良好，记录良好，有资质且具有1年(含)以上与天津市各类政府采购成功经验；</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2、生产经营符合国家政策；</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3、无违法、违约、不良信用记录，未发生过政府采购业务纠纷等；</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4、银行要求的其他条件。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094AD687">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022-83872249</w:t>
            </w:r>
          </w:p>
          <w:p w14:paraId="1714B19E">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林向宇</w:t>
            </w:r>
          </w:p>
        </w:tc>
      </w:tr>
      <w:tr w14:paraId="2A7ED9F2">
        <w:tblPrEx>
          <w:tblCellMar>
            <w:top w:w="0" w:type="dxa"/>
            <w:left w:w="108" w:type="dxa"/>
            <w:bottom w:w="0" w:type="dxa"/>
            <w:right w:w="108" w:type="dxa"/>
          </w:tblCellMar>
        </w:tblPrEx>
        <w:trPr>
          <w:trHeight w:val="9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35D52DD">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8</w:t>
            </w:r>
          </w:p>
        </w:tc>
        <w:tc>
          <w:tcPr>
            <w:tcW w:w="1001" w:type="dxa"/>
            <w:tcBorders>
              <w:top w:val="single" w:color="000000" w:sz="4" w:space="0"/>
              <w:left w:val="single" w:color="000000" w:sz="4" w:space="0"/>
              <w:bottom w:val="single" w:color="000000" w:sz="4" w:space="0"/>
              <w:right w:val="single" w:color="000000" w:sz="4" w:space="0"/>
            </w:tcBorders>
            <w:vAlign w:val="center"/>
          </w:tcPr>
          <w:p w14:paraId="3E40CFFD">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天津滨海农商银行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777DF5F">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2CC11DC6">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致电咨询</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融资额度：100-5000万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079FFBBE">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F894E17">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1、具有2年(含)以上连续经营记录；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2、有固定生产经营场所；本行要求的其他条件。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71858652">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13612141823高飞     </w:t>
            </w:r>
          </w:p>
        </w:tc>
      </w:tr>
      <w:tr w14:paraId="3AF0EB42">
        <w:tblPrEx>
          <w:tblCellMar>
            <w:top w:w="0" w:type="dxa"/>
            <w:left w:w="108" w:type="dxa"/>
            <w:bottom w:w="0" w:type="dxa"/>
            <w:right w:w="108" w:type="dxa"/>
          </w:tblCellMar>
        </w:tblPrEx>
        <w:trPr>
          <w:trHeight w:val="2793"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F7BF0F4">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9</w:t>
            </w:r>
          </w:p>
        </w:tc>
        <w:tc>
          <w:tcPr>
            <w:tcW w:w="1001" w:type="dxa"/>
            <w:tcBorders>
              <w:top w:val="single" w:color="000000" w:sz="4" w:space="0"/>
              <w:left w:val="single" w:color="000000" w:sz="4" w:space="0"/>
              <w:bottom w:val="single" w:color="000000" w:sz="4" w:space="0"/>
              <w:right w:val="single" w:color="000000" w:sz="4" w:space="0"/>
            </w:tcBorders>
            <w:vAlign w:val="center"/>
          </w:tcPr>
          <w:p w14:paraId="30D7AAE4">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民生银行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CC3B608">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5B2B3C80">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最低4%</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24BCF469">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信用额度最高1000万</w:t>
            </w:r>
          </w:p>
          <w:p w14:paraId="7FF927EC">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信用+担保额度最高3000万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147D8964">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F0C7029">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1、企业成立满一年，经营良好、征信良好；</w:t>
            </w:r>
          </w:p>
          <w:p w14:paraId="0B379C88">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2、实控人25-65周岁，征信良好；</w:t>
            </w:r>
          </w:p>
          <w:p w14:paraId="6F7CB364">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3、近12个月有政府采购中标且正常履约、回款</w:t>
            </w:r>
          </w:p>
        </w:tc>
        <w:tc>
          <w:tcPr>
            <w:tcW w:w="1386" w:type="dxa"/>
            <w:tcBorders>
              <w:top w:val="single" w:color="000000" w:sz="4" w:space="0"/>
              <w:left w:val="single" w:color="000000" w:sz="4" w:space="0"/>
              <w:bottom w:val="single" w:color="000000" w:sz="4" w:space="0"/>
              <w:right w:val="single" w:color="000000" w:sz="4" w:space="0"/>
            </w:tcBorders>
            <w:vAlign w:val="center"/>
          </w:tcPr>
          <w:p w14:paraId="1DFB070E">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18102027371</w:t>
            </w:r>
          </w:p>
          <w:p w14:paraId="424A6426">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 xml:space="preserve">陈宗山 </w:t>
            </w:r>
          </w:p>
        </w:tc>
      </w:tr>
      <w:tr w14:paraId="08B5D558">
        <w:tblPrEx>
          <w:tblCellMar>
            <w:top w:w="0" w:type="dxa"/>
            <w:left w:w="108" w:type="dxa"/>
            <w:bottom w:w="0" w:type="dxa"/>
            <w:right w:w="108" w:type="dxa"/>
          </w:tblCellMar>
        </w:tblPrEx>
        <w:trPr>
          <w:trHeight w:val="2938"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77E1A91">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10</w:t>
            </w:r>
          </w:p>
        </w:tc>
        <w:tc>
          <w:tcPr>
            <w:tcW w:w="1001" w:type="dxa"/>
            <w:tcBorders>
              <w:top w:val="single" w:color="000000" w:sz="4" w:space="0"/>
              <w:left w:val="single" w:color="000000" w:sz="4" w:space="0"/>
              <w:bottom w:val="single" w:color="000000" w:sz="4" w:space="0"/>
              <w:right w:val="single" w:color="000000" w:sz="4" w:space="0"/>
            </w:tcBorders>
            <w:vAlign w:val="center"/>
          </w:tcPr>
          <w:p w14:paraId="4BCE137A">
            <w:pPr>
              <w:widowControl/>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平安银行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BCE1141">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6B78AD99">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约6.00%</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0FA8AF43">
            <w:pPr>
              <w:jc w:val="left"/>
              <w:rPr>
                <w:rFonts w:ascii="宋体" w:hAnsi="宋体" w:cs="宋体"/>
                <w:color w:val="000000"/>
                <w:sz w:val="19"/>
                <w:szCs w:val="19"/>
                <w:highlight w:val="none"/>
              </w:rPr>
            </w:pPr>
            <w:r>
              <w:rPr>
                <w:rFonts w:hint="eastAsia" w:ascii="宋体" w:hAnsi="宋体" w:cs="宋体"/>
                <w:color w:val="000000"/>
                <w:kern w:val="0"/>
                <w:sz w:val="19"/>
                <w:szCs w:val="19"/>
                <w:highlight w:val="none"/>
              </w:rPr>
              <w:t>最高200万元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55584760">
            <w:pPr>
              <w:jc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18315449">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36B703E5">
                  <w:pPr>
                    <w:widowControl/>
                    <w:numPr>
                      <w:ilvl w:val="0"/>
                      <w:numId w:val="5"/>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申请人为企业法定代表人或第一大自然人股东，通过微信申请； </w:t>
                  </w:r>
                </w:p>
                <w:p w14:paraId="261D2FC0">
                  <w:pPr>
                    <w:widowControl/>
                    <w:numPr>
                      <w:ilvl w:val="0"/>
                      <w:numId w:val="5"/>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企业及申请人信用记录良好，无不良、违法行为； </w:t>
                  </w:r>
                </w:p>
                <w:p w14:paraId="48BD9E22">
                  <w:pPr>
                    <w:widowControl/>
                    <w:numPr>
                      <w:ilvl w:val="0"/>
                      <w:numId w:val="5"/>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企业为天津市政府部门、事业单位的供应商； </w:t>
                  </w:r>
                </w:p>
                <w:p w14:paraId="2D685FD6">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4、企业有政府采购历史合作记录（近24个月2次，合计50万以上订单记录）且交易记录良好</w:t>
                  </w:r>
                </w:p>
              </w:tc>
            </w:tr>
          </w:tbl>
          <w:p w14:paraId="377B2932">
            <w:pPr>
              <w:jc w:val="left"/>
              <w:rPr>
                <w:rFonts w:ascii="宋体" w:hAnsi="宋体" w:cs="宋体"/>
                <w:color w:val="00000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AE8313E">
            <w:pPr>
              <w:jc w:val="center"/>
              <w:rPr>
                <w:rFonts w:ascii="宋体" w:hAnsi="宋体" w:cs="宋体"/>
                <w:color w:val="000000"/>
                <w:sz w:val="24"/>
                <w:szCs w:val="24"/>
                <w:highlight w:val="none"/>
              </w:rPr>
            </w:pPr>
            <w:r>
              <w:rPr>
                <w:rFonts w:hint="eastAsia" w:ascii="宋体" w:hAnsi="宋体" w:cs="宋体"/>
                <w:color w:val="000000"/>
                <w:kern w:val="0"/>
                <w:sz w:val="19"/>
                <w:szCs w:val="19"/>
                <w:highlight w:val="none"/>
              </w:rPr>
              <w:t xml:space="preserve">18698167095张伟 </w:t>
            </w:r>
          </w:p>
        </w:tc>
      </w:tr>
      <w:tr w14:paraId="6535BF6C">
        <w:tblPrEx>
          <w:tblCellMar>
            <w:top w:w="0" w:type="dxa"/>
            <w:left w:w="108" w:type="dxa"/>
            <w:bottom w:w="0" w:type="dxa"/>
            <w:right w:w="108" w:type="dxa"/>
          </w:tblCellMar>
        </w:tblPrEx>
        <w:trPr>
          <w:trHeight w:val="273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2C63ED3">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11</w:t>
            </w:r>
          </w:p>
        </w:tc>
        <w:tc>
          <w:tcPr>
            <w:tcW w:w="1001" w:type="dxa"/>
            <w:tcBorders>
              <w:top w:val="single" w:color="000000" w:sz="4" w:space="0"/>
              <w:left w:val="single" w:color="000000" w:sz="4" w:space="0"/>
              <w:bottom w:val="single" w:color="000000" w:sz="4" w:space="0"/>
              <w:right w:val="single" w:color="000000" w:sz="4" w:space="0"/>
            </w:tcBorders>
            <w:vAlign w:val="center"/>
          </w:tcPr>
          <w:p w14:paraId="4A6504C9">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渤海银行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0756E96">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5420229E">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年化约3.85%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6FDCF517">
            <w:pPr>
              <w:jc w:val="left"/>
              <w:rPr>
                <w:rFonts w:ascii="宋体" w:hAnsi="宋体" w:cs="宋体"/>
                <w:color w:val="000000"/>
                <w:sz w:val="19"/>
                <w:szCs w:val="19"/>
                <w:highlight w:val="none"/>
              </w:rPr>
            </w:pPr>
            <w:r>
              <w:rPr>
                <w:rFonts w:hint="eastAsia" w:ascii="宋体" w:hAnsi="宋体" w:cs="宋体"/>
                <w:color w:val="000000"/>
                <w:kern w:val="0"/>
                <w:sz w:val="19"/>
                <w:szCs w:val="19"/>
                <w:highlight w:val="none"/>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AB37090">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1F336302">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20F20BDF">
                  <w:pPr>
                    <w:widowControl/>
                    <w:numPr>
                      <w:ilvl w:val="0"/>
                      <w:numId w:val="6"/>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有固定的经营场所，企业划型符合小微企业； </w:t>
                  </w:r>
                </w:p>
                <w:p w14:paraId="00BE2F66">
                  <w:pPr>
                    <w:widowControl/>
                    <w:numPr>
                      <w:ilvl w:val="0"/>
                      <w:numId w:val="6"/>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信用记录良好，无不良、违法行为； </w:t>
                  </w:r>
                </w:p>
                <w:p w14:paraId="1B2D172D">
                  <w:pPr>
                    <w:widowControl/>
                    <w:numPr>
                      <w:ilvl w:val="0"/>
                      <w:numId w:val="6"/>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持续经营2年以上或实际控制人从业3年以上； 具备政府采购投标资格且交易记录良好； </w:t>
                  </w:r>
                </w:p>
                <w:p w14:paraId="2BDED8E4">
                  <w:pPr>
                    <w:widowControl/>
                    <w:numPr>
                      <w:ilvl w:val="0"/>
                      <w:numId w:val="6"/>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采购项目符合国家产业政策和资源环保政策要求；</w:t>
                  </w:r>
                </w:p>
              </w:tc>
            </w:tr>
          </w:tbl>
          <w:p w14:paraId="1169FA17">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9AC0296">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022-58879322</w:t>
            </w:r>
          </w:p>
          <w:p w14:paraId="46EBF57E">
            <w:pPr>
              <w:ind w:firstLine="174" w:firstLineChars="100"/>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  姚斌 </w:t>
            </w:r>
          </w:p>
        </w:tc>
      </w:tr>
      <w:tr w14:paraId="3A0D711E">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9FD6FE5">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12</w:t>
            </w:r>
          </w:p>
        </w:tc>
        <w:tc>
          <w:tcPr>
            <w:tcW w:w="1001" w:type="dxa"/>
            <w:tcBorders>
              <w:top w:val="single" w:color="000000" w:sz="4" w:space="0"/>
              <w:left w:val="single" w:color="000000" w:sz="4" w:space="0"/>
              <w:bottom w:val="single" w:color="000000" w:sz="4" w:space="0"/>
              <w:right w:val="single" w:color="000000" w:sz="4" w:space="0"/>
            </w:tcBorders>
            <w:vAlign w:val="center"/>
          </w:tcPr>
          <w:p w14:paraId="6ABA7FFA">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中国建设银行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FCC8738">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参考利率：4.00%-5.00%</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346C2A50">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最高2000万元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34A01708">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29E21E5A">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7CA04AD2">
                  <w:pPr>
                    <w:widowControl/>
                    <w:numPr>
                      <w:ilvl w:val="0"/>
                      <w:numId w:val="7"/>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企业已获得政府采购中标通知，并与集中采购机构、采购代理机构或采购人签订采购合同，企业不得采用分包或转包方式履行政府采购合同。政府采购合同明确了《民法典》规定的基本要素并符合商业惯例和行业规范，政府采购履约期限和付款期限距贷款申请日均在1年（含）以内。 </w:t>
                  </w:r>
                </w:p>
                <w:p w14:paraId="2C634DFB">
                  <w:pPr>
                    <w:widowControl/>
                    <w:numPr>
                      <w:ilvl w:val="0"/>
                      <w:numId w:val="7"/>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应收账款融资模式下，企业已按政府采购合同的约定履行了交货、工程施工或提供服务等主要义务并且无任何违约行为。 </w:t>
                  </w:r>
                </w:p>
                <w:p w14:paraId="78B35B0A">
                  <w:pPr>
                    <w:widowControl/>
                    <w:numPr>
                      <w:ilvl w:val="0"/>
                      <w:numId w:val="7"/>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采购合同融资模式下，企业在政府采购活动中与政府成功合作2年（含）以上，且近2年政府采购供应量、工程量或服务量均不低于100万元（含）。 </w:t>
                  </w:r>
                </w:p>
                <w:p w14:paraId="13B88C11">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4、（四）企业向政府提供的货物、工程或服务质量稳定，与政府合作历史中未产生纠纷，与上、下游客户未发生重大债权、债务纠纷，近三年未被政府采购部门列入不良记录名单</w:t>
                  </w:r>
                </w:p>
              </w:tc>
            </w:tr>
          </w:tbl>
          <w:p w14:paraId="62B322AF">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D467210">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58751595 </w:t>
            </w:r>
          </w:p>
          <w:p w14:paraId="62928529">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 赵望宇 </w:t>
            </w:r>
          </w:p>
          <w:p w14:paraId="2A0B5C53">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58750209</w:t>
            </w:r>
          </w:p>
          <w:p w14:paraId="10E19B3F">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肖毅 </w:t>
            </w:r>
          </w:p>
        </w:tc>
      </w:tr>
      <w:tr w14:paraId="65EF2177">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0B94C57">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w:t>
            </w:r>
          </w:p>
        </w:tc>
        <w:tc>
          <w:tcPr>
            <w:tcW w:w="1001" w:type="dxa"/>
            <w:tcBorders>
              <w:top w:val="single" w:color="000000" w:sz="4" w:space="0"/>
              <w:left w:val="single" w:color="000000" w:sz="4" w:space="0"/>
              <w:bottom w:val="single" w:color="000000" w:sz="4" w:space="0"/>
              <w:right w:val="single" w:color="000000" w:sz="4" w:space="0"/>
            </w:tcBorders>
            <w:vAlign w:val="center"/>
          </w:tcPr>
          <w:p w14:paraId="4FB2612C">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中国农业银行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946BE56">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7A00AB8D">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约4%</w:t>
            </w:r>
          </w:p>
          <w:p w14:paraId="06C236EA">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3C157B1">
            <w:pPr>
              <w:widowControl/>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52DC74CC">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0B4E1358">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1、公司成立1年（含）以上，属于政采中标供应商,履约记录良好。 </w:t>
                  </w:r>
                </w:p>
                <w:p w14:paraId="4D48DBFA">
                  <w:pPr>
                    <w:widowControl/>
                    <w:numPr>
                      <w:ilvl w:val="0"/>
                      <w:numId w:val="8"/>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在我行开立账户，自愿接受农业银行信用监督和结算监管。 </w:t>
                  </w:r>
                </w:p>
                <w:p w14:paraId="7F2BEAD2">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3、法定代表人年满18周岁且不超过65周岁，非港、澳、台及外籍人士。 注：具体开办的业务种类及办理程序、办理条件等以中国农业银行当地分行有关规定为准。</w:t>
                  </w:r>
                </w:p>
              </w:tc>
            </w:tr>
          </w:tbl>
          <w:p w14:paraId="6E798F59">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87D2FFC">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13920727755</w:t>
            </w:r>
          </w:p>
          <w:p w14:paraId="05A6AAB2">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李倩</w:t>
            </w:r>
          </w:p>
        </w:tc>
      </w:tr>
      <w:tr w14:paraId="2C6D2EB3">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1E3B1EB">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14</w:t>
            </w:r>
          </w:p>
        </w:tc>
        <w:tc>
          <w:tcPr>
            <w:tcW w:w="1001" w:type="dxa"/>
            <w:tcBorders>
              <w:top w:val="single" w:color="000000" w:sz="4" w:space="0"/>
              <w:left w:val="single" w:color="000000" w:sz="4" w:space="0"/>
              <w:bottom w:val="single" w:color="000000" w:sz="4" w:space="0"/>
              <w:right w:val="single" w:color="000000" w:sz="4" w:space="0"/>
            </w:tcBorders>
            <w:vAlign w:val="center"/>
          </w:tcPr>
          <w:p w14:paraId="372D3620">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招商银行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C82347A">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0A2417C5">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一般性贷款利率</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融资额度：最高3000万元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25B0A62D">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43F92FFA">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04E3DC60">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1、企业及实际控制人征信及各项社会记录较好。</w:t>
                  </w:r>
                </w:p>
                <w:p w14:paraId="348A020D">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2、企业成立两年以上或实际控制人本行业经营两年以上。</w:t>
                  </w:r>
                </w:p>
                <w:p w14:paraId="2D7D88E3">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3、财务报表未出现连续两年经营亏损。</w:t>
                  </w:r>
                </w:p>
              </w:tc>
            </w:tr>
          </w:tbl>
          <w:p w14:paraId="49B2568C">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9AF12B2">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28301244</w:t>
            </w:r>
          </w:p>
        </w:tc>
      </w:tr>
      <w:tr w14:paraId="2BB54F89">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3A5626A">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15</w:t>
            </w:r>
          </w:p>
        </w:tc>
        <w:tc>
          <w:tcPr>
            <w:tcW w:w="1001" w:type="dxa"/>
            <w:tcBorders>
              <w:top w:val="single" w:color="000000" w:sz="4" w:space="0"/>
              <w:left w:val="single" w:color="000000" w:sz="4" w:space="0"/>
              <w:bottom w:val="single" w:color="000000" w:sz="4" w:space="0"/>
              <w:right w:val="single" w:color="000000" w:sz="4" w:space="0"/>
            </w:tcBorders>
            <w:vAlign w:val="center"/>
          </w:tcPr>
          <w:p w14:paraId="2ABD7119">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兴业银行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0A897D6">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1ED5B8B9">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利率3.7%起</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081C4BBB">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4091F317">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1AA5BE15">
              <w:tblPrEx>
                <w:shd w:val="clear" w:color="auto" w:fill="FFFFFF"/>
                <w:tblCellMar>
                  <w:top w:w="15" w:type="dxa"/>
                  <w:left w:w="15" w:type="dxa"/>
                  <w:bottom w:w="15" w:type="dxa"/>
                  <w:right w:w="15" w:type="dxa"/>
                </w:tblCellMar>
              </w:tblPrEx>
              <w:tc>
                <w:tcPr>
                  <w:tcW w:w="3168" w:type="dxa"/>
                  <w:shd w:val="clear" w:color="auto" w:fill="FFFFFF"/>
                  <w:tcMar>
                    <w:top w:w="150" w:type="dxa"/>
                    <w:left w:w="0" w:type="dxa"/>
                    <w:bottom w:w="150" w:type="dxa"/>
                    <w:right w:w="0" w:type="dxa"/>
                  </w:tcMar>
                </w:tcPr>
                <w:p w14:paraId="3A278F00">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合法合规经营、符合本行授信要求、无不利诉讼纠纷、存在政府采购项目且履约记录良好</w:t>
                  </w:r>
                </w:p>
              </w:tc>
            </w:tr>
          </w:tbl>
          <w:p w14:paraId="6379DF41">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576A039">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022/23526678/222112 </w:t>
            </w:r>
          </w:p>
          <w:p w14:paraId="42ED7BDB">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武庆林</w:t>
            </w:r>
          </w:p>
        </w:tc>
      </w:tr>
      <w:tr w14:paraId="184C88B5">
        <w:tblPrEx>
          <w:tblCellMar>
            <w:top w:w="0" w:type="dxa"/>
            <w:left w:w="108" w:type="dxa"/>
            <w:bottom w:w="0" w:type="dxa"/>
            <w:right w:w="108" w:type="dxa"/>
          </w:tblCellMar>
        </w:tblPrEx>
        <w:trPr>
          <w:trHeight w:val="2117"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5B8FF7A">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16</w:t>
            </w:r>
          </w:p>
        </w:tc>
        <w:tc>
          <w:tcPr>
            <w:tcW w:w="1001" w:type="dxa"/>
            <w:tcBorders>
              <w:top w:val="single" w:color="000000" w:sz="4" w:space="0"/>
              <w:left w:val="single" w:color="000000" w:sz="4" w:space="0"/>
              <w:bottom w:val="single" w:color="000000" w:sz="4" w:space="0"/>
              <w:right w:val="single" w:color="000000" w:sz="4" w:space="0"/>
            </w:tcBorders>
            <w:vAlign w:val="center"/>
          </w:tcPr>
          <w:p w14:paraId="052DDAD1">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广发银行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B304231">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15682978">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贷款利率最低Lpr</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580BA800">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48BB37B2">
              <w:tblPrEx>
                <w:shd w:val="clear" w:color="auto" w:fill="FFFFFF"/>
                <w:tblCellMar>
                  <w:top w:w="15" w:type="dxa"/>
                  <w:left w:w="15" w:type="dxa"/>
                  <w:bottom w:w="15" w:type="dxa"/>
                  <w:right w:w="15" w:type="dxa"/>
                </w:tblCellMar>
              </w:tblPrEx>
              <w:trPr>
                <w:trHeight w:val="3660" w:hRule="atLeast"/>
              </w:trPr>
              <w:tc>
                <w:tcPr>
                  <w:tcW w:w="3168" w:type="dxa"/>
                  <w:shd w:val="clear" w:color="auto" w:fill="FFFFFF"/>
                  <w:tcMar>
                    <w:top w:w="150" w:type="dxa"/>
                    <w:left w:w="0" w:type="dxa"/>
                    <w:bottom w:w="150" w:type="dxa"/>
                    <w:right w:w="0" w:type="dxa"/>
                  </w:tcMar>
                </w:tcPr>
                <w:p w14:paraId="5238E5CF">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1、供应商至少有一次政府采购订单履约记录；</w:t>
                  </w:r>
                </w:p>
                <w:p w14:paraId="6BD51FEC">
                  <w:pPr>
                    <w:widowControl/>
                    <w:numPr>
                      <w:ilvl w:val="0"/>
                      <w:numId w:val="8"/>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在我行内部信用评级不低于BB+；3、近三年至少有一期营业利润或净利润或上年度经营性现金流净额为正（任选其一即可）；</w:t>
                  </w:r>
                </w:p>
                <w:p w14:paraId="6A3685E3">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4、资产负债率不超过85%；企业主含实际控制人/主要股东或其配偶拥有本地户口或房产或在本地有连续一年含以上的社保缴交记录（满足其一即可）</w:t>
                  </w:r>
                </w:p>
              </w:tc>
            </w:tr>
          </w:tbl>
          <w:p w14:paraId="51548686">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2B99ADF">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13820640544</w:t>
            </w:r>
          </w:p>
          <w:p w14:paraId="15772ED6">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胡小宁</w:t>
            </w:r>
          </w:p>
        </w:tc>
      </w:tr>
      <w:tr w14:paraId="4DAE54C8">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B254DBD">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17</w:t>
            </w:r>
          </w:p>
        </w:tc>
        <w:tc>
          <w:tcPr>
            <w:tcW w:w="1001" w:type="dxa"/>
            <w:tcBorders>
              <w:top w:val="single" w:color="000000" w:sz="4" w:space="0"/>
              <w:left w:val="single" w:color="000000" w:sz="4" w:space="0"/>
              <w:bottom w:val="single" w:color="000000" w:sz="4" w:space="0"/>
              <w:right w:val="single" w:color="000000" w:sz="4" w:space="0"/>
            </w:tcBorders>
            <w:vAlign w:val="center"/>
          </w:tcPr>
          <w:p w14:paraId="71241829">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浙商银行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0BFC832">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286FDDD6">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69E3301">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58938498">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5E17AC84">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1、符合我行小企业授信客户界定标准的小型、微型企业；</w:t>
                  </w:r>
                </w:p>
                <w:p w14:paraId="4D422728">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2、须连续经营2年及以上或实际控制人有3年及以上相关行业从业经验，经营状况良好，信用记录良好；3、与采购人无关联关系，行业相关证照齐全；</w:t>
                  </w:r>
                </w:p>
                <w:p w14:paraId="7DE51640">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4、借款人须在本行开立单位结算账户或保证金账户，并将该账户指定为采购活动项下应收账款的唯一回款账户。</w:t>
                  </w:r>
                </w:p>
              </w:tc>
            </w:tr>
          </w:tbl>
          <w:p w14:paraId="2E529210">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0BA374C">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23271307</w:t>
            </w:r>
          </w:p>
          <w:p w14:paraId="72E81D06">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刘粲</w:t>
            </w:r>
          </w:p>
        </w:tc>
      </w:tr>
      <w:tr w14:paraId="3D905E33">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3F7622F">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18</w:t>
            </w:r>
          </w:p>
        </w:tc>
        <w:tc>
          <w:tcPr>
            <w:tcW w:w="1001" w:type="dxa"/>
            <w:tcBorders>
              <w:top w:val="single" w:color="000000" w:sz="4" w:space="0"/>
              <w:left w:val="single" w:color="000000" w:sz="4" w:space="0"/>
              <w:bottom w:val="single" w:color="000000" w:sz="4" w:space="0"/>
              <w:right w:val="single" w:color="000000" w:sz="4" w:space="0"/>
            </w:tcBorders>
            <w:vAlign w:val="center"/>
          </w:tcPr>
          <w:p w14:paraId="347E83A2">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中信银行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48CC087">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56C303B6">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3.75%-3.95%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127242F3">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447F11FC">
            <w:pPr>
              <w:widowControl/>
              <w:numPr>
                <w:ilvl w:val="0"/>
                <w:numId w:val="9"/>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借款企业持续经营1年（含）以上或在本行业持续经营2年（含）以上；</w:t>
            </w:r>
          </w:p>
          <w:p w14:paraId="59E1C2BE">
            <w:pPr>
              <w:widowControl/>
              <w:numPr>
                <w:ilvl w:val="0"/>
                <w:numId w:val="9"/>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借款企业实际控制人年龄在18周岁（含）至65周岁（含）之间；</w:t>
            </w:r>
          </w:p>
          <w:p w14:paraId="44F8D6D4">
            <w:pPr>
              <w:widowControl/>
              <w:numPr>
                <w:ilvl w:val="0"/>
                <w:numId w:val="9"/>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采购品类为货物类或服务类；</w:t>
            </w:r>
          </w:p>
          <w:p w14:paraId="19565AC2">
            <w:pPr>
              <w:widowControl/>
              <w:numPr>
                <w:ilvl w:val="0"/>
                <w:numId w:val="9"/>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借款企业政采合作月数不少于6个月；</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0E492DB">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13767182800</w:t>
            </w:r>
          </w:p>
          <w:p w14:paraId="7BE28EE2">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唐朝</w:t>
            </w:r>
          </w:p>
        </w:tc>
      </w:tr>
      <w:tr w14:paraId="209D857E">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67AAC28">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19</w:t>
            </w:r>
          </w:p>
        </w:tc>
        <w:tc>
          <w:tcPr>
            <w:tcW w:w="1001" w:type="dxa"/>
            <w:tcBorders>
              <w:top w:val="single" w:color="000000" w:sz="4" w:space="0"/>
              <w:left w:val="single" w:color="000000" w:sz="4" w:space="0"/>
              <w:bottom w:val="single" w:color="000000" w:sz="4" w:space="0"/>
              <w:right w:val="single" w:color="000000" w:sz="4" w:space="0"/>
            </w:tcBorders>
            <w:vAlign w:val="center"/>
          </w:tcPr>
          <w:p w14:paraId="0B2B6E60">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后续持续更新</w:t>
            </w:r>
          </w:p>
        </w:tc>
        <w:tc>
          <w:tcPr>
            <w:tcW w:w="1292" w:type="dxa"/>
            <w:tcBorders>
              <w:top w:val="single" w:color="000000" w:sz="4" w:space="0"/>
              <w:left w:val="single" w:color="000000" w:sz="4" w:space="0"/>
              <w:bottom w:val="single" w:color="000000" w:sz="4" w:space="0"/>
              <w:right w:val="single" w:color="000000" w:sz="4" w:space="0"/>
            </w:tcBorders>
            <w:vAlign w:val="center"/>
          </w:tcPr>
          <w:p w14:paraId="1C36054F">
            <w:pPr>
              <w:jc w:val="left"/>
              <w:rPr>
                <w:rFonts w:ascii="宋体" w:hAnsi="宋体" w:cs="宋体"/>
                <w:color w:val="000000"/>
                <w:kern w:val="0"/>
                <w:sz w:val="19"/>
                <w:szCs w:val="19"/>
                <w:highlight w:val="none"/>
              </w:rPr>
            </w:pPr>
          </w:p>
        </w:tc>
        <w:tc>
          <w:tcPr>
            <w:tcW w:w="964" w:type="dxa"/>
            <w:tcBorders>
              <w:top w:val="single" w:color="000000" w:sz="4" w:space="0"/>
              <w:left w:val="single" w:color="000000" w:sz="4" w:space="0"/>
              <w:bottom w:val="single" w:color="000000" w:sz="4" w:space="0"/>
              <w:right w:val="single" w:color="000000" w:sz="4" w:space="0"/>
            </w:tcBorders>
            <w:vAlign w:val="center"/>
          </w:tcPr>
          <w:p w14:paraId="5F767686">
            <w:pPr>
              <w:widowControl/>
              <w:jc w:val="left"/>
              <w:textAlignment w:val="top"/>
              <w:rPr>
                <w:rFonts w:ascii="宋体" w:hAnsi="宋体" w:cs="宋体"/>
                <w:color w:val="000000"/>
                <w:kern w:val="0"/>
                <w:sz w:val="19"/>
                <w:szCs w:val="19"/>
                <w:highlight w:val="none"/>
              </w:rPr>
            </w:pPr>
          </w:p>
        </w:tc>
        <w:tc>
          <w:tcPr>
            <w:tcW w:w="3384" w:type="dxa"/>
            <w:tcBorders>
              <w:top w:val="single" w:color="000000" w:sz="4" w:space="0"/>
              <w:left w:val="single" w:color="000000" w:sz="4" w:space="0"/>
              <w:bottom w:val="single" w:color="000000" w:sz="4" w:space="0"/>
              <w:right w:val="single" w:color="000000" w:sz="4" w:space="0"/>
            </w:tcBorders>
            <w:vAlign w:val="center"/>
          </w:tcPr>
          <w:p w14:paraId="5EADCFD0">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D0A564C">
            <w:pPr>
              <w:widowControl/>
              <w:jc w:val="center"/>
              <w:textAlignment w:val="top"/>
              <w:rPr>
                <w:rFonts w:ascii="宋体" w:hAnsi="宋体" w:cs="宋体"/>
                <w:color w:val="000000"/>
                <w:kern w:val="0"/>
                <w:sz w:val="19"/>
                <w:szCs w:val="19"/>
                <w:highlight w:val="none"/>
              </w:rPr>
            </w:pPr>
          </w:p>
        </w:tc>
      </w:tr>
    </w:tbl>
    <w:p w14:paraId="5616EB1E">
      <w:pPr>
        <w:pStyle w:val="25"/>
        <w:spacing w:line="360" w:lineRule="auto"/>
        <w:ind w:firstLine="448" w:firstLineChars="200"/>
        <w:jc w:val="both"/>
        <w:rPr>
          <w:rFonts w:ascii="Times New Roman" w:eastAsia="宋体" w:cs="Times New Roman" w:hAnsiTheme="minorEastAsia"/>
          <w:color w:val="auto"/>
          <w:highlight w:val="none"/>
        </w:rPr>
      </w:pPr>
    </w:p>
    <w:p w14:paraId="4846CE84">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以上内容均为当前政策内容，未来不排除各大金融机构针对政采贷业务的相关政策会有修改和变动，本“政采贷”明白纸仅供参考，详情请自行致电咨询。</w:t>
      </w:r>
    </w:p>
    <w:p w14:paraId="5F6D7804">
      <w:pPr>
        <w:widowControl/>
        <w:jc w:val="left"/>
        <w:rPr>
          <w:b/>
          <w:bCs/>
          <w:kern w:val="28"/>
          <w:sz w:val="32"/>
          <w:szCs w:val="32"/>
          <w:highlight w:val="none"/>
        </w:rPr>
      </w:pPr>
      <w:r>
        <w:rPr>
          <w:highlight w:val="none"/>
        </w:rPr>
        <w:br w:type="page"/>
      </w:r>
    </w:p>
    <w:p w14:paraId="05A21809">
      <w:pPr>
        <w:pStyle w:val="15"/>
        <w:ind w:firstLine="386"/>
        <w:rPr>
          <w:rFonts w:ascii="Times New Roman" w:hAnsi="Times New Roman"/>
          <w:highlight w:val="none"/>
        </w:rPr>
      </w:pPr>
      <w:r>
        <w:rPr>
          <w:rFonts w:ascii="Times New Roman" w:hAnsi="Times New Roman"/>
          <w:highlight w:val="none"/>
        </w:rPr>
        <w:t>第四部分合同条款</w:t>
      </w:r>
    </w:p>
    <w:p w14:paraId="3680B7EF">
      <w:pPr>
        <w:tabs>
          <w:tab w:val="left" w:pos="412"/>
          <w:tab w:val="left" w:pos="618"/>
        </w:tabs>
        <w:spacing w:line="520" w:lineRule="exact"/>
        <w:jc w:val="center"/>
        <w:rPr>
          <w:b/>
          <w:sz w:val="30"/>
          <w:szCs w:val="30"/>
          <w:highlight w:val="none"/>
        </w:rPr>
      </w:pPr>
      <w:r>
        <w:rPr>
          <w:b/>
          <w:sz w:val="30"/>
          <w:szCs w:val="30"/>
          <w:highlight w:val="none"/>
        </w:rPr>
        <w:t>合同一般条款</w:t>
      </w:r>
    </w:p>
    <w:p w14:paraId="031D1B2D">
      <w:pPr>
        <w:tabs>
          <w:tab w:val="left" w:pos="0"/>
          <w:tab w:val="left" w:pos="315"/>
        </w:tabs>
        <w:spacing w:line="520" w:lineRule="exact"/>
        <w:ind w:firstLine="480"/>
        <w:rPr>
          <w:sz w:val="24"/>
          <w:szCs w:val="24"/>
          <w:highlight w:val="none"/>
        </w:rPr>
      </w:pPr>
      <w:r>
        <w:rPr>
          <w:sz w:val="24"/>
          <w:szCs w:val="24"/>
          <w:highlight w:val="none"/>
        </w:rPr>
        <w:t>需方：</w:t>
      </w:r>
    </w:p>
    <w:p w14:paraId="0EA84E8A">
      <w:pPr>
        <w:tabs>
          <w:tab w:val="left" w:pos="0"/>
          <w:tab w:val="left" w:pos="315"/>
        </w:tabs>
        <w:spacing w:line="520" w:lineRule="exact"/>
        <w:ind w:firstLine="480"/>
        <w:rPr>
          <w:sz w:val="24"/>
          <w:szCs w:val="24"/>
          <w:highlight w:val="none"/>
        </w:rPr>
      </w:pPr>
      <w:r>
        <w:rPr>
          <w:sz w:val="24"/>
          <w:szCs w:val="24"/>
          <w:highlight w:val="none"/>
        </w:rPr>
        <w:t>供方：</w:t>
      </w:r>
    </w:p>
    <w:p w14:paraId="69D9B8A8">
      <w:pPr>
        <w:tabs>
          <w:tab w:val="left" w:pos="0"/>
          <w:tab w:val="left" w:pos="315"/>
        </w:tabs>
        <w:spacing w:line="520" w:lineRule="exact"/>
        <w:ind w:firstLine="480"/>
        <w:rPr>
          <w:sz w:val="24"/>
          <w:szCs w:val="24"/>
          <w:highlight w:val="none"/>
        </w:rPr>
      </w:pPr>
      <w:r>
        <w:rPr>
          <w:sz w:val="24"/>
          <w:szCs w:val="24"/>
          <w:highlight w:val="none"/>
        </w:rPr>
        <w:t>供、需双方根据项目（项目编号：）的政府采购结果和</w:t>
      </w:r>
      <w:r>
        <w:rPr>
          <w:rFonts w:hint="eastAsia"/>
          <w:sz w:val="24"/>
          <w:szCs w:val="24"/>
          <w:highlight w:val="none"/>
        </w:rPr>
        <w:t>招标</w:t>
      </w:r>
      <w:r>
        <w:rPr>
          <w:sz w:val="24"/>
          <w:szCs w:val="24"/>
          <w:highlight w:val="none"/>
        </w:rPr>
        <w:t>文件的要求，并经双方协商一致，达成合同：</w:t>
      </w:r>
    </w:p>
    <w:p w14:paraId="608E0289">
      <w:pPr>
        <w:numPr>
          <w:ilvl w:val="0"/>
          <w:numId w:val="10"/>
        </w:numPr>
        <w:tabs>
          <w:tab w:val="left" w:pos="0"/>
          <w:tab w:val="left" w:pos="315"/>
        </w:tabs>
        <w:spacing w:line="520" w:lineRule="exact"/>
        <w:rPr>
          <w:sz w:val="24"/>
          <w:szCs w:val="24"/>
          <w:highlight w:val="none"/>
        </w:rPr>
      </w:pPr>
      <w:r>
        <w:rPr>
          <w:rFonts w:hint="eastAsia"/>
          <w:sz w:val="24"/>
          <w:szCs w:val="24"/>
          <w:highlight w:val="none"/>
        </w:rPr>
        <w:t>本合同为中小企业预留合同</w:t>
      </w:r>
    </w:p>
    <w:p w14:paraId="43042520">
      <w:pPr>
        <w:numPr>
          <w:ilvl w:val="0"/>
          <w:numId w:val="10"/>
        </w:numPr>
        <w:tabs>
          <w:tab w:val="left" w:pos="0"/>
          <w:tab w:val="left" w:pos="315"/>
        </w:tabs>
        <w:spacing w:line="520" w:lineRule="exact"/>
        <w:rPr>
          <w:sz w:val="24"/>
          <w:szCs w:val="24"/>
          <w:highlight w:val="none"/>
        </w:rPr>
      </w:pPr>
      <w:r>
        <w:rPr>
          <w:rFonts w:hint="eastAsia"/>
          <w:sz w:val="24"/>
          <w:szCs w:val="24"/>
          <w:highlight w:val="none"/>
        </w:rPr>
        <w:t>本合同非中小企业预留合同</w:t>
      </w:r>
    </w:p>
    <w:p w14:paraId="111110EC">
      <w:pPr>
        <w:tabs>
          <w:tab w:val="left" w:pos="0"/>
          <w:tab w:val="left" w:pos="315"/>
        </w:tabs>
        <w:spacing w:line="520" w:lineRule="exact"/>
        <w:ind w:firstLine="480"/>
        <w:rPr>
          <w:sz w:val="24"/>
          <w:szCs w:val="24"/>
          <w:highlight w:val="none"/>
        </w:rPr>
      </w:pPr>
      <w:r>
        <w:rPr>
          <w:sz w:val="24"/>
          <w:szCs w:val="24"/>
          <w:highlight w:val="none"/>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56C2EE79">
      <w:pPr>
        <w:tabs>
          <w:tab w:val="left" w:pos="1133"/>
        </w:tabs>
        <w:spacing w:line="520" w:lineRule="exact"/>
        <w:ind w:firstLine="448" w:firstLineChars="200"/>
        <w:rPr>
          <w:sz w:val="24"/>
          <w:szCs w:val="24"/>
          <w:highlight w:val="none"/>
        </w:rPr>
      </w:pPr>
      <w:r>
        <w:rPr>
          <w:sz w:val="24"/>
          <w:szCs w:val="24"/>
          <w:highlight w:val="none"/>
        </w:rPr>
        <w:t>一、采购内容：（详见附件）</w:t>
      </w:r>
    </w:p>
    <w:p w14:paraId="0F436F67">
      <w:pPr>
        <w:tabs>
          <w:tab w:val="left" w:pos="1133"/>
        </w:tabs>
        <w:spacing w:line="520" w:lineRule="exact"/>
        <w:ind w:firstLine="448" w:firstLineChars="200"/>
        <w:rPr>
          <w:sz w:val="24"/>
          <w:szCs w:val="24"/>
          <w:highlight w:val="none"/>
        </w:rPr>
      </w:pPr>
      <w:r>
        <w:rPr>
          <w:sz w:val="24"/>
          <w:szCs w:val="24"/>
          <w:highlight w:val="none"/>
        </w:rPr>
        <w:t>合同总价款：人民币元</w:t>
      </w:r>
    </w:p>
    <w:p w14:paraId="291574EC">
      <w:pPr>
        <w:tabs>
          <w:tab w:val="left" w:pos="1133"/>
        </w:tabs>
        <w:spacing w:line="520" w:lineRule="exact"/>
        <w:ind w:firstLine="448" w:firstLineChars="200"/>
        <w:rPr>
          <w:sz w:val="24"/>
          <w:szCs w:val="24"/>
          <w:highlight w:val="none"/>
        </w:rPr>
      </w:pPr>
      <w:r>
        <w:rPr>
          <w:sz w:val="24"/>
          <w:szCs w:val="24"/>
          <w:highlight w:val="none"/>
        </w:rPr>
        <w:t>大写：人民币元整</w:t>
      </w:r>
    </w:p>
    <w:p w14:paraId="3733458C">
      <w:pPr>
        <w:tabs>
          <w:tab w:val="left" w:pos="360"/>
        </w:tabs>
        <w:spacing w:line="520" w:lineRule="exact"/>
        <w:ind w:firstLine="448" w:firstLineChars="200"/>
        <w:rPr>
          <w:sz w:val="24"/>
          <w:szCs w:val="24"/>
          <w:highlight w:val="none"/>
        </w:rPr>
      </w:pPr>
      <w:r>
        <w:rPr>
          <w:sz w:val="24"/>
          <w:szCs w:val="24"/>
          <w:highlight w:val="none"/>
        </w:rPr>
        <w:t>二、质量要求及对质量负责条件和期限：见附件。</w:t>
      </w:r>
    </w:p>
    <w:p w14:paraId="44FFCE19">
      <w:pPr>
        <w:tabs>
          <w:tab w:val="left" w:pos="360"/>
        </w:tabs>
        <w:spacing w:line="520" w:lineRule="exact"/>
        <w:ind w:firstLine="448" w:firstLineChars="200"/>
        <w:rPr>
          <w:sz w:val="24"/>
          <w:szCs w:val="24"/>
          <w:highlight w:val="none"/>
        </w:rPr>
      </w:pPr>
      <w:r>
        <w:rPr>
          <w:sz w:val="24"/>
          <w:szCs w:val="24"/>
          <w:highlight w:val="none"/>
        </w:rPr>
        <w:t>三、供方所提供的服务必须具有合法手续及相关文件。如涉及知识产权则必须是自己拥有或合法使用的。</w:t>
      </w:r>
    </w:p>
    <w:p w14:paraId="24925E70">
      <w:pPr>
        <w:tabs>
          <w:tab w:val="left" w:pos="360"/>
        </w:tabs>
        <w:spacing w:line="520" w:lineRule="exact"/>
        <w:ind w:firstLine="448" w:firstLineChars="200"/>
        <w:rPr>
          <w:sz w:val="24"/>
          <w:szCs w:val="24"/>
          <w:highlight w:val="none"/>
        </w:rPr>
      </w:pPr>
      <w:r>
        <w:rPr>
          <w:sz w:val="24"/>
          <w:szCs w:val="24"/>
          <w:highlight w:val="none"/>
        </w:rPr>
        <w:t>四、</w:t>
      </w:r>
      <w:r>
        <w:rPr>
          <w:rFonts w:hint="eastAsia"/>
          <w:sz w:val="24"/>
          <w:szCs w:val="24"/>
          <w:highlight w:val="none"/>
        </w:rPr>
        <w:t>服务</w:t>
      </w:r>
      <w:r>
        <w:rPr>
          <w:sz w:val="24"/>
          <w:szCs w:val="24"/>
          <w:highlight w:val="none"/>
        </w:rPr>
        <w:t>时间、地点、方式：见附件。</w:t>
      </w:r>
    </w:p>
    <w:p w14:paraId="1E3DC1DC">
      <w:pPr>
        <w:tabs>
          <w:tab w:val="left" w:pos="360"/>
        </w:tabs>
        <w:spacing w:line="520" w:lineRule="exact"/>
        <w:ind w:firstLine="448" w:firstLineChars="200"/>
        <w:rPr>
          <w:sz w:val="24"/>
          <w:szCs w:val="24"/>
          <w:highlight w:val="none"/>
        </w:rPr>
      </w:pPr>
      <w:r>
        <w:rPr>
          <w:sz w:val="24"/>
          <w:szCs w:val="24"/>
          <w:highlight w:val="none"/>
        </w:rPr>
        <w:t>五、供方应随</w:t>
      </w:r>
      <w:r>
        <w:rPr>
          <w:rFonts w:hint="eastAsia"/>
          <w:sz w:val="24"/>
          <w:szCs w:val="24"/>
          <w:highlight w:val="none"/>
        </w:rPr>
        <w:t>服务</w:t>
      </w:r>
      <w:r>
        <w:rPr>
          <w:sz w:val="24"/>
          <w:szCs w:val="24"/>
          <w:highlight w:val="none"/>
        </w:rPr>
        <w:t>向需方交付的相关资料。如果所提交文件是外文的，供方有义务为需方提供中文或译成中文文件。</w:t>
      </w:r>
    </w:p>
    <w:p w14:paraId="4242E03A">
      <w:pPr>
        <w:tabs>
          <w:tab w:val="left" w:pos="360"/>
          <w:tab w:val="left" w:pos="721"/>
        </w:tabs>
        <w:spacing w:line="520" w:lineRule="exact"/>
        <w:rPr>
          <w:sz w:val="24"/>
          <w:szCs w:val="24"/>
          <w:highlight w:val="none"/>
        </w:rPr>
      </w:pPr>
      <w:r>
        <w:rPr>
          <w:sz w:val="24"/>
          <w:szCs w:val="24"/>
          <w:highlight w:val="none"/>
        </w:rPr>
        <w:t>六、验收工作由需方负责对合同进行验收。</w:t>
      </w:r>
    </w:p>
    <w:p w14:paraId="1AA0D99A">
      <w:pPr>
        <w:tabs>
          <w:tab w:val="left" w:pos="360"/>
        </w:tabs>
        <w:spacing w:line="520" w:lineRule="exact"/>
        <w:rPr>
          <w:sz w:val="24"/>
          <w:szCs w:val="24"/>
          <w:highlight w:val="none"/>
        </w:rPr>
      </w:pPr>
      <w:r>
        <w:rPr>
          <w:sz w:val="24"/>
          <w:szCs w:val="24"/>
          <w:highlight w:val="none"/>
        </w:rPr>
        <w:t>七、货款支付方式：见附件。</w:t>
      </w:r>
    </w:p>
    <w:p w14:paraId="27C8BC31">
      <w:pPr>
        <w:tabs>
          <w:tab w:val="left" w:pos="0"/>
          <w:tab w:val="left" w:pos="721"/>
        </w:tabs>
        <w:spacing w:line="520" w:lineRule="exact"/>
        <w:ind w:firstLine="448" w:firstLineChars="200"/>
        <w:rPr>
          <w:sz w:val="24"/>
          <w:szCs w:val="24"/>
          <w:highlight w:val="none"/>
        </w:rPr>
      </w:pPr>
      <w:r>
        <w:rPr>
          <w:sz w:val="24"/>
          <w:szCs w:val="24"/>
          <w:highlight w:val="none"/>
        </w:rPr>
        <w:t>供方开户银行（汉字全称）：，</w:t>
      </w:r>
    </w:p>
    <w:p w14:paraId="5AE87612">
      <w:pPr>
        <w:tabs>
          <w:tab w:val="left" w:pos="0"/>
          <w:tab w:val="left" w:pos="721"/>
        </w:tabs>
        <w:spacing w:line="520" w:lineRule="exact"/>
        <w:ind w:firstLine="479" w:firstLineChars="214"/>
        <w:rPr>
          <w:sz w:val="24"/>
          <w:szCs w:val="24"/>
          <w:highlight w:val="none"/>
        </w:rPr>
      </w:pPr>
      <w:r>
        <w:rPr>
          <w:sz w:val="24"/>
          <w:szCs w:val="24"/>
          <w:highlight w:val="none"/>
        </w:rPr>
        <w:t>行号（数字代码）：，</w:t>
      </w:r>
    </w:p>
    <w:p w14:paraId="23067B50">
      <w:pPr>
        <w:tabs>
          <w:tab w:val="left" w:pos="0"/>
          <w:tab w:val="left" w:pos="721"/>
        </w:tabs>
        <w:spacing w:line="520" w:lineRule="exact"/>
        <w:ind w:firstLine="479" w:firstLineChars="214"/>
        <w:rPr>
          <w:sz w:val="24"/>
          <w:szCs w:val="24"/>
          <w:highlight w:val="none"/>
        </w:rPr>
      </w:pPr>
      <w:r>
        <w:rPr>
          <w:sz w:val="24"/>
          <w:szCs w:val="24"/>
          <w:highlight w:val="none"/>
        </w:rPr>
        <w:t>帐号：</w:t>
      </w:r>
      <w:r>
        <w:rPr>
          <w:szCs w:val="24"/>
          <w:highlight w:val="none"/>
        </w:rPr>
        <w:t>。</w:t>
      </w:r>
    </w:p>
    <w:p w14:paraId="4AB57FAF">
      <w:pPr>
        <w:pStyle w:val="12"/>
        <w:spacing w:line="520" w:lineRule="exact"/>
        <w:ind w:left="-97" w:leftChars="-50" w:firstLine="448" w:firstLineChars="200"/>
        <w:rPr>
          <w:sz w:val="24"/>
          <w:szCs w:val="24"/>
          <w:highlight w:val="none"/>
        </w:rPr>
      </w:pPr>
      <w:r>
        <w:rPr>
          <w:rFonts w:hint="eastAsia"/>
          <w:sz w:val="24"/>
          <w:szCs w:val="24"/>
          <w:highlight w:val="none"/>
        </w:rPr>
        <w:t>八</w:t>
      </w:r>
      <w:r>
        <w:rPr>
          <w:sz w:val="24"/>
          <w:szCs w:val="24"/>
          <w:highlight w:val="none"/>
        </w:rPr>
        <w:t>、有关涉及本合同供方向天津市政府采购中心所提交的投标文件及有关澄清资料和服务承诺均视为本合同不可分割的部分，对供方具有约束力。</w:t>
      </w:r>
    </w:p>
    <w:p w14:paraId="2FF02B53">
      <w:pPr>
        <w:tabs>
          <w:tab w:val="left" w:pos="0"/>
          <w:tab w:val="left" w:pos="315"/>
        </w:tabs>
        <w:spacing w:line="520" w:lineRule="exact"/>
        <w:ind w:firstLine="448" w:firstLineChars="200"/>
        <w:rPr>
          <w:sz w:val="24"/>
          <w:szCs w:val="24"/>
          <w:highlight w:val="none"/>
        </w:rPr>
      </w:pPr>
      <w:r>
        <w:rPr>
          <w:rFonts w:hint="eastAsia"/>
          <w:sz w:val="24"/>
          <w:szCs w:val="24"/>
          <w:highlight w:val="none"/>
        </w:rPr>
        <w:t>九</w:t>
      </w:r>
      <w:r>
        <w:rPr>
          <w:sz w:val="24"/>
          <w:szCs w:val="24"/>
          <w:highlight w:val="none"/>
        </w:rPr>
        <w:t>、本合同一式份，需方留存份，供方留存份，均具同等效力，签字盖章后生效。</w:t>
      </w:r>
    </w:p>
    <w:tbl>
      <w:tblPr>
        <w:tblStyle w:val="19"/>
        <w:tblW w:w="0" w:type="auto"/>
        <w:tblInd w:w="0" w:type="dxa"/>
        <w:tblLayout w:type="autofit"/>
        <w:tblCellMar>
          <w:top w:w="0" w:type="dxa"/>
          <w:left w:w="108" w:type="dxa"/>
          <w:bottom w:w="0" w:type="dxa"/>
          <w:right w:w="108" w:type="dxa"/>
        </w:tblCellMar>
      </w:tblPr>
      <w:tblGrid>
        <w:gridCol w:w="4156"/>
        <w:gridCol w:w="4156"/>
      </w:tblGrid>
      <w:tr w14:paraId="59A0BDA9">
        <w:tblPrEx>
          <w:tblCellMar>
            <w:top w:w="0" w:type="dxa"/>
            <w:left w:w="108" w:type="dxa"/>
            <w:bottom w:w="0" w:type="dxa"/>
            <w:right w:w="108" w:type="dxa"/>
          </w:tblCellMar>
        </w:tblPrEx>
        <w:tc>
          <w:tcPr>
            <w:tcW w:w="4261" w:type="dxa"/>
          </w:tcPr>
          <w:p w14:paraId="2BBAE552">
            <w:pPr>
              <w:tabs>
                <w:tab w:val="left" w:pos="0"/>
                <w:tab w:val="left" w:pos="315"/>
              </w:tabs>
              <w:spacing w:line="520" w:lineRule="exact"/>
              <w:rPr>
                <w:sz w:val="24"/>
                <w:szCs w:val="24"/>
                <w:highlight w:val="none"/>
              </w:rPr>
            </w:pPr>
            <w:r>
              <w:rPr>
                <w:sz w:val="24"/>
                <w:szCs w:val="24"/>
                <w:highlight w:val="none"/>
              </w:rPr>
              <w:t>供方（公章）：</w:t>
            </w:r>
          </w:p>
        </w:tc>
        <w:tc>
          <w:tcPr>
            <w:tcW w:w="4261" w:type="dxa"/>
          </w:tcPr>
          <w:p w14:paraId="3BFC5048">
            <w:pPr>
              <w:tabs>
                <w:tab w:val="left" w:pos="0"/>
                <w:tab w:val="left" w:pos="315"/>
              </w:tabs>
              <w:spacing w:line="520" w:lineRule="exact"/>
              <w:rPr>
                <w:sz w:val="24"/>
                <w:szCs w:val="24"/>
                <w:highlight w:val="none"/>
              </w:rPr>
            </w:pPr>
            <w:r>
              <w:rPr>
                <w:sz w:val="24"/>
                <w:szCs w:val="24"/>
                <w:highlight w:val="none"/>
              </w:rPr>
              <w:t>需方（公章）：</w:t>
            </w:r>
          </w:p>
        </w:tc>
      </w:tr>
      <w:tr w14:paraId="1B9161BD">
        <w:tblPrEx>
          <w:tblCellMar>
            <w:top w:w="0" w:type="dxa"/>
            <w:left w:w="108" w:type="dxa"/>
            <w:bottom w:w="0" w:type="dxa"/>
            <w:right w:w="108" w:type="dxa"/>
          </w:tblCellMar>
        </w:tblPrEx>
        <w:tc>
          <w:tcPr>
            <w:tcW w:w="4261" w:type="dxa"/>
          </w:tcPr>
          <w:p w14:paraId="0698DEA1">
            <w:pPr>
              <w:tabs>
                <w:tab w:val="left" w:pos="0"/>
                <w:tab w:val="left" w:pos="315"/>
              </w:tabs>
              <w:spacing w:line="520" w:lineRule="exact"/>
              <w:rPr>
                <w:sz w:val="24"/>
                <w:szCs w:val="24"/>
                <w:highlight w:val="none"/>
              </w:rPr>
            </w:pPr>
            <w:r>
              <w:rPr>
                <w:sz w:val="24"/>
                <w:szCs w:val="24"/>
                <w:highlight w:val="none"/>
              </w:rPr>
              <w:t>地址：</w:t>
            </w:r>
          </w:p>
        </w:tc>
        <w:tc>
          <w:tcPr>
            <w:tcW w:w="4261" w:type="dxa"/>
          </w:tcPr>
          <w:p w14:paraId="31A17EFC">
            <w:pPr>
              <w:tabs>
                <w:tab w:val="left" w:pos="0"/>
                <w:tab w:val="left" w:pos="315"/>
              </w:tabs>
              <w:spacing w:line="520" w:lineRule="exact"/>
              <w:rPr>
                <w:sz w:val="24"/>
                <w:szCs w:val="24"/>
                <w:highlight w:val="none"/>
              </w:rPr>
            </w:pPr>
            <w:r>
              <w:rPr>
                <w:sz w:val="24"/>
                <w:szCs w:val="24"/>
                <w:highlight w:val="none"/>
              </w:rPr>
              <w:t>地址：</w:t>
            </w:r>
          </w:p>
        </w:tc>
      </w:tr>
      <w:tr w14:paraId="3BB3A013">
        <w:tblPrEx>
          <w:tblCellMar>
            <w:top w:w="0" w:type="dxa"/>
            <w:left w:w="108" w:type="dxa"/>
            <w:bottom w:w="0" w:type="dxa"/>
            <w:right w:w="108" w:type="dxa"/>
          </w:tblCellMar>
        </w:tblPrEx>
        <w:tc>
          <w:tcPr>
            <w:tcW w:w="4261" w:type="dxa"/>
          </w:tcPr>
          <w:p w14:paraId="335F617C">
            <w:pPr>
              <w:tabs>
                <w:tab w:val="left" w:pos="360"/>
              </w:tabs>
              <w:spacing w:line="520" w:lineRule="exact"/>
              <w:rPr>
                <w:sz w:val="24"/>
                <w:szCs w:val="24"/>
                <w:highlight w:val="none"/>
              </w:rPr>
            </w:pPr>
            <w:r>
              <w:rPr>
                <w:sz w:val="24"/>
                <w:szCs w:val="24"/>
                <w:highlight w:val="none"/>
              </w:rPr>
              <w:t>法定代表人：</w:t>
            </w:r>
          </w:p>
        </w:tc>
        <w:tc>
          <w:tcPr>
            <w:tcW w:w="4261" w:type="dxa"/>
          </w:tcPr>
          <w:p w14:paraId="6D2B9302">
            <w:pPr>
              <w:tabs>
                <w:tab w:val="left" w:pos="360"/>
              </w:tabs>
              <w:spacing w:line="520" w:lineRule="exact"/>
              <w:rPr>
                <w:sz w:val="24"/>
                <w:szCs w:val="24"/>
                <w:highlight w:val="none"/>
              </w:rPr>
            </w:pPr>
            <w:r>
              <w:rPr>
                <w:sz w:val="24"/>
                <w:szCs w:val="24"/>
                <w:highlight w:val="none"/>
              </w:rPr>
              <w:t>法定代表人：</w:t>
            </w:r>
          </w:p>
        </w:tc>
      </w:tr>
      <w:tr w14:paraId="4CF97D72">
        <w:tblPrEx>
          <w:tblCellMar>
            <w:top w:w="0" w:type="dxa"/>
            <w:left w:w="108" w:type="dxa"/>
            <w:bottom w:w="0" w:type="dxa"/>
            <w:right w:w="108" w:type="dxa"/>
          </w:tblCellMar>
        </w:tblPrEx>
        <w:tc>
          <w:tcPr>
            <w:tcW w:w="4261" w:type="dxa"/>
          </w:tcPr>
          <w:p w14:paraId="7510C58D">
            <w:pPr>
              <w:tabs>
                <w:tab w:val="left" w:pos="360"/>
              </w:tabs>
              <w:spacing w:line="520" w:lineRule="exact"/>
              <w:rPr>
                <w:sz w:val="24"/>
                <w:szCs w:val="24"/>
                <w:highlight w:val="none"/>
              </w:rPr>
            </w:pPr>
            <w:r>
              <w:rPr>
                <w:sz w:val="24"/>
                <w:szCs w:val="24"/>
                <w:highlight w:val="none"/>
              </w:rPr>
              <w:t>委托代理人：</w:t>
            </w:r>
          </w:p>
        </w:tc>
        <w:tc>
          <w:tcPr>
            <w:tcW w:w="4261" w:type="dxa"/>
          </w:tcPr>
          <w:p w14:paraId="1F77AB75">
            <w:pPr>
              <w:tabs>
                <w:tab w:val="left" w:pos="360"/>
              </w:tabs>
              <w:spacing w:line="520" w:lineRule="exact"/>
              <w:rPr>
                <w:sz w:val="24"/>
                <w:szCs w:val="24"/>
                <w:highlight w:val="none"/>
              </w:rPr>
            </w:pPr>
            <w:r>
              <w:rPr>
                <w:sz w:val="24"/>
                <w:szCs w:val="24"/>
                <w:highlight w:val="none"/>
              </w:rPr>
              <w:t>委托代理人：</w:t>
            </w:r>
          </w:p>
        </w:tc>
      </w:tr>
      <w:tr w14:paraId="542137C6">
        <w:tblPrEx>
          <w:tblCellMar>
            <w:top w:w="0" w:type="dxa"/>
            <w:left w:w="108" w:type="dxa"/>
            <w:bottom w:w="0" w:type="dxa"/>
            <w:right w:w="108" w:type="dxa"/>
          </w:tblCellMar>
        </w:tblPrEx>
        <w:tc>
          <w:tcPr>
            <w:tcW w:w="4261" w:type="dxa"/>
          </w:tcPr>
          <w:p w14:paraId="1A4E655E">
            <w:pPr>
              <w:tabs>
                <w:tab w:val="left" w:pos="360"/>
              </w:tabs>
              <w:spacing w:line="520" w:lineRule="exact"/>
              <w:rPr>
                <w:sz w:val="24"/>
                <w:szCs w:val="24"/>
                <w:highlight w:val="none"/>
              </w:rPr>
            </w:pPr>
            <w:r>
              <w:rPr>
                <w:sz w:val="24"/>
                <w:szCs w:val="24"/>
                <w:highlight w:val="none"/>
              </w:rPr>
              <w:t>电话：</w:t>
            </w:r>
          </w:p>
        </w:tc>
        <w:tc>
          <w:tcPr>
            <w:tcW w:w="4261" w:type="dxa"/>
          </w:tcPr>
          <w:p w14:paraId="4C9390A7">
            <w:pPr>
              <w:tabs>
                <w:tab w:val="left" w:pos="360"/>
              </w:tabs>
              <w:spacing w:line="520" w:lineRule="exact"/>
              <w:rPr>
                <w:sz w:val="24"/>
                <w:szCs w:val="24"/>
                <w:highlight w:val="none"/>
              </w:rPr>
            </w:pPr>
            <w:r>
              <w:rPr>
                <w:sz w:val="24"/>
                <w:szCs w:val="24"/>
                <w:highlight w:val="none"/>
              </w:rPr>
              <w:t>电话：</w:t>
            </w:r>
          </w:p>
        </w:tc>
      </w:tr>
    </w:tbl>
    <w:p w14:paraId="1965905B">
      <w:pPr>
        <w:rPr>
          <w:sz w:val="24"/>
          <w:szCs w:val="24"/>
          <w:highlight w:val="none"/>
        </w:rPr>
      </w:pPr>
    </w:p>
    <w:p w14:paraId="685FBC56">
      <w:pPr>
        <w:rPr>
          <w:szCs w:val="24"/>
          <w:highlight w:val="none"/>
        </w:rPr>
      </w:pPr>
      <w:r>
        <w:rPr>
          <w:sz w:val="24"/>
          <w:szCs w:val="24"/>
          <w:highlight w:val="none"/>
        </w:rPr>
        <w:t>时间：20年月日</w:t>
      </w:r>
    </w:p>
    <w:p w14:paraId="3BC921CF">
      <w:pPr>
        <w:widowControl/>
        <w:jc w:val="left"/>
        <w:rPr>
          <w:sz w:val="24"/>
          <w:szCs w:val="24"/>
          <w:highlight w:val="none"/>
        </w:rPr>
      </w:pPr>
      <w:r>
        <w:rPr>
          <w:sz w:val="24"/>
          <w:szCs w:val="24"/>
          <w:highlight w:val="none"/>
        </w:rPr>
        <w:br w:type="page"/>
      </w:r>
    </w:p>
    <w:p w14:paraId="2E22D1A0">
      <w:pPr>
        <w:jc w:val="center"/>
        <w:rPr>
          <w:b/>
          <w:sz w:val="30"/>
          <w:szCs w:val="30"/>
          <w:highlight w:val="none"/>
        </w:rPr>
      </w:pPr>
      <w:r>
        <w:rPr>
          <w:b/>
          <w:sz w:val="30"/>
          <w:szCs w:val="30"/>
          <w:highlight w:val="none"/>
        </w:rPr>
        <w:t>合同特殊条款</w:t>
      </w:r>
    </w:p>
    <w:p w14:paraId="08D0AF49">
      <w:pPr>
        <w:tabs>
          <w:tab w:val="left" w:pos="360"/>
        </w:tabs>
        <w:spacing w:line="520" w:lineRule="exact"/>
        <w:ind w:firstLine="383" w:firstLineChars="171"/>
        <w:rPr>
          <w:color w:val="000000"/>
          <w:sz w:val="24"/>
          <w:szCs w:val="24"/>
          <w:highlight w:val="none"/>
        </w:rPr>
      </w:pPr>
    </w:p>
    <w:p w14:paraId="48E133EC">
      <w:pPr>
        <w:tabs>
          <w:tab w:val="left" w:pos="360"/>
        </w:tabs>
        <w:spacing w:line="520" w:lineRule="exact"/>
        <w:ind w:firstLine="383" w:firstLineChars="171"/>
        <w:rPr>
          <w:color w:val="000000"/>
          <w:sz w:val="24"/>
          <w:szCs w:val="24"/>
          <w:highlight w:val="none"/>
        </w:rPr>
      </w:pPr>
      <w:r>
        <w:rPr>
          <w:color w:val="000000"/>
          <w:sz w:val="24"/>
          <w:szCs w:val="24"/>
          <w:highlight w:val="none"/>
        </w:rPr>
        <w:t>合同特殊条款是合同一般条款的补充和修改。如果两者之间有抵触，应以特殊条款为准。</w:t>
      </w:r>
    </w:p>
    <w:p w14:paraId="0291CB9D">
      <w:pPr>
        <w:tabs>
          <w:tab w:val="left" w:pos="360"/>
        </w:tabs>
        <w:spacing w:line="520" w:lineRule="exact"/>
        <w:ind w:firstLine="383" w:firstLineChars="171"/>
        <w:rPr>
          <w:color w:val="000000"/>
          <w:sz w:val="24"/>
          <w:szCs w:val="24"/>
          <w:highlight w:val="none"/>
        </w:rPr>
      </w:pPr>
      <w:r>
        <w:rPr>
          <w:color w:val="000000"/>
          <w:sz w:val="24"/>
          <w:szCs w:val="24"/>
          <w:highlight w:val="none"/>
        </w:rPr>
        <w:t>合同特殊条款由</w:t>
      </w:r>
      <w:r>
        <w:rPr>
          <w:rFonts w:hint="eastAsia"/>
          <w:color w:val="000000"/>
          <w:sz w:val="24"/>
          <w:szCs w:val="24"/>
          <w:highlight w:val="none"/>
        </w:rPr>
        <w:t>供方</w:t>
      </w:r>
      <w:r>
        <w:rPr>
          <w:color w:val="000000"/>
          <w:sz w:val="24"/>
          <w:szCs w:val="24"/>
          <w:highlight w:val="none"/>
        </w:rPr>
        <w:t>和需方根据项目的具体情况协商拟订。</w:t>
      </w:r>
    </w:p>
    <w:p w14:paraId="2E3D0893">
      <w:pPr>
        <w:autoSpaceDN w:val="0"/>
        <w:spacing w:line="360" w:lineRule="auto"/>
        <w:rPr>
          <w:b/>
          <w:bCs/>
          <w:highlight w:val="none"/>
        </w:rPr>
      </w:pPr>
    </w:p>
    <w:p w14:paraId="767EAE44">
      <w:pPr>
        <w:autoSpaceDN w:val="0"/>
        <w:spacing w:line="360" w:lineRule="auto"/>
        <w:rPr>
          <w:b/>
          <w:bCs/>
          <w:highlight w:val="none"/>
        </w:rPr>
      </w:pPr>
    </w:p>
    <w:p w14:paraId="74F066C1">
      <w:pPr>
        <w:widowControl/>
        <w:jc w:val="left"/>
        <w:rPr>
          <w:b/>
          <w:bCs/>
          <w:highlight w:val="none"/>
        </w:rPr>
      </w:pPr>
      <w:r>
        <w:rPr>
          <w:b/>
          <w:bCs/>
          <w:highlight w:val="none"/>
        </w:rPr>
        <w:br w:type="page"/>
      </w:r>
    </w:p>
    <w:p w14:paraId="45A2E449">
      <w:pPr>
        <w:pStyle w:val="15"/>
        <w:rPr>
          <w:rFonts w:ascii="Times New Roman" w:hAnsi="Times New Roman"/>
          <w:highlight w:val="none"/>
        </w:rPr>
      </w:pPr>
      <w:r>
        <w:rPr>
          <w:rFonts w:ascii="Times New Roman" w:hAnsiTheme="minorEastAsia"/>
          <w:highlight w:val="none"/>
        </w:rPr>
        <w:t>第五部分投标文件格式</w:t>
      </w:r>
    </w:p>
    <w:p w14:paraId="151CAD33">
      <w:pPr>
        <w:autoSpaceDN w:val="0"/>
        <w:spacing w:line="360" w:lineRule="auto"/>
        <w:jc w:val="center"/>
        <w:rPr>
          <w:b/>
          <w:bCs/>
          <w:sz w:val="24"/>
          <w:highlight w:val="none"/>
        </w:rPr>
      </w:pPr>
      <w:r>
        <w:rPr>
          <w:rFonts w:hAnsiTheme="minorEastAsia"/>
          <w:b/>
          <w:bCs/>
          <w:sz w:val="24"/>
          <w:highlight w:val="none"/>
        </w:rPr>
        <w:t>投标文件封面格式</w:t>
      </w:r>
    </w:p>
    <w:p w14:paraId="082D277E">
      <w:pPr>
        <w:autoSpaceDE w:val="0"/>
        <w:autoSpaceDN w:val="0"/>
        <w:adjustRightInd w:val="0"/>
        <w:spacing w:line="520" w:lineRule="exact"/>
        <w:rPr>
          <w:highlight w:val="none"/>
        </w:rPr>
      </w:pPr>
    </w:p>
    <w:p w14:paraId="4750B576">
      <w:pPr>
        <w:autoSpaceDE w:val="0"/>
        <w:autoSpaceDN w:val="0"/>
        <w:adjustRightInd w:val="0"/>
        <w:spacing w:line="520" w:lineRule="exact"/>
        <w:rPr>
          <w:b/>
          <w:kern w:val="0"/>
          <w:sz w:val="24"/>
          <w:highlight w:val="none"/>
        </w:rPr>
      </w:pPr>
    </w:p>
    <w:p w14:paraId="7E4E3B8B">
      <w:pPr>
        <w:autoSpaceDE w:val="0"/>
        <w:autoSpaceDN w:val="0"/>
        <w:adjustRightInd w:val="0"/>
        <w:spacing w:line="520" w:lineRule="exact"/>
        <w:rPr>
          <w:b/>
          <w:kern w:val="0"/>
          <w:sz w:val="24"/>
          <w:highlight w:val="none"/>
        </w:rPr>
      </w:pPr>
    </w:p>
    <w:p w14:paraId="1A4F2EDF">
      <w:pPr>
        <w:autoSpaceDE w:val="0"/>
        <w:autoSpaceDN w:val="0"/>
        <w:adjustRightInd w:val="0"/>
        <w:spacing w:line="520" w:lineRule="exact"/>
        <w:rPr>
          <w:b/>
          <w:kern w:val="0"/>
          <w:sz w:val="24"/>
          <w:highlight w:val="none"/>
        </w:rPr>
      </w:pPr>
    </w:p>
    <w:p w14:paraId="6AC5DFB9">
      <w:pPr>
        <w:autoSpaceDE w:val="0"/>
        <w:autoSpaceDN w:val="0"/>
        <w:adjustRightInd w:val="0"/>
        <w:jc w:val="center"/>
        <w:rPr>
          <w:kern w:val="0"/>
          <w:sz w:val="144"/>
          <w:szCs w:val="144"/>
          <w:highlight w:val="none"/>
        </w:rPr>
      </w:pPr>
      <w:r>
        <w:rPr>
          <w:rFonts w:hAnsiTheme="minorEastAsia"/>
          <w:sz w:val="160"/>
          <w:szCs w:val="84"/>
          <w:highlight w:val="none"/>
        </w:rPr>
        <w:t>投标文件</w:t>
      </w:r>
    </w:p>
    <w:p w14:paraId="4424BDAF">
      <w:pPr>
        <w:autoSpaceDE w:val="0"/>
        <w:autoSpaceDN w:val="0"/>
        <w:adjustRightInd w:val="0"/>
        <w:spacing w:line="520" w:lineRule="exact"/>
        <w:rPr>
          <w:b/>
          <w:kern w:val="0"/>
          <w:sz w:val="36"/>
          <w:szCs w:val="36"/>
          <w:highlight w:val="none"/>
        </w:rPr>
      </w:pPr>
    </w:p>
    <w:p w14:paraId="508DB79E">
      <w:pPr>
        <w:autoSpaceDE w:val="0"/>
        <w:autoSpaceDN w:val="0"/>
        <w:adjustRightInd w:val="0"/>
        <w:spacing w:line="520" w:lineRule="exact"/>
        <w:jc w:val="center"/>
        <w:rPr>
          <w:b/>
          <w:color w:val="FF0000"/>
          <w:kern w:val="0"/>
          <w:sz w:val="24"/>
          <w:highlight w:val="none"/>
        </w:rPr>
      </w:pPr>
      <w:r>
        <w:rPr>
          <w:rFonts w:hAnsiTheme="minorEastAsia"/>
          <w:b/>
          <w:color w:val="FF0000"/>
          <w:kern w:val="0"/>
          <w:sz w:val="24"/>
          <w:highlight w:val="none"/>
        </w:rPr>
        <w:t>（加盖电子签章）</w:t>
      </w:r>
    </w:p>
    <w:p w14:paraId="67CA0874">
      <w:pPr>
        <w:spacing w:before="85" w:beforeLines="30" w:after="199" w:afterLines="70" w:line="540" w:lineRule="exact"/>
        <w:ind w:left="582" w:leftChars="300"/>
        <w:rPr>
          <w:b/>
          <w:sz w:val="34"/>
          <w:szCs w:val="34"/>
          <w:highlight w:val="none"/>
        </w:rPr>
      </w:pPr>
      <w:r>
        <w:rPr>
          <w:rFonts w:hAnsiTheme="minorEastAsia"/>
          <w:b/>
          <w:sz w:val="34"/>
          <w:szCs w:val="34"/>
          <w:highlight w:val="none"/>
        </w:rPr>
        <w:t>项目编号：</w:t>
      </w:r>
    </w:p>
    <w:p w14:paraId="4CB34519">
      <w:pPr>
        <w:spacing w:before="85" w:beforeLines="30" w:after="199" w:afterLines="70" w:line="540" w:lineRule="exact"/>
        <w:ind w:left="2027" w:leftChars="300" w:hanging="1445" w:hangingChars="446"/>
        <w:rPr>
          <w:b/>
          <w:sz w:val="34"/>
          <w:szCs w:val="34"/>
          <w:highlight w:val="none"/>
        </w:rPr>
      </w:pPr>
      <w:r>
        <w:rPr>
          <w:rFonts w:hAnsiTheme="minorEastAsia"/>
          <w:b/>
          <w:sz w:val="34"/>
          <w:szCs w:val="34"/>
          <w:highlight w:val="none"/>
        </w:rPr>
        <w:t>项目名称：</w:t>
      </w:r>
    </w:p>
    <w:p w14:paraId="146EACB2">
      <w:pPr>
        <w:spacing w:before="85" w:beforeLines="30" w:after="199" w:afterLines="70" w:line="540" w:lineRule="exact"/>
        <w:ind w:left="2027" w:leftChars="300" w:hanging="1445" w:hangingChars="446"/>
        <w:rPr>
          <w:b/>
          <w:sz w:val="34"/>
          <w:szCs w:val="34"/>
          <w:highlight w:val="none"/>
        </w:rPr>
      </w:pPr>
      <w:r>
        <w:rPr>
          <w:rFonts w:hAnsiTheme="minorEastAsia"/>
          <w:b/>
          <w:sz w:val="34"/>
          <w:szCs w:val="34"/>
          <w:highlight w:val="none"/>
        </w:rPr>
        <w:t>投标包号：</w:t>
      </w:r>
    </w:p>
    <w:p w14:paraId="74E3EF9E">
      <w:pPr>
        <w:spacing w:before="85" w:beforeLines="30" w:after="199" w:afterLines="70" w:line="540" w:lineRule="exact"/>
        <w:ind w:left="582" w:leftChars="300"/>
        <w:rPr>
          <w:b/>
          <w:sz w:val="34"/>
          <w:szCs w:val="34"/>
          <w:highlight w:val="none"/>
        </w:rPr>
      </w:pPr>
      <w:r>
        <w:rPr>
          <w:rFonts w:hAnsiTheme="minorEastAsia"/>
          <w:b/>
          <w:sz w:val="34"/>
          <w:szCs w:val="34"/>
          <w:highlight w:val="none"/>
        </w:rPr>
        <w:t>投标单位名称：</w:t>
      </w:r>
    </w:p>
    <w:p w14:paraId="676C8120">
      <w:pPr>
        <w:spacing w:before="85" w:beforeLines="30" w:after="199" w:afterLines="70" w:line="540" w:lineRule="exact"/>
        <w:ind w:left="582" w:leftChars="300"/>
        <w:rPr>
          <w:b/>
          <w:kern w:val="0"/>
          <w:sz w:val="34"/>
          <w:szCs w:val="34"/>
          <w:highlight w:val="none"/>
        </w:rPr>
      </w:pPr>
      <w:r>
        <w:rPr>
          <w:rFonts w:hint="eastAsia" w:hAnsiTheme="minorEastAsia"/>
          <w:b/>
          <w:kern w:val="0"/>
          <w:sz w:val="34"/>
          <w:szCs w:val="34"/>
          <w:highlight w:val="none"/>
        </w:rPr>
        <w:t>投标代表人姓名：</w:t>
      </w:r>
    </w:p>
    <w:p w14:paraId="48A284DD">
      <w:pPr>
        <w:tabs>
          <w:tab w:val="left" w:pos="1260"/>
          <w:tab w:val="center" w:pos="4156"/>
        </w:tabs>
        <w:autoSpaceDE w:val="0"/>
        <w:autoSpaceDN w:val="0"/>
        <w:adjustRightInd w:val="0"/>
        <w:spacing w:line="360" w:lineRule="auto"/>
        <w:ind w:firstLine="648" w:firstLineChars="200"/>
        <w:outlineLvl w:val="0"/>
        <w:rPr>
          <w:b/>
          <w:sz w:val="34"/>
          <w:szCs w:val="34"/>
          <w:highlight w:val="none"/>
        </w:rPr>
      </w:pPr>
    </w:p>
    <w:p w14:paraId="1DCFDCC4">
      <w:pPr>
        <w:tabs>
          <w:tab w:val="left" w:pos="1260"/>
          <w:tab w:val="center" w:pos="4156"/>
        </w:tabs>
        <w:autoSpaceDE w:val="0"/>
        <w:autoSpaceDN w:val="0"/>
        <w:adjustRightInd w:val="0"/>
        <w:spacing w:line="360" w:lineRule="auto"/>
        <w:ind w:firstLine="648" w:firstLineChars="200"/>
        <w:outlineLvl w:val="0"/>
        <w:rPr>
          <w:b/>
          <w:sz w:val="34"/>
          <w:szCs w:val="34"/>
          <w:highlight w:val="none"/>
        </w:rPr>
      </w:pPr>
    </w:p>
    <w:p w14:paraId="4A5513CF">
      <w:pPr>
        <w:tabs>
          <w:tab w:val="left" w:pos="1260"/>
          <w:tab w:val="center" w:pos="4156"/>
        </w:tabs>
        <w:autoSpaceDE w:val="0"/>
        <w:autoSpaceDN w:val="0"/>
        <w:adjustRightInd w:val="0"/>
        <w:spacing w:line="360" w:lineRule="auto"/>
        <w:ind w:firstLine="648" w:firstLineChars="200"/>
        <w:outlineLvl w:val="0"/>
        <w:rPr>
          <w:b/>
          <w:sz w:val="34"/>
          <w:szCs w:val="34"/>
          <w:highlight w:val="none"/>
        </w:rPr>
      </w:pPr>
    </w:p>
    <w:p w14:paraId="3CE5C66A">
      <w:pPr>
        <w:tabs>
          <w:tab w:val="left" w:pos="1260"/>
          <w:tab w:val="center" w:pos="4156"/>
        </w:tabs>
        <w:autoSpaceDE w:val="0"/>
        <w:autoSpaceDN w:val="0"/>
        <w:adjustRightInd w:val="0"/>
        <w:spacing w:line="360" w:lineRule="auto"/>
        <w:ind w:firstLine="648" w:firstLineChars="200"/>
        <w:outlineLvl w:val="0"/>
        <w:rPr>
          <w:b/>
          <w:bCs/>
          <w:color w:val="000000"/>
          <w:sz w:val="24"/>
          <w:highlight w:val="none"/>
          <w:lang w:val="zh-CN"/>
        </w:rPr>
      </w:pPr>
      <w:r>
        <w:rPr>
          <w:rFonts w:hAnsiTheme="minorEastAsia"/>
          <w:b/>
          <w:sz w:val="34"/>
          <w:szCs w:val="34"/>
          <w:highlight w:val="none"/>
        </w:rPr>
        <w:t>投标日期：年月日</w:t>
      </w:r>
    </w:p>
    <w:p w14:paraId="55F99EA8">
      <w:pPr>
        <w:widowControl/>
        <w:jc w:val="left"/>
        <w:rPr>
          <w:b/>
          <w:sz w:val="24"/>
          <w:highlight w:val="none"/>
        </w:rPr>
      </w:pPr>
      <w:r>
        <w:rPr>
          <w:b/>
          <w:sz w:val="24"/>
          <w:highlight w:val="none"/>
        </w:rPr>
        <w:br w:type="page"/>
      </w:r>
    </w:p>
    <w:p w14:paraId="64487E2D">
      <w:pPr>
        <w:autoSpaceDN w:val="0"/>
        <w:spacing w:line="360" w:lineRule="auto"/>
        <w:jc w:val="center"/>
        <w:rPr>
          <w:b/>
          <w:bCs/>
          <w:sz w:val="24"/>
          <w:highlight w:val="none"/>
        </w:rPr>
      </w:pPr>
      <w:r>
        <w:rPr>
          <w:rFonts w:hAnsiTheme="minorEastAsia"/>
          <w:b/>
          <w:bCs/>
          <w:sz w:val="24"/>
          <w:highlight w:val="none"/>
        </w:rPr>
        <w:t>投标文件总目录</w:t>
      </w:r>
    </w:p>
    <w:p w14:paraId="4C1D7ACF">
      <w:pPr>
        <w:autoSpaceDN w:val="0"/>
        <w:spacing w:line="360" w:lineRule="auto"/>
        <w:jc w:val="center"/>
        <w:rPr>
          <w:b/>
          <w:bCs/>
          <w:sz w:val="24"/>
          <w:highlight w:val="none"/>
        </w:rPr>
      </w:pPr>
      <w:r>
        <w:rPr>
          <w:rFonts w:hAnsiTheme="minorEastAsia"/>
          <w:b/>
          <w:bCs/>
          <w:sz w:val="24"/>
          <w:highlight w:val="none"/>
        </w:rPr>
        <w:t>（投标人自行编制）</w:t>
      </w:r>
    </w:p>
    <w:p w14:paraId="21FD37B6">
      <w:pPr>
        <w:widowControl/>
        <w:jc w:val="left"/>
        <w:rPr>
          <w:b/>
          <w:sz w:val="24"/>
          <w:highlight w:val="none"/>
        </w:rPr>
      </w:pPr>
      <w:r>
        <w:rPr>
          <w:b/>
          <w:sz w:val="24"/>
          <w:highlight w:val="none"/>
        </w:rPr>
        <w:br w:type="page"/>
      </w:r>
    </w:p>
    <w:p w14:paraId="0A4EF2CC">
      <w:pPr>
        <w:widowControl/>
        <w:jc w:val="center"/>
        <w:rPr>
          <w:b/>
          <w:sz w:val="24"/>
          <w:highlight w:val="none"/>
        </w:rPr>
      </w:pPr>
      <w:r>
        <w:rPr>
          <w:rFonts w:hAnsiTheme="minorEastAsia"/>
          <w:b/>
          <w:sz w:val="24"/>
          <w:highlight w:val="none"/>
        </w:rPr>
        <w:t>评分因素及评标标准页码检索</w:t>
      </w:r>
    </w:p>
    <w:p w14:paraId="11C53FFF">
      <w:pPr>
        <w:widowControl/>
        <w:jc w:val="center"/>
        <w:rPr>
          <w:b/>
          <w:sz w:val="24"/>
          <w:highlight w:val="none"/>
        </w:rPr>
      </w:pPr>
      <w:r>
        <w:rPr>
          <w:rFonts w:hAnsiTheme="minorEastAsia"/>
          <w:b/>
          <w:bCs/>
          <w:sz w:val="24"/>
          <w:highlight w:val="none"/>
        </w:rPr>
        <w:t>（需投标人按招标文件</w:t>
      </w:r>
      <w:r>
        <w:rPr>
          <w:b/>
          <w:bCs/>
          <w:sz w:val="24"/>
          <w:highlight w:val="none"/>
        </w:rPr>
        <w:t>“</w:t>
      </w:r>
      <w:r>
        <w:rPr>
          <w:rFonts w:hAnsiTheme="minorEastAsia"/>
          <w:b/>
          <w:bCs/>
          <w:sz w:val="24"/>
          <w:highlight w:val="none"/>
        </w:rPr>
        <w:t>评分因素及评标标准</w:t>
      </w:r>
      <w:r>
        <w:rPr>
          <w:b/>
          <w:bCs/>
          <w:sz w:val="24"/>
          <w:highlight w:val="none"/>
        </w:rPr>
        <w:t>”</w:t>
      </w:r>
      <w:r>
        <w:rPr>
          <w:rFonts w:hAnsiTheme="minorEastAsia"/>
          <w:b/>
          <w:bCs/>
          <w:sz w:val="24"/>
          <w:highlight w:val="none"/>
        </w:rPr>
        <w:t>中每个评分项逐项列明页码）</w:t>
      </w:r>
    </w:p>
    <w:p w14:paraId="5734E2D7">
      <w:pPr>
        <w:widowControl/>
        <w:jc w:val="left"/>
        <w:rPr>
          <w:b/>
          <w:sz w:val="24"/>
          <w:highlight w:val="none"/>
        </w:rPr>
      </w:pPr>
    </w:p>
    <w:p w14:paraId="22EF3DB4">
      <w:pPr>
        <w:widowControl/>
        <w:jc w:val="left"/>
        <w:rPr>
          <w:sz w:val="24"/>
          <w:highlight w:val="none"/>
        </w:rPr>
      </w:pPr>
      <w:r>
        <w:rPr>
          <w:b/>
          <w:sz w:val="24"/>
          <w:highlight w:val="none"/>
        </w:rPr>
        <w:br w:type="page"/>
      </w:r>
      <w:r>
        <w:rPr>
          <w:rFonts w:hAnsiTheme="minorEastAsia"/>
          <w:b/>
          <w:sz w:val="24"/>
          <w:highlight w:val="none"/>
        </w:rPr>
        <w:t>附件</w:t>
      </w:r>
      <w:r>
        <w:rPr>
          <w:b/>
          <w:sz w:val="24"/>
          <w:highlight w:val="none"/>
        </w:rPr>
        <w:t>1</w:t>
      </w:r>
    </w:p>
    <w:p w14:paraId="4F1EF5EF">
      <w:pPr>
        <w:tabs>
          <w:tab w:val="left" w:pos="360"/>
        </w:tabs>
        <w:spacing w:line="560" w:lineRule="exact"/>
        <w:jc w:val="center"/>
        <w:rPr>
          <w:b/>
          <w:sz w:val="24"/>
          <w:highlight w:val="none"/>
        </w:rPr>
      </w:pPr>
      <w:r>
        <w:rPr>
          <w:rFonts w:hAnsiTheme="minorEastAsia"/>
          <w:b/>
          <w:sz w:val="24"/>
          <w:highlight w:val="none"/>
        </w:rPr>
        <w:t>投标书</w:t>
      </w:r>
    </w:p>
    <w:p w14:paraId="71CDBFF7">
      <w:pPr>
        <w:spacing w:line="560" w:lineRule="exact"/>
        <w:rPr>
          <w:sz w:val="24"/>
          <w:highlight w:val="none"/>
        </w:rPr>
      </w:pPr>
      <w:r>
        <w:rPr>
          <w:rFonts w:hAnsiTheme="minorEastAsia"/>
          <w:sz w:val="24"/>
          <w:highlight w:val="none"/>
        </w:rPr>
        <w:t>致：天津市</w:t>
      </w:r>
      <w:r>
        <w:rPr>
          <w:rFonts w:hint="eastAsia" w:hAnsiTheme="minorEastAsia"/>
          <w:sz w:val="24"/>
          <w:highlight w:val="none"/>
        </w:rPr>
        <w:t>滨海新区</w:t>
      </w:r>
      <w:r>
        <w:rPr>
          <w:rFonts w:hAnsiTheme="minorEastAsia"/>
          <w:sz w:val="24"/>
          <w:highlight w:val="none"/>
        </w:rPr>
        <w:t>政府采购中心</w:t>
      </w:r>
    </w:p>
    <w:p w14:paraId="7D4A6761">
      <w:pPr>
        <w:spacing w:line="360" w:lineRule="auto"/>
        <w:ind w:firstLine="448" w:firstLineChars="200"/>
        <w:rPr>
          <w:rFonts w:hAnsiTheme="minorEastAsia"/>
          <w:sz w:val="24"/>
          <w:highlight w:val="none"/>
        </w:rPr>
      </w:pPr>
      <w:r>
        <w:rPr>
          <w:rFonts w:hAnsiTheme="minorEastAsia"/>
          <w:sz w:val="24"/>
          <w:highlight w:val="none"/>
        </w:rPr>
        <w:t>根据贵方为</w:t>
      </w:r>
      <w:r>
        <w:rPr>
          <w:rFonts w:hAnsiTheme="minorEastAsia"/>
          <w:sz w:val="24"/>
          <w:highlight w:val="none"/>
          <w:u w:val="single"/>
        </w:rPr>
        <w:t xml:space="preserve">                  </w:t>
      </w:r>
      <w:r>
        <w:rPr>
          <w:rFonts w:hAnsiTheme="minorEastAsia"/>
          <w:sz w:val="24"/>
          <w:highlight w:val="none"/>
        </w:rPr>
        <w:t>项目（项目编号：</w:t>
      </w:r>
      <w:r>
        <w:rPr>
          <w:rFonts w:hAnsiTheme="minorEastAsia"/>
          <w:sz w:val="24"/>
          <w:highlight w:val="none"/>
          <w:u w:val="single"/>
        </w:rPr>
        <w:t xml:space="preserve">                  </w:t>
      </w:r>
      <w:r>
        <w:rPr>
          <w:rFonts w:hAnsiTheme="minorEastAsia"/>
          <w:sz w:val="24"/>
          <w:highlight w:val="none"/>
        </w:rPr>
        <w:t>）的投标邀请，签字代表</w:t>
      </w:r>
      <w:r>
        <w:rPr>
          <w:rFonts w:hAnsiTheme="minorEastAsia"/>
          <w:sz w:val="24"/>
          <w:highlight w:val="none"/>
          <w:u w:val="single"/>
        </w:rPr>
        <w:t xml:space="preserve">                  </w:t>
      </w:r>
      <w:r>
        <w:rPr>
          <w:rFonts w:hAnsiTheme="minorEastAsia"/>
          <w:sz w:val="24"/>
          <w:highlight w:val="none"/>
        </w:rPr>
        <w:t>（姓名</w:t>
      </w:r>
      <w:r>
        <w:rPr>
          <w:rFonts w:hAnsiTheme="minorEastAsia"/>
          <w:sz w:val="24"/>
          <w:highlight w:val="none"/>
          <w:lang w:val="en-GB"/>
        </w:rPr>
        <w:t>/</w:t>
      </w:r>
      <w:r>
        <w:rPr>
          <w:rFonts w:hAnsiTheme="minorEastAsia"/>
          <w:sz w:val="24"/>
          <w:highlight w:val="none"/>
        </w:rPr>
        <w:t>职务）经正式授权并代表我公司（投标单位名称、地址）提交</w:t>
      </w:r>
      <w:r>
        <w:rPr>
          <w:rFonts w:hint="eastAsia" w:hAnsiTheme="minorEastAsia"/>
          <w:sz w:val="24"/>
          <w:highlight w:val="none"/>
        </w:rPr>
        <w:t>网上应答及上传加盖电子签章的投标文件</w:t>
      </w:r>
      <w:r>
        <w:rPr>
          <w:rFonts w:hAnsiTheme="minorEastAsia"/>
          <w:sz w:val="24"/>
          <w:highlight w:val="none"/>
        </w:rPr>
        <w:t>。</w:t>
      </w:r>
    </w:p>
    <w:p w14:paraId="2A6CEFCC">
      <w:pPr>
        <w:spacing w:line="360" w:lineRule="auto"/>
        <w:ind w:firstLine="448" w:firstLineChars="200"/>
        <w:rPr>
          <w:sz w:val="24"/>
          <w:highlight w:val="none"/>
        </w:rPr>
      </w:pPr>
      <w:r>
        <w:rPr>
          <w:rFonts w:hAnsiTheme="minorEastAsia"/>
          <w:sz w:val="24"/>
          <w:highlight w:val="none"/>
        </w:rPr>
        <w:t>据此函，投标人代表宣布同意如下：</w:t>
      </w:r>
    </w:p>
    <w:p w14:paraId="30382CD1">
      <w:pPr>
        <w:spacing w:line="360" w:lineRule="auto"/>
        <w:ind w:firstLine="448" w:firstLineChars="200"/>
        <w:rPr>
          <w:sz w:val="24"/>
          <w:highlight w:val="none"/>
        </w:rPr>
      </w:pPr>
      <w:r>
        <w:rPr>
          <w:sz w:val="24"/>
          <w:highlight w:val="none"/>
        </w:rPr>
        <w:t xml:space="preserve">1. </w:t>
      </w:r>
      <w:r>
        <w:rPr>
          <w:rFonts w:hAnsiTheme="minorEastAsia"/>
          <w:sz w:val="24"/>
          <w:highlight w:val="none"/>
        </w:rPr>
        <w:t>所附投标报价表中规定的应提供服务的投标总价为：</w:t>
      </w:r>
    </w:p>
    <w:p w14:paraId="761C213E">
      <w:pPr>
        <w:spacing w:line="360" w:lineRule="auto"/>
        <w:ind w:firstLine="448" w:firstLineChars="200"/>
        <w:rPr>
          <w:rFonts w:hAnsiTheme="minorEastAsia"/>
          <w:sz w:val="24"/>
          <w:highlight w:val="none"/>
        </w:rPr>
      </w:pPr>
      <w:r>
        <w:rPr>
          <w:rFonts w:hAnsiTheme="minorEastAsia"/>
          <w:sz w:val="24"/>
          <w:highlight w:val="none"/>
        </w:rPr>
        <w:t>第一包，￥</w:t>
      </w:r>
      <w:r>
        <w:rPr>
          <w:rFonts w:hAnsiTheme="minorEastAsia"/>
          <w:sz w:val="24"/>
          <w:highlight w:val="none"/>
          <w:u w:val="single"/>
        </w:rPr>
        <w:t xml:space="preserve">                  </w:t>
      </w:r>
      <w:r>
        <w:rPr>
          <w:rFonts w:hAnsiTheme="minorEastAsia"/>
          <w:sz w:val="24"/>
          <w:highlight w:val="none"/>
        </w:rPr>
        <w:t>元（人民币），大写</w:t>
      </w:r>
      <w:r>
        <w:rPr>
          <w:rFonts w:hAnsiTheme="minorEastAsia"/>
          <w:sz w:val="24"/>
          <w:highlight w:val="none"/>
          <w:u w:val="single"/>
        </w:rPr>
        <w:t xml:space="preserve">                  </w:t>
      </w:r>
      <w:r>
        <w:rPr>
          <w:rFonts w:hAnsiTheme="minorEastAsia"/>
          <w:sz w:val="24"/>
          <w:highlight w:val="none"/>
        </w:rPr>
        <w:t>。</w:t>
      </w:r>
    </w:p>
    <w:p w14:paraId="30344721">
      <w:pPr>
        <w:spacing w:line="360" w:lineRule="auto"/>
        <w:ind w:firstLine="448" w:firstLineChars="200"/>
        <w:rPr>
          <w:sz w:val="24"/>
          <w:highlight w:val="none"/>
        </w:rPr>
      </w:pPr>
      <w:r>
        <w:rPr>
          <w:sz w:val="24"/>
          <w:highlight w:val="none"/>
        </w:rPr>
        <w:t>……</w:t>
      </w:r>
    </w:p>
    <w:p w14:paraId="60997D5A">
      <w:pPr>
        <w:spacing w:line="360" w:lineRule="auto"/>
        <w:ind w:firstLine="448" w:firstLineChars="200"/>
        <w:rPr>
          <w:sz w:val="24"/>
          <w:highlight w:val="none"/>
        </w:rPr>
      </w:pPr>
      <w:r>
        <w:rPr>
          <w:sz w:val="24"/>
          <w:highlight w:val="none"/>
        </w:rPr>
        <w:t xml:space="preserve">2. </w:t>
      </w:r>
      <w:r>
        <w:rPr>
          <w:rFonts w:hAnsiTheme="minorEastAsia"/>
          <w:sz w:val="24"/>
          <w:highlight w:val="none"/>
        </w:rPr>
        <w:t>我公司将按招标文件的规定履行合同责任和义务。</w:t>
      </w:r>
    </w:p>
    <w:p w14:paraId="7B6AC0A8">
      <w:pPr>
        <w:spacing w:line="360" w:lineRule="auto"/>
        <w:ind w:firstLine="448" w:firstLineChars="200"/>
        <w:rPr>
          <w:sz w:val="24"/>
          <w:highlight w:val="none"/>
        </w:rPr>
      </w:pPr>
      <w:r>
        <w:rPr>
          <w:sz w:val="24"/>
          <w:highlight w:val="none"/>
        </w:rPr>
        <w:t xml:space="preserve">3. </w:t>
      </w:r>
      <w:r>
        <w:rPr>
          <w:rFonts w:hAnsiTheme="minorEastAsia"/>
          <w:sz w:val="24"/>
          <w:highlight w:val="none"/>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496DDA80">
      <w:pPr>
        <w:spacing w:line="360" w:lineRule="auto"/>
        <w:ind w:firstLine="448" w:firstLineChars="200"/>
        <w:rPr>
          <w:sz w:val="24"/>
          <w:highlight w:val="none"/>
        </w:rPr>
      </w:pPr>
      <w:r>
        <w:rPr>
          <w:sz w:val="24"/>
          <w:highlight w:val="none"/>
        </w:rPr>
        <w:t xml:space="preserve">4. </w:t>
      </w:r>
      <w:r>
        <w:rPr>
          <w:rFonts w:hAnsiTheme="minorEastAsia"/>
          <w:sz w:val="24"/>
          <w:highlight w:val="none"/>
        </w:rPr>
        <w:t>我公司的投标有效期为开标之日起</w:t>
      </w:r>
      <w:r>
        <w:rPr>
          <w:sz w:val="24"/>
          <w:highlight w:val="none"/>
        </w:rPr>
        <w:t>60</w:t>
      </w:r>
      <w:r>
        <w:rPr>
          <w:rFonts w:hAnsiTheme="minorEastAsia"/>
          <w:sz w:val="24"/>
          <w:highlight w:val="none"/>
        </w:rPr>
        <w:t>天。</w:t>
      </w:r>
    </w:p>
    <w:p w14:paraId="166448E1">
      <w:pPr>
        <w:spacing w:line="360" w:lineRule="auto"/>
        <w:ind w:firstLine="448" w:firstLineChars="200"/>
        <w:rPr>
          <w:sz w:val="24"/>
          <w:highlight w:val="none"/>
        </w:rPr>
      </w:pPr>
      <w:r>
        <w:rPr>
          <w:sz w:val="24"/>
          <w:highlight w:val="none"/>
        </w:rPr>
        <w:t xml:space="preserve">5. </w:t>
      </w:r>
      <w:r>
        <w:rPr>
          <w:rFonts w:hAnsiTheme="minorEastAsia"/>
          <w:sz w:val="24"/>
          <w:highlight w:val="none"/>
        </w:rPr>
        <w:t>我公司同意按照招标方要求提供的与投标有关的一切数据或资料，并声明投标文件及所提供的一切资料均真实有效。由于我公司提供资料不实而造成的责任和后果由我公司自行承担。</w:t>
      </w:r>
    </w:p>
    <w:p w14:paraId="204C9431">
      <w:pPr>
        <w:spacing w:line="360" w:lineRule="auto"/>
        <w:ind w:firstLine="448" w:firstLineChars="200"/>
        <w:rPr>
          <w:sz w:val="24"/>
          <w:highlight w:val="none"/>
        </w:rPr>
      </w:pPr>
      <w:r>
        <w:rPr>
          <w:sz w:val="24"/>
          <w:highlight w:val="none"/>
        </w:rPr>
        <w:t xml:space="preserve">6. </w:t>
      </w:r>
      <w:r>
        <w:rPr>
          <w:rFonts w:hAnsiTheme="minorEastAsia"/>
          <w:sz w:val="24"/>
          <w:highlight w:val="none"/>
        </w:rPr>
        <w:t>我公司保证所投产品来自合法的供货渠道，若中标，则有义务向采购人提供其需要的有效书面证明材料。如果提供非法渠道的商品，视为欺诈，并承担相关责任。</w:t>
      </w:r>
    </w:p>
    <w:p w14:paraId="34DDD4F9">
      <w:pPr>
        <w:spacing w:line="360" w:lineRule="auto"/>
        <w:ind w:firstLine="448" w:firstLineChars="200"/>
        <w:rPr>
          <w:sz w:val="24"/>
          <w:highlight w:val="none"/>
        </w:rPr>
      </w:pPr>
      <w:r>
        <w:rPr>
          <w:sz w:val="24"/>
          <w:highlight w:val="none"/>
        </w:rPr>
        <w:t xml:space="preserve">7. </w:t>
      </w:r>
      <w:r>
        <w:rPr>
          <w:rFonts w:hAnsiTheme="minorEastAsia"/>
          <w:sz w:val="24"/>
          <w:highlight w:val="none"/>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3D401EA3">
      <w:pPr>
        <w:spacing w:line="360" w:lineRule="auto"/>
        <w:ind w:firstLine="448" w:firstLineChars="200"/>
        <w:rPr>
          <w:sz w:val="24"/>
          <w:highlight w:val="none"/>
        </w:rPr>
      </w:pPr>
      <w:r>
        <w:rPr>
          <w:sz w:val="24"/>
          <w:highlight w:val="none"/>
        </w:rPr>
        <w:t xml:space="preserve">8. </w:t>
      </w:r>
      <w:r>
        <w:rPr>
          <w:rFonts w:hAnsiTheme="minorEastAsia"/>
          <w:sz w:val="24"/>
          <w:highlight w:val="none"/>
        </w:rPr>
        <w:t>我公司承诺完全符合《政府采购法》、《政府采购法实施条例》等法律法规规定，并随时接受</w:t>
      </w:r>
      <w:r>
        <w:rPr>
          <w:rFonts w:hint="eastAsia" w:hAnsiTheme="minorEastAsia"/>
          <w:sz w:val="24"/>
          <w:highlight w:val="none"/>
        </w:rPr>
        <w:t>采购人、采购代理机构</w:t>
      </w:r>
      <w:r>
        <w:rPr>
          <w:rFonts w:hAnsiTheme="minorEastAsia"/>
          <w:sz w:val="24"/>
          <w:highlight w:val="none"/>
        </w:rPr>
        <w:t>的检查验证。在整个招标过程中，我公司若有违规行为，我公司完全接受贵中心依照相关法律法规和招标文件的规定给予处罚。</w:t>
      </w:r>
    </w:p>
    <w:p w14:paraId="5FE4264F">
      <w:pPr>
        <w:spacing w:line="360" w:lineRule="auto"/>
        <w:ind w:firstLine="448" w:firstLineChars="200"/>
        <w:jc w:val="left"/>
        <w:rPr>
          <w:sz w:val="24"/>
          <w:highlight w:val="none"/>
        </w:rPr>
      </w:pPr>
      <w:r>
        <w:rPr>
          <w:rFonts w:hint="eastAsia"/>
          <w:sz w:val="24"/>
          <w:highlight w:val="none"/>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highlight w:val="none"/>
        </w:rPr>
        <w:t>投标截止日前3年在经营活动中没有重大违法记录</w:t>
      </w:r>
      <w:r>
        <w:rPr>
          <w:rFonts w:hint="eastAsia"/>
          <w:sz w:val="24"/>
          <w:highlight w:val="none"/>
        </w:rPr>
        <w:t>。</w:t>
      </w:r>
    </w:p>
    <w:p w14:paraId="4E9E8F66">
      <w:pPr>
        <w:spacing w:line="360" w:lineRule="auto"/>
        <w:ind w:firstLine="448" w:firstLineChars="200"/>
        <w:rPr>
          <w:sz w:val="24"/>
          <w:highlight w:val="none"/>
        </w:rPr>
      </w:pPr>
      <w:r>
        <w:rPr>
          <w:rFonts w:hint="eastAsia"/>
          <w:sz w:val="24"/>
          <w:highlight w:val="none"/>
        </w:rPr>
        <w:t>10</w:t>
      </w:r>
      <w:r>
        <w:rPr>
          <w:sz w:val="24"/>
          <w:highlight w:val="none"/>
        </w:rPr>
        <w:t xml:space="preserve">. </w:t>
      </w:r>
      <w:r>
        <w:rPr>
          <w:rFonts w:hAnsiTheme="minorEastAsia"/>
          <w:sz w:val="24"/>
          <w:highlight w:val="none"/>
        </w:rPr>
        <w:t>我公司若中标，本承诺将成为合同不可分割的一部分，与合同具有同等的法律效力。</w:t>
      </w:r>
    </w:p>
    <w:p w14:paraId="33F008B5">
      <w:pPr>
        <w:spacing w:line="360" w:lineRule="auto"/>
        <w:ind w:firstLine="448" w:firstLineChars="200"/>
        <w:rPr>
          <w:sz w:val="24"/>
          <w:highlight w:val="none"/>
        </w:rPr>
      </w:pPr>
      <w:r>
        <w:rPr>
          <w:sz w:val="24"/>
          <w:highlight w:val="none"/>
        </w:rPr>
        <w:t>1</w:t>
      </w:r>
      <w:r>
        <w:rPr>
          <w:rFonts w:hint="eastAsia"/>
          <w:sz w:val="24"/>
          <w:highlight w:val="none"/>
        </w:rPr>
        <w:t>1</w:t>
      </w:r>
      <w:r>
        <w:rPr>
          <w:sz w:val="24"/>
          <w:highlight w:val="none"/>
        </w:rPr>
        <w:t xml:space="preserve">. </w:t>
      </w:r>
      <w:r>
        <w:rPr>
          <w:rFonts w:hAnsiTheme="minorEastAsia"/>
          <w:sz w:val="24"/>
          <w:highlight w:val="none"/>
        </w:rPr>
        <w:t>如违反上述承诺，我公司投标无效且接受相关部门依法作出的处罚，并承担通过</w:t>
      </w:r>
      <w:r>
        <w:rPr>
          <w:sz w:val="24"/>
          <w:highlight w:val="none"/>
        </w:rPr>
        <w:t>“</w:t>
      </w:r>
      <w:r>
        <w:rPr>
          <w:rFonts w:hAnsiTheme="minorEastAsia"/>
          <w:sz w:val="24"/>
          <w:highlight w:val="none"/>
        </w:rPr>
        <w:t>天津市政府采购网</w:t>
      </w:r>
      <w:r>
        <w:rPr>
          <w:sz w:val="24"/>
          <w:highlight w:val="none"/>
        </w:rPr>
        <w:t>”</w:t>
      </w:r>
      <w:r>
        <w:rPr>
          <w:rFonts w:hAnsiTheme="minorEastAsia"/>
          <w:sz w:val="24"/>
          <w:highlight w:val="none"/>
        </w:rPr>
        <w:t>等相关媒体予以公布的任何风险和责任。</w:t>
      </w:r>
    </w:p>
    <w:p w14:paraId="1A8ADAA1">
      <w:pPr>
        <w:spacing w:line="360" w:lineRule="auto"/>
        <w:ind w:firstLine="448" w:firstLineChars="200"/>
        <w:rPr>
          <w:sz w:val="24"/>
          <w:highlight w:val="none"/>
        </w:rPr>
      </w:pPr>
      <w:r>
        <w:rPr>
          <w:sz w:val="24"/>
          <w:highlight w:val="none"/>
        </w:rPr>
        <w:t>1</w:t>
      </w:r>
      <w:r>
        <w:rPr>
          <w:rFonts w:hint="eastAsia"/>
          <w:sz w:val="24"/>
          <w:highlight w:val="none"/>
        </w:rPr>
        <w:t>2</w:t>
      </w:r>
      <w:r>
        <w:rPr>
          <w:sz w:val="24"/>
          <w:highlight w:val="none"/>
        </w:rPr>
        <w:t xml:space="preserve">. </w:t>
      </w:r>
      <w:r>
        <w:rPr>
          <w:rFonts w:hAnsiTheme="minorEastAsia"/>
          <w:sz w:val="24"/>
          <w:highlight w:val="none"/>
        </w:rPr>
        <w:t>与本投标有关的一切正式往来通讯请寄：</w:t>
      </w:r>
    </w:p>
    <w:p w14:paraId="5BF201EB">
      <w:pPr>
        <w:spacing w:line="360" w:lineRule="auto"/>
        <w:ind w:firstLine="448" w:firstLineChars="200"/>
        <w:rPr>
          <w:sz w:val="24"/>
          <w:highlight w:val="none"/>
        </w:rPr>
      </w:pPr>
    </w:p>
    <w:p w14:paraId="6E406D62">
      <w:pPr>
        <w:spacing w:line="360" w:lineRule="auto"/>
        <w:ind w:firstLine="448" w:firstLineChars="200"/>
        <w:rPr>
          <w:sz w:val="24"/>
          <w:highlight w:val="none"/>
        </w:rPr>
      </w:pPr>
      <w:r>
        <w:rPr>
          <w:rFonts w:hAnsiTheme="minorEastAsia"/>
          <w:sz w:val="24"/>
          <w:highlight w:val="none"/>
        </w:rPr>
        <w:t>地址：</w:t>
      </w:r>
    </w:p>
    <w:p w14:paraId="38B140B6">
      <w:pPr>
        <w:spacing w:line="360" w:lineRule="auto"/>
        <w:ind w:firstLine="448" w:firstLineChars="200"/>
        <w:rPr>
          <w:sz w:val="24"/>
          <w:highlight w:val="none"/>
        </w:rPr>
      </w:pPr>
      <w:r>
        <w:rPr>
          <w:rFonts w:hAnsiTheme="minorEastAsia"/>
          <w:sz w:val="24"/>
          <w:highlight w:val="none"/>
        </w:rPr>
        <w:t>邮政编码：</w:t>
      </w:r>
    </w:p>
    <w:p w14:paraId="030C668E">
      <w:pPr>
        <w:spacing w:line="360" w:lineRule="auto"/>
        <w:ind w:firstLine="448" w:firstLineChars="200"/>
        <w:rPr>
          <w:sz w:val="24"/>
          <w:highlight w:val="none"/>
        </w:rPr>
      </w:pPr>
      <w:r>
        <w:rPr>
          <w:rFonts w:hAnsiTheme="minorEastAsia"/>
          <w:sz w:val="24"/>
          <w:highlight w:val="none"/>
        </w:rPr>
        <w:t>电话：</w:t>
      </w:r>
    </w:p>
    <w:p w14:paraId="0DC7004C">
      <w:pPr>
        <w:spacing w:line="360" w:lineRule="auto"/>
        <w:ind w:firstLine="448" w:firstLineChars="200"/>
        <w:rPr>
          <w:sz w:val="24"/>
          <w:highlight w:val="none"/>
        </w:rPr>
      </w:pPr>
      <w:r>
        <w:rPr>
          <w:rFonts w:hAnsiTheme="minorEastAsia"/>
          <w:sz w:val="24"/>
          <w:highlight w:val="none"/>
        </w:rPr>
        <w:t>传真：</w:t>
      </w:r>
    </w:p>
    <w:p w14:paraId="26632B9F">
      <w:pPr>
        <w:spacing w:line="360" w:lineRule="auto"/>
        <w:ind w:firstLine="3808" w:firstLineChars="1700"/>
        <w:rPr>
          <w:sz w:val="24"/>
          <w:highlight w:val="none"/>
        </w:rPr>
      </w:pPr>
      <w:r>
        <w:rPr>
          <w:rFonts w:hAnsiTheme="minorEastAsia"/>
          <w:sz w:val="24"/>
          <w:highlight w:val="none"/>
        </w:rPr>
        <w:t>投标人名称：</w:t>
      </w:r>
    </w:p>
    <w:p w14:paraId="458D2C3B">
      <w:pPr>
        <w:spacing w:line="360" w:lineRule="auto"/>
        <w:ind w:firstLine="3808" w:firstLineChars="1700"/>
        <w:rPr>
          <w:sz w:val="24"/>
          <w:highlight w:val="none"/>
        </w:rPr>
      </w:pPr>
      <w:r>
        <w:rPr>
          <w:rFonts w:hAnsiTheme="minorEastAsia"/>
          <w:sz w:val="24"/>
          <w:highlight w:val="none"/>
        </w:rPr>
        <w:t>日期：年月日</w:t>
      </w:r>
    </w:p>
    <w:p w14:paraId="53E6B97C">
      <w:pPr>
        <w:spacing w:line="560" w:lineRule="exact"/>
        <w:rPr>
          <w:sz w:val="24"/>
          <w:highlight w:val="none"/>
        </w:rPr>
      </w:pPr>
    </w:p>
    <w:p w14:paraId="5566B305">
      <w:pPr>
        <w:spacing w:line="560" w:lineRule="exact"/>
        <w:rPr>
          <w:sz w:val="24"/>
          <w:highlight w:val="none"/>
        </w:rPr>
      </w:pPr>
    </w:p>
    <w:p w14:paraId="5FEEB303">
      <w:pPr>
        <w:spacing w:line="560" w:lineRule="exact"/>
        <w:rPr>
          <w:sz w:val="24"/>
          <w:highlight w:val="none"/>
        </w:rPr>
      </w:pPr>
    </w:p>
    <w:p w14:paraId="63565F04">
      <w:pPr>
        <w:spacing w:line="560" w:lineRule="exact"/>
        <w:rPr>
          <w:sz w:val="24"/>
          <w:highlight w:val="none"/>
        </w:rPr>
      </w:pPr>
    </w:p>
    <w:p w14:paraId="03880FFF">
      <w:pPr>
        <w:widowControl/>
        <w:jc w:val="left"/>
        <w:rPr>
          <w:b/>
          <w:sz w:val="24"/>
          <w:highlight w:val="none"/>
        </w:rPr>
      </w:pPr>
      <w:r>
        <w:rPr>
          <w:b/>
          <w:sz w:val="24"/>
          <w:highlight w:val="none"/>
        </w:rPr>
        <w:br w:type="page"/>
      </w:r>
    </w:p>
    <w:p w14:paraId="15DA6090">
      <w:pPr>
        <w:tabs>
          <w:tab w:val="left" w:pos="360"/>
        </w:tabs>
        <w:spacing w:after="285" w:afterLines="100" w:line="360" w:lineRule="auto"/>
        <w:rPr>
          <w:b/>
          <w:sz w:val="24"/>
          <w:highlight w:val="none"/>
        </w:rPr>
      </w:pPr>
      <w:bookmarkStart w:id="119" w:name="OLE_LINK12"/>
      <w:bookmarkStart w:id="120" w:name="OLE_LINK11"/>
      <w:bookmarkStart w:id="121" w:name="OLE_LINK35"/>
      <w:bookmarkStart w:id="122" w:name="OLE_LINK19"/>
      <w:bookmarkStart w:id="123" w:name="OLE_LINK21"/>
      <w:bookmarkStart w:id="124" w:name="OLE_LINK34"/>
      <w:bookmarkStart w:id="125" w:name="OLE_LINK30"/>
      <w:bookmarkStart w:id="126" w:name="OLE_LINK8"/>
      <w:bookmarkStart w:id="127" w:name="OLE_LINK31"/>
      <w:bookmarkStart w:id="128" w:name="OLE_LINK29"/>
      <w:bookmarkStart w:id="129" w:name="OLE_LINK33"/>
      <w:bookmarkStart w:id="130" w:name="OLE_LINK25"/>
      <w:r>
        <w:rPr>
          <w:rFonts w:hAnsiTheme="minorEastAsia"/>
          <w:b/>
          <w:sz w:val="24"/>
          <w:highlight w:val="none"/>
        </w:rPr>
        <w:t>附件</w:t>
      </w:r>
      <w:r>
        <w:rPr>
          <w:rFonts w:hint="eastAsia"/>
          <w:b/>
          <w:sz w:val="24"/>
          <w:highlight w:val="none"/>
        </w:rPr>
        <w:t>2</w:t>
      </w:r>
    </w:p>
    <w:p w14:paraId="75B72D41">
      <w:pPr>
        <w:ind w:right="84"/>
        <w:jc w:val="center"/>
        <w:rPr>
          <w:b/>
          <w:sz w:val="24"/>
          <w:highlight w:val="none"/>
        </w:rPr>
      </w:pPr>
      <w:r>
        <w:rPr>
          <w:rFonts w:hint="eastAsia"/>
          <w:b/>
          <w:sz w:val="24"/>
          <w:highlight w:val="none"/>
        </w:rPr>
        <w:t>供应商资格声明函</w:t>
      </w:r>
    </w:p>
    <w:p w14:paraId="0F50189E">
      <w:pPr>
        <w:spacing w:line="360" w:lineRule="auto"/>
        <w:ind w:firstLine="420"/>
        <w:jc w:val="center"/>
        <w:rPr>
          <w:b/>
          <w:sz w:val="24"/>
          <w:highlight w:val="none"/>
        </w:rPr>
      </w:pPr>
    </w:p>
    <w:p w14:paraId="0ECD1E92">
      <w:pPr>
        <w:spacing w:line="360" w:lineRule="auto"/>
        <w:rPr>
          <w:sz w:val="24"/>
          <w:highlight w:val="none"/>
        </w:rPr>
      </w:pPr>
      <w:r>
        <w:rPr>
          <w:sz w:val="24"/>
          <w:szCs w:val="21"/>
          <w:highlight w:val="none"/>
        </w:rPr>
        <w:t>天津</w:t>
      </w:r>
      <w:r>
        <w:rPr>
          <w:rFonts w:hint="eastAsia"/>
          <w:sz w:val="24"/>
          <w:szCs w:val="21"/>
          <w:highlight w:val="none"/>
        </w:rPr>
        <w:t>市滨海新区</w:t>
      </w:r>
      <w:r>
        <w:rPr>
          <w:sz w:val="24"/>
          <w:szCs w:val="21"/>
          <w:highlight w:val="none"/>
        </w:rPr>
        <w:t>政府采购中心</w:t>
      </w:r>
      <w:r>
        <w:rPr>
          <w:rFonts w:hint="eastAsia"/>
          <w:sz w:val="24"/>
          <w:highlight w:val="none"/>
        </w:rPr>
        <w:t>：</w:t>
      </w:r>
    </w:p>
    <w:p w14:paraId="6E1A9137">
      <w:pPr>
        <w:spacing w:line="360" w:lineRule="auto"/>
        <w:ind w:firstLine="448" w:firstLineChars="200"/>
        <w:rPr>
          <w:sz w:val="24"/>
          <w:highlight w:val="none"/>
        </w:rPr>
      </w:pPr>
      <w:r>
        <w:rPr>
          <w:rFonts w:hint="eastAsia"/>
          <w:sz w:val="24"/>
          <w:highlight w:val="none"/>
        </w:rPr>
        <w:t>我单位自愿参与本项目的政府采购活动，郑重承诺如下：</w:t>
      </w:r>
    </w:p>
    <w:p w14:paraId="0C41E471">
      <w:pPr>
        <w:spacing w:line="360" w:lineRule="auto"/>
        <w:ind w:firstLine="448" w:firstLineChars="200"/>
        <w:rPr>
          <w:sz w:val="24"/>
          <w:highlight w:val="none"/>
        </w:rPr>
      </w:pPr>
      <w:r>
        <w:rPr>
          <w:rFonts w:hint="eastAsia"/>
          <w:sz w:val="24"/>
          <w:highlight w:val="none"/>
        </w:rPr>
        <w:t>（一）我单位具有良好的商业信誉和健全的财务会计制度；</w:t>
      </w:r>
    </w:p>
    <w:p w14:paraId="56E58776">
      <w:pPr>
        <w:spacing w:line="360" w:lineRule="auto"/>
        <w:ind w:firstLine="448" w:firstLineChars="200"/>
        <w:rPr>
          <w:sz w:val="24"/>
          <w:highlight w:val="none"/>
        </w:rPr>
      </w:pPr>
      <w:r>
        <w:rPr>
          <w:rFonts w:hint="eastAsia"/>
          <w:sz w:val="24"/>
          <w:highlight w:val="none"/>
        </w:rPr>
        <w:t>（二）我单位依法缴纳税收和社会保障资金；</w:t>
      </w:r>
    </w:p>
    <w:p w14:paraId="3E8A8D7D">
      <w:pPr>
        <w:spacing w:line="360" w:lineRule="auto"/>
        <w:ind w:firstLine="448" w:firstLineChars="200"/>
        <w:rPr>
          <w:sz w:val="24"/>
          <w:highlight w:val="none"/>
        </w:rPr>
      </w:pPr>
      <w:r>
        <w:rPr>
          <w:rFonts w:hint="eastAsia"/>
          <w:sz w:val="24"/>
          <w:highlight w:val="none"/>
        </w:rPr>
        <w:t>（三）我单位具备履行合同所必需的设备和专业技术能力；</w:t>
      </w:r>
    </w:p>
    <w:p w14:paraId="6462C328">
      <w:pPr>
        <w:spacing w:line="360" w:lineRule="auto"/>
        <w:ind w:firstLine="448" w:firstLineChars="200"/>
        <w:rPr>
          <w:sz w:val="24"/>
          <w:highlight w:val="none"/>
        </w:rPr>
      </w:pPr>
      <w:r>
        <w:rPr>
          <w:rFonts w:hint="eastAsia"/>
          <w:sz w:val="24"/>
          <w:highlight w:val="none"/>
        </w:rPr>
        <w:t>（四）参加政府采购活动前3年我单位在经营活动中没有重大违法记录（截至开标日成立不足3年的供应商为自成立以来无重大违法记录）；</w:t>
      </w:r>
    </w:p>
    <w:p w14:paraId="3BE5D210">
      <w:pPr>
        <w:spacing w:line="360" w:lineRule="auto"/>
        <w:ind w:firstLine="448" w:firstLineChars="200"/>
        <w:rPr>
          <w:sz w:val="24"/>
          <w:highlight w:val="none"/>
        </w:rPr>
      </w:pPr>
      <w:r>
        <w:rPr>
          <w:rFonts w:hint="eastAsia"/>
          <w:sz w:val="24"/>
          <w:highlight w:val="none"/>
        </w:rPr>
        <w:t>（五）我单位不存在为采购项目提供整体设计、规范编制或者项目管理、监理、检测等服务后，再参加该采购项目的其他采购活动的情形。</w:t>
      </w:r>
    </w:p>
    <w:p w14:paraId="7AB8854D">
      <w:pPr>
        <w:spacing w:line="360" w:lineRule="auto"/>
        <w:ind w:firstLine="448" w:firstLineChars="200"/>
        <w:rPr>
          <w:sz w:val="24"/>
          <w:highlight w:val="none"/>
        </w:rPr>
      </w:pPr>
      <w:r>
        <w:rPr>
          <w:rFonts w:hint="eastAsia"/>
          <w:sz w:val="24"/>
          <w:highlight w:val="none"/>
        </w:rPr>
        <w:t>（六）与我单位存在“单位负责人为同一人或者存在直接控股、管理关系”的其他单位信息如下：</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2"/>
        <w:gridCol w:w="3774"/>
        <w:gridCol w:w="2766"/>
      </w:tblGrid>
      <w:tr w14:paraId="404E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3DEE4D8">
            <w:pPr>
              <w:jc w:val="center"/>
              <w:rPr>
                <w:szCs w:val="21"/>
                <w:highlight w:val="none"/>
              </w:rPr>
            </w:pPr>
            <w:r>
              <w:rPr>
                <w:rFonts w:hint="eastAsia"/>
                <w:szCs w:val="21"/>
                <w:highlight w:val="none"/>
              </w:rPr>
              <w:t>序号</w:t>
            </w:r>
          </w:p>
        </w:tc>
        <w:tc>
          <w:tcPr>
            <w:tcW w:w="2273" w:type="pct"/>
            <w:vAlign w:val="center"/>
          </w:tcPr>
          <w:p w14:paraId="68FDEE56">
            <w:pPr>
              <w:jc w:val="center"/>
              <w:rPr>
                <w:szCs w:val="21"/>
                <w:highlight w:val="none"/>
              </w:rPr>
            </w:pPr>
            <w:r>
              <w:rPr>
                <w:rFonts w:hint="eastAsia"/>
                <w:szCs w:val="21"/>
                <w:highlight w:val="none"/>
              </w:rPr>
              <w:t>单位名称</w:t>
            </w:r>
          </w:p>
        </w:tc>
        <w:tc>
          <w:tcPr>
            <w:tcW w:w="1667" w:type="pct"/>
            <w:vAlign w:val="center"/>
          </w:tcPr>
          <w:p w14:paraId="70AD3819">
            <w:pPr>
              <w:jc w:val="center"/>
              <w:rPr>
                <w:szCs w:val="21"/>
                <w:highlight w:val="none"/>
              </w:rPr>
            </w:pPr>
            <w:r>
              <w:rPr>
                <w:rFonts w:hint="eastAsia"/>
                <w:szCs w:val="21"/>
                <w:highlight w:val="none"/>
              </w:rPr>
              <w:t>相互关系类型</w:t>
            </w:r>
          </w:p>
        </w:tc>
      </w:tr>
      <w:tr w14:paraId="628D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0EA0E01D">
            <w:pPr>
              <w:jc w:val="center"/>
              <w:rPr>
                <w:szCs w:val="21"/>
                <w:highlight w:val="none"/>
              </w:rPr>
            </w:pPr>
            <w:r>
              <w:rPr>
                <w:rFonts w:hint="eastAsia"/>
                <w:szCs w:val="21"/>
                <w:highlight w:val="none"/>
              </w:rPr>
              <w:t>1</w:t>
            </w:r>
          </w:p>
        </w:tc>
        <w:tc>
          <w:tcPr>
            <w:tcW w:w="2273" w:type="pct"/>
            <w:vAlign w:val="center"/>
          </w:tcPr>
          <w:p w14:paraId="4CC28077">
            <w:pPr>
              <w:jc w:val="center"/>
              <w:rPr>
                <w:szCs w:val="21"/>
                <w:highlight w:val="none"/>
              </w:rPr>
            </w:pPr>
          </w:p>
        </w:tc>
        <w:tc>
          <w:tcPr>
            <w:tcW w:w="1667" w:type="pct"/>
            <w:vAlign w:val="center"/>
          </w:tcPr>
          <w:p w14:paraId="5CC73D74">
            <w:pPr>
              <w:jc w:val="center"/>
              <w:rPr>
                <w:szCs w:val="21"/>
                <w:highlight w:val="none"/>
              </w:rPr>
            </w:pPr>
          </w:p>
        </w:tc>
      </w:tr>
      <w:tr w14:paraId="6541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9363703">
            <w:pPr>
              <w:jc w:val="center"/>
              <w:rPr>
                <w:szCs w:val="21"/>
                <w:highlight w:val="none"/>
              </w:rPr>
            </w:pPr>
            <w:r>
              <w:rPr>
                <w:rFonts w:hint="eastAsia"/>
                <w:szCs w:val="21"/>
                <w:highlight w:val="none"/>
              </w:rPr>
              <w:t>2</w:t>
            </w:r>
          </w:p>
        </w:tc>
        <w:tc>
          <w:tcPr>
            <w:tcW w:w="2273" w:type="pct"/>
            <w:vAlign w:val="center"/>
          </w:tcPr>
          <w:p w14:paraId="5FE95DE2">
            <w:pPr>
              <w:jc w:val="center"/>
              <w:rPr>
                <w:szCs w:val="21"/>
                <w:highlight w:val="none"/>
              </w:rPr>
            </w:pPr>
          </w:p>
        </w:tc>
        <w:tc>
          <w:tcPr>
            <w:tcW w:w="1667" w:type="pct"/>
            <w:vAlign w:val="center"/>
          </w:tcPr>
          <w:p w14:paraId="16C3813E">
            <w:pPr>
              <w:jc w:val="center"/>
              <w:rPr>
                <w:szCs w:val="21"/>
                <w:highlight w:val="none"/>
              </w:rPr>
            </w:pPr>
          </w:p>
        </w:tc>
      </w:tr>
      <w:tr w14:paraId="7972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2D6F5EA9">
            <w:pPr>
              <w:jc w:val="center"/>
              <w:rPr>
                <w:szCs w:val="21"/>
                <w:highlight w:val="none"/>
              </w:rPr>
            </w:pPr>
            <w:r>
              <w:rPr>
                <w:rFonts w:hint="eastAsia"/>
                <w:szCs w:val="21"/>
                <w:highlight w:val="none"/>
              </w:rPr>
              <w:t>3</w:t>
            </w:r>
          </w:p>
        </w:tc>
        <w:tc>
          <w:tcPr>
            <w:tcW w:w="2273" w:type="pct"/>
            <w:vAlign w:val="center"/>
          </w:tcPr>
          <w:p w14:paraId="248F491F">
            <w:pPr>
              <w:jc w:val="center"/>
              <w:rPr>
                <w:szCs w:val="21"/>
                <w:highlight w:val="none"/>
              </w:rPr>
            </w:pPr>
          </w:p>
        </w:tc>
        <w:tc>
          <w:tcPr>
            <w:tcW w:w="1667" w:type="pct"/>
            <w:vAlign w:val="center"/>
          </w:tcPr>
          <w:p w14:paraId="27F4E7EE">
            <w:pPr>
              <w:jc w:val="center"/>
              <w:rPr>
                <w:szCs w:val="21"/>
                <w:highlight w:val="none"/>
              </w:rPr>
            </w:pPr>
          </w:p>
        </w:tc>
      </w:tr>
    </w:tbl>
    <w:p w14:paraId="33367066">
      <w:pPr>
        <w:spacing w:line="360" w:lineRule="auto"/>
        <w:ind w:firstLine="448" w:firstLineChars="200"/>
        <w:rPr>
          <w:sz w:val="24"/>
          <w:highlight w:val="none"/>
        </w:rPr>
      </w:pPr>
      <w:r>
        <w:rPr>
          <w:rFonts w:hint="eastAsia"/>
          <w:sz w:val="24"/>
          <w:highlight w:val="none"/>
        </w:rPr>
        <w:t>上表未填写的，视为不存在第（六）条所列情形</w:t>
      </w:r>
    </w:p>
    <w:p w14:paraId="4A82D3F1">
      <w:pPr>
        <w:spacing w:line="360" w:lineRule="auto"/>
        <w:ind w:firstLine="448" w:firstLineChars="200"/>
        <w:rPr>
          <w:sz w:val="24"/>
          <w:highlight w:val="none"/>
        </w:rPr>
      </w:pPr>
    </w:p>
    <w:p w14:paraId="1809AB0E">
      <w:pPr>
        <w:spacing w:line="360" w:lineRule="auto"/>
        <w:ind w:firstLine="448" w:firstLineChars="200"/>
        <w:rPr>
          <w:sz w:val="24"/>
          <w:highlight w:val="none"/>
        </w:rPr>
      </w:pPr>
      <w:r>
        <w:rPr>
          <w:rFonts w:hint="eastAsia"/>
          <w:sz w:val="24"/>
          <w:highlight w:val="none"/>
        </w:rPr>
        <w:t>上述声明真实有效，否则我单位承担全部责任和不利后果。</w:t>
      </w:r>
    </w:p>
    <w:p w14:paraId="45F3FE25">
      <w:pPr>
        <w:spacing w:line="360" w:lineRule="auto"/>
        <w:ind w:firstLine="448" w:firstLineChars="200"/>
        <w:rPr>
          <w:sz w:val="24"/>
          <w:highlight w:val="none"/>
        </w:rPr>
      </w:pPr>
    </w:p>
    <w:p w14:paraId="3C69A4E9">
      <w:pPr>
        <w:spacing w:line="360" w:lineRule="auto"/>
        <w:ind w:firstLine="224" w:firstLineChars="100"/>
        <w:rPr>
          <w:sz w:val="24"/>
          <w:highlight w:val="none"/>
        </w:rPr>
      </w:pPr>
      <w:r>
        <w:rPr>
          <w:sz w:val="24"/>
          <w:highlight w:val="none"/>
        </w:rPr>
        <w:t>投标人名称：</w:t>
      </w:r>
    </w:p>
    <w:p w14:paraId="3BE865D2">
      <w:pPr>
        <w:spacing w:line="360" w:lineRule="auto"/>
        <w:ind w:firstLine="224" w:firstLineChars="100"/>
        <w:rPr>
          <w:sz w:val="24"/>
          <w:highlight w:val="none"/>
        </w:rPr>
      </w:pPr>
    </w:p>
    <w:p w14:paraId="5D9707B2">
      <w:pPr>
        <w:spacing w:line="360" w:lineRule="auto"/>
        <w:ind w:firstLine="224" w:firstLineChars="100"/>
        <w:rPr>
          <w:sz w:val="24"/>
          <w:highlight w:val="none"/>
        </w:rPr>
      </w:pPr>
      <w:r>
        <w:rPr>
          <w:sz w:val="24"/>
          <w:highlight w:val="none"/>
        </w:rPr>
        <w:t>日期：</w:t>
      </w:r>
    </w:p>
    <w:bookmarkEnd w:id="119"/>
    <w:bookmarkEnd w:id="120"/>
    <w:p w14:paraId="060F32C6">
      <w:pPr>
        <w:widowControl/>
        <w:jc w:val="left"/>
        <w:rPr>
          <w:sz w:val="24"/>
          <w:highlight w:val="none"/>
        </w:rPr>
      </w:pPr>
      <w:r>
        <w:rPr>
          <w:sz w:val="24"/>
          <w:highlight w:val="none"/>
        </w:rPr>
        <w:br w:type="page"/>
      </w:r>
    </w:p>
    <w:bookmarkEnd w:id="121"/>
    <w:bookmarkEnd w:id="122"/>
    <w:bookmarkEnd w:id="123"/>
    <w:bookmarkEnd w:id="124"/>
    <w:bookmarkEnd w:id="125"/>
    <w:bookmarkEnd w:id="126"/>
    <w:bookmarkEnd w:id="127"/>
    <w:bookmarkEnd w:id="128"/>
    <w:bookmarkEnd w:id="129"/>
    <w:bookmarkEnd w:id="130"/>
    <w:p w14:paraId="101B9A1E">
      <w:pPr>
        <w:widowControl/>
        <w:jc w:val="left"/>
        <w:rPr>
          <w:b/>
          <w:sz w:val="24"/>
          <w:highlight w:val="none"/>
        </w:rPr>
      </w:pPr>
      <w:r>
        <w:rPr>
          <w:b/>
          <w:sz w:val="24"/>
          <w:highlight w:val="none"/>
        </w:rPr>
        <w:t>附件</w:t>
      </w:r>
      <w:r>
        <w:rPr>
          <w:rFonts w:hint="eastAsia"/>
          <w:b/>
          <w:sz w:val="24"/>
          <w:highlight w:val="none"/>
        </w:rPr>
        <w:t>3</w:t>
      </w:r>
    </w:p>
    <w:p w14:paraId="0DF42F9E">
      <w:pPr>
        <w:autoSpaceDN w:val="0"/>
        <w:spacing w:line="360" w:lineRule="auto"/>
        <w:jc w:val="center"/>
        <w:rPr>
          <w:b/>
          <w:bCs/>
          <w:sz w:val="24"/>
          <w:highlight w:val="none"/>
        </w:rPr>
      </w:pPr>
      <w:r>
        <w:rPr>
          <w:b/>
          <w:bCs/>
          <w:sz w:val="24"/>
          <w:highlight w:val="none"/>
        </w:rPr>
        <w:t>开标一览表</w:t>
      </w:r>
    </w:p>
    <w:p w14:paraId="6BD37525">
      <w:pPr>
        <w:ind w:right="84"/>
        <w:rPr>
          <w:sz w:val="24"/>
          <w:highlight w:val="none"/>
        </w:rPr>
      </w:pPr>
    </w:p>
    <w:p w14:paraId="2A4207DA">
      <w:pPr>
        <w:spacing w:line="460" w:lineRule="exact"/>
        <w:rPr>
          <w:sz w:val="24"/>
          <w:highlight w:val="none"/>
        </w:rPr>
      </w:pPr>
      <w:r>
        <w:rPr>
          <w:sz w:val="24"/>
          <w:highlight w:val="none"/>
        </w:rPr>
        <w:t>项目名称：</w:t>
      </w:r>
    </w:p>
    <w:p w14:paraId="4233EFF7">
      <w:pPr>
        <w:spacing w:line="460" w:lineRule="exact"/>
        <w:rPr>
          <w:sz w:val="24"/>
          <w:highlight w:val="none"/>
        </w:rPr>
      </w:pPr>
      <w:r>
        <w:rPr>
          <w:sz w:val="24"/>
          <w:highlight w:val="none"/>
        </w:rPr>
        <w:t>项目编号：</w:t>
      </w:r>
    </w:p>
    <w:p w14:paraId="5D89B24B">
      <w:pPr>
        <w:spacing w:line="460" w:lineRule="exact"/>
        <w:rPr>
          <w:sz w:val="24"/>
          <w:highlight w:val="none"/>
          <w:u w:val="single"/>
        </w:rPr>
      </w:pPr>
      <w:r>
        <w:rPr>
          <w:sz w:val="24"/>
          <w:highlight w:val="none"/>
        </w:rPr>
        <w:t>包号：</w:t>
      </w:r>
    </w:p>
    <w:p w14:paraId="0689BFBE">
      <w:pPr>
        <w:spacing w:line="460" w:lineRule="exact"/>
        <w:rPr>
          <w:sz w:val="24"/>
          <w:highlight w:val="none"/>
        </w:rPr>
      </w:pPr>
      <w:r>
        <w:rPr>
          <w:sz w:val="24"/>
          <w:highlight w:val="none"/>
        </w:rPr>
        <w:t>单位：元</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2"/>
        <w:gridCol w:w="2122"/>
        <w:gridCol w:w="1338"/>
        <w:gridCol w:w="1996"/>
        <w:gridCol w:w="1634"/>
      </w:tblGrid>
      <w:tr w14:paraId="706D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6D8D7CFD">
            <w:pPr>
              <w:spacing w:line="460" w:lineRule="exact"/>
              <w:jc w:val="center"/>
              <w:rPr>
                <w:sz w:val="24"/>
                <w:highlight w:val="none"/>
              </w:rPr>
            </w:pPr>
            <w:r>
              <w:rPr>
                <w:sz w:val="24"/>
                <w:highlight w:val="none"/>
              </w:rPr>
              <w:t>包号</w:t>
            </w:r>
          </w:p>
        </w:tc>
        <w:tc>
          <w:tcPr>
            <w:tcW w:w="1278" w:type="pct"/>
            <w:vAlign w:val="center"/>
          </w:tcPr>
          <w:p w14:paraId="6800F31D">
            <w:pPr>
              <w:spacing w:line="460" w:lineRule="exact"/>
              <w:jc w:val="center"/>
              <w:rPr>
                <w:sz w:val="24"/>
                <w:highlight w:val="none"/>
              </w:rPr>
            </w:pPr>
            <w:r>
              <w:rPr>
                <w:sz w:val="24"/>
                <w:highlight w:val="none"/>
              </w:rPr>
              <w:t>服务名称</w:t>
            </w:r>
          </w:p>
        </w:tc>
        <w:tc>
          <w:tcPr>
            <w:tcW w:w="806" w:type="pct"/>
            <w:vAlign w:val="center"/>
          </w:tcPr>
          <w:p w14:paraId="077B8D75">
            <w:pPr>
              <w:spacing w:line="460" w:lineRule="exact"/>
              <w:jc w:val="center"/>
              <w:rPr>
                <w:sz w:val="24"/>
                <w:highlight w:val="none"/>
              </w:rPr>
            </w:pPr>
            <w:r>
              <w:rPr>
                <w:sz w:val="24"/>
                <w:highlight w:val="none"/>
              </w:rPr>
              <w:t>数量</w:t>
            </w:r>
          </w:p>
        </w:tc>
        <w:tc>
          <w:tcPr>
            <w:tcW w:w="1202" w:type="pct"/>
            <w:vAlign w:val="center"/>
          </w:tcPr>
          <w:p w14:paraId="29EE86E4">
            <w:pPr>
              <w:spacing w:line="460" w:lineRule="exact"/>
              <w:jc w:val="center"/>
              <w:rPr>
                <w:sz w:val="24"/>
                <w:highlight w:val="none"/>
              </w:rPr>
            </w:pPr>
            <w:r>
              <w:rPr>
                <w:sz w:val="24"/>
                <w:highlight w:val="none"/>
              </w:rPr>
              <w:t>投标总价</w:t>
            </w:r>
          </w:p>
        </w:tc>
        <w:tc>
          <w:tcPr>
            <w:tcW w:w="984" w:type="pct"/>
            <w:vAlign w:val="center"/>
          </w:tcPr>
          <w:p w14:paraId="3EB993F2">
            <w:pPr>
              <w:spacing w:line="460" w:lineRule="exact"/>
              <w:jc w:val="center"/>
              <w:rPr>
                <w:sz w:val="24"/>
                <w:highlight w:val="none"/>
              </w:rPr>
            </w:pPr>
            <w:r>
              <w:rPr>
                <w:sz w:val="24"/>
                <w:highlight w:val="none"/>
              </w:rPr>
              <w:t>备注</w:t>
            </w:r>
          </w:p>
        </w:tc>
      </w:tr>
      <w:tr w14:paraId="5554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6597CF7">
            <w:pPr>
              <w:spacing w:line="460" w:lineRule="exact"/>
              <w:rPr>
                <w:sz w:val="24"/>
                <w:highlight w:val="none"/>
              </w:rPr>
            </w:pPr>
          </w:p>
        </w:tc>
        <w:tc>
          <w:tcPr>
            <w:tcW w:w="1278" w:type="pct"/>
          </w:tcPr>
          <w:p w14:paraId="221BDDE2">
            <w:pPr>
              <w:spacing w:line="460" w:lineRule="exact"/>
              <w:rPr>
                <w:sz w:val="24"/>
                <w:highlight w:val="none"/>
              </w:rPr>
            </w:pPr>
          </w:p>
        </w:tc>
        <w:tc>
          <w:tcPr>
            <w:tcW w:w="806" w:type="pct"/>
          </w:tcPr>
          <w:p w14:paraId="221BEBE3">
            <w:pPr>
              <w:spacing w:line="460" w:lineRule="exact"/>
              <w:rPr>
                <w:sz w:val="24"/>
                <w:highlight w:val="none"/>
              </w:rPr>
            </w:pPr>
          </w:p>
        </w:tc>
        <w:tc>
          <w:tcPr>
            <w:tcW w:w="1202" w:type="pct"/>
          </w:tcPr>
          <w:p w14:paraId="24353391">
            <w:pPr>
              <w:spacing w:line="460" w:lineRule="exact"/>
              <w:rPr>
                <w:sz w:val="24"/>
                <w:highlight w:val="none"/>
              </w:rPr>
            </w:pPr>
          </w:p>
        </w:tc>
        <w:tc>
          <w:tcPr>
            <w:tcW w:w="984" w:type="pct"/>
          </w:tcPr>
          <w:p w14:paraId="2807FBD2">
            <w:pPr>
              <w:spacing w:line="460" w:lineRule="exact"/>
              <w:rPr>
                <w:sz w:val="24"/>
                <w:highlight w:val="none"/>
              </w:rPr>
            </w:pPr>
          </w:p>
        </w:tc>
      </w:tr>
      <w:tr w14:paraId="02317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5A5A3C4">
            <w:pPr>
              <w:spacing w:line="460" w:lineRule="exact"/>
              <w:rPr>
                <w:sz w:val="24"/>
                <w:highlight w:val="none"/>
              </w:rPr>
            </w:pPr>
          </w:p>
        </w:tc>
        <w:tc>
          <w:tcPr>
            <w:tcW w:w="1278" w:type="pct"/>
          </w:tcPr>
          <w:p w14:paraId="5E885F68">
            <w:pPr>
              <w:spacing w:line="460" w:lineRule="exact"/>
              <w:rPr>
                <w:sz w:val="24"/>
                <w:highlight w:val="none"/>
              </w:rPr>
            </w:pPr>
          </w:p>
        </w:tc>
        <w:tc>
          <w:tcPr>
            <w:tcW w:w="806" w:type="pct"/>
          </w:tcPr>
          <w:p w14:paraId="30C10461">
            <w:pPr>
              <w:spacing w:line="460" w:lineRule="exact"/>
              <w:rPr>
                <w:sz w:val="24"/>
                <w:highlight w:val="none"/>
              </w:rPr>
            </w:pPr>
          </w:p>
        </w:tc>
        <w:tc>
          <w:tcPr>
            <w:tcW w:w="1202" w:type="pct"/>
          </w:tcPr>
          <w:p w14:paraId="77D1D0C8">
            <w:pPr>
              <w:spacing w:line="460" w:lineRule="exact"/>
              <w:rPr>
                <w:sz w:val="24"/>
                <w:highlight w:val="none"/>
              </w:rPr>
            </w:pPr>
          </w:p>
        </w:tc>
        <w:tc>
          <w:tcPr>
            <w:tcW w:w="984" w:type="pct"/>
          </w:tcPr>
          <w:p w14:paraId="474376CD">
            <w:pPr>
              <w:spacing w:line="460" w:lineRule="exact"/>
              <w:rPr>
                <w:sz w:val="24"/>
                <w:highlight w:val="none"/>
              </w:rPr>
            </w:pPr>
          </w:p>
        </w:tc>
      </w:tr>
      <w:tr w14:paraId="74A7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DC57DB3">
            <w:pPr>
              <w:spacing w:line="460" w:lineRule="exact"/>
              <w:rPr>
                <w:sz w:val="24"/>
                <w:highlight w:val="none"/>
              </w:rPr>
            </w:pPr>
          </w:p>
        </w:tc>
        <w:tc>
          <w:tcPr>
            <w:tcW w:w="1278" w:type="pct"/>
          </w:tcPr>
          <w:p w14:paraId="5C741AD0">
            <w:pPr>
              <w:spacing w:line="460" w:lineRule="exact"/>
              <w:rPr>
                <w:sz w:val="24"/>
                <w:highlight w:val="none"/>
              </w:rPr>
            </w:pPr>
          </w:p>
        </w:tc>
        <w:tc>
          <w:tcPr>
            <w:tcW w:w="806" w:type="pct"/>
          </w:tcPr>
          <w:p w14:paraId="6D3585C9">
            <w:pPr>
              <w:spacing w:line="460" w:lineRule="exact"/>
              <w:rPr>
                <w:sz w:val="24"/>
                <w:highlight w:val="none"/>
              </w:rPr>
            </w:pPr>
          </w:p>
        </w:tc>
        <w:tc>
          <w:tcPr>
            <w:tcW w:w="1202" w:type="pct"/>
          </w:tcPr>
          <w:p w14:paraId="395A6343">
            <w:pPr>
              <w:spacing w:line="460" w:lineRule="exact"/>
              <w:rPr>
                <w:sz w:val="24"/>
                <w:highlight w:val="none"/>
              </w:rPr>
            </w:pPr>
          </w:p>
        </w:tc>
        <w:tc>
          <w:tcPr>
            <w:tcW w:w="984" w:type="pct"/>
          </w:tcPr>
          <w:p w14:paraId="5B9EC2E7">
            <w:pPr>
              <w:spacing w:line="460" w:lineRule="exact"/>
              <w:rPr>
                <w:sz w:val="24"/>
                <w:highlight w:val="none"/>
              </w:rPr>
            </w:pPr>
          </w:p>
        </w:tc>
      </w:tr>
      <w:tr w14:paraId="5F65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993956A">
            <w:pPr>
              <w:spacing w:line="460" w:lineRule="exact"/>
              <w:rPr>
                <w:sz w:val="24"/>
                <w:highlight w:val="none"/>
              </w:rPr>
            </w:pPr>
          </w:p>
        </w:tc>
        <w:tc>
          <w:tcPr>
            <w:tcW w:w="1278" w:type="pct"/>
          </w:tcPr>
          <w:p w14:paraId="5DD7F1E0">
            <w:pPr>
              <w:spacing w:line="460" w:lineRule="exact"/>
              <w:rPr>
                <w:sz w:val="24"/>
                <w:highlight w:val="none"/>
              </w:rPr>
            </w:pPr>
          </w:p>
        </w:tc>
        <w:tc>
          <w:tcPr>
            <w:tcW w:w="806" w:type="pct"/>
          </w:tcPr>
          <w:p w14:paraId="40670D92">
            <w:pPr>
              <w:spacing w:line="460" w:lineRule="exact"/>
              <w:rPr>
                <w:sz w:val="24"/>
                <w:highlight w:val="none"/>
              </w:rPr>
            </w:pPr>
          </w:p>
        </w:tc>
        <w:tc>
          <w:tcPr>
            <w:tcW w:w="1202" w:type="pct"/>
          </w:tcPr>
          <w:p w14:paraId="4C8062CB">
            <w:pPr>
              <w:spacing w:line="460" w:lineRule="exact"/>
              <w:rPr>
                <w:sz w:val="24"/>
                <w:highlight w:val="none"/>
              </w:rPr>
            </w:pPr>
          </w:p>
        </w:tc>
        <w:tc>
          <w:tcPr>
            <w:tcW w:w="984" w:type="pct"/>
          </w:tcPr>
          <w:p w14:paraId="745AEDE5">
            <w:pPr>
              <w:spacing w:line="460" w:lineRule="exact"/>
              <w:rPr>
                <w:sz w:val="24"/>
                <w:highlight w:val="none"/>
              </w:rPr>
            </w:pPr>
          </w:p>
        </w:tc>
      </w:tr>
      <w:tr w14:paraId="0A7C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DB2D8D7">
            <w:pPr>
              <w:spacing w:line="460" w:lineRule="exact"/>
              <w:rPr>
                <w:sz w:val="24"/>
                <w:highlight w:val="none"/>
              </w:rPr>
            </w:pPr>
          </w:p>
        </w:tc>
        <w:tc>
          <w:tcPr>
            <w:tcW w:w="1278" w:type="pct"/>
          </w:tcPr>
          <w:p w14:paraId="61358021">
            <w:pPr>
              <w:spacing w:line="460" w:lineRule="exact"/>
              <w:rPr>
                <w:sz w:val="24"/>
                <w:highlight w:val="none"/>
              </w:rPr>
            </w:pPr>
          </w:p>
        </w:tc>
        <w:tc>
          <w:tcPr>
            <w:tcW w:w="806" w:type="pct"/>
          </w:tcPr>
          <w:p w14:paraId="5C814B87">
            <w:pPr>
              <w:spacing w:line="460" w:lineRule="exact"/>
              <w:rPr>
                <w:sz w:val="24"/>
                <w:highlight w:val="none"/>
              </w:rPr>
            </w:pPr>
          </w:p>
        </w:tc>
        <w:tc>
          <w:tcPr>
            <w:tcW w:w="1202" w:type="pct"/>
          </w:tcPr>
          <w:p w14:paraId="673B5634">
            <w:pPr>
              <w:spacing w:line="460" w:lineRule="exact"/>
              <w:rPr>
                <w:sz w:val="24"/>
                <w:highlight w:val="none"/>
              </w:rPr>
            </w:pPr>
          </w:p>
        </w:tc>
        <w:tc>
          <w:tcPr>
            <w:tcW w:w="984" w:type="pct"/>
          </w:tcPr>
          <w:p w14:paraId="6A66F2C3">
            <w:pPr>
              <w:spacing w:line="460" w:lineRule="exact"/>
              <w:rPr>
                <w:sz w:val="24"/>
                <w:highlight w:val="none"/>
              </w:rPr>
            </w:pPr>
          </w:p>
        </w:tc>
      </w:tr>
      <w:tr w14:paraId="63F3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562254D">
            <w:pPr>
              <w:spacing w:line="460" w:lineRule="exact"/>
              <w:rPr>
                <w:sz w:val="24"/>
                <w:highlight w:val="none"/>
              </w:rPr>
            </w:pPr>
          </w:p>
        </w:tc>
        <w:tc>
          <w:tcPr>
            <w:tcW w:w="1278" w:type="pct"/>
          </w:tcPr>
          <w:p w14:paraId="313DCCA5">
            <w:pPr>
              <w:spacing w:line="460" w:lineRule="exact"/>
              <w:rPr>
                <w:sz w:val="24"/>
                <w:highlight w:val="none"/>
              </w:rPr>
            </w:pPr>
          </w:p>
        </w:tc>
        <w:tc>
          <w:tcPr>
            <w:tcW w:w="806" w:type="pct"/>
          </w:tcPr>
          <w:p w14:paraId="2AE0AF55">
            <w:pPr>
              <w:spacing w:line="460" w:lineRule="exact"/>
              <w:rPr>
                <w:sz w:val="24"/>
                <w:highlight w:val="none"/>
              </w:rPr>
            </w:pPr>
          </w:p>
        </w:tc>
        <w:tc>
          <w:tcPr>
            <w:tcW w:w="1202" w:type="pct"/>
          </w:tcPr>
          <w:p w14:paraId="08B31E1C">
            <w:pPr>
              <w:spacing w:line="460" w:lineRule="exact"/>
              <w:rPr>
                <w:sz w:val="24"/>
                <w:highlight w:val="none"/>
              </w:rPr>
            </w:pPr>
          </w:p>
        </w:tc>
        <w:tc>
          <w:tcPr>
            <w:tcW w:w="984" w:type="pct"/>
          </w:tcPr>
          <w:p w14:paraId="5A96BD8F">
            <w:pPr>
              <w:spacing w:line="460" w:lineRule="exact"/>
              <w:rPr>
                <w:sz w:val="24"/>
                <w:highlight w:val="none"/>
              </w:rPr>
            </w:pPr>
          </w:p>
        </w:tc>
      </w:tr>
      <w:tr w14:paraId="1AA4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DB83CC3">
            <w:pPr>
              <w:spacing w:line="460" w:lineRule="exact"/>
              <w:rPr>
                <w:sz w:val="24"/>
                <w:highlight w:val="none"/>
              </w:rPr>
            </w:pPr>
          </w:p>
        </w:tc>
        <w:tc>
          <w:tcPr>
            <w:tcW w:w="1278" w:type="pct"/>
          </w:tcPr>
          <w:p w14:paraId="1FFFFFB9">
            <w:pPr>
              <w:spacing w:line="460" w:lineRule="exact"/>
              <w:rPr>
                <w:sz w:val="24"/>
                <w:highlight w:val="none"/>
              </w:rPr>
            </w:pPr>
          </w:p>
        </w:tc>
        <w:tc>
          <w:tcPr>
            <w:tcW w:w="806" w:type="pct"/>
          </w:tcPr>
          <w:p w14:paraId="3B0231DA">
            <w:pPr>
              <w:spacing w:line="460" w:lineRule="exact"/>
              <w:rPr>
                <w:sz w:val="24"/>
                <w:highlight w:val="none"/>
              </w:rPr>
            </w:pPr>
          </w:p>
        </w:tc>
        <w:tc>
          <w:tcPr>
            <w:tcW w:w="1202" w:type="pct"/>
          </w:tcPr>
          <w:p w14:paraId="5E3F4346">
            <w:pPr>
              <w:spacing w:line="460" w:lineRule="exact"/>
              <w:rPr>
                <w:sz w:val="24"/>
                <w:highlight w:val="none"/>
              </w:rPr>
            </w:pPr>
          </w:p>
        </w:tc>
        <w:tc>
          <w:tcPr>
            <w:tcW w:w="984" w:type="pct"/>
          </w:tcPr>
          <w:p w14:paraId="3C04AE6B">
            <w:pPr>
              <w:spacing w:line="460" w:lineRule="exact"/>
              <w:rPr>
                <w:sz w:val="24"/>
                <w:highlight w:val="none"/>
              </w:rPr>
            </w:pPr>
          </w:p>
        </w:tc>
      </w:tr>
      <w:tr w14:paraId="7DB9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53225D5">
            <w:pPr>
              <w:spacing w:line="460" w:lineRule="exact"/>
              <w:rPr>
                <w:sz w:val="24"/>
                <w:highlight w:val="none"/>
              </w:rPr>
            </w:pPr>
          </w:p>
        </w:tc>
        <w:tc>
          <w:tcPr>
            <w:tcW w:w="1278" w:type="pct"/>
          </w:tcPr>
          <w:p w14:paraId="0FE22B5B">
            <w:pPr>
              <w:spacing w:line="460" w:lineRule="exact"/>
              <w:rPr>
                <w:sz w:val="24"/>
                <w:highlight w:val="none"/>
              </w:rPr>
            </w:pPr>
          </w:p>
        </w:tc>
        <w:tc>
          <w:tcPr>
            <w:tcW w:w="806" w:type="pct"/>
          </w:tcPr>
          <w:p w14:paraId="72A606C4">
            <w:pPr>
              <w:spacing w:line="460" w:lineRule="exact"/>
              <w:rPr>
                <w:sz w:val="24"/>
                <w:highlight w:val="none"/>
              </w:rPr>
            </w:pPr>
          </w:p>
        </w:tc>
        <w:tc>
          <w:tcPr>
            <w:tcW w:w="1202" w:type="pct"/>
          </w:tcPr>
          <w:p w14:paraId="665E7CB2">
            <w:pPr>
              <w:spacing w:line="460" w:lineRule="exact"/>
              <w:rPr>
                <w:sz w:val="24"/>
                <w:highlight w:val="none"/>
              </w:rPr>
            </w:pPr>
          </w:p>
        </w:tc>
        <w:tc>
          <w:tcPr>
            <w:tcW w:w="984" w:type="pct"/>
          </w:tcPr>
          <w:p w14:paraId="51E29D4B">
            <w:pPr>
              <w:spacing w:line="460" w:lineRule="exact"/>
              <w:rPr>
                <w:sz w:val="24"/>
                <w:highlight w:val="none"/>
              </w:rPr>
            </w:pPr>
          </w:p>
        </w:tc>
      </w:tr>
      <w:tr w14:paraId="25AE1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1BD616A">
            <w:pPr>
              <w:spacing w:line="460" w:lineRule="exact"/>
              <w:rPr>
                <w:sz w:val="24"/>
                <w:highlight w:val="none"/>
              </w:rPr>
            </w:pPr>
          </w:p>
        </w:tc>
        <w:tc>
          <w:tcPr>
            <w:tcW w:w="1278" w:type="pct"/>
          </w:tcPr>
          <w:p w14:paraId="194EFD65">
            <w:pPr>
              <w:spacing w:line="460" w:lineRule="exact"/>
              <w:rPr>
                <w:sz w:val="24"/>
                <w:highlight w:val="none"/>
              </w:rPr>
            </w:pPr>
          </w:p>
        </w:tc>
        <w:tc>
          <w:tcPr>
            <w:tcW w:w="806" w:type="pct"/>
          </w:tcPr>
          <w:p w14:paraId="065BD606">
            <w:pPr>
              <w:spacing w:line="460" w:lineRule="exact"/>
              <w:rPr>
                <w:sz w:val="24"/>
                <w:highlight w:val="none"/>
              </w:rPr>
            </w:pPr>
          </w:p>
        </w:tc>
        <w:tc>
          <w:tcPr>
            <w:tcW w:w="1202" w:type="pct"/>
          </w:tcPr>
          <w:p w14:paraId="0C2E5EDA">
            <w:pPr>
              <w:spacing w:line="460" w:lineRule="exact"/>
              <w:rPr>
                <w:sz w:val="24"/>
                <w:highlight w:val="none"/>
              </w:rPr>
            </w:pPr>
          </w:p>
        </w:tc>
        <w:tc>
          <w:tcPr>
            <w:tcW w:w="984" w:type="pct"/>
          </w:tcPr>
          <w:p w14:paraId="69F98D49">
            <w:pPr>
              <w:spacing w:line="460" w:lineRule="exact"/>
              <w:rPr>
                <w:sz w:val="24"/>
                <w:highlight w:val="none"/>
              </w:rPr>
            </w:pPr>
          </w:p>
        </w:tc>
      </w:tr>
      <w:tr w14:paraId="2563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3A64559">
            <w:pPr>
              <w:spacing w:line="460" w:lineRule="exact"/>
              <w:rPr>
                <w:sz w:val="24"/>
                <w:highlight w:val="none"/>
              </w:rPr>
            </w:pPr>
          </w:p>
        </w:tc>
        <w:tc>
          <w:tcPr>
            <w:tcW w:w="1278" w:type="pct"/>
          </w:tcPr>
          <w:p w14:paraId="3CBF3A47">
            <w:pPr>
              <w:spacing w:line="460" w:lineRule="exact"/>
              <w:rPr>
                <w:sz w:val="24"/>
                <w:highlight w:val="none"/>
              </w:rPr>
            </w:pPr>
          </w:p>
        </w:tc>
        <w:tc>
          <w:tcPr>
            <w:tcW w:w="806" w:type="pct"/>
          </w:tcPr>
          <w:p w14:paraId="0F2B928F">
            <w:pPr>
              <w:spacing w:line="460" w:lineRule="exact"/>
              <w:rPr>
                <w:sz w:val="24"/>
                <w:highlight w:val="none"/>
              </w:rPr>
            </w:pPr>
          </w:p>
        </w:tc>
        <w:tc>
          <w:tcPr>
            <w:tcW w:w="1202" w:type="pct"/>
          </w:tcPr>
          <w:p w14:paraId="15A2267C">
            <w:pPr>
              <w:spacing w:line="460" w:lineRule="exact"/>
              <w:rPr>
                <w:sz w:val="24"/>
                <w:highlight w:val="none"/>
              </w:rPr>
            </w:pPr>
          </w:p>
        </w:tc>
        <w:tc>
          <w:tcPr>
            <w:tcW w:w="984" w:type="pct"/>
          </w:tcPr>
          <w:p w14:paraId="08AB0ECF">
            <w:pPr>
              <w:spacing w:line="460" w:lineRule="exact"/>
              <w:rPr>
                <w:sz w:val="24"/>
                <w:highlight w:val="none"/>
              </w:rPr>
            </w:pPr>
          </w:p>
        </w:tc>
      </w:tr>
      <w:tr w14:paraId="00D66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16F8F5A">
            <w:pPr>
              <w:spacing w:line="460" w:lineRule="exact"/>
              <w:rPr>
                <w:sz w:val="24"/>
                <w:highlight w:val="none"/>
              </w:rPr>
            </w:pPr>
          </w:p>
        </w:tc>
        <w:tc>
          <w:tcPr>
            <w:tcW w:w="1278" w:type="pct"/>
          </w:tcPr>
          <w:p w14:paraId="2FDB1755">
            <w:pPr>
              <w:spacing w:line="460" w:lineRule="exact"/>
              <w:rPr>
                <w:sz w:val="24"/>
                <w:highlight w:val="none"/>
              </w:rPr>
            </w:pPr>
          </w:p>
        </w:tc>
        <w:tc>
          <w:tcPr>
            <w:tcW w:w="806" w:type="pct"/>
          </w:tcPr>
          <w:p w14:paraId="031AF518">
            <w:pPr>
              <w:spacing w:line="460" w:lineRule="exact"/>
              <w:rPr>
                <w:sz w:val="24"/>
                <w:highlight w:val="none"/>
              </w:rPr>
            </w:pPr>
          </w:p>
        </w:tc>
        <w:tc>
          <w:tcPr>
            <w:tcW w:w="1202" w:type="pct"/>
          </w:tcPr>
          <w:p w14:paraId="3C395733">
            <w:pPr>
              <w:spacing w:line="460" w:lineRule="exact"/>
              <w:rPr>
                <w:sz w:val="24"/>
                <w:highlight w:val="none"/>
              </w:rPr>
            </w:pPr>
          </w:p>
        </w:tc>
        <w:tc>
          <w:tcPr>
            <w:tcW w:w="984" w:type="pct"/>
          </w:tcPr>
          <w:p w14:paraId="7ED30792">
            <w:pPr>
              <w:spacing w:line="460" w:lineRule="exact"/>
              <w:rPr>
                <w:sz w:val="24"/>
                <w:highlight w:val="none"/>
              </w:rPr>
            </w:pPr>
          </w:p>
        </w:tc>
      </w:tr>
      <w:tr w14:paraId="5D64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B8DA915">
            <w:pPr>
              <w:spacing w:line="460" w:lineRule="exact"/>
              <w:rPr>
                <w:sz w:val="24"/>
                <w:highlight w:val="none"/>
              </w:rPr>
            </w:pPr>
          </w:p>
        </w:tc>
        <w:tc>
          <w:tcPr>
            <w:tcW w:w="1278" w:type="pct"/>
          </w:tcPr>
          <w:p w14:paraId="449C69A4">
            <w:pPr>
              <w:spacing w:line="460" w:lineRule="exact"/>
              <w:rPr>
                <w:sz w:val="24"/>
                <w:highlight w:val="none"/>
              </w:rPr>
            </w:pPr>
          </w:p>
        </w:tc>
        <w:tc>
          <w:tcPr>
            <w:tcW w:w="806" w:type="pct"/>
          </w:tcPr>
          <w:p w14:paraId="3F8D83CE">
            <w:pPr>
              <w:spacing w:line="460" w:lineRule="exact"/>
              <w:rPr>
                <w:sz w:val="24"/>
                <w:highlight w:val="none"/>
              </w:rPr>
            </w:pPr>
          </w:p>
        </w:tc>
        <w:tc>
          <w:tcPr>
            <w:tcW w:w="1202" w:type="pct"/>
          </w:tcPr>
          <w:p w14:paraId="33065DC3">
            <w:pPr>
              <w:spacing w:line="460" w:lineRule="exact"/>
              <w:rPr>
                <w:sz w:val="24"/>
                <w:highlight w:val="none"/>
              </w:rPr>
            </w:pPr>
          </w:p>
        </w:tc>
        <w:tc>
          <w:tcPr>
            <w:tcW w:w="984" w:type="pct"/>
          </w:tcPr>
          <w:p w14:paraId="1647D936">
            <w:pPr>
              <w:spacing w:line="460" w:lineRule="exact"/>
              <w:rPr>
                <w:sz w:val="24"/>
                <w:highlight w:val="none"/>
              </w:rPr>
            </w:pPr>
          </w:p>
        </w:tc>
      </w:tr>
    </w:tbl>
    <w:p w14:paraId="772DD819">
      <w:pPr>
        <w:spacing w:line="360" w:lineRule="auto"/>
        <w:ind w:right="84" w:firstLine="420"/>
        <w:rPr>
          <w:sz w:val="24"/>
          <w:highlight w:val="none"/>
        </w:rPr>
      </w:pPr>
    </w:p>
    <w:p w14:paraId="34C81F4F">
      <w:pPr>
        <w:spacing w:line="360" w:lineRule="auto"/>
        <w:ind w:right="84" w:firstLine="420"/>
        <w:rPr>
          <w:sz w:val="24"/>
          <w:highlight w:val="none"/>
        </w:rPr>
      </w:pPr>
    </w:p>
    <w:p w14:paraId="7C65E6A6">
      <w:pPr>
        <w:spacing w:line="360" w:lineRule="auto"/>
        <w:ind w:firstLine="3808" w:firstLineChars="1700"/>
        <w:rPr>
          <w:sz w:val="24"/>
          <w:highlight w:val="none"/>
        </w:rPr>
      </w:pPr>
      <w:r>
        <w:rPr>
          <w:sz w:val="24"/>
          <w:highlight w:val="none"/>
        </w:rPr>
        <w:t>投标人名称：</w:t>
      </w:r>
    </w:p>
    <w:p w14:paraId="6C4E5D0C">
      <w:pPr>
        <w:spacing w:line="360" w:lineRule="auto"/>
        <w:ind w:firstLine="3808" w:firstLineChars="1700"/>
        <w:rPr>
          <w:sz w:val="24"/>
          <w:highlight w:val="none"/>
        </w:rPr>
      </w:pPr>
    </w:p>
    <w:p w14:paraId="1554812F">
      <w:pPr>
        <w:spacing w:line="360" w:lineRule="auto"/>
        <w:ind w:firstLine="3808" w:firstLineChars="1700"/>
        <w:rPr>
          <w:sz w:val="24"/>
          <w:highlight w:val="none"/>
        </w:rPr>
      </w:pPr>
      <w:r>
        <w:rPr>
          <w:sz w:val="24"/>
          <w:highlight w:val="none"/>
        </w:rPr>
        <w:t>日期：年月日</w:t>
      </w:r>
    </w:p>
    <w:p w14:paraId="65ECAA3C">
      <w:pPr>
        <w:spacing w:line="360" w:lineRule="auto"/>
        <w:ind w:right="84" w:firstLine="420"/>
        <w:rPr>
          <w:position w:val="-40"/>
          <w:sz w:val="24"/>
          <w:highlight w:val="none"/>
        </w:rPr>
      </w:pPr>
    </w:p>
    <w:p w14:paraId="434BA88C">
      <w:pPr>
        <w:spacing w:line="360" w:lineRule="auto"/>
        <w:ind w:right="84" w:firstLine="420"/>
        <w:rPr>
          <w:position w:val="-40"/>
          <w:sz w:val="24"/>
          <w:highlight w:val="none"/>
        </w:rPr>
      </w:pPr>
    </w:p>
    <w:p w14:paraId="488DDA27">
      <w:pPr>
        <w:spacing w:line="360" w:lineRule="auto"/>
        <w:ind w:right="84" w:firstLine="420"/>
        <w:rPr>
          <w:position w:val="-40"/>
          <w:sz w:val="24"/>
          <w:highlight w:val="none"/>
        </w:rPr>
      </w:pPr>
    </w:p>
    <w:p w14:paraId="04F6D51A">
      <w:pPr>
        <w:widowControl/>
        <w:jc w:val="left"/>
        <w:rPr>
          <w:b/>
          <w:sz w:val="24"/>
          <w:highlight w:val="none"/>
        </w:rPr>
      </w:pPr>
      <w:r>
        <w:rPr>
          <w:b/>
          <w:sz w:val="24"/>
          <w:highlight w:val="none"/>
        </w:rPr>
        <w:br w:type="page"/>
      </w:r>
    </w:p>
    <w:p w14:paraId="0C59EC23">
      <w:pPr>
        <w:tabs>
          <w:tab w:val="left" w:pos="360"/>
        </w:tabs>
        <w:spacing w:after="285" w:afterLines="100" w:line="360" w:lineRule="auto"/>
        <w:rPr>
          <w:b/>
          <w:sz w:val="24"/>
          <w:highlight w:val="none"/>
        </w:rPr>
      </w:pPr>
      <w:r>
        <w:rPr>
          <w:b/>
          <w:sz w:val="24"/>
          <w:highlight w:val="none"/>
        </w:rPr>
        <w:t>附件</w:t>
      </w:r>
      <w:r>
        <w:rPr>
          <w:rFonts w:hint="eastAsia"/>
          <w:b/>
          <w:sz w:val="24"/>
          <w:highlight w:val="none"/>
        </w:rPr>
        <w:t>4</w:t>
      </w:r>
    </w:p>
    <w:p w14:paraId="70C4BC33">
      <w:pPr>
        <w:autoSpaceDN w:val="0"/>
        <w:spacing w:line="360" w:lineRule="auto"/>
        <w:jc w:val="center"/>
        <w:rPr>
          <w:b/>
          <w:bCs/>
          <w:sz w:val="24"/>
          <w:highlight w:val="none"/>
        </w:rPr>
      </w:pPr>
      <w:r>
        <w:rPr>
          <w:b/>
          <w:bCs/>
          <w:sz w:val="24"/>
          <w:highlight w:val="none"/>
        </w:rPr>
        <w:t>开标分项一览表</w:t>
      </w:r>
    </w:p>
    <w:p w14:paraId="4674E74A">
      <w:pPr>
        <w:ind w:right="84"/>
        <w:rPr>
          <w:sz w:val="24"/>
          <w:highlight w:val="none"/>
        </w:rPr>
      </w:pPr>
    </w:p>
    <w:p w14:paraId="0DD9D7FB">
      <w:pPr>
        <w:spacing w:line="460" w:lineRule="exact"/>
        <w:ind w:left="192"/>
        <w:rPr>
          <w:sz w:val="24"/>
          <w:highlight w:val="none"/>
        </w:rPr>
      </w:pPr>
      <w:r>
        <w:rPr>
          <w:sz w:val="24"/>
          <w:highlight w:val="none"/>
        </w:rPr>
        <w:t>项目名称：</w:t>
      </w:r>
    </w:p>
    <w:p w14:paraId="793F6058">
      <w:pPr>
        <w:spacing w:line="460" w:lineRule="exact"/>
        <w:ind w:left="192"/>
        <w:rPr>
          <w:sz w:val="24"/>
          <w:highlight w:val="none"/>
        </w:rPr>
      </w:pPr>
      <w:r>
        <w:rPr>
          <w:sz w:val="24"/>
          <w:highlight w:val="none"/>
        </w:rPr>
        <w:t>项目编号：</w:t>
      </w:r>
    </w:p>
    <w:p w14:paraId="0F5FF799">
      <w:pPr>
        <w:spacing w:line="460" w:lineRule="exact"/>
        <w:ind w:left="192"/>
        <w:rPr>
          <w:sz w:val="24"/>
          <w:highlight w:val="none"/>
        </w:rPr>
      </w:pPr>
      <w:r>
        <w:rPr>
          <w:sz w:val="24"/>
          <w:highlight w:val="none"/>
        </w:rPr>
        <w:t>包号：</w:t>
      </w:r>
    </w:p>
    <w:p w14:paraId="6FAA6426">
      <w:pPr>
        <w:spacing w:line="460" w:lineRule="exact"/>
        <w:ind w:firstLine="6496" w:firstLineChars="2900"/>
        <w:rPr>
          <w:sz w:val="24"/>
          <w:highlight w:val="none"/>
        </w:rPr>
      </w:pPr>
      <w:r>
        <w:rPr>
          <w:sz w:val="24"/>
          <w:highlight w:val="none"/>
        </w:rPr>
        <w:t>单位：元</w:t>
      </w:r>
    </w:p>
    <w:tbl>
      <w:tblPr>
        <w:tblStyle w:val="19"/>
        <w:tblW w:w="9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738"/>
        <w:gridCol w:w="1579"/>
        <w:gridCol w:w="941"/>
        <w:gridCol w:w="1120"/>
        <w:gridCol w:w="916"/>
        <w:gridCol w:w="917"/>
        <w:gridCol w:w="2061"/>
      </w:tblGrid>
      <w:tr w14:paraId="20BA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68" w:type="dxa"/>
            <w:vAlign w:val="center"/>
          </w:tcPr>
          <w:p w14:paraId="1A4D74CF">
            <w:pPr>
              <w:widowControl/>
              <w:jc w:val="center"/>
              <w:rPr>
                <w:b/>
                <w:bCs/>
                <w:kern w:val="0"/>
                <w:sz w:val="24"/>
                <w:szCs w:val="24"/>
                <w:highlight w:val="none"/>
              </w:rPr>
            </w:pPr>
            <w:r>
              <w:rPr>
                <w:b/>
                <w:bCs/>
                <w:kern w:val="0"/>
                <w:sz w:val="24"/>
                <w:szCs w:val="24"/>
                <w:highlight w:val="none"/>
              </w:rPr>
              <w:t>项号</w:t>
            </w:r>
          </w:p>
        </w:tc>
        <w:tc>
          <w:tcPr>
            <w:tcW w:w="2317" w:type="dxa"/>
            <w:gridSpan w:val="2"/>
            <w:vAlign w:val="center"/>
          </w:tcPr>
          <w:p w14:paraId="2886E84A">
            <w:pPr>
              <w:widowControl/>
              <w:jc w:val="center"/>
              <w:rPr>
                <w:b/>
                <w:bCs/>
                <w:kern w:val="0"/>
                <w:sz w:val="24"/>
                <w:szCs w:val="24"/>
                <w:highlight w:val="none"/>
              </w:rPr>
            </w:pPr>
            <w:r>
              <w:rPr>
                <w:b/>
                <w:bCs/>
                <w:kern w:val="0"/>
                <w:sz w:val="24"/>
                <w:szCs w:val="24"/>
                <w:highlight w:val="none"/>
              </w:rPr>
              <w:t>服务名称</w:t>
            </w:r>
          </w:p>
        </w:tc>
        <w:tc>
          <w:tcPr>
            <w:tcW w:w="2061" w:type="dxa"/>
            <w:gridSpan w:val="2"/>
            <w:vAlign w:val="center"/>
          </w:tcPr>
          <w:p w14:paraId="5A8A3679">
            <w:pPr>
              <w:widowControl/>
              <w:jc w:val="center"/>
              <w:rPr>
                <w:b/>
                <w:bCs/>
                <w:kern w:val="0"/>
                <w:sz w:val="24"/>
                <w:szCs w:val="24"/>
                <w:highlight w:val="none"/>
              </w:rPr>
            </w:pPr>
            <w:r>
              <w:rPr>
                <w:b/>
                <w:bCs/>
                <w:kern w:val="0"/>
                <w:sz w:val="24"/>
                <w:szCs w:val="24"/>
                <w:highlight w:val="none"/>
              </w:rPr>
              <w:t>总价</w:t>
            </w:r>
          </w:p>
        </w:tc>
        <w:tc>
          <w:tcPr>
            <w:tcW w:w="1833" w:type="dxa"/>
            <w:gridSpan w:val="2"/>
            <w:vAlign w:val="center"/>
          </w:tcPr>
          <w:p w14:paraId="0358A6C3">
            <w:pPr>
              <w:widowControl/>
              <w:jc w:val="center"/>
              <w:rPr>
                <w:b/>
                <w:bCs/>
                <w:kern w:val="0"/>
                <w:sz w:val="24"/>
                <w:szCs w:val="24"/>
                <w:highlight w:val="none"/>
              </w:rPr>
            </w:pPr>
            <w:r>
              <w:rPr>
                <w:b/>
                <w:bCs/>
                <w:kern w:val="0"/>
                <w:sz w:val="24"/>
                <w:szCs w:val="24"/>
                <w:highlight w:val="none"/>
              </w:rPr>
              <w:t>数量</w:t>
            </w:r>
          </w:p>
        </w:tc>
        <w:tc>
          <w:tcPr>
            <w:tcW w:w="2061" w:type="dxa"/>
            <w:vAlign w:val="center"/>
          </w:tcPr>
          <w:p w14:paraId="7B024268">
            <w:pPr>
              <w:widowControl/>
              <w:jc w:val="center"/>
              <w:rPr>
                <w:b/>
                <w:bCs/>
                <w:kern w:val="0"/>
                <w:sz w:val="24"/>
                <w:szCs w:val="24"/>
                <w:highlight w:val="none"/>
              </w:rPr>
            </w:pPr>
            <w:r>
              <w:rPr>
                <w:b/>
                <w:bCs/>
                <w:kern w:val="0"/>
                <w:sz w:val="24"/>
                <w:szCs w:val="24"/>
                <w:highlight w:val="none"/>
              </w:rPr>
              <w:t>备注</w:t>
            </w:r>
          </w:p>
        </w:tc>
      </w:tr>
      <w:tr w14:paraId="7E07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68" w:type="dxa"/>
            <w:vAlign w:val="center"/>
          </w:tcPr>
          <w:p w14:paraId="2CC5CFD1">
            <w:pPr>
              <w:widowControl/>
              <w:jc w:val="center"/>
              <w:rPr>
                <w:kern w:val="0"/>
                <w:sz w:val="24"/>
                <w:szCs w:val="24"/>
                <w:highlight w:val="none"/>
              </w:rPr>
            </w:pPr>
            <w:r>
              <w:rPr>
                <w:kern w:val="0"/>
                <w:sz w:val="24"/>
                <w:szCs w:val="24"/>
                <w:highlight w:val="none"/>
              </w:rPr>
              <w:t>1</w:t>
            </w:r>
          </w:p>
        </w:tc>
        <w:tc>
          <w:tcPr>
            <w:tcW w:w="2317" w:type="dxa"/>
            <w:gridSpan w:val="2"/>
            <w:vAlign w:val="center"/>
          </w:tcPr>
          <w:p w14:paraId="3BC23CD3">
            <w:pPr>
              <w:widowControl/>
              <w:jc w:val="center"/>
              <w:rPr>
                <w:kern w:val="0"/>
                <w:sz w:val="24"/>
                <w:szCs w:val="24"/>
                <w:highlight w:val="none"/>
              </w:rPr>
            </w:pPr>
          </w:p>
        </w:tc>
        <w:tc>
          <w:tcPr>
            <w:tcW w:w="2061" w:type="dxa"/>
            <w:gridSpan w:val="2"/>
            <w:vAlign w:val="center"/>
          </w:tcPr>
          <w:p w14:paraId="25A43176">
            <w:pPr>
              <w:widowControl/>
              <w:jc w:val="center"/>
              <w:rPr>
                <w:kern w:val="0"/>
                <w:sz w:val="24"/>
                <w:szCs w:val="24"/>
                <w:highlight w:val="none"/>
              </w:rPr>
            </w:pPr>
          </w:p>
        </w:tc>
        <w:tc>
          <w:tcPr>
            <w:tcW w:w="1833" w:type="dxa"/>
            <w:gridSpan w:val="2"/>
            <w:vAlign w:val="center"/>
          </w:tcPr>
          <w:p w14:paraId="270A484C">
            <w:pPr>
              <w:widowControl/>
              <w:jc w:val="center"/>
              <w:rPr>
                <w:sz w:val="24"/>
                <w:szCs w:val="24"/>
                <w:highlight w:val="none"/>
              </w:rPr>
            </w:pPr>
            <w:r>
              <w:rPr>
                <w:sz w:val="24"/>
                <w:szCs w:val="24"/>
                <w:highlight w:val="none"/>
              </w:rPr>
              <w:t>1项</w:t>
            </w:r>
          </w:p>
        </w:tc>
        <w:tc>
          <w:tcPr>
            <w:tcW w:w="2061" w:type="dxa"/>
            <w:vAlign w:val="center"/>
          </w:tcPr>
          <w:p w14:paraId="50844993">
            <w:pPr>
              <w:widowControl/>
              <w:jc w:val="center"/>
              <w:rPr>
                <w:sz w:val="24"/>
                <w:szCs w:val="24"/>
                <w:highlight w:val="none"/>
              </w:rPr>
            </w:pPr>
          </w:p>
        </w:tc>
      </w:tr>
      <w:tr w14:paraId="0EE98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140" w:type="dxa"/>
            <w:gridSpan w:val="8"/>
            <w:vAlign w:val="center"/>
          </w:tcPr>
          <w:p w14:paraId="7E293BD6">
            <w:pPr>
              <w:widowControl/>
              <w:jc w:val="left"/>
              <w:rPr>
                <w:kern w:val="0"/>
                <w:sz w:val="24"/>
                <w:szCs w:val="24"/>
                <w:highlight w:val="none"/>
              </w:rPr>
            </w:pPr>
            <w:r>
              <w:rPr>
                <w:kern w:val="0"/>
                <w:sz w:val="24"/>
                <w:szCs w:val="24"/>
                <w:highlight w:val="none"/>
              </w:rPr>
              <w:t>其中</w:t>
            </w:r>
          </w:p>
        </w:tc>
      </w:tr>
      <w:tr w14:paraId="5486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606" w:type="dxa"/>
            <w:gridSpan w:val="2"/>
            <w:vAlign w:val="center"/>
          </w:tcPr>
          <w:p w14:paraId="2F665144">
            <w:pPr>
              <w:widowControl/>
              <w:jc w:val="left"/>
              <w:rPr>
                <w:b/>
                <w:sz w:val="24"/>
                <w:szCs w:val="24"/>
                <w:highlight w:val="none"/>
              </w:rPr>
            </w:pPr>
            <w:r>
              <w:rPr>
                <w:b/>
                <w:sz w:val="24"/>
                <w:szCs w:val="24"/>
                <w:highlight w:val="none"/>
              </w:rPr>
              <w:t>分项名称</w:t>
            </w:r>
          </w:p>
        </w:tc>
        <w:tc>
          <w:tcPr>
            <w:tcW w:w="1579" w:type="dxa"/>
            <w:vAlign w:val="center"/>
          </w:tcPr>
          <w:p w14:paraId="0348650A">
            <w:pPr>
              <w:widowControl/>
              <w:jc w:val="left"/>
              <w:rPr>
                <w:b/>
                <w:sz w:val="24"/>
                <w:szCs w:val="24"/>
                <w:highlight w:val="none"/>
              </w:rPr>
            </w:pPr>
            <w:r>
              <w:rPr>
                <w:rFonts w:hint="eastAsia"/>
                <w:b/>
                <w:sz w:val="24"/>
                <w:szCs w:val="24"/>
                <w:highlight w:val="none"/>
              </w:rPr>
              <w:t>规格型号</w:t>
            </w:r>
          </w:p>
        </w:tc>
        <w:tc>
          <w:tcPr>
            <w:tcW w:w="941" w:type="dxa"/>
            <w:vAlign w:val="center"/>
          </w:tcPr>
          <w:p w14:paraId="0B58E11D">
            <w:pPr>
              <w:widowControl/>
              <w:jc w:val="center"/>
              <w:rPr>
                <w:b/>
                <w:kern w:val="0"/>
                <w:sz w:val="24"/>
                <w:szCs w:val="24"/>
                <w:highlight w:val="none"/>
              </w:rPr>
            </w:pPr>
            <w:r>
              <w:rPr>
                <w:rFonts w:hint="eastAsia"/>
                <w:b/>
                <w:kern w:val="0"/>
                <w:sz w:val="24"/>
                <w:szCs w:val="24"/>
                <w:highlight w:val="none"/>
              </w:rPr>
              <w:t>单位</w:t>
            </w:r>
          </w:p>
        </w:tc>
        <w:tc>
          <w:tcPr>
            <w:tcW w:w="1120" w:type="dxa"/>
            <w:vAlign w:val="center"/>
          </w:tcPr>
          <w:p w14:paraId="6BC0DD04">
            <w:pPr>
              <w:widowControl/>
              <w:jc w:val="center"/>
              <w:rPr>
                <w:b/>
                <w:kern w:val="0"/>
                <w:sz w:val="24"/>
                <w:szCs w:val="24"/>
                <w:highlight w:val="none"/>
              </w:rPr>
            </w:pPr>
            <w:r>
              <w:rPr>
                <w:b/>
                <w:kern w:val="0"/>
                <w:sz w:val="24"/>
                <w:szCs w:val="24"/>
                <w:highlight w:val="none"/>
              </w:rPr>
              <w:t>数量</w:t>
            </w:r>
          </w:p>
        </w:tc>
        <w:tc>
          <w:tcPr>
            <w:tcW w:w="916" w:type="dxa"/>
            <w:vAlign w:val="center"/>
          </w:tcPr>
          <w:p w14:paraId="60EBDE39">
            <w:pPr>
              <w:widowControl/>
              <w:jc w:val="center"/>
              <w:rPr>
                <w:b/>
                <w:kern w:val="0"/>
                <w:sz w:val="24"/>
                <w:szCs w:val="24"/>
                <w:highlight w:val="none"/>
              </w:rPr>
            </w:pPr>
            <w:r>
              <w:rPr>
                <w:rFonts w:hint="eastAsia"/>
                <w:b/>
                <w:kern w:val="0"/>
                <w:sz w:val="24"/>
                <w:szCs w:val="24"/>
                <w:highlight w:val="none"/>
              </w:rPr>
              <w:t>单价</w:t>
            </w:r>
          </w:p>
        </w:tc>
        <w:tc>
          <w:tcPr>
            <w:tcW w:w="917" w:type="dxa"/>
            <w:vAlign w:val="center"/>
          </w:tcPr>
          <w:p w14:paraId="53B92478">
            <w:pPr>
              <w:widowControl/>
              <w:jc w:val="center"/>
              <w:rPr>
                <w:b/>
                <w:kern w:val="0"/>
                <w:sz w:val="24"/>
                <w:szCs w:val="24"/>
                <w:highlight w:val="none"/>
              </w:rPr>
            </w:pPr>
            <w:r>
              <w:rPr>
                <w:rFonts w:hint="eastAsia"/>
                <w:b/>
                <w:kern w:val="0"/>
                <w:sz w:val="24"/>
                <w:szCs w:val="24"/>
                <w:highlight w:val="none"/>
              </w:rPr>
              <w:t>小计</w:t>
            </w:r>
          </w:p>
        </w:tc>
        <w:tc>
          <w:tcPr>
            <w:tcW w:w="2061" w:type="dxa"/>
            <w:vAlign w:val="center"/>
          </w:tcPr>
          <w:p w14:paraId="00B901CA">
            <w:pPr>
              <w:widowControl/>
              <w:jc w:val="center"/>
              <w:rPr>
                <w:b/>
                <w:bCs/>
                <w:kern w:val="0"/>
                <w:sz w:val="24"/>
                <w:szCs w:val="24"/>
                <w:highlight w:val="none"/>
              </w:rPr>
            </w:pPr>
            <w:r>
              <w:rPr>
                <w:b/>
                <w:bCs/>
                <w:kern w:val="0"/>
                <w:sz w:val="24"/>
                <w:szCs w:val="24"/>
                <w:highlight w:val="none"/>
              </w:rPr>
              <w:t>备注</w:t>
            </w:r>
          </w:p>
        </w:tc>
      </w:tr>
      <w:tr w14:paraId="28C1E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606" w:type="dxa"/>
            <w:gridSpan w:val="2"/>
            <w:vAlign w:val="center"/>
          </w:tcPr>
          <w:p w14:paraId="3F90367E">
            <w:pPr>
              <w:widowControl/>
              <w:jc w:val="left"/>
              <w:rPr>
                <w:b/>
                <w:sz w:val="24"/>
                <w:szCs w:val="24"/>
                <w:highlight w:val="none"/>
              </w:rPr>
            </w:pPr>
          </w:p>
        </w:tc>
        <w:tc>
          <w:tcPr>
            <w:tcW w:w="1579" w:type="dxa"/>
            <w:vAlign w:val="center"/>
          </w:tcPr>
          <w:p w14:paraId="1A876022">
            <w:pPr>
              <w:widowControl/>
              <w:jc w:val="left"/>
              <w:rPr>
                <w:b/>
                <w:sz w:val="24"/>
                <w:szCs w:val="24"/>
                <w:highlight w:val="none"/>
              </w:rPr>
            </w:pPr>
          </w:p>
        </w:tc>
        <w:tc>
          <w:tcPr>
            <w:tcW w:w="941" w:type="dxa"/>
            <w:vAlign w:val="center"/>
          </w:tcPr>
          <w:p w14:paraId="567FC274">
            <w:pPr>
              <w:widowControl/>
              <w:jc w:val="center"/>
              <w:rPr>
                <w:b/>
                <w:kern w:val="0"/>
                <w:sz w:val="24"/>
                <w:szCs w:val="24"/>
                <w:highlight w:val="none"/>
              </w:rPr>
            </w:pPr>
          </w:p>
        </w:tc>
        <w:tc>
          <w:tcPr>
            <w:tcW w:w="1120" w:type="dxa"/>
            <w:vAlign w:val="center"/>
          </w:tcPr>
          <w:p w14:paraId="7E53CEA1">
            <w:pPr>
              <w:widowControl/>
              <w:jc w:val="center"/>
              <w:rPr>
                <w:b/>
                <w:kern w:val="0"/>
                <w:sz w:val="24"/>
                <w:szCs w:val="24"/>
                <w:highlight w:val="none"/>
              </w:rPr>
            </w:pPr>
          </w:p>
        </w:tc>
        <w:tc>
          <w:tcPr>
            <w:tcW w:w="916" w:type="dxa"/>
            <w:vAlign w:val="center"/>
          </w:tcPr>
          <w:p w14:paraId="702AE54E">
            <w:pPr>
              <w:widowControl/>
              <w:jc w:val="center"/>
              <w:rPr>
                <w:b/>
                <w:kern w:val="0"/>
                <w:sz w:val="24"/>
                <w:szCs w:val="24"/>
                <w:highlight w:val="none"/>
              </w:rPr>
            </w:pPr>
          </w:p>
        </w:tc>
        <w:tc>
          <w:tcPr>
            <w:tcW w:w="917" w:type="dxa"/>
            <w:vAlign w:val="center"/>
          </w:tcPr>
          <w:p w14:paraId="38ABD40D">
            <w:pPr>
              <w:widowControl/>
              <w:jc w:val="center"/>
              <w:rPr>
                <w:b/>
                <w:kern w:val="0"/>
                <w:sz w:val="24"/>
                <w:szCs w:val="24"/>
                <w:highlight w:val="none"/>
              </w:rPr>
            </w:pPr>
          </w:p>
        </w:tc>
        <w:tc>
          <w:tcPr>
            <w:tcW w:w="2061" w:type="dxa"/>
            <w:vAlign w:val="center"/>
          </w:tcPr>
          <w:p w14:paraId="32F2D429">
            <w:pPr>
              <w:widowControl/>
              <w:jc w:val="center"/>
              <w:rPr>
                <w:b/>
                <w:bCs/>
                <w:kern w:val="0"/>
                <w:sz w:val="24"/>
                <w:szCs w:val="24"/>
                <w:highlight w:val="none"/>
              </w:rPr>
            </w:pPr>
          </w:p>
        </w:tc>
      </w:tr>
      <w:tr w14:paraId="245A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606" w:type="dxa"/>
            <w:gridSpan w:val="2"/>
            <w:vAlign w:val="center"/>
          </w:tcPr>
          <w:p w14:paraId="331878B0">
            <w:pPr>
              <w:widowControl/>
              <w:jc w:val="left"/>
              <w:rPr>
                <w:b/>
                <w:sz w:val="24"/>
                <w:szCs w:val="24"/>
                <w:highlight w:val="none"/>
              </w:rPr>
            </w:pPr>
          </w:p>
        </w:tc>
        <w:tc>
          <w:tcPr>
            <w:tcW w:w="1579" w:type="dxa"/>
            <w:vAlign w:val="center"/>
          </w:tcPr>
          <w:p w14:paraId="4CDAD825">
            <w:pPr>
              <w:widowControl/>
              <w:jc w:val="left"/>
              <w:rPr>
                <w:b/>
                <w:sz w:val="24"/>
                <w:szCs w:val="24"/>
                <w:highlight w:val="none"/>
              </w:rPr>
            </w:pPr>
          </w:p>
        </w:tc>
        <w:tc>
          <w:tcPr>
            <w:tcW w:w="941" w:type="dxa"/>
            <w:vAlign w:val="center"/>
          </w:tcPr>
          <w:p w14:paraId="02A2E5FA">
            <w:pPr>
              <w:widowControl/>
              <w:jc w:val="center"/>
              <w:rPr>
                <w:b/>
                <w:kern w:val="0"/>
                <w:sz w:val="24"/>
                <w:szCs w:val="24"/>
                <w:highlight w:val="none"/>
              </w:rPr>
            </w:pPr>
          </w:p>
        </w:tc>
        <w:tc>
          <w:tcPr>
            <w:tcW w:w="1120" w:type="dxa"/>
            <w:vAlign w:val="center"/>
          </w:tcPr>
          <w:p w14:paraId="3E5D55D4">
            <w:pPr>
              <w:widowControl/>
              <w:jc w:val="center"/>
              <w:rPr>
                <w:b/>
                <w:kern w:val="0"/>
                <w:sz w:val="24"/>
                <w:szCs w:val="24"/>
                <w:highlight w:val="none"/>
              </w:rPr>
            </w:pPr>
          </w:p>
        </w:tc>
        <w:tc>
          <w:tcPr>
            <w:tcW w:w="916" w:type="dxa"/>
            <w:vAlign w:val="center"/>
          </w:tcPr>
          <w:p w14:paraId="1DB26DBA">
            <w:pPr>
              <w:widowControl/>
              <w:jc w:val="center"/>
              <w:rPr>
                <w:b/>
                <w:kern w:val="0"/>
                <w:sz w:val="24"/>
                <w:szCs w:val="24"/>
                <w:highlight w:val="none"/>
              </w:rPr>
            </w:pPr>
          </w:p>
        </w:tc>
        <w:tc>
          <w:tcPr>
            <w:tcW w:w="917" w:type="dxa"/>
            <w:vAlign w:val="center"/>
          </w:tcPr>
          <w:p w14:paraId="61283C87">
            <w:pPr>
              <w:widowControl/>
              <w:jc w:val="center"/>
              <w:rPr>
                <w:b/>
                <w:kern w:val="0"/>
                <w:sz w:val="24"/>
                <w:szCs w:val="24"/>
                <w:highlight w:val="none"/>
              </w:rPr>
            </w:pPr>
          </w:p>
        </w:tc>
        <w:tc>
          <w:tcPr>
            <w:tcW w:w="2061" w:type="dxa"/>
            <w:vAlign w:val="center"/>
          </w:tcPr>
          <w:p w14:paraId="5FA6FD94">
            <w:pPr>
              <w:widowControl/>
              <w:jc w:val="center"/>
              <w:rPr>
                <w:b/>
                <w:bCs/>
                <w:kern w:val="0"/>
                <w:sz w:val="24"/>
                <w:szCs w:val="24"/>
                <w:highlight w:val="none"/>
              </w:rPr>
            </w:pPr>
          </w:p>
        </w:tc>
      </w:tr>
      <w:tr w14:paraId="506EE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606" w:type="dxa"/>
            <w:gridSpan w:val="2"/>
            <w:vAlign w:val="center"/>
          </w:tcPr>
          <w:p w14:paraId="51D86471">
            <w:pPr>
              <w:widowControl/>
              <w:jc w:val="left"/>
              <w:rPr>
                <w:b/>
                <w:sz w:val="24"/>
                <w:szCs w:val="24"/>
                <w:highlight w:val="none"/>
              </w:rPr>
            </w:pPr>
          </w:p>
        </w:tc>
        <w:tc>
          <w:tcPr>
            <w:tcW w:w="1579" w:type="dxa"/>
            <w:vAlign w:val="center"/>
          </w:tcPr>
          <w:p w14:paraId="75922DAC">
            <w:pPr>
              <w:widowControl/>
              <w:jc w:val="left"/>
              <w:rPr>
                <w:b/>
                <w:sz w:val="24"/>
                <w:szCs w:val="24"/>
                <w:highlight w:val="none"/>
              </w:rPr>
            </w:pPr>
          </w:p>
        </w:tc>
        <w:tc>
          <w:tcPr>
            <w:tcW w:w="941" w:type="dxa"/>
            <w:vAlign w:val="center"/>
          </w:tcPr>
          <w:p w14:paraId="03EF0B89">
            <w:pPr>
              <w:widowControl/>
              <w:jc w:val="center"/>
              <w:rPr>
                <w:b/>
                <w:kern w:val="0"/>
                <w:sz w:val="24"/>
                <w:szCs w:val="24"/>
                <w:highlight w:val="none"/>
              </w:rPr>
            </w:pPr>
          </w:p>
        </w:tc>
        <w:tc>
          <w:tcPr>
            <w:tcW w:w="1120" w:type="dxa"/>
            <w:vAlign w:val="center"/>
          </w:tcPr>
          <w:p w14:paraId="049A378D">
            <w:pPr>
              <w:widowControl/>
              <w:jc w:val="center"/>
              <w:rPr>
                <w:b/>
                <w:kern w:val="0"/>
                <w:sz w:val="24"/>
                <w:szCs w:val="24"/>
                <w:highlight w:val="none"/>
              </w:rPr>
            </w:pPr>
          </w:p>
        </w:tc>
        <w:tc>
          <w:tcPr>
            <w:tcW w:w="916" w:type="dxa"/>
            <w:vAlign w:val="center"/>
          </w:tcPr>
          <w:p w14:paraId="2B51D937">
            <w:pPr>
              <w:widowControl/>
              <w:jc w:val="center"/>
              <w:rPr>
                <w:b/>
                <w:kern w:val="0"/>
                <w:sz w:val="24"/>
                <w:szCs w:val="24"/>
                <w:highlight w:val="none"/>
              </w:rPr>
            </w:pPr>
          </w:p>
        </w:tc>
        <w:tc>
          <w:tcPr>
            <w:tcW w:w="917" w:type="dxa"/>
            <w:vAlign w:val="center"/>
          </w:tcPr>
          <w:p w14:paraId="7E06E745">
            <w:pPr>
              <w:widowControl/>
              <w:jc w:val="center"/>
              <w:rPr>
                <w:b/>
                <w:kern w:val="0"/>
                <w:sz w:val="24"/>
                <w:szCs w:val="24"/>
                <w:highlight w:val="none"/>
              </w:rPr>
            </w:pPr>
          </w:p>
        </w:tc>
        <w:tc>
          <w:tcPr>
            <w:tcW w:w="2061" w:type="dxa"/>
            <w:vAlign w:val="center"/>
          </w:tcPr>
          <w:p w14:paraId="69E34F87">
            <w:pPr>
              <w:widowControl/>
              <w:jc w:val="center"/>
              <w:rPr>
                <w:b/>
                <w:bCs/>
                <w:kern w:val="0"/>
                <w:sz w:val="24"/>
                <w:szCs w:val="24"/>
                <w:highlight w:val="none"/>
              </w:rPr>
            </w:pPr>
          </w:p>
        </w:tc>
      </w:tr>
      <w:tr w14:paraId="096A5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606" w:type="dxa"/>
            <w:gridSpan w:val="2"/>
            <w:vAlign w:val="center"/>
          </w:tcPr>
          <w:p w14:paraId="4A5ABCB2">
            <w:pPr>
              <w:widowControl/>
              <w:jc w:val="left"/>
              <w:rPr>
                <w:b/>
                <w:sz w:val="24"/>
                <w:szCs w:val="24"/>
                <w:highlight w:val="none"/>
              </w:rPr>
            </w:pPr>
          </w:p>
        </w:tc>
        <w:tc>
          <w:tcPr>
            <w:tcW w:w="1579" w:type="dxa"/>
            <w:vAlign w:val="center"/>
          </w:tcPr>
          <w:p w14:paraId="1605E2D7">
            <w:pPr>
              <w:widowControl/>
              <w:jc w:val="left"/>
              <w:rPr>
                <w:b/>
                <w:sz w:val="24"/>
                <w:szCs w:val="24"/>
                <w:highlight w:val="none"/>
              </w:rPr>
            </w:pPr>
          </w:p>
        </w:tc>
        <w:tc>
          <w:tcPr>
            <w:tcW w:w="941" w:type="dxa"/>
            <w:vAlign w:val="center"/>
          </w:tcPr>
          <w:p w14:paraId="7ADC1457">
            <w:pPr>
              <w:widowControl/>
              <w:jc w:val="center"/>
              <w:rPr>
                <w:b/>
                <w:kern w:val="0"/>
                <w:sz w:val="24"/>
                <w:szCs w:val="24"/>
                <w:highlight w:val="none"/>
              </w:rPr>
            </w:pPr>
          </w:p>
        </w:tc>
        <w:tc>
          <w:tcPr>
            <w:tcW w:w="1120" w:type="dxa"/>
            <w:vAlign w:val="center"/>
          </w:tcPr>
          <w:p w14:paraId="68053D52">
            <w:pPr>
              <w:widowControl/>
              <w:jc w:val="center"/>
              <w:rPr>
                <w:b/>
                <w:kern w:val="0"/>
                <w:sz w:val="24"/>
                <w:szCs w:val="24"/>
                <w:highlight w:val="none"/>
              </w:rPr>
            </w:pPr>
          </w:p>
        </w:tc>
        <w:tc>
          <w:tcPr>
            <w:tcW w:w="916" w:type="dxa"/>
            <w:vAlign w:val="center"/>
          </w:tcPr>
          <w:p w14:paraId="2C0E6C66">
            <w:pPr>
              <w:widowControl/>
              <w:jc w:val="center"/>
              <w:rPr>
                <w:b/>
                <w:kern w:val="0"/>
                <w:sz w:val="24"/>
                <w:szCs w:val="24"/>
                <w:highlight w:val="none"/>
              </w:rPr>
            </w:pPr>
          </w:p>
        </w:tc>
        <w:tc>
          <w:tcPr>
            <w:tcW w:w="917" w:type="dxa"/>
            <w:vAlign w:val="center"/>
          </w:tcPr>
          <w:p w14:paraId="40615754">
            <w:pPr>
              <w:widowControl/>
              <w:jc w:val="center"/>
              <w:rPr>
                <w:b/>
                <w:kern w:val="0"/>
                <w:sz w:val="24"/>
                <w:szCs w:val="24"/>
                <w:highlight w:val="none"/>
              </w:rPr>
            </w:pPr>
          </w:p>
        </w:tc>
        <w:tc>
          <w:tcPr>
            <w:tcW w:w="2061" w:type="dxa"/>
            <w:vAlign w:val="center"/>
          </w:tcPr>
          <w:p w14:paraId="715FF5EC">
            <w:pPr>
              <w:widowControl/>
              <w:jc w:val="center"/>
              <w:rPr>
                <w:b/>
                <w:bCs/>
                <w:kern w:val="0"/>
                <w:sz w:val="24"/>
                <w:szCs w:val="24"/>
                <w:highlight w:val="none"/>
              </w:rPr>
            </w:pPr>
          </w:p>
        </w:tc>
      </w:tr>
      <w:tr w14:paraId="455C7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606" w:type="dxa"/>
            <w:gridSpan w:val="2"/>
            <w:vAlign w:val="center"/>
          </w:tcPr>
          <w:p w14:paraId="4FDA5998">
            <w:pPr>
              <w:widowControl/>
              <w:jc w:val="left"/>
              <w:rPr>
                <w:b/>
                <w:sz w:val="24"/>
                <w:szCs w:val="24"/>
                <w:highlight w:val="none"/>
              </w:rPr>
            </w:pPr>
          </w:p>
        </w:tc>
        <w:tc>
          <w:tcPr>
            <w:tcW w:w="1579" w:type="dxa"/>
            <w:vAlign w:val="center"/>
          </w:tcPr>
          <w:p w14:paraId="06ABF264">
            <w:pPr>
              <w:widowControl/>
              <w:jc w:val="left"/>
              <w:rPr>
                <w:b/>
                <w:sz w:val="24"/>
                <w:szCs w:val="24"/>
                <w:highlight w:val="none"/>
              </w:rPr>
            </w:pPr>
          </w:p>
        </w:tc>
        <w:tc>
          <w:tcPr>
            <w:tcW w:w="941" w:type="dxa"/>
            <w:vAlign w:val="center"/>
          </w:tcPr>
          <w:p w14:paraId="0D7E9576">
            <w:pPr>
              <w:widowControl/>
              <w:jc w:val="center"/>
              <w:rPr>
                <w:b/>
                <w:kern w:val="0"/>
                <w:sz w:val="24"/>
                <w:szCs w:val="24"/>
                <w:highlight w:val="none"/>
              </w:rPr>
            </w:pPr>
          </w:p>
        </w:tc>
        <w:tc>
          <w:tcPr>
            <w:tcW w:w="1120" w:type="dxa"/>
            <w:vAlign w:val="center"/>
          </w:tcPr>
          <w:p w14:paraId="4C388D02">
            <w:pPr>
              <w:widowControl/>
              <w:jc w:val="center"/>
              <w:rPr>
                <w:b/>
                <w:kern w:val="0"/>
                <w:sz w:val="24"/>
                <w:szCs w:val="24"/>
                <w:highlight w:val="none"/>
              </w:rPr>
            </w:pPr>
          </w:p>
        </w:tc>
        <w:tc>
          <w:tcPr>
            <w:tcW w:w="916" w:type="dxa"/>
            <w:vAlign w:val="center"/>
          </w:tcPr>
          <w:p w14:paraId="308667F5">
            <w:pPr>
              <w:widowControl/>
              <w:jc w:val="center"/>
              <w:rPr>
                <w:b/>
                <w:kern w:val="0"/>
                <w:sz w:val="24"/>
                <w:szCs w:val="24"/>
                <w:highlight w:val="none"/>
              </w:rPr>
            </w:pPr>
          </w:p>
        </w:tc>
        <w:tc>
          <w:tcPr>
            <w:tcW w:w="917" w:type="dxa"/>
            <w:vAlign w:val="center"/>
          </w:tcPr>
          <w:p w14:paraId="2F4F00DD">
            <w:pPr>
              <w:widowControl/>
              <w:jc w:val="center"/>
              <w:rPr>
                <w:b/>
                <w:kern w:val="0"/>
                <w:sz w:val="24"/>
                <w:szCs w:val="24"/>
                <w:highlight w:val="none"/>
              </w:rPr>
            </w:pPr>
          </w:p>
        </w:tc>
        <w:tc>
          <w:tcPr>
            <w:tcW w:w="2061" w:type="dxa"/>
            <w:vAlign w:val="center"/>
          </w:tcPr>
          <w:p w14:paraId="04E0F67B">
            <w:pPr>
              <w:widowControl/>
              <w:jc w:val="center"/>
              <w:rPr>
                <w:b/>
                <w:bCs/>
                <w:kern w:val="0"/>
                <w:sz w:val="24"/>
                <w:szCs w:val="24"/>
                <w:highlight w:val="none"/>
              </w:rPr>
            </w:pPr>
          </w:p>
        </w:tc>
      </w:tr>
      <w:tr w14:paraId="6FC6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606" w:type="dxa"/>
            <w:gridSpan w:val="2"/>
            <w:vAlign w:val="center"/>
          </w:tcPr>
          <w:p w14:paraId="0779E468">
            <w:pPr>
              <w:widowControl/>
              <w:jc w:val="left"/>
              <w:rPr>
                <w:b/>
                <w:sz w:val="24"/>
                <w:szCs w:val="24"/>
                <w:highlight w:val="none"/>
              </w:rPr>
            </w:pPr>
          </w:p>
        </w:tc>
        <w:tc>
          <w:tcPr>
            <w:tcW w:w="1579" w:type="dxa"/>
            <w:vAlign w:val="center"/>
          </w:tcPr>
          <w:p w14:paraId="6A3C2FC3">
            <w:pPr>
              <w:widowControl/>
              <w:jc w:val="left"/>
              <w:rPr>
                <w:b/>
                <w:sz w:val="24"/>
                <w:szCs w:val="24"/>
                <w:highlight w:val="none"/>
              </w:rPr>
            </w:pPr>
          </w:p>
        </w:tc>
        <w:tc>
          <w:tcPr>
            <w:tcW w:w="941" w:type="dxa"/>
            <w:vAlign w:val="center"/>
          </w:tcPr>
          <w:p w14:paraId="22013EB5">
            <w:pPr>
              <w:widowControl/>
              <w:jc w:val="center"/>
              <w:rPr>
                <w:b/>
                <w:kern w:val="0"/>
                <w:sz w:val="24"/>
                <w:szCs w:val="24"/>
                <w:highlight w:val="none"/>
              </w:rPr>
            </w:pPr>
          </w:p>
        </w:tc>
        <w:tc>
          <w:tcPr>
            <w:tcW w:w="1120" w:type="dxa"/>
            <w:vAlign w:val="center"/>
          </w:tcPr>
          <w:p w14:paraId="24CF6AB1">
            <w:pPr>
              <w:widowControl/>
              <w:jc w:val="center"/>
              <w:rPr>
                <w:b/>
                <w:kern w:val="0"/>
                <w:sz w:val="24"/>
                <w:szCs w:val="24"/>
                <w:highlight w:val="none"/>
              </w:rPr>
            </w:pPr>
          </w:p>
        </w:tc>
        <w:tc>
          <w:tcPr>
            <w:tcW w:w="916" w:type="dxa"/>
            <w:vAlign w:val="center"/>
          </w:tcPr>
          <w:p w14:paraId="443CBFF9">
            <w:pPr>
              <w:widowControl/>
              <w:jc w:val="center"/>
              <w:rPr>
                <w:b/>
                <w:kern w:val="0"/>
                <w:sz w:val="24"/>
                <w:szCs w:val="24"/>
                <w:highlight w:val="none"/>
              </w:rPr>
            </w:pPr>
          </w:p>
        </w:tc>
        <w:tc>
          <w:tcPr>
            <w:tcW w:w="917" w:type="dxa"/>
            <w:vAlign w:val="center"/>
          </w:tcPr>
          <w:p w14:paraId="699D8BB8">
            <w:pPr>
              <w:widowControl/>
              <w:jc w:val="center"/>
              <w:rPr>
                <w:b/>
                <w:kern w:val="0"/>
                <w:sz w:val="24"/>
                <w:szCs w:val="24"/>
                <w:highlight w:val="none"/>
              </w:rPr>
            </w:pPr>
          </w:p>
        </w:tc>
        <w:tc>
          <w:tcPr>
            <w:tcW w:w="2061" w:type="dxa"/>
            <w:vAlign w:val="center"/>
          </w:tcPr>
          <w:p w14:paraId="5C0610FF">
            <w:pPr>
              <w:widowControl/>
              <w:jc w:val="center"/>
              <w:rPr>
                <w:b/>
                <w:bCs/>
                <w:kern w:val="0"/>
                <w:sz w:val="24"/>
                <w:szCs w:val="24"/>
                <w:highlight w:val="none"/>
              </w:rPr>
            </w:pPr>
          </w:p>
        </w:tc>
      </w:tr>
      <w:tr w14:paraId="4D12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162" w:type="dxa"/>
            <w:gridSpan w:val="6"/>
            <w:vAlign w:val="center"/>
          </w:tcPr>
          <w:p w14:paraId="3D05C9D4">
            <w:pPr>
              <w:widowControl/>
              <w:jc w:val="center"/>
              <w:rPr>
                <w:b/>
                <w:kern w:val="0"/>
                <w:sz w:val="24"/>
                <w:szCs w:val="24"/>
                <w:highlight w:val="none"/>
              </w:rPr>
            </w:pPr>
            <w:r>
              <w:rPr>
                <w:rFonts w:hint="eastAsia"/>
                <w:b/>
                <w:kern w:val="0"/>
                <w:sz w:val="24"/>
                <w:szCs w:val="24"/>
                <w:highlight w:val="none"/>
              </w:rPr>
              <w:t>合计</w:t>
            </w:r>
          </w:p>
        </w:tc>
        <w:tc>
          <w:tcPr>
            <w:tcW w:w="917" w:type="dxa"/>
            <w:vAlign w:val="center"/>
          </w:tcPr>
          <w:p w14:paraId="221C9313">
            <w:pPr>
              <w:widowControl/>
              <w:jc w:val="center"/>
              <w:rPr>
                <w:b/>
                <w:kern w:val="0"/>
                <w:sz w:val="24"/>
                <w:szCs w:val="24"/>
                <w:highlight w:val="none"/>
              </w:rPr>
            </w:pPr>
          </w:p>
        </w:tc>
        <w:tc>
          <w:tcPr>
            <w:tcW w:w="2061" w:type="dxa"/>
            <w:vAlign w:val="center"/>
          </w:tcPr>
          <w:p w14:paraId="3D42F733">
            <w:pPr>
              <w:widowControl/>
              <w:jc w:val="center"/>
              <w:rPr>
                <w:b/>
                <w:bCs/>
                <w:kern w:val="0"/>
                <w:sz w:val="24"/>
                <w:szCs w:val="24"/>
                <w:highlight w:val="none"/>
              </w:rPr>
            </w:pPr>
          </w:p>
        </w:tc>
      </w:tr>
    </w:tbl>
    <w:p w14:paraId="609F6068">
      <w:pPr>
        <w:ind w:left="180"/>
        <w:rPr>
          <w:sz w:val="22"/>
          <w:szCs w:val="24"/>
          <w:highlight w:val="none"/>
        </w:rPr>
      </w:pPr>
      <w:r>
        <w:rPr>
          <w:sz w:val="22"/>
          <w:szCs w:val="24"/>
          <w:highlight w:val="none"/>
        </w:rPr>
        <w:t>注：1. 本表第一行填写本项目投标总价，须与附件</w:t>
      </w:r>
      <w:r>
        <w:rPr>
          <w:rFonts w:hint="eastAsia"/>
          <w:sz w:val="22"/>
          <w:szCs w:val="24"/>
          <w:highlight w:val="none"/>
          <w:lang w:val="en-US" w:eastAsia="zh-CN"/>
        </w:rPr>
        <w:t>1</w:t>
      </w:r>
      <w:bookmarkStart w:id="131" w:name="_GoBack"/>
      <w:bookmarkEnd w:id="131"/>
      <w:r>
        <w:rPr>
          <w:sz w:val="22"/>
          <w:szCs w:val="24"/>
          <w:highlight w:val="none"/>
        </w:rPr>
        <w:t>中投标总价保持一致。</w:t>
      </w:r>
    </w:p>
    <w:p w14:paraId="7AE9A427">
      <w:pPr>
        <w:ind w:left="180" w:firstLine="408" w:firstLineChars="200"/>
        <w:rPr>
          <w:sz w:val="22"/>
          <w:szCs w:val="24"/>
          <w:highlight w:val="none"/>
        </w:rPr>
      </w:pPr>
      <w:r>
        <w:rPr>
          <w:sz w:val="22"/>
          <w:szCs w:val="24"/>
          <w:highlight w:val="none"/>
        </w:rPr>
        <w:t>2. 投标单位须</w:t>
      </w:r>
      <w:r>
        <w:rPr>
          <w:rFonts w:hint="eastAsia"/>
          <w:sz w:val="22"/>
          <w:szCs w:val="24"/>
          <w:highlight w:val="none"/>
        </w:rPr>
        <w:t>按照各包技术要求中“四、运维工程量清单”中逐项报价，</w:t>
      </w:r>
      <w:r>
        <w:rPr>
          <w:sz w:val="22"/>
          <w:szCs w:val="24"/>
          <w:highlight w:val="none"/>
        </w:rPr>
        <w:t>分项价格汇总应等于总价，否则报价无效按废标处理。</w:t>
      </w:r>
    </w:p>
    <w:p w14:paraId="5D42638D">
      <w:pPr>
        <w:ind w:left="180" w:firstLine="388" w:firstLineChars="200"/>
        <w:rPr>
          <w:highlight w:val="none"/>
        </w:rPr>
      </w:pPr>
    </w:p>
    <w:p w14:paraId="56F1F608">
      <w:pPr>
        <w:spacing w:line="360" w:lineRule="auto"/>
        <w:ind w:firstLine="3808" w:firstLineChars="1700"/>
        <w:rPr>
          <w:sz w:val="24"/>
          <w:highlight w:val="none"/>
        </w:rPr>
      </w:pPr>
      <w:r>
        <w:rPr>
          <w:sz w:val="24"/>
          <w:highlight w:val="none"/>
        </w:rPr>
        <w:t>投标人名称：</w:t>
      </w:r>
    </w:p>
    <w:p w14:paraId="1B787AA2">
      <w:pPr>
        <w:spacing w:line="360" w:lineRule="auto"/>
        <w:ind w:firstLine="3808" w:firstLineChars="1700"/>
        <w:rPr>
          <w:sz w:val="24"/>
          <w:highlight w:val="none"/>
        </w:rPr>
      </w:pPr>
    </w:p>
    <w:p w14:paraId="780557A3">
      <w:pPr>
        <w:spacing w:line="360" w:lineRule="auto"/>
        <w:ind w:firstLine="3808" w:firstLineChars="1700"/>
        <w:rPr>
          <w:sz w:val="24"/>
          <w:highlight w:val="none"/>
        </w:rPr>
      </w:pPr>
      <w:r>
        <w:rPr>
          <w:sz w:val="24"/>
          <w:highlight w:val="none"/>
        </w:rPr>
        <w:t>日期：年月日</w:t>
      </w:r>
    </w:p>
    <w:p w14:paraId="000010AA">
      <w:pPr>
        <w:spacing w:line="360" w:lineRule="auto"/>
        <w:ind w:right="85" w:firstLine="448" w:firstLineChars="200"/>
        <w:rPr>
          <w:b/>
          <w:sz w:val="24"/>
          <w:highlight w:val="none"/>
        </w:rPr>
      </w:pPr>
      <w:r>
        <w:rPr>
          <w:b/>
          <w:sz w:val="24"/>
          <w:highlight w:val="none"/>
        </w:rPr>
        <w:br w:type="page"/>
      </w:r>
    </w:p>
    <w:p w14:paraId="1D8BF465">
      <w:pPr>
        <w:tabs>
          <w:tab w:val="left" w:pos="360"/>
        </w:tabs>
        <w:spacing w:after="285" w:afterLines="100" w:line="360" w:lineRule="auto"/>
        <w:rPr>
          <w:b/>
          <w:sz w:val="24"/>
          <w:highlight w:val="none"/>
        </w:rPr>
      </w:pPr>
      <w:r>
        <w:rPr>
          <w:b/>
          <w:sz w:val="24"/>
          <w:highlight w:val="none"/>
        </w:rPr>
        <w:t>附件</w:t>
      </w:r>
      <w:r>
        <w:rPr>
          <w:rFonts w:hint="eastAsia"/>
          <w:b/>
          <w:sz w:val="24"/>
          <w:highlight w:val="none"/>
        </w:rPr>
        <w:t>5</w:t>
      </w:r>
    </w:p>
    <w:p w14:paraId="1D2B87BC">
      <w:pPr>
        <w:autoSpaceDN w:val="0"/>
        <w:spacing w:line="360" w:lineRule="auto"/>
        <w:jc w:val="center"/>
        <w:rPr>
          <w:b/>
          <w:bCs/>
          <w:sz w:val="24"/>
          <w:highlight w:val="none"/>
        </w:rPr>
      </w:pPr>
      <w:r>
        <w:rPr>
          <w:b/>
          <w:bCs/>
          <w:sz w:val="24"/>
          <w:highlight w:val="none"/>
        </w:rPr>
        <w:t>商务要求点对点应答表</w:t>
      </w:r>
    </w:p>
    <w:p w14:paraId="2A02EBAC">
      <w:pPr>
        <w:spacing w:line="460" w:lineRule="exact"/>
        <w:rPr>
          <w:sz w:val="24"/>
          <w:highlight w:val="none"/>
        </w:rPr>
      </w:pPr>
    </w:p>
    <w:p w14:paraId="4D17FE0D">
      <w:pPr>
        <w:spacing w:line="460" w:lineRule="exact"/>
        <w:rPr>
          <w:sz w:val="24"/>
          <w:highlight w:val="none"/>
        </w:rPr>
      </w:pPr>
      <w:r>
        <w:rPr>
          <w:sz w:val="24"/>
          <w:highlight w:val="none"/>
        </w:rPr>
        <w:t>项目名称：</w:t>
      </w:r>
    </w:p>
    <w:p w14:paraId="2C7A0706">
      <w:pPr>
        <w:spacing w:line="460" w:lineRule="exact"/>
        <w:rPr>
          <w:sz w:val="24"/>
          <w:highlight w:val="none"/>
        </w:rPr>
      </w:pPr>
      <w:r>
        <w:rPr>
          <w:sz w:val="24"/>
          <w:highlight w:val="none"/>
        </w:rPr>
        <w:t>项目编号：</w:t>
      </w:r>
    </w:p>
    <w:p w14:paraId="606C43E6">
      <w:pPr>
        <w:spacing w:line="460" w:lineRule="exact"/>
        <w:rPr>
          <w:sz w:val="24"/>
          <w:highlight w:val="none"/>
          <w:u w:val="single"/>
        </w:rPr>
      </w:pPr>
      <w:r>
        <w:rPr>
          <w:sz w:val="24"/>
          <w:highlight w:val="none"/>
        </w:rPr>
        <w:t>包号：</w:t>
      </w:r>
    </w:p>
    <w:p w14:paraId="3475BCC6">
      <w:pPr>
        <w:spacing w:line="460" w:lineRule="exact"/>
        <w:rPr>
          <w:sz w:val="24"/>
          <w:highlight w:val="none"/>
          <w:u w:val="single"/>
        </w:rPr>
      </w:pPr>
    </w:p>
    <w:tbl>
      <w:tblPr>
        <w:tblStyle w:val="19"/>
        <w:tblW w:w="5133" w:type="pct"/>
        <w:tblInd w:w="0" w:type="dxa"/>
        <w:tblLayout w:type="autofit"/>
        <w:tblCellMar>
          <w:top w:w="0" w:type="dxa"/>
          <w:left w:w="108" w:type="dxa"/>
          <w:bottom w:w="0" w:type="dxa"/>
          <w:right w:w="108" w:type="dxa"/>
        </w:tblCellMar>
      </w:tblPr>
      <w:tblGrid>
        <w:gridCol w:w="1662"/>
        <w:gridCol w:w="2174"/>
        <w:gridCol w:w="2487"/>
        <w:gridCol w:w="1106"/>
        <w:gridCol w:w="1104"/>
      </w:tblGrid>
      <w:tr w14:paraId="22A7B420">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vAlign w:val="center"/>
          </w:tcPr>
          <w:p w14:paraId="23D7D930">
            <w:pPr>
              <w:widowControl/>
              <w:jc w:val="center"/>
              <w:rPr>
                <w:color w:val="000000"/>
                <w:kern w:val="0"/>
                <w:szCs w:val="21"/>
                <w:highlight w:val="none"/>
              </w:rPr>
            </w:pPr>
            <w:r>
              <w:rPr>
                <w:color w:val="000000"/>
                <w:kern w:val="0"/>
                <w:szCs w:val="21"/>
                <w:highlight w:val="none"/>
              </w:rPr>
              <w:t>序号</w:t>
            </w:r>
          </w:p>
        </w:tc>
        <w:tc>
          <w:tcPr>
            <w:tcW w:w="1274" w:type="pct"/>
            <w:tcBorders>
              <w:top w:val="single" w:color="auto" w:sz="8" w:space="0"/>
              <w:left w:val="nil"/>
              <w:bottom w:val="single" w:color="auto" w:sz="8" w:space="0"/>
              <w:right w:val="single" w:color="auto" w:sz="8" w:space="0"/>
            </w:tcBorders>
            <w:vAlign w:val="center"/>
          </w:tcPr>
          <w:p w14:paraId="2AB3D770">
            <w:pPr>
              <w:widowControl/>
              <w:jc w:val="center"/>
              <w:rPr>
                <w:color w:val="000000"/>
                <w:kern w:val="0"/>
                <w:szCs w:val="21"/>
                <w:highlight w:val="none"/>
              </w:rPr>
            </w:pPr>
            <w:r>
              <w:rPr>
                <w:color w:val="000000"/>
                <w:kern w:val="0"/>
                <w:szCs w:val="21"/>
                <w:highlight w:val="none"/>
              </w:rPr>
              <w:t>招标要求</w:t>
            </w:r>
          </w:p>
        </w:tc>
        <w:tc>
          <w:tcPr>
            <w:tcW w:w="1457" w:type="pct"/>
            <w:tcBorders>
              <w:top w:val="single" w:color="auto" w:sz="8" w:space="0"/>
              <w:left w:val="nil"/>
              <w:bottom w:val="single" w:color="auto" w:sz="8" w:space="0"/>
              <w:right w:val="single" w:color="auto" w:sz="8" w:space="0"/>
            </w:tcBorders>
            <w:vAlign w:val="center"/>
          </w:tcPr>
          <w:p w14:paraId="505CA4B9">
            <w:pPr>
              <w:widowControl/>
              <w:jc w:val="center"/>
              <w:rPr>
                <w:color w:val="000000"/>
                <w:kern w:val="0"/>
                <w:szCs w:val="21"/>
                <w:highlight w:val="none"/>
              </w:rPr>
            </w:pPr>
            <w:r>
              <w:rPr>
                <w:color w:val="000000"/>
                <w:kern w:val="0"/>
                <w:szCs w:val="21"/>
                <w:highlight w:val="none"/>
              </w:rPr>
              <w:t>投标应答</w:t>
            </w:r>
          </w:p>
        </w:tc>
        <w:tc>
          <w:tcPr>
            <w:tcW w:w="648" w:type="pct"/>
            <w:tcBorders>
              <w:top w:val="single" w:color="auto" w:sz="8" w:space="0"/>
              <w:left w:val="nil"/>
              <w:bottom w:val="single" w:color="auto" w:sz="8" w:space="0"/>
              <w:right w:val="single" w:color="auto" w:sz="8" w:space="0"/>
            </w:tcBorders>
            <w:vAlign w:val="center"/>
          </w:tcPr>
          <w:p w14:paraId="0D284086">
            <w:pPr>
              <w:widowControl/>
              <w:jc w:val="center"/>
              <w:rPr>
                <w:color w:val="000000"/>
                <w:kern w:val="0"/>
                <w:szCs w:val="21"/>
                <w:highlight w:val="none"/>
              </w:rPr>
            </w:pPr>
            <w:r>
              <w:rPr>
                <w:color w:val="000000"/>
                <w:kern w:val="0"/>
                <w:szCs w:val="21"/>
                <w:highlight w:val="none"/>
              </w:rPr>
              <w:t>偏离说明</w:t>
            </w:r>
          </w:p>
        </w:tc>
        <w:tc>
          <w:tcPr>
            <w:tcW w:w="647" w:type="pct"/>
            <w:tcBorders>
              <w:top w:val="single" w:color="auto" w:sz="8" w:space="0"/>
              <w:left w:val="nil"/>
              <w:bottom w:val="single" w:color="auto" w:sz="8" w:space="0"/>
              <w:right w:val="single" w:color="auto" w:sz="8" w:space="0"/>
            </w:tcBorders>
            <w:vAlign w:val="center"/>
          </w:tcPr>
          <w:p w14:paraId="5C401D0F">
            <w:pPr>
              <w:widowControl/>
              <w:jc w:val="center"/>
              <w:rPr>
                <w:color w:val="000000"/>
                <w:kern w:val="0"/>
                <w:szCs w:val="21"/>
                <w:highlight w:val="none"/>
              </w:rPr>
            </w:pPr>
            <w:r>
              <w:rPr>
                <w:color w:val="000000"/>
                <w:kern w:val="0"/>
                <w:szCs w:val="21"/>
                <w:highlight w:val="none"/>
              </w:rPr>
              <w:t>备注</w:t>
            </w:r>
          </w:p>
        </w:tc>
      </w:tr>
      <w:tr w14:paraId="5AF00CF4">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vAlign w:val="center"/>
          </w:tcPr>
          <w:p w14:paraId="16B5E3C7">
            <w:pPr>
              <w:widowControl/>
              <w:jc w:val="left"/>
              <w:rPr>
                <w:color w:val="000000"/>
                <w:kern w:val="0"/>
                <w:szCs w:val="21"/>
                <w:highlight w:val="none"/>
              </w:rPr>
            </w:pPr>
            <w:r>
              <w:rPr>
                <w:color w:val="000000"/>
                <w:kern w:val="0"/>
                <w:szCs w:val="21"/>
                <w:highlight w:val="none"/>
              </w:rPr>
              <w:t>（一）报价要求</w:t>
            </w:r>
          </w:p>
        </w:tc>
      </w:tr>
      <w:tr w14:paraId="3280C8CB">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vAlign w:val="center"/>
          </w:tcPr>
          <w:p w14:paraId="462DC74E">
            <w:pPr>
              <w:widowControl/>
              <w:jc w:val="left"/>
              <w:rPr>
                <w:color w:val="000000"/>
                <w:kern w:val="0"/>
                <w:szCs w:val="21"/>
                <w:highlight w:val="none"/>
              </w:rPr>
            </w:pPr>
            <w:r>
              <w:rPr>
                <w:color w:val="000000"/>
                <w:kern w:val="0"/>
                <w:szCs w:val="21"/>
                <w:highlight w:val="none"/>
              </w:rPr>
              <w:t>　</w:t>
            </w:r>
          </w:p>
        </w:tc>
        <w:tc>
          <w:tcPr>
            <w:tcW w:w="1274" w:type="pct"/>
            <w:tcBorders>
              <w:top w:val="nil"/>
              <w:left w:val="nil"/>
              <w:bottom w:val="single" w:color="auto" w:sz="8" w:space="0"/>
              <w:right w:val="single" w:color="auto" w:sz="8" w:space="0"/>
            </w:tcBorders>
            <w:vAlign w:val="center"/>
          </w:tcPr>
          <w:p w14:paraId="6543CCEE">
            <w:pPr>
              <w:widowControl/>
              <w:jc w:val="left"/>
              <w:rPr>
                <w:color w:val="000000"/>
                <w:kern w:val="0"/>
                <w:szCs w:val="21"/>
                <w:highlight w:val="none"/>
              </w:rPr>
            </w:pPr>
            <w:r>
              <w:rPr>
                <w:color w:val="000000"/>
                <w:kern w:val="0"/>
                <w:szCs w:val="21"/>
                <w:highlight w:val="none"/>
              </w:rPr>
              <w:t>　</w:t>
            </w:r>
          </w:p>
        </w:tc>
        <w:tc>
          <w:tcPr>
            <w:tcW w:w="1457" w:type="pct"/>
            <w:tcBorders>
              <w:top w:val="nil"/>
              <w:left w:val="nil"/>
              <w:bottom w:val="single" w:color="auto" w:sz="8" w:space="0"/>
              <w:right w:val="single" w:color="auto" w:sz="8" w:space="0"/>
            </w:tcBorders>
            <w:vAlign w:val="center"/>
          </w:tcPr>
          <w:p w14:paraId="7519BF3E">
            <w:pPr>
              <w:widowControl/>
              <w:jc w:val="left"/>
              <w:rPr>
                <w:color w:val="000000"/>
                <w:kern w:val="0"/>
                <w:szCs w:val="21"/>
                <w:highlight w:val="none"/>
              </w:rPr>
            </w:pPr>
            <w:r>
              <w:rPr>
                <w:color w:val="000000"/>
                <w:kern w:val="0"/>
                <w:szCs w:val="21"/>
                <w:highlight w:val="none"/>
              </w:rPr>
              <w:t>　</w:t>
            </w:r>
          </w:p>
        </w:tc>
        <w:tc>
          <w:tcPr>
            <w:tcW w:w="648" w:type="pct"/>
            <w:tcBorders>
              <w:top w:val="nil"/>
              <w:left w:val="nil"/>
              <w:bottom w:val="single" w:color="auto" w:sz="8" w:space="0"/>
              <w:right w:val="single" w:color="auto" w:sz="8" w:space="0"/>
            </w:tcBorders>
            <w:vAlign w:val="center"/>
          </w:tcPr>
          <w:p w14:paraId="77CAA63B">
            <w:pPr>
              <w:widowControl/>
              <w:jc w:val="left"/>
              <w:rPr>
                <w:color w:val="000000"/>
                <w:kern w:val="0"/>
                <w:szCs w:val="21"/>
                <w:highlight w:val="none"/>
              </w:rPr>
            </w:pPr>
            <w:r>
              <w:rPr>
                <w:color w:val="000000"/>
                <w:kern w:val="0"/>
                <w:szCs w:val="21"/>
                <w:highlight w:val="none"/>
              </w:rPr>
              <w:t>　</w:t>
            </w:r>
          </w:p>
        </w:tc>
        <w:tc>
          <w:tcPr>
            <w:tcW w:w="647" w:type="pct"/>
            <w:tcBorders>
              <w:top w:val="nil"/>
              <w:left w:val="nil"/>
              <w:bottom w:val="single" w:color="auto" w:sz="8" w:space="0"/>
              <w:right w:val="single" w:color="auto" w:sz="8" w:space="0"/>
            </w:tcBorders>
            <w:vAlign w:val="center"/>
          </w:tcPr>
          <w:p w14:paraId="34581740">
            <w:pPr>
              <w:widowControl/>
              <w:jc w:val="left"/>
              <w:rPr>
                <w:color w:val="000000"/>
                <w:kern w:val="0"/>
                <w:szCs w:val="21"/>
                <w:highlight w:val="none"/>
              </w:rPr>
            </w:pPr>
            <w:r>
              <w:rPr>
                <w:color w:val="000000"/>
                <w:kern w:val="0"/>
                <w:szCs w:val="21"/>
                <w:highlight w:val="none"/>
              </w:rPr>
              <w:t>　</w:t>
            </w:r>
          </w:p>
        </w:tc>
      </w:tr>
      <w:tr w14:paraId="57B092BE">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vAlign w:val="center"/>
          </w:tcPr>
          <w:p w14:paraId="11A3E5B9">
            <w:pPr>
              <w:widowControl/>
              <w:jc w:val="left"/>
              <w:rPr>
                <w:color w:val="000000"/>
                <w:kern w:val="0"/>
                <w:szCs w:val="21"/>
                <w:highlight w:val="none"/>
              </w:rPr>
            </w:pPr>
            <w:r>
              <w:rPr>
                <w:color w:val="000000"/>
                <w:kern w:val="0"/>
                <w:szCs w:val="21"/>
                <w:highlight w:val="none"/>
              </w:rPr>
              <w:t>（二）服务要求</w:t>
            </w:r>
          </w:p>
        </w:tc>
      </w:tr>
      <w:tr w14:paraId="6A4607C8">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vAlign w:val="center"/>
          </w:tcPr>
          <w:p w14:paraId="2BFA6721">
            <w:pPr>
              <w:widowControl/>
              <w:jc w:val="center"/>
              <w:rPr>
                <w:color w:val="000000"/>
                <w:kern w:val="0"/>
                <w:szCs w:val="21"/>
                <w:highlight w:val="none"/>
              </w:rPr>
            </w:pPr>
            <w:r>
              <w:rPr>
                <w:color w:val="000000"/>
                <w:kern w:val="0"/>
                <w:szCs w:val="21"/>
                <w:highlight w:val="none"/>
              </w:rPr>
              <w:t>　</w:t>
            </w:r>
          </w:p>
        </w:tc>
        <w:tc>
          <w:tcPr>
            <w:tcW w:w="1274" w:type="pct"/>
            <w:tcBorders>
              <w:top w:val="nil"/>
              <w:left w:val="nil"/>
              <w:bottom w:val="single" w:color="auto" w:sz="8" w:space="0"/>
              <w:right w:val="single" w:color="auto" w:sz="8" w:space="0"/>
            </w:tcBorders>
            <w:vAlign w:val="center"/>
          </w:tcPr>
          <w:p w14:paraId="40532A3D">
            <w:pPr>
              <w:widowControl/>
              <w:jc w:val="left"/>
              <w:rPr>
                <w:color w:val="000000"/>
                <w:kern w:val="0"/>
                <w:szCs w:val="21"/>
                <w:highlight w:val="none"/>
              </w:rPr>
            </w:pPr>
            <w:r>
              <w:rPr>
                <w:color w:val="000000"/>
                <w:kern w:val="0"/>
                <w:szCs w:val="21"/>
                <w:highlight w:val="none"/>
              </w:rPr>
              <w:t>　</w:t>
            </w:r>
          </w:p>
        </w:tc>
        <w:tc>
          <w:tcPr>
            <w:tcW w:w="1457" w:type="pct"/>
            <w:tcBorders>
              <w:top w:val="nil"/>
              <w:left w:val="nil"/>
              <w:bottom w:val="single" w:color="auto" w:sz="8" w:space="0"/>
              <w:right w:val="single" w:color="auto" w:sz="8" w:space="0"/>
            </w:tcBorders>
            <w:vAlign w:val="center"/>
          </w:tcPr>
          <w:p w14:paraId="51884A6A">
            <w:pPr>
              <w:widowControl/>
              <w:jc w:val="left"/>
              <w:rPr>
                <w:color w:val="000000"/>
                <w:kern w:val="0"/>
                <w:szCs w:val="21"/>
                <w:highlight w:val="none"/>
              </w:rPr>
            </w:pPr>
            <w:r>
              <w:rPr>
                <w:color w:val="000000"/>
                <w:kern w:val="0"/>
                <w:szCs w:val="21"/>
                <w:highlight w:val="none"/>
              </w:rPr>
              <w:t>　</w:t>
            </w:r>
          </w:p>
        </w:tc>
        <w:tc>
          <w:tcPr>
            <w:tcW w:w="648" w:type="pct"/>
            <w:tcBorders>
              <w:top w:val="nil"/>
              <w:left w:val="nil"/>
              <w:bottom w:val="single" w:color="auto" w:sz="8" w:space="0"/>
              <w:right w:val="single" w:color="auto" w:sz="8" w:space="0"/>
            </w:tcBorders>
            <w:vAlign w:val="center"/>
          </w:tcPr>
          <w:p w14:paraId="749B9FB1">
            <w:pPr>
              <w:widowControl/>
              <w:jc w:val="center"/>
              <w:rPr>
                <w:color w:val="000000"/>
                <w:kern w:val="0"/>
                <w:szCs w:val="21"/>
                <w:highlight w:val="none"/>
              </w:rPr>
            </w:pPr>
            <w:r>
              <w:rPr>
                <w:color w:val="000000"/>
                <w:kern w:val="0"/>
                <w:szCs w:val="21"/>
                <w:highlight w:val="none"/>
              </w:rPr>
              <w:t>　</w:t>
            </w:r>
          </w:p>
        </w:tc>
        <w:tc>
          <w:tcPr>
            <w:tcW w:w="647" w:type="pct"/>
            <w:tcBorders>
              <w:top w:val="nil"/>
              <w:left w:val="nil"/>
              <w:bottom w:val="single" w:color="auto" w:sz="8" w:space="0"/>
              <w:right w:val="single" w:color="auto" w:sz="8" w:space="0"/>
            </w:tcBorders>
            <w:vAlign w:val="center"/>
          </w:tcPr>
          <w:p w14:paraId="114A4BAE">
            <w:pPr>
              <w:widowControl/>
              <w:jc w:val="center"/>
              <w:rPr>
                <w:color w:val="000000"/>
                <w:kern w:val="0"/>
                <w:szCs w:val="21"/>
                <w:highlight w:val="none"/>
              </w:rPr>
            </w:pPr>
            <w:r>
              <w:rPr>
                <w:color w:val="000000"/>
                <w:kern w:val="0"/>
                <w:szCs w:val="21"/>
                <w:highlight w:val="none"/>
              </w:rPr>
              <w:t>　</w:t>
            </w:r>
          </w:p>
        </w:tc>
      </w:tr>
      <w:tr w14:paraId="37058900">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vAlign w:val="center"/>
          </w:tcPr>
          <w:p w14:paraId="1BA57EFE">
            <w:pPr>
              <w:widowControl/>
              <w:jc w:val="left"/>
              <w:rPr>
                <w:color w:val="000000"/>
                <w:kern w:val="0"/>
                <w:szCs w:val="21"/>
                <w:highlight w:val="none"/>
              </w:rPr>
            </w:pPr>
            <w:r>
              <w:rPr>
                <w:color w:val="000000"/>
                <w:kern w:val="0"/>
                <w:szCs w:val="21"/>
                <w:highlight w:val="none"/>
              </w:rPr>
              <w:t>（三）时间、地点要求</w:t>
            </w:r>
          </w:p>
        </w:tc>
      </w:tr>
      <w:tr w14:paraId="4D39FA73">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vAlign w:val="center"/>
          </w:tcPr>
          <w:p w14:paraId="6A659DB6">
            <w:pPr>
              <w:widowControl/>
              <w:jc w:val="left"/>
              <w:rPr>
                <w:color w:val="000000"/>
                <w:kern w:val="0"/>
                <w:szCs w:val="21"/>
                <w:highlight w:val="none"/>
              </w:rPr>
            </w:pPr>
            <w:r>
              <w:rPr>
                <w:color w:val="000000"/>
                <w:kern w:val="0"/>
                <w:szCs w:val="21"/>
                <w:highlight w:val="none"/>
              </w:rPr>
              <w:t>　</w:t>
            </w:r>
          </w:p>
        </w:tc>
        <w:tc>
          <w:tcPr>
            <w:tcW w:w="1274" w:type="pct"/>
            <w:tcBorders>
              <w:top w:val="nil"/>
              <w:left w:val="nil"/>
              <w:bottom w:val="single" w:color="auto" w:sz="8" w:space="0"/>
              <w:right w:val="single" w:color="auto" w:sz="8" w:space="0"/>
            </w:tcBorders>
            <w:vAlign w:val="center"/>
          </w:tcPr>
          <w:p w14:paraId="576051B7">
            <w:pPr>
              <w:widowControl/>
              <w:jc w:val="left"/>
              <w:rPr>
                <w:color w:val="000000"/>
                <w:kern w:val="0"/>
                <w:szCs w:val="21"/>
                <w:highlight w:val="none"/>
              </w:rPr>
            </w:pPr>
            <w:r>
              <w:rPr>
                <w:color w:val="000000"/>
                <w:kern w:val="0"/>
                <w:szCs w:val="21"/>
                <w:highlight w:val="none"/>
              </w:rPr>
              <w:t>　</w:t>
            </w:r>
          </w:p>
        </w:tc>
        <w:tc>
          <w:tcPr>
            <w:tcW w:w="1457" w:type="pct"/>
            <w:tcBorders>
              <w:top w:val="nil"/>
              <w:left w:val="nil"/>
              <w:bottom w:val="single" w:color="auto" w:sz="8" w:space="0"/>
              <w:right w:val="single" w:color="auto" w:sz="8" w:space="0"/>
            </w:tcBorders>
            <w:vAlign w:val="center"/>
          </w:tcPr>
          <w:p w14:paraId="252BCA53">
            <w:pPr>
              <w:widowControl/>
              <w:jc w:val="left"/>
              <w:rPr>
                <w:color w:val="000000"/>
                <w:kern w:val="0"/>
                <w:szCs w:val="21"/>
                <w:highlight w:val="none"/>
              </w:rPr>
            </w:pPr>
            <w:r>
              <w:rPr>
                <w:color w:val="000000"/>
                <w:kern w:val="0"/>
                <w:szCs w:val="21"/>
                <w:highlight w:val="none"/>
              </w:rPr>
              <w:t>　</w:t>
            </w:r>
          </w:p>
        </w:tc>
        <w:tc>
          <w:tcPr>
            <w:tcW w:w="648" w:type="pct"/>
            <w:tcBorders>
              <w:top w:val="nil"/>
              <w:left w:val="nil"/>
              <w:bottom w:val="single" w:color="auto" w:sz="8" w:space="0"/>
              <w:right w:val="single" w:color="auto" w:sz="8" w:space="0"/>
            </w:tcBorders>
            <w:vAlign w:val="center"/>
          </w:tcPr>
          <w:p w14:paraId="1BFD9AC3">
            <w:pPr>
              <w:widowControl/>
              <w:jc w:val="left"/>
              <w:rPr>
                <w:color w:val="000000"/>
                <w:kern w:val="0"/>
                <w:szCs w:val="21"/>
                <w:highlight w:val="none"/>
              </w:rPr>
            </w:pPr>
            <w:r>
              <w:rPr>
                <w:color w:val="000000"/>
                <w:kern w:val="0"/>
                <w:szCs w:val="21"/>
                <w:highlight w:val="none"/>
              </w:rPr>
              <w:t>　</w:t>
            </w:r>
          </w:p>
        </w:tc>
        <w:tc>
          <w:tcPr>
            <w:tcW w:w="647" w:type="pct"/>
            <w:tcBorders>
              <w:top w:val="nil"/>
              <w:left w:val="nil"/>
              <w:bottom w:val="single" w:color="auto" w:sz="8" w:space="0"/>
              <w:right w:val="single" w:color="auto" w:sz="8" w:space="0"/>
            </w:tcBorders>
            <w:vAlign w:val="center"/>
          </w:tcPr>
          <w:p w14:paraId="6B26DEB0">
            <w:pPr>
              <w:widowControl/>
              <w:jc w:val="left"/>
              <w:rPr>
                <w:color w:val="000000"/>
                <w:kern w:val="0"/>
                <w:szCs w:val="21"/>
                <w:highlight w:val="none"/>
              </w:rPr>
            </w:pPr>
            <w:r>
              <w:rPr>
                <w:color w:val="000000"/>
                <w:kern w:val="0"/>
                <w:szCs w:val="21"/>
                <w:highlight w:val="none"/>
              </w:rPr>
              <w:t>　</w:t>
            </w:r>
          </w:p>
        </w:tc>
      </w:tr>
      <w:tr w14:paraId="64E24C11">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vAlign w:val="center"/>
          </w:tcPr>
          <w:p w14:paraId="4449F900">
            <w:pPr>
              <w:widowControl/>
              <w:jc w:val="left"/>
              <w:rPr>
                <w:color w:val="000000"/>
                <w:kern w:val="0"/>
                <w:szCs w:val="21"/>
                <w:highlight w:val="none"/>
              </w:rPr>
            </w:pPr>
            <w:r>
              <w:rPr>
                <w:color w:val="000000"/>
                <w:kern w:val="0"/>
                <w:szCs w:val="21"/>
                <w:highlight w:val="none"/>
              </w:rPr>
              <w:t>（四）付款方式</w:t>
            </w:r>
          </w:p>
        </w:tc>
      </w:tr>
      <w:tr w14:paraId="65AEA586">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vAlign w:val="center"/>
          </w:tcPr>
          <w:p w14:paraId="588D0490">
            <w:pPr>
              <w:widowControl/>
              <w:jc w:val="left"/>
              <w:rPr>
                <w:color w:val="000000"/>
                <w:kern w:val="0"/>
                <w:szCs w:val="21"/>
                <w:highlight w:val="none"/>
              </w:rPr>
            </w:pPr>
            <w:r>
              <w:rPr>
                <w:color w:val="000000"/>
                <w:kern w:val="0"/>
                <w:szCs w:val="21"/>
                <w:highlight w:val="none"/>
              </w:rPr>
              <w:t>　</w:t>
            </w:r>
          </w:p>
        </w:tc>
        <w:tc>
          <w:tcPr>
            <w:tcW w:w="1274" w:type="pct"/>
            <w:tcBorders>
              <w:top w:val="nil"/>
              <w:left w:val="nil"/>
              <w:bottom w:val="single" w:color="auto" w:sz="8" w:space="0"/>
              <w:right w:val="single" w:color="auto" w:sz="8" w:space="0"/>
            </w:tcBorders>
            <w:vAlign w:val="center"/>
          </w:tcPr>
          <w:p w14:paraId="34F4E0BB">
            <w:pPr>
              <w:widowControl/>
              <w:jc w:val="left"/>
              <w:rPr>
                <w:color w:val="000000"/>
                <w:kern w:val="0"/>
                <w:szCs w:val="21"/>
                <w:highlight w:val="none"/>
              </w:rPr>
            </w:pPr>
            <w:r>
              <w:rPr>
                <w:color w:val="000000"/>
                <w:kern w:val="0"/>
                <w:szCs w:val="21"/>
                <w:highlight w:val="none"/>
              </w:rPr>
              <w:t>　</w:t>
            </w:r>
          </w:p>
        </w:tc>
        <w:tc>
          <w:tcPr>
            <w:tcW w:w="1457" w:type="pct"/>
            <w:tcBorders>
              <w:top w:val="nil"/>
              <w:left w:val="nil"/>
              <w:bottom w:val="single" w:color="auto" w:sz="8" w:space="0"/>
              <w:right w:val="single" w:color="auto" w:sz="8" w:space="0"/>
            </w:tcBorders>
            <w:vAlign w:val="center"/>
          </w:tcPr>
          <w:p w14:paraId="315E264C">
            <w:pPr>
              <w:widowControl/>
              <w:jc w:val="left"/>
              <w:rPr>
                <w:color w:val="000000"/>
                <w:kern w:val="0"/>
                <w:szCs w:val="21"/>
                <w:highlight w:val="none"/>
              </w:rPr>
            </w:pPr>
            <w:r>
              <w:rPr>
                <w:color w:val="000000"/>
                <w:kern w:val="0"/>
                <w:szCs w:val="21"/>
                <w:highlight w:val="none"/>
              </w:rPr>
              <w:t>　</w:t>
            </w:r>
          </w:p>
        </w:tc>
        <w:tc>
          <w:tcPr>
            <w:tcW w:w="648" w:type="pct"/>
            <w:tcBorders>
              <w:top w:val="nil"/>
              <w:left w:val="nil"/>
              <w:bottom w:val="single" w:color="auto" w:sz="8" w:space="0"/>
              <w:right w:val="single" w:color="auto" w:sz="8" w:space="0"/>
            </w:tcBorders>
            <w:vAlign w:val="center"/>
          </w:tcPr>
          <w:p w14:paraId="03F00C94">
            <w:pPr>
              <w:widowControl/>
              <w:jc w:val="left"/>
              <w:rPr>
                <w:color w:val="000000"/>
                <w:kern w:val="0"/>
                <w:szCs w:val="21"/>
                <w:highlight w:val="none"/>
              </w:rPr>
            </w:pPr>
            <w:r>
              <w:rPr>
                <w:color w:val="000000"/>
                <w:kern w:val="0"/>
                <w:szCs w:val="21"/>
                <w:highlight w:val="none"/>
              </w:rPr>
              <w:t>　</w:t>
            </w:r>
          </w:p>
        </w:tc>
        <w:tc>
          <w:tcPr>
            <w:tcW w:w="647" w:type="pct"/>
            <w:tcBorders>
              <w:top w:val="nil"/>
              <w:left w:val="nil"/>
              <w:bottom w:val="single" w:color="auto" w:sz="8" w:space="0"/>
              <w:right w:val="single" w:color="auto" w:sz="8" w:space="0"/>
            </w:tcBorders>
            <w:vAlign w:val="center"/>
          </w:tcPr>
          <w:p w14:paraId="2B1F2A83">
            <w:pPr>
              <w:widowControl/>
              <w:jc w:val="left"/>
              <w:rPr>
                <w:color w:val="000000"/>
                <w:kern w:val="0"/>
                <w:szCs w:val="21"/>
                <w:highlight w:val="none"/>
              </w:rPr>
            </w:pPr>
            <w:r>
              <w:rPr>
                <w:color w:val="000000"/>
                <w:kern w:val="0"/>
                <w:szCs w:val="21"/>
                <w:highlight w:val="none"/>
              </w:rPr>
              <w:t>　</w:t>
            </w:r>
          </w:p>
        </w:tc>
      </w:tr>
      <w:tr w14:paraId="3F358B1F">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vAlign w:val="center"/>
          </w:tcPr>
          <w:p w14:paraId="7810FFE2">
            <w:pPr>
              <w:widowControl/>
              <w:jc w:val="left"/>
              <w:rPr>
                <w:color w:val="000000"/>
                <w:kern w:val="0"/>
                <w:szCs w:val="21"/>
                <w:highlight w:val="none"/>
              </w:rPr>
            </w:pPr>
            <w:r>
              <w:rPr>
                <w:color w:val="000000"/>
                <w:kern w:val="0"/>
                <w:szCs w:val="21"/>
                <w:highlight w:val="none"/>
              </w:rPr>
              <w:t>（五）投标保证金和履约保证金</w:t>
            </w:r>
          </w:p>
        </w:tc>
      </w:tr>
      <w:tr w14:paraId="330CE2E9">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vAlign w:val="center"/>
          </w:tcPr>
          <w:p w14:paraId="0426EE38">
            <w:pPr>
              <w:widowControl/>
              <w:jc w:val="left"/>
              <w:rPr>
                <w:color w:val="000000"/>
                <w:kern w:val="0"/>
                <w:szCs w:val="21"/>
                <w:highlight w:val="none"/>
              </w:rPr>
            </w:pPr>
            <w:r>
              <w:rPr>
                <w:color w:val="000000"/>
                <w:kern w:val="0"/>
                <w:szCs w:val="21"/>
                <w:highlight w:val="none"/>
              </w:rPr>
              <w:t>　</w:t>
            </w:r>
          </w:p>
        </w:tc>
        <w:tc>
          <w:tcPr>
            <w:tcW w:w="1274" w:type="pct"/>
            <w:tcBorders>
              <w:top w:val="nil"/>
              <w:left w:val="nil"/>
              <w:bottom w:val="single" w:color="auto" w:sz="8" w:space="0"/>
              <w:right w:val="single" w:color="auto" w:sz="8" w:space="0"/>
            </w:tcBorders>
            <w:vAlign w:val="center"/>
          </w:tcPr>
          <w:p w14:paraId="648D9888">
            <w:pPr>
              <w:widowControl/>
              <w:jc w:val="left"/>
              <w:rPr>
                <w:color w:val="000000"/>
                <w:kern w:val="0"/>
                <w:szCs w:val="21"/>
                <w:highlight w:val="none"/>
              </w:rPr>
            </w:pPr>
            <w:r>
              <w:rPr>
                <w:color w:val="000000"/>
                <w:kern w:val="0"/>
                <w:szCs w:val="21"/>
                <w:highlight w:val="none"/>
              </w:rPr>
              <w:t>　</w:t>
            </w:r>
          </w:p>
        </w:tc>
        <w:tc>
          <w:tcPr>
            <w:tcW w:w="1457" w:type="pct"/>
            <w:tcBorders>
              <w:top w:val="nil"/>
              <w:left w:val="nil"/>
              <w:bottom w:val="single" w:color="auto" w:sz="8" w:space="0"/>
              <w:right w:val="single" w:color="auto" w:sz="8" w:space="0"/>
            </w:tcBorders>
            <w:vAlign w:val="center"/>
          </w:tcPr>
          <w:p w14:paraId="27219078">
            <w:pPr>
              <w:widowControl/>
              <w:jc w:val="left"/>
              <w:rPr>
                <w:color w:val="000000"/>
                <w:kern w:val="0"/>
                <w:szCs w:val="21"/>
                <w:highlight w:val="none"/>
              </w:rPr>
            </w:pPr>
            <w:r>
              <w:rPr>
                <w:color w:val="000000"/>
                <w:kern w:val="0"/>
                <w:szCs w:val="21"/>
                <w:highlight w:val="none"/>
              </w:rPr>
              <w:t>　</w:t>
            </w:r>
          </w:p>
        </w:tc>
        <w:tc>
          <w:tcPr>
            <w:tcW w:w="648" w:type="pct"/>
            <w:tcBorders>
              <w:top w:val="nil"/>
              <w:left w:val="nil"/>
              <w:bottom w:val="single" w:color="auto" w:sz="8" w:space="0"/>
              <w:right w:val="single" w:color="auto" w:sz="8" w:space="0"/>
            </w:tcBorders>
            <w:vAlign w:val="center"/>
          </w:tcPr>
          <w:p w14:paraId="4DB0171F">
            <w:pPr>
              <w:widowControl/>
              <w:jc w:val="left"/>
              <w:rPr>
                <w:color w:val="000000"/>
                <w:kern w:val="0"/>
                <w:szCs w:val="21"/>
                <w:highlight w:val="none"/>
              </w:rPr>
            </w:pPr>
            <w:r>
              <w:rPr>
                <w:color w:val="000000"/>
                <w:kern w:val="0"/>
                <w:szCs w:val="21"/>
                <w:highlight w:val="none"/>
              </w:rPr>
              <w:t>　</w:t>
            </w:r>
          </w:p>
        </w:tc>
        <w:tc>
          <w:tcPr>
            <w:tcW w:w="647" w:type="pct"/>
            <w:tcBorders>
              <w:top w:val="nil"/>
              <w:left w:val="nil"/>
              <w:bottom w:val="single" w:color="auto" w:sz="8" w:space="0"/>
              <w:right w:val="single" w:color="auto" w:sz="8" w:space="0"/>
            </w:tcBorders>
            <w:vAlign w:val="center"/>
          </w:tcPr>
          <w:p w14:paraId="7773DDB2">
            <w:pPr>
              <w:widowControl/>
              <w:jc w:val="left"/>
              <w:rPr>
                <w:color w:val="000000"/>
                <w:kern w:val="0"/>
                <w:szCs w:val="21"/>
                <w:highlight w:val="none"/>
              </w:rPr>
            </w:pPr>
            <w:r>
              <w:rPr>
                <w:color w:val="000000"/>
                <w:kern w:val="0"/>
                <w:szCs w:val="21"/>
                <w:highlight w:val="none"/>
              </w:rPr>
              <w:t>　</w:t>
            </w:r>
          </w:p>
        </w:tc>
      </w:tr>
    </w:tbl>
    <w:p w14:paraId="1069D831">
      <w:pPr>
        <w:spacing w:line="620" w:lineRule="exact"/>
        <w:rPr>
          <w:sz w:val="24"/>
          <w:highlight w:val="none"/>
        </w:rPr>
      </w:pPr>
      <w:r>
        <w:rPr>
          <w:sz w:val="24"/>
          <w:highlight w:val="none"/>
        </w:rPr>
        <w:t>注：</w:t>
      </w:r>
    </w:p>
    <w:p w14:paraId="47979795">
      <w:pPr>
        <w:spacing w:line="360" w:lineRule="auto"/>
        <w:rPr>
          <w:sz w:val="24"/>
          <w:highlight w:val="none"/>
        </w:rPr>
      </w:pPr>
      <w:r>
        <w:rPr>
          <w:sz w:val="24"/>
          <w:highlight w:val="none"/>
        </w:rPr>
        <w:t>1. 不如实填写偏离情况的投标文件将视为虚假材料。</w:t>
      </w:r>
    </w:p>
    <w:p w14:paraId="1D9F096C">
      <w:pPr>
        <w:spacing w:line="360" w:lineRule="auto"/>
        <w:rPr>
          <w:sz w:val="24"/>
          <w:highlight w:val="none"/>
        </w:rPr>
      </w:pPr>
      <w:r>
        <w:rPr>
          <w:sz w:val="24"/>
          <w:highlight w:val="none"/>
        </w:rPr>
        <w:t>2. 招标要求指招标文件中规定的具体要求，投标应答指投标文件的具体内容。</w:t>
      </w:r>
    </w:p>
    <w:p w14:paraId="793922FD">
      <w:pPr>
        <w:spacing w:line="360" w:lineRule="auto"/>
        <w:rPr>
          <w:sz w:val="24"/>
          <w:highlight w:val="none"/>
        </w:rPr>
      </w:pPr>
      <w:r>
        <w:rPr>
          <w:rFonts w:hint="eastAsia"/>
          <w:sz w:val="24"/>
          <w:highlight w:val="none"/>
        </w:rPr>
        <w:t>3</w:t>
      </w:r>
      <w:r>
        <w:rPr>
          <w:sz w:val="24"/>
          <w:highlight w:val="none"/>
        </w:rPr>
        <w:t>. 偏离说明指招标要求与投标应答之间的不同之处。</w:t>
      </w:r>
    </w:p>
    <w:p w14:paraId="20002AF0">
      <w:pPr>
        <w:spacing w:line="360" w:lineRule="auto"/>
        <w:rPr>
          <w:sz w:val="24"/>
          <w:highlight w:val="none"/>
        </w:rPr>
      </w:pPr>
    </w:p>
    <w:p w14:paraId="417C09BC">
      <w:pPr>
        <w:spacing w:line="360" w:lineRule="auto"/>
        <w:ind w:firstLine="3808" w:firstLineChars="1700"/>
        <w:rPr>
          <w:sz w:val="24"/>
          <w:highlight w:val="none"/>
        </w:rPr>
      </w:pPr>
      <w:r>
        <w:rPr>
          <w:sz w:val="24"/>
          <w:highlight w:val="none"/>
        </w:rPr>
        <w:t>投标人名称：</w:t>
      </w:r>
    </w:p>
    <w:p w14:paraId="4E8E5540">
      <w:pPr>
        <w:spacing w:line="360" w:lineRule="auto"/>
        <w:ind w:firstLine="3808" w:firstLineChars="1700"/>
        <w:rPr>
          <w:sz w:val="24"/>
          <w:highlight w:val="none"/>
        </w:rPr>
      </w:pPr>
    </w:p>
    <w:p w14:paraId="45695DED">
      <w:pPr>
        <w:spacing w:line="360" w:lineRule="auto"/>
        <w:ind w:firstLine="3808" w:firstLineChars="1700"/>
        <w:rPr>
          <w:sz w:val="24"/>
          <w:highlight w:val="none"/>
        </w:rPr>
      </w:pPr>
      <w:r>
        <w:rPr>
          <w:sz w:val="24"/>
          <w:highlight w:val="none"/>
        </w:rPr>
        <w:t>日期：年月日</w:t>
      </w:r>
    </w:p>
    <w:p w14:paraId="76453997">
      <w:pPr>
        <w:spacing w:line="360" w:lineRule="auto"/>
        <w:ind w:right="84" w:firstLine="224" w:firstLineChars="100"/>
        <w:rPr>
          <w:b/>
          <w:sz w:val="24"/>
          <w:highlight w:val="none"/>
        </w:rPr>
      </w:pPr>
      <w:r>
        <w:rPr>
          <w:b/>
          <w:sz w:val="24"/>
          <w:highlight w:val="none"/>
        </w:rPr>
        <w:br w:type="page"/>
      </w:r>
    </w:p>
    <w:p w14:paraId="58BF56A8">
      <w:pPr>
        <w:tabs>
          <w:tab w:val="left" w:pos="360"/>
        </w:tabs>
        <w:spacing w:after="285" w:afterLines="100" w:line="360" w:lineRule="auto"/>
        <w:rPr>
          <w:b/>
          <w:sz w:val="24"/>
          <w:highlight w:val="none"/>
        </w:rPr>
      </w:pPr>
      <w:r>
        <w:rPr>
          <w:b/>
          <w:sz w:val="24"/>
          <w:highlight w:val="none"/>
        </w:rPr>
        <w:t>附件</w:t>
      </w:r>
      <w:r>
        <w:rPr>
          <w:rFonts w:hint="eastAsia"/>
          <w:b/>
          <w:sz w:val="24"/>
          <w:highlight w:val="none"/>
        </w:rPr>
        <w:t>6</w:t>
      </w:r>
    </w:p>
    <w:p w14:paraId="3F6C4E29">
      <w:pPr>
        <w:autoSpaceDN w:val="0"/>
        <w:spacing w:line="360" w:lineRule="auto"/>
        <w:jc w:val="center"/>
        <w:rPr>
          <w:b/>
          <w:bCs/>
          <w:sz w:val="24"/>
          <w:highlight w:val="none"/>
        </w:rPr>
      </w:pPr>
      <w:r>
        <w:rPr>
          <w:b/>
          <w:bCs/>
          <w:sz w:val="24"/>
          <w:highlight w:val="none"/>
        </w:rPr>
        <w:t>技术要求点对点应答表</w:t>
      </w:r>
    </w:p>
    <w:p w14:paraId="38FF60A6">
      <w:pPr>
        <w:spacing w:line="460" w:lineRule="exact"/>
        <w:rPr>
          <w:sz w:val="24"/>
          <w:highlight w:val="none"/>
        </w:rPr>
      </w:pPr>
    </w:p>
    <w:p w14:paraId="382B8D68">
      <w:pPr>
        <w:spacing w:line="460" w:lineRule="exact"/>
        <w:rPr>
          <w:sz w:val="24"/>
          <w:highlight w:val="none"/>
        </w:rPr>
      </w:pPr>
      <w:r>
        <w:rPr>
          <w:sz w:val="24"/>
          <w:highlight w:val="none"/>
        </w:rPr>
        <w:t>项目名称：</w:t>
      </w:r>
    </w:p>
    <w:p w14:paraId="79DCA518">
      <w:pPr>
        <w:spacing w:line="460" w:lineRule="exact"/>
        <w:rPr>
          <w:sz w:val="24"/>
          <w:highlight w:val="none"/>
        </w:rPr>
      </w:pPr>
      <w:r>
        <w:rPr>
          <w:sz w:val="24"/>
          <w:highlight w:val="none"/>
        </w:rPr>
        <w:t>项目编号：</w:t>
      </w:r>
    </w:p>
    <w:p w14:paraId="20B69384">
      <w:pPr>
        <w:spacing w:line="460" w:lineRule="exact"/>
        <w:rPr>
          <w:sz w:val="24"/>
          <w:highlight w:val="none"/>
          <w:u w:val="single"/>
        </w:rPr>
      </w:pPr>
      <w:r>
        <w:rPr>
          <w:sz w:val="24"/>
          <w:highlight w:val="none"/>
        </w:rPr>
        <w:t>包号：</w:t>
      </w:r>
    </w:p>
    <w:p w14:paraId="1745E3EE">
      <w:pPr>
        <w:spacing w:line="460" w:lineRule="exact"/>
        <w:rPr>
          <w:sz w:val="24"/>
          <w:highlight w:val="none"/>
          <w:u w:val="single"/>
        </w:rPr>
      </w:pPr>
    </w:p>
    <w:tbl>
      <w:tblPr>
        <w:tblStyle w:val="19"/>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3922"/>
        <w:gridCol w:w="2438"/>
        <w:gridCol w:w="1289"/>
        <w:gridCol w:w="843"/>
      </w:tblGrid>
      <w:tr w14:paraId="25B0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vAlign w:val="center"/>
          </w:tcPr>
          <w:p w14:paraId="6F45E50B">
            <w:pPr>
              <w:widowControl/>
              <w:snapToGrid w:val="0"/>
              <w:jc w:val="center"/>
              <w:rPr>
                <w:kern w:val="0"/>
                <w:sz w:val="24"/>
                <w:szCs w:val="21"/>
                <w:highlight w:val="none"/>
              </w:rPr>
            </w:pPr>
            <w:r>
              <w:rPr>
                <w:kern w:val="0"/>
                <w:sz w:val="24"/>
                <w:szCs w:val="21"/>
                <w:highlight w:val="none"/>
              </w:rPr>
              <w:t>序号</w:t>
            </w:r>
          </w:p>
        </w:tc>
        <w:tc>
          <w:tcPr>
            <w:tcW w:w="3922" w:type="dxa"/>
            <w:vAlign w:val="center"/>
          </w:tcPr>
          <w:p w14:paraId="6770D10D">
            <w:pPr>
              <w:widowControl/>
              <w:snapToGrid w:val="0"/>
              <w:jc w:val="center"/>
              <w:rPr>
                <w:kern w:val="0"/>
                <w:sz w:val="24"/>
                <w:szCs w:val="21"/>
                <w:highlight w:val="none"/>
              </w:rPr>
            </w:pPr>
            <w:r>
              <w:rPr>
                <w:kern w:val="0"/>
                <w:sz w:val="24"/>
                <w:szCs w:val="21"/>
                <w:highlight w:val="none"/>
              </w:rPr>
              <w:t>招标要求</w:t>
            </w:r>
          </w:p>
        </w:tc>
        <w:tc>
          <w:tcPr>
            <w:tcW w:w="2438" w:type="dxa"/>
            <w:vAlign w:val="center"/>
          </w:tcPr>
          <w:p w14:paraId="6E10DBE0">
            <w:pPr>
              <w:widowControl/>
              <w:snapToGrid w:val="0"/>
              <w:jc w:val="center"/>
              <w:rPr>
                <w:kern w:val="0"/>
                <w:sz w:val="24"/>
                <w:szCs w:val="21"/>
                <w:highlight w:val="none"/>
              </w:rPr>
            </w:pPr>
            <w:r>
              <w:rPr>
                <w:kern w:val="0"/>
                <w:sz w:val="24"/>
                <w:szCs w:val="21"/>
                <w:highlight w:val="none"/>
              </w:rPr>
              <w:t>投标应答</w:t>
            </w:r>
          </w:p>
        </w:tc>
        <w:tc>
          <w:tcPr>
            <w:tcW w:w="1289" w:type="dxa"/>
            <w:vAlign w:val="center"/>
          </w:tcPr>
          <w:p w14:paraId="17D01FC2">
            <w:pPr>
              <w:widowControl/>
              <w:snapToGrid w:val="0"/>
              <w:jc w:val="center"/>
              <w:rPr>
                <w:kern w:val="0"/>
                <w:sz w:val="24"/>
                <w:szCs w:val="21"/>
                <w:highlight w:val="none"/>
              </w:rPr>
            </w:pPr>
            <w:r>
              <w:rPr>
                <w:kern w:val="0"/>
                <w:sz w:val="24"/>
                <w:szCs w:val="21"/>
                <w:highlight w:val="none"/>
              </w:rPr>
              <w:t>偏离说明</w:t>
            </w:r>
          </w:p>
        </w:tc>
        <w:tc>
          <w:tcPr>
            <w:tcW w:w="843" w:type="dxa"/>
            <w:vAlign w:val="center"/>
          </w:tcPr>
          <w:p w14:paraId="265F00DD">
            <w:pPr>
              <w:widowControl/>
              <w:snapToGrid w:val="0"/>
              <w:jc w:val="center"/>
              <w:rPr>
                <w:kern w:val="0"/>
                <w:sz w:val="24"/>
                <w:szCs w:val="21"/>
                <w:highlight w:val="none"/>
              </w:rPr>
            </w:pPr>
            <w:r>
              <w:rPr>
                <w:kern w:val="0"/>
                <w:sz w:val="24"/>
                <w:szCs w:val="21"/>
                <w:highlight w:val="none"/>
              </w:rPr>
              <w:t>备注</w:t>
            </w:r>
          </w:p>
        </w:tc>
      </w:tr>
      <w:tr w14:paraId="36E2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0C660C44">
            <w:pPr>
              <w:widowControl/>
              <w:snapToGrid w:val="0"/>
              <w:jc w:val="center"/>
              <w:rPr>
                <w:kern w:val="0"/>
                <w:sz w:val="24"/>
                <w:szCs w:val="21"/>
                <w:highlight w:val="none"/>
              </w:rPr>
            </w:pPr>
            <w:r>
              <w:rPr>
                <w:kern w:val="0"/>
                <w:sz w:val="24"/>
                <w:szCs w:val="21"/>
                <w:highlight w:val="none"/>
              </w:rPr>
              <w:t>1</w:t>
            </w:r>
          </w:p>
        </w:tc>
        <w:tc>
          <w:tcPr>
            <w:tcW w:w="3922" w:type="dxa"/>
            <w:vAlign w:val="center"/>
          </w:tcPr>
          <w:p w14:paraId="41F13278">
            <w:pPr>
              <w:widowControl/>
              <w:snapToGrid w:val="0"/>
              <w:jc w:val="left"/>
              <w:rPr>
                <w:kern w:val="0"/>
                <w:sz w:val="24"/>
                <w:szCs w:val="21"/>
                <w:highlight w:val="none"/>
              </w:rPr>
            </w:pPr>
            <w:r>
              <w:rPr>
                <w:kern w:val="0"/>
                <w:sz w:val="24"/>
                <w:szCs w:val="21"/>
                <w:highlight w:val="none"/>
              </w:rPr>
              <w:t>（一）</w:t>
            </w:r>
            <w:r>
              <w:rPr>
                <w:sz w:val="24"/>
                <w:highlight w:val="none"/>
              </w:rPr>
              <w:t>投标人须承诺所提供的服务、人员及设备符合相关强制性规定</w:t>
            </w:r>
          </w:p>
        </w:tc>
        <w:tc>
          <w:tcPr>
            <w:tcW w:w="2438" w:type="dxa"/>
            <w:vAlign w:val="center"/>
          </w:tcPr>
          <w:p w14:paraId="5D29EE0C">
            <w:pPr>
              <w:widowControl/>
              <w:snapToGrid w:val="0"/>
              <w:jc w:val="center"/>
              <w:rPr>
                <w:kern w:val="0"/>
                <w:sz w:val="24"/>
                <w:szCs w:val="21"/>
                <w:highlight w:val="none"/>
              </w:rPr>
            </w:pPr>
          </w:p>
        </w:tc>
        <w:tc>
          <w:tcPr>
            <w:tcW w:w="1289" w:type="dxa"/>
            <w:vAlign w:val="center"/>
          </w:tcPr>
          <w:p w14:paraId="2C9E3500">
            <w:pPr>
              <w:widowControl/>
              <w:snapToGrid w:val="0"/>
              <w:jc w:val="center"/>
              <w:rPr>
                <w:kern w:val="0"/>
                <w:sz w:val="24"/>
                <w:szCs w:val="21"/>
                <w:highlight w:val="none"/>
              </w:rPr>
            </w:pPr>
          </w:p>
        </w:tc>
        <w:tc>
          <w:tcPr>
            <w:tcW w:w="843" w:type="dxa"/>
            <w:vAlign w:val="center"/>
          </w:tcPr>
          <w:p w14:paraId="4C641764">
            <w:pPr>
              <w:widowControl/>
              <w:snapToGrid w:val="0"/>
              <w:jc w:val="center"/>
              <w:rPr>
                <w:kern w:val="0"/>
                <w:sz w:val="24"/>
                <w:szCs w:val="21"/>
                <w:highlight w:val="none"/>
              </w:rPr>
            </w:pPr>
          </w:p>
        </w:tc>
      </w:tr>
      <w:tr w14:paraId="24985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5" w:type="dxa"/>
            <w:gridSpan w:val="5"/>
            <w:vAlign w:val="center"/>
          </w:tcPr>
          <w:p w14:paraId="210053B7">
            <w:pPr>
              <w:widowControl/>
              <w:snapToGrid w:val="0"/>
              <w:ind w:firstLine="336" w:firstLineChars="150"/>
              <w:rPr>
                <w:kern w:val="0"/>
                <w:sz w:val="24"/>
                <w:szCs w:val="21"/>
                <w:highlight w:val="none"/>
              </w:rPr>
            </w:pPr>
            <w:r>
              <w:rPr>
                <w:kern w:val="0"/>
                <w:sz w:val="24"/>
                <w:szCs w:val="21"/>
                <w:highlight w:val="none"/>
              </w:rPr>
              <w:t>2. 项目需求书要求</w:t>
            </w:r>
          </w:p>
        </w:tc>
      </w:tr>
      <w:tr w14:paraId="5F5E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02540641">
            <w:pPr>
              <w:widowControl/>
              <w:snapToGrid w:val="0"/>
              <w:jc w:val="center"/>
              <w:rPr>
                <w:kern w:val="0"/>
                <w:sz w:val="24"/>
                <w:szCs w:val="21"/>
                <w:highlight w:val="none"/>
              </w:rPr>
            </w:pPr>
            <w:r>
              <w:rPr>
                <w:kern w:val="0"/>
                <w:sz w:val="24"/>
                <w:szCs w:val="21"/>
                <w:highlight w:val="none"/>
              </w:rPr>
              <w:t>序号</w:t>
            </w:r>
          </w:p>
        </w:tc>
        <w:tc>
          <w:tcPr>
            <w:tcW w:w="3922" w:type="dxa"/>
            <w:vAlign w:val="center"/>
          </w:tcPr>
          <w:p w14:paraId="6C80AC59">
            <w:pPr>
              <w:widowControl/>
              <w:snapToGrid w:val="0"/>
              <w:jc w:val="center"/>
              <w:rPr>
                <w:kern w:val="0"/>
                <w:sz w:val="24"/>
                <w:szCs w:val="21"/>
                <w:highlight w:val="none"/>
              </w:rPr>
            </w:pPr>
            <w:r>
              <w:rPr>
                <w:kern w:val="0"/>
                <w:sz w:val="24"/>
                <w:szCs w:val="21"/>
                <w:highlight w:val="none"/>
              </w:rPr>
              <w:t>招标要求</w:t>
            </w:r>
          </w:p>
        </w:tc>
        <w:tc>
          <w:tcPr>
            <w:tcW w:w="2438" w:type="dxa"/>
            <w:vAlign w:val="center"/>
          </w:tcPr>
          <w:p w14:paraId="1F60D024">
            <w:pPr>
              <w:widowControl/>
              <w:snapToGrid w:val="0"/>
              <w:jc w:val="center"/>
              <w:rPr>
                <w:kern w:val="0"/>
                <w:sz w:val="24"/>
                <w:szCs w:val="21"/>
                <w:highlight w:val="none"/>
              </w:rPr>
            </w:pPr>
            <w:r>
              <w:rPr>
                <w:kern w:val="0"/>
                <w:sz w:val="24"/>
                <w:szCs w:val="21"/>
                <w:highlight w:val="none"/>
              </w:rPr>
              <w:t>投标应答</w:t>
            </w:r>
          </w:p>
        </w:tc>
        <w:tc>
          <w:tcPr>
            <w:tcW w:w="1289" w:type="dxa"/>
            <w:vAlign w:val="center"/>
          </w:tcPr>
          <w:p w14:paraId="601DBE95">
            <w:pPr>
              <w:widowControl/>
              <w:snapToGrid w:val="0"/>
              <w:jc w:val="center"/>
              <w:rPr>
                <w:kern w:val="0"/>
                <w:sz w:val="24"/>
                <w:szCs w:val="21"/>
                <w:highlight w:val="none"/>
              </w:rPr>
            </w:pPr>
            <w:r>
              <w:rPr>
                <w:kern w:val="0"/>
                <w:sz w:val="24"/>
                <w:szCs w:val="21"/>
                <w:highlight w:val="none"/>
              </w:rPr>
              <w:t>偏离说明</w:t>
            </w:r>
          </w:p>
        </w:tc>
        <w:tc>
          <w:tcPr>
            <w:tcW w:w="843" w:type="dxa"/>
            <w:vAlign w:val="center"/>
          </w:tcPr>
          <w:p w14:paraId="70253B3C">
            <w:pPr>
              <w:widowControl/>
              <w:snapToGrid w:val="0"/>
              <w:jc w:val="center"/>
              <w:rPr>
                <w:kern w:val="0"/>
                <w:sz w:val="24"/>
                <w:szCs w:val="21"/>
                <w:highlight w:val="none"/>
              </w:rPr>
            </w:pPr>
            <w:r>
              <w:rPr>
                <w:kern w:val="0"/>
                <w:sz w:val="24"/>
                <w:szCs w:val="21"/>
                <w:highlight w:val="none"/>
              </w:rPr>
              <w:t>备注</w:t>
            </w:r>
          </w:p>
        </w:tc>
      </w:tr>
      <w:tr w14:paraId="755DC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411E9210">
            <w:pPr>
              <w:widowControl/>
              <w:snapToGrid w:val="0"/>
              <w:jc w:val="center"/>
              <w:rPr>
                <w:kern w:val="0"/>
                <w:sz w:val="24"/>
                <w:szCs w:val="21"/>
                <w:highlight w:val="none"/>
              </w:rPr>
            </w:pPr>
          </w:p>
        </w:tc>
        <w:tc>
          <w:tcPr>
            <w:tcW w:w="3922" w:type="dxa"/>
            <w:vAlign w:val="center"/>
          </w:tcPr>
          <w:p w14:paraId="4CD642FC">
            <w:pPr>
              <w:widowControl/>
              <w:snapToGrid w:val="0"/>
              <w:jc w:val="center"/>
              <w:rPr>
                <w:kern w:val="0"/>
                <w:sz w:val="24"/>
                <w:szCs w:val="21"/>
                <w:highlight w:val="none"/>
              </w:rPr>
            </w:pPr>
          </w:p>
        </w:tc>
        <w:tc>
          <w:tcPr>
            <w:tcW w:w="2438" w:type="dxa"/>
            <w:vAlign w:val="center"/>
          </w:tcPr>
          <w:p w14:paraId="52D488D9">
            <w:pPr>
              <w:widowControl/>
              <w:snapToGrid w:val="0"/>
              <w:jc w:val="center"/>
              <w:rPr>
                <w:kern w:val="0"/>
                <w:sz w:val="24"/>
                <w:szCs w:val="21"/>
                <w:highlight w:val="none"/>
              </w:rPr>
            </w:pPr>
          </w:p>
        </w:tc>
        <w:tc>
          <w:tcPr>
            <w:tcW w:w="1289" w:type="dxa"/>
            <w:vAlign w:val="center"/>
          </w:tcPr>
          <w:p w14:paraId="3E92DBBA">
            <w:pPr>
              <w:widowControl/>
              <w:snapToGrid w:val="0"/>
              <w:jc w:val="center"/>
              <w:rPr>
                <w:kern w:val="0"/>
                <w:sz w:val="24"/>
                <w:szCs w:val="21"/>
                <w:highlight w:val="none"/>
              </w:rPr>
            </w:pPr>
          </w:p>
        </w:tc>
        <w:tc>
          <w:tcPr>
            <w:tcW w:w="843" w:type="dxa"/>
            <w:vAlign w:val="center"/>
          </w:tcPr>
          <w:p w14:paraId="230441D1">
            <w:pPr>
              <w:widowControl/>
              <w:snapToGrid w:val="0"/>
              <w:jc w:val="center"/>
              <w:rPr>
                <w:kern w:val="0"/>
                <w:sz w:val="24"/>
                <w:szCs w:val="21"/>
                <w:highlight w:val="none"/>
              </w:rPr>
            </w:pPr>
          </w:p>
        </w:tc>
      </w:tr>
      <w:tr w14:paraId="4A5F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28C985F0">
            <w:pPr>
              <w:widowControl/>
              <w:snapToGrid w:val="0"/>
              <w:jc w:val="center"/>
              <w:rPr>
                <w:kern w:val="0"/>
                <w:sz w:val="24"/>
                <w:szCs w:val="21"/>
                <w:highlight w:val="none"/>
              </w:rPr>
            </w:pPr>
          </w:p>
        </w:tc>
        <w:tc>
          <w:tcPr>
            <w:tcW w:w="3922" w:type="dxa"/>
            <w:vAlign w:val="center"/>
          </w:tcPr>
          <w:p w14:paraId="56241BE2">
            <w:pPr>
              <w:widowControl/>
              <w:snapToGrid w:val="0"/>
              <w:jc w:val="center"/>
              <w:rPr>
                <w:kern w:val="0"/>
                <w:sz w:val="24"/>
                <w:szCs w:val="21"/>
                <w:highlight w:val="none"/>
              </w:rPr>
            </w:pPr>
          </w:p>
        </w:tc>
        <w:tc>
          <w:tcPr>
            <w:tcW w:w="2438" w:type="dxa"/>
            <w:vAlign w:val="center"/>
          </w:tcPr>
          <w:p w14:paraId="424E82D2">
            <w:pPr>
              <w:widowControl/>
              <w:snapToGrid w:val="0"/>
              <w:jc w:val="center"/>
              <w:rPr>
                <w:kern w:val="0"/>
                <w:sz w:val="24"/>
                <w:szCs w:val="21"/>
                <w:highlight w:val="none"/>
              </w:rPr>
            </w:pPr>
          </w:p>
        </w:tc>
        <w:tc>
          <w:tcPr>
            <w:tcW w:w="1289" w:type="dxa"/>
            <w:vAlign w:val="center"/>
          </w:tcPr>
          <w:p w14:paraId="58FD8456">
            <w:pPr>
              <w:widowControl/>
              <w:snapToGrid w:val="0"/>
              <w:jc w:val="center"/>
              <w:rPr>
                <w:kern w:val="0"/>
                <w:sz w:val="24"/>
                <w:szCs w:val="21"/>
                <w:highlight w:val="none"/>
              </w:rPr>
            </w:pPr>
          </w:p>
        </w:tc>
        <w:tc>
          <w:tcPr>
            <w:tcW w:w="843" w:type="dxa"/>
            <w:vAlign w:val="center"/>
          </w:tcPr>
          <w:p w14:paraId="10CAAD1D">
            <w:pPr>
              <w:widowControl/>
              <w:snapToGrid w:val="0"/>
              <w:jc w:val="center"/>
              <w:rPr>
                <w:kern w:val="0"/>
                <w:sz w:val="24"/>
                <w:szCs w:val="21"/>
                <w:highlight w:val="none"/>
              </w:rPr>
            </w:pPr>
          </w:p>
        </w:tc>
      </w:tr>
      <w:tr w14:paraId="24776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5CCD2B28">
            <w:pPr>
              <w:widowControl/>
              <w:snapToGrid w:val="0"/>
              <w:jc w:val="center"/>
              <w:rPr>
                <w:kern w:val="0"/>
                <w:sz w:val="24"/>
                <w:szCs w:val="21"/>
                <w:highlight w:val="none"/>
              </w:rPr>
            </w:pPr>
          </w:p>
        </w:tc>
        <w:tc>
          <w:tcPr>
            <w:tcW w:w="3922" w:type="dxa"/>
            <w:vAlign w:val="center"/>
          </w:tcPr>
          <w:p w14:paraId="45FD7E43">
            <w:pPr>
              <w:widowControl/>
              <w:snapToGrid w:val="0"/>
              <w:jc w:val="center"/>
              <w:rPr>
                <w:kern w:val="0"/>
                <w:sz w:val="24"/>
                <w:szCs w:val="21"/>
                <w:highlight w:val="none"/>
              </w:rPr>
            </w:pPr>
          </w:p>
        </w:tc>
        <w:tc>
          <w:tcPr>
            <w:tcW w:w="2438" w:type="dxa"/>
            <w:vAlign w:val="center"/>
          </w:tcPr>
          <w:p w14:paraId="28E1BD4A">
            <w:pPr>
              <w:widowControl/>
              <w:snapToGrid w:val="0"/>
              <w:jc w:val="center"/>
              <w:rPr>
                <w:kern w:val="0"/>
                <w:sz w:val="24"/>
                <w:szCs w:val="21"/>
                <w:highlight w:val="none"/>
              </w:rPr>
            </w:pPr>
          </w:p>
        </w:tc>
        <w:tc>
          <w:tcPr>
            <w:tcW w:w="1289" w:type="dxa"/>
            <w:vAlign w:val="center"/>
          </w:tcPr>
          <w:p w14:paraId="77277767">
            <w:pPr>
              <w:widowControl/>
              <w:snapToGrid w:val="0"/>
              <w:jc w:val="center"/>
              <w:rPr>
                <w:kern w:val="0"/>
                <w:sz w:val="24"/>
                <w:szCs w:val="21"/>
                <w:highlight w:val="none"/>
              </w:rPr>
            </w:pPr>
          </w:p>
        </w:tc>
        <w:tc>
          <w:tcPr>
            <w:tcW w:w="843" w:type="dxa"/>
            <w:vAlign w:val="center"/>
          </w:tcPr>
          <w:p w14:paraId="401C9B1C">
            <w:pPr>
              <w:widowControl/>
              <w:snapToGrid w:val="0"/>
              <w:jc w:val="center"/>
              <w:rPr>
                <w:kern w:val="0"/>
                <w:sz w:val="24"/>
                <w:szCs w:val="21"/>
                <w:highlight w:val="none"/>
              </w:rPr>
            </w:pPr>
          </w:p>
        </w:tc>
      </w:tr>
      <w:tr w14:paraId="09C4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12FF4759">
            <w:pPr>
              <w:widowControl/>
              <w:snapToGrid w:val="0"/>
              <w:jc w:val="center"/>
              <w:rPr>
                <w:kern w:val="0"/>
                <w:sz w:val="24"/>
                <w:szCs w:val="21"/>
                <w:highlight w:val="none"/>
              </w:rPr>
            </w:pPr>
          </w:p>
        </w:tc>
        <w:tc>
          <w:tcPr>
            <w:tcW w:w="3922" w:type="dxa"/>
            <w:vAlign w:val="center"/>
          </w:tcPr>
          <w:p w14:paraId="6660EEBB">
            <w:pPr>
              <w:widowControl/>
              <w:snapToGrid w:val="0"/>
              <w:jc w:val="center"/>
              <w:rPr>
                <w:kern w:val="0"/>
                <w:sz w:val="24"/>
                <w:szCs w:val="21"/>
                <w:highlight w:val="none"/>
              </w:rPr>
            </w:pPr>
          </w:p>
        </w:tc>
        <w:tc>
          <w:tcPr>
            <w:tcW w:w="2438" w:type="dxa"/>
            <w:vAlign w:val="center"/>
          </w:tcPr>
          <w:p w14:paraId="2FB36E20">
            <w:pPr>
              <w:widowControl/>
              <w:snapToGrid w:val="0"/>
              <w:jc w:val="center"/>
              <w:rPr>
                <w:kern w:val="0"/>
                <w:sz w:val="24"/>
                <w:szCs w:val="21"/>
                <w:highlight w:val="none"/>
              </w:rPr>
            </w:pPr>
          </w:p>
        </w:tc>
        <w:tc>
          <w:tcPr>
            <w:tcW w:w="1289" w:type="dxa"/>
            <w:vAlign w:val="center"/>
          </w:tcPr>
          <w:p w14:paraId="11949493">
            <w:pPr>
              <w:widowControl/>
              <w:snapToGrid w:val="0"/>
              <w:jc w:val="center"/>
              <w:rPr>
                <w:kern w:val="0"/>
                <w:sz w:val="24"/>
                <w:szCs w:val="21"/>
                <w:highlight w:val="none"/>
              </w:rPr>
            </w:pPr>
          </w:p>
        </w:tc>
        <w:tc>
          <w:tcPr>
            <w:tcW w:w="843" w:type="dxa"/>
            <w:vAlign w:val="center"/>
          </w:tcPr>
          <w:p w14:paraId="0C1481CE">
            <w:pPr>
              <w:widowControl/>
              <w:snapToGrid w:val="0"/>
              <w:jc w:val="center"/>
              <w:rPr>
                <w:kern w:val="0"/>
                <w:sz w:val="24"/>
                <w:szCs w:val="21"/>
                <w:highlight w:val="none"/>
              </w:rPr>
            </w:pPr>
          </w:p>
        </w:tc>
      </w:tr>
      <w:tr w14:paraId="13A9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4F316A45">
            <w:pPr>
              <w:widowControl/>
              <w:snapToGrid w:val="0"/>
              <w:jc w:val="center"/>
              <w:rPr>
                <w:kern w:val="0"/>
                <w:sz w:val="24"/>
                <w:szCs w:val="21"/>
                <w:highlight w:val="none"/>
              </w:rPr>
            </w:pPr>
          </w:p>
        </w:tc>
        <w:tc>
          <w:tcPr>
            <w:tcW w:w="3922" w:type="dxa"/>
            <w:vAlign w:val="center"/>
          </w:tcPr>
          <w:p w14:paraId="35C6B5E7">
            <w:pPr>
              <w:widowControl/>
              <w:snapToGrid w:val="0"/>
              <w:jc w:val="center"/>
              <w:rPr>
                <w:kern w:val="0"/>
                <w:sz w:val="24"/>
                <w:szCs w:val="21"/>
                <w:highlight w:val="none"/>
              </w:rPr>
            </w:pPr>
          </w:p>
        </w:tc>
        <w:tc>
          <w:tcPr>
            <w:tcW w:w="2438" w:type="dxa"/>
            <w:vAlign w:val="center"/>
          </w:tcPr>
          <w:p w14:paraId="233D3AC8">
            <w:pPr>
              <w:widowControl/>
              <w:snapToGrid w:val="0"/>
              <w:jc w:val="center"/>
              <w:rPr>
                <w:kern w:val="0"/>
                <w:sz w:val="24"/>
                <w:szCs w:val="21"/>
                <w:highlight w:val="none"/>
              </w:rPr>
            </w:pPr>
          </w:p>
        </w:tc>
        <w:tc>
          <w:tcPr>
            <w:tcW w:w="1289" w:type="dxa"/>
            <w:vAlign w:val="center"/>
          </w:tcPr>
          <w:p w14:paraId="7F04D8A7">
            <w:pPr>
              <w:widowControl/>
              <w:snapToGrid w:val="0"/>
              <w:jc w:val="center"/>
              <w:rPr>
                <w:kern w:val="0"/>
                <w:sz w:val="24"/>
                <w:szCs w:val="21"/>
                <w:highlight w:val="none"/>
              </w:rPr>
            </w:pPr>
          </w:p>
        </w:tc>
        <w:tc>
          <w:tcPr>
            <w:tcW w:w="843" w:type="dxa"/>
            <w:vAlign w:val="center"/>
          </w:tcPr>
          <w:p w14:paraId="77F8823D">
            <w:pPr>
              <w:widowControl/>
              <w:snapToGrid w:val="0"/>
              <w:jc w:val="center"/>
              <w:rPr>
                <w:kern w:val="0"/>
                <w:sz w:val="24"/>
                <w:szCs w:val="21"/>
                <w:highlight w:val="none"/>
              </w:rPr>
            </w:pPr>
          </w:p>
        </w:tc>
      </w:tr>
    </w:tbl>
    <w:p w14:paraId="635C6A1E">
      <w:pPr>
        <w:spacing w:line="620" w:lineRule="exact"/>
        <w:rPr>
          <w:sz w:val="24"/>
          <w:highlight w:val="none"/>
        </w:rPr>
      </w:pPr>
      <w:r>
        <w:rPr>
          <w:sz w:val="24"/>
          <w:highlight w:val="none"/>
        </w:rPr>
        <w:t>注：</w:t>
      </w:r>
    </w:p>
    <w:p w14:paraId="6B5FE6F3">
      <w:pPr>
        <w:spacing w:line="360" w:lineRule="auto"/>
        <w:rPr>
          <w:sz w:val="24"/>
          <w:highlight w:val="none"/>
        </w:rPr>
      </w:pPr>
      <w:r>
        <w:rPr>
          <w:sz w:val="24"/>
          <w:highlight w:val="none"/>
        </w:rPr>
        <w:t>1. 不如实填写偏离情况的投标文件将视为虚假材料。</w:t>
      </w:r>
    </w:p>
    <w:p w14:paraId="592BE140">
      <w:pPr>
        <w:spacing w:line="360" w:lineRule="auto"/>
        <w:rPr>
          <w:sz w:val="24"/>
          <w:highlight w:val="none"/>
        </w:rPr>
      </w:pPr>
      <w:r>
        <w:rPr>
          <w:sz w:val="24"/>
          <w:highlight w:val="none"/>
        </w:rPr>
        <w:t>2. 招标要求指招标文件中规定的具体要求，投标应答指投标文件的具体内容。</w:t>
      </w:r>
    </w:p>
    <w:p w14:paraId="036D4087">
      <w:pPr>
        <w:spacing w:line="360" w:lineRule="auto"/>
        <w:rPr>
          <w:sz w:val="24"/>
          <w:highlight w:val="none"/>
        </w:rPr>
      </w:pPr>
      <w:r>
        <w:rPr>
          <w:sz w:val="24"/>
          <w:highlight w:val="none"/>
        </w:rPr>
        <w:t>3. 偏离说明指招标要求与投标应答之间的不同之处。</w:t>
      </w:r>
    </w:p>
    <w:p w14:paraId="11511A37">
      <w:pPr>
        <w:spacing w:line="360" w:lineRule="auto"/>
        <w:rPr>
          <w:sz w:val="24"/>
          <w:highlight w:val="none"/>
        </w:rPr>
      </w:pPr>
      <w:r>
        <w:rPr>
          <w:sz w:val="24"/>
          <w:highlight w:val="none"/>
        </w:rPr>
        <w:t>4. 投标人在上表“项目需求书要求”的投标应答中必须列出具体数值或内容。如投标人未应答或只注明“符合”、“满足”等类似无具体内容的表述，将被视为不符合招标文件要求。投标人自行承担由此造成的一切后果。</w:t>
      </w:r>
    </w:p>
    <w:p w14:paraId="6F677908">
      <w:pPr>
        <w:spacing w:line="360" w:lineRule="auto"/>
        <w:rPr>
          <w:sz w:val="24"/>
          <w:highlight w:val="none"/>
        </w:rPr>
      </w:pPr>
    </w:p>
    <w:p w14:paraId="6F9B2BED">
      <w:pPr>
        <w:spacing w:line="360" w:lineRule="auto"/>
        <w:ind w:firstLine="3808" w:firstLineChars="1700"/>
        <w:rPr>
          <w:sz w:val="24"/>
          <w:highlight w:val="none"/>
        </w:rPr>
      </w:pPr>
      <w:r>
        <w:rPr>
          <w:sz w:val="24"/>
          <w:highlight w:val="none"/>
        </w:rPr>
        <w:t>投标人名称：</w:t>
      </w:r>
    </w:p>
    <w:p w14:paraId="2EF12566">
      <w:pPr>
        <w:spacing w:line="360" w:lineRule="auto"/>
        <w:ind w:firstLine="3808" w:firstLineChars="1700"/>
        <w:rPr>
          <w:sz w:val="24"/>
          <w:highlight w:val="none"/>
        </w:rPr>
      </w:pPr>
    </w:p>
    <w:p w14:paraId="74348F18">
      <w:pPr>
        <w:spacing w:line="360" w:lineRule="auto"/>
        <w:ind w:firstLine="3808" w:firstLineChars="1700"/>
        <w:rPr>
          <w:sz w:val="24"/>
          <w:highlight w:val="none"/>
        </w:rPr>
      </w:pPr>
      <w:r>
        <w:rPr>
          <w:sz w:val="24"/>
          <w:highlight w:val="none"/>
        </w:rPr>
        <w:t>日期：年月日</w:t>
      </w:r>
    </w:p>
    <w:p w14:paraId="1F629224">
      <w:pPr>
        <w:autoSpaceDE w:val="0"/>
        <w:autoSpaceDN w:val="0"/>
        <w:adjustRightInd w:val="0"/>
        <w:spacing w:line="560" w:lineRule="exact"/>
        <w:jc w:val="left"/>
        <w:rPr>
          <w:kern w:val="0"/>
          <w:sz w:val="24"/>
          <w:highlight w:val="none"/>
          <w:u w:val="single"/>
        </w:rPr>
      </w:pPr>
    </w:p>
    <w:p w14:paraId="238D43D3">
      <w:pPr>
        <w:widowControl/>
        <w:jc w:val="left"/>
        <w:rPr>
          <w:b/>
          <w:sz w:val="24"/>
          <w:highlight w:val="none"/>
        </w:rPr>
      </w:pPr>
      <w:r>
        <w:rPr>
          <w:b/>
          <w:sz w:val="24"/>
          <w:highlight w:val="none"/>
        </w:rPr>
        <w:br w:type="page"/>
      </w:r>
    </w:p>
    <w:p w14:paraId="7D6FB9D5">
      <w:pPr>
        <w:tabs>
          <w:tab w:val="left" w:pos="360"/>
        </w:tabs>
        <w:spacing w:after="285" w:afterLines="100" w:line="360" w:lineRule="auto"/>
        <w:rPr>
          <w:b/>
          <w:sz w:val="24"/>
          <w:highlight w:val="none"/>
        </w:rPr>
      </w:pPr>
      <w:r>
        <w:rPr>
          <w:b/>
          <w:sz w:val="24"/>
          <w:highlight w:val="none"/>
        </w:rPr>
        <w:t>附件</w:t>
      </w:r>
      <w:r>
        <w:rPr>
          <w:rFonts w:hint="eastAsia"/>
          <w:b/>
          <w:sz w:val="24"/>
          <w:highlight w:val="none"/>
        </w:rPr>
        <w:t>7</w:t>
      </w:r>
    </w:p>
    <w:p w14:paraId="42392BD2">
      <w:pPr>
        <w:autoSpaceDN w:val="0"/>
        <w:spacing w:line="360" w:lineRule="auto"/>
        <w:jc w:val="center"/>
        <w:rPr>
          <w:b/>
          <w:bCs/>
          <w:sz w:val="24"/>
          <w:highlight w:val="none"/>
        </w:rPr>
      </w:pPr>
      <w:r>
        <w:rPr>
          <w:b/>
          <w:sz w:val="24"/>
          <w:highlight w:val="none"/>
        </w:rPr>
        <w:t>主要相关项目业绩一览表</w:t>
      </w:r>
    </w:p>
    <w:p w14:paraId="2652F27B">
      <w:pPr>
        <w:spacing w:line="460" w:lineRule="exact"/>
        <w:ind w:left="192"/>
        <w:rPr>
          <w:sz w:val="24"/>
          <w:highlight w:val="none"/>
        </w:rPr>
      </w:pPr>
    </w:p>
    <w:p w14:paraId="572D0E55">
      <w:pPr>
        <w:spacing w:line="460" w:lineRule="exact"/>
        <w:rPr>
          <w:sz w:val="24"/>
          <w:highlight w:val="none"/>
        </w:rPr>
      </w:pPr>
      <w:r>
        <w:rPr>
          <w:sz w:val="24"/>
          <w:highlight w:val="none"/>
        </w:rPr>
        <w:t>项目名称：</w:t>
      </w:r>
    </w:p>
    <w:p w14:paraId="768BAED0">
      <w:pPr>
        <w:spacing w:line="460" w:lineRule="exact"/>
        <w:rPr>
          <w:sz w:val="24"/>
          <w:highlight w:val="none"/>
        </w:rPr>
      </w:pPr>
      <w:r>
        <w:rPr>
          <w:sz w:val="24"/>
          <w:highlight w:val="none"/>
        </w:rPr>
        <w:t>项目编号：</w:t>
      </w:r>
    </w:p>
    <w:p w14:paraId="67BE5CE4">
      <w:pPr>
        <w:spacing w:line="460" w:lineRule="exact"/>
        <w:rPr>
          <w:sz w:val="24"/>
          <w:highlight w:val="none"/>
          <w:u w:val="single"/>
        </w:rPr>
      </w:pPr>
      <w:r>
        <w:rPr>
          <w:sz w:val="24"/>
          <w:highlight w:val="none"/>
        </w:rPr>
        <w:t>包号：</w:t>
      </w:r>
    </w:p>
    <w:p w14:paraId="0CFE966F">
      <w:pPr>
        <w:spacing w:line="460" w:lineRule="exact"/>
        <w:ind w:left="192"/>
        <w:rPr>
          <w:sz w:val="24"/>
          <w:highlight w:val="none"/>
        </w:rPr>
      </w:pPr>
    </w:p>
    <w:tbl>
      <w:tblPr>
        <w:tblStyle w:val="19"/>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1239"/>
        <w:gridCol w:w="2131"/>
        <w:gridCol w:w="1379"/>
        <w:gridCol w:w="1003"/>
      </w:tblGrid>
      <w:tr w14:paraId="2077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DDDE09D">
            <w:pPr>
              <w:snapToGrid w:val="0"/>
              <w:jc w:val="center"/>
              <w:rPr>
                <w:sz w:val="24"/>
                <w:highlight w:val="none"/>
              </w:rPr>
            </w:pPr>
            <w:r>
              <w:rPr>
                <w:sz w:val="24"/>
                <w:highlight w:val="none"/>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63FEBB07">
            <w:pPr>
              <w:snapToGrid w:val="0"/>
              <w:jc w:val="center"/>
              <w:rPr>
                <w:sz w:val="24"/>
                <w:highlight w:val="none"/>
              </w:rPr>
            </w:pPr>
            <w:r>
              <w:rPr>
                <w:sz w:val="24"/>
                <w:highlight w:val="none"/>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3E59ED22">
            <w:pPr>
              <w:snapToGrid w:val="0"/>
              <w:jc w:val="center"/>
              <w:rPr>
                <w:sz w:val="24"/>
                <w:highlight w:val="none"/>
              </w:rPr>
            </w:pPr>
            <w:r>
              <w:rPr>
                <w:sz w:val="24"/>
                <w:highlight w:val="none"/>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1AEB1948">
            <w:pPr>
              <w:snapToGrid w:val="0"/>
              <w:jc w:val="center"/>
              <w:rPr>
                <w:sz w:val="24"/>
                <w:highlight w:val="none"/>
              </w:rPr>
            </w:pPr>
            <w:r>
              <w:rPr>
                <w:sz w:val="24"/>
                <w:highlight w:val="none"/>
              </w:rPr>
              <w:t>实施地点</w:t>
            </w:r>
          </w:p>
        </w:tc>
        <w:tc>
          <w:tcPr>
            <w:tcW w:w="0" w:type="auto"/>
            <w:tcBorders>
              <w:top w:val="single" w:color="auto" w:sz="4" w:space="0"/>
              <w:left w:val="single" w:color="auto" w:sz="4" w:space="0"/>
              <w:bottom w:val="single" w:color="auto" w:sz="4" w:space="0"/>
              <w:right w:val="single" w:color="auto" w:sz="4" w:space="0"/>
            </w:tcBorders>
            <w:vAlign w:val="center"/>
          </w:tcPr>
          <w:p w14:paraId="48359029">
            <w:pPr>
              <w:snapToGrid w:val="0"/>
              <w:jc w:val="center"/>
              <w:rPr>
                <w:sz w:val="24"/>
                <w:highlight w:val="none"/>
              </w:rPr>
            </w:pPr>
            <w:r>
              <w:rPr>
                <w:sz w:val="24"/>
                <w:highlight w:val="none"/>
              </w:rPr>
              <w:t>用户联系人及联系方式</w:t>
            </w:r>
          </w:p>
        </w:tc>
        <w:tc>
          <w:tcPr>
            <w:tcW w:w="0" w:type="auto"/>
            <w:tcBorders>
              <w:top w:val="single" w:color="auto" w:sz="4" w:space="0"/>
              <w:left w:val="single" w:color="auto" w:sz="4" w:space="0"/>
              <w:bottom w:val="single" w:color="auto" w:sz="4" w:space="0"/>
              <w:right w:val="single" w:color="auto" w:sz="4" w:space="0"/>
            </w:tcBorders>
            <w:vAlign w:val="center"/>
          </w:tcPr>
          <w:p w14:paraId="49E846CA">
            <w:pPr>
              <w:snapToGrid w:val="0"/>
              <w:jc w:val="center"/>
              <w:rPr>
                <w:sz w:val="24"/>
                <w:highlight w:val="none"/>
              </w:rPr>
            </w:pPr>
            <w:r>
              <w:rPr>
                <w:sz w:val="24"/>
                <w:highlight w:val="none"/>
              </w:rPr>
              <w:t>项目起止时间</w:t>
            </w:r>
          </w:p>
        </w:tc>
        <w:tc>
          <w:tcPr>
            <w:tcW w:w="0" w:type="auto"/>
            <w:tcBorders>
              <w:top w:val="single" w:color="auto" w:sz="4" w:space="0"/>
              <w:left w:val="single" w:color="auto" w:sz="4" w:space="0"/>
              <w:bottom w:val="single" w:color="auto" w:sz="4" w:space="0"/>
              <w:right w:val="single" w:color="auto" w:sz="4" w:space="0"/>
            </w:tcBorders>
            <w:vAlign w:val="center"/>
          </w:tcPr>
          <w:p w14:paraId="6EF0A1AD">
            <w:pPr>
              <w:snapToGrid w:val="0"/>
              <w:jc w:val="center"/>
              <w:rPr>
                <w:sz w:val="24"/>
                <w:highlight w:val="none"/>
              </w:rPr>
            </w:pPr>
            <w:r>
              <w:rPr>
                <w:sz w:val="24"/>
                <w:highlight w:val="none"/>
              </w:rPr>
              <w:t>合同金额</w:t>
            </w:r>
          </w:p>
        </w:tc>
      </w:tr>
      <w:tr w14:paraId="6314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C946FDB">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593ECF1">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6F59EDD">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67DC386F">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66DE45A">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0DE04FF">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0727C3C">
            <w:pPr>
              <w:snapToGrid w:val="0"/>
              <w:jc w:val="center"/>
              <w:rPr>
                <w:sz w:val="24"/>
                <w:highlight w:val="none"/>
              </w:rPr>
            </w:pPr>
          </w:p>
        </w:tc>
      </w:tr>
      <w:tr w14:paraId="599E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25122B1">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6DACABAD">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44301B6">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69A57250">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B1F670B">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EC0CDC3">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5A29797">
            <w:pPr>
              <w:snapToGrid w:val="0"/>
              <w:jc w:val="center"/>
              <w:rPr>
                <w:sz w:val="24"/>
                <w:highlight w:val="none"/>
              </w:rPr>
            </w:pPr>
          </w:p>
        </w:tc>
      </w:tr>
      <w:tr w14:paraId="47E9D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E21731C">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449B63D">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AE11D6D">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9329B38">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57964CC">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D1CBB74">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25026B6">
            <w:pPr>
              <w:snapToGrid w:val="0"/>
              <w:jc w:val="center"/>
              <w:rPr>
                <w:sz w:val="24"/>
                <w:highlight w:val="none"/>
              </w:rPr>
            </w:pPr>
          </w:p>
        </w:tc>
      </w:tr>
      <w:tr w14:paraId="1D47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119072D">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68354EF1">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60226EA8">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3FC0D95">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7A1CBD9">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515F895">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6EE412D">
            <w:pPr>
              <w:snapToGrid w:val="0"/>
              <w:jc w:val="center"/>
              <w:rPr>
                <w:sz w:val="24"/>
                <w:highlight w:val="none"/>
              </w:rPr>
            </w:pPr>
          </w:p>
        </w:tc>
      </w:tr>
      <w:tr w14:paraId="66B6A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AFF1B97">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37D24C78">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9CC5E8E">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0542196">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6995394">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32837AD">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8EC9255">
            <w:pPr>
              <w:snapToGrid w:val="0"/>
              <w:jc w:val="center"/>
              <w:rPr>
                <w:sz w:val="24"/>
                <w:highlight w:val="none"/>
              </w:rPr>
            </w:pPr>
          </w:p>
        </w:tc>
      </w:tr>
      <w:tr w14:paraId="5074F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7323C2B">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2D3AFC30">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AE98A9D">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C778651">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068D71A">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110B5B9">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918334E">
            <w:pPr>
              <w:snapToGrid w:val="0"/>
              <w:jc w:val="center"/>
              <w:rPr>
                <w:sz w:val="24"/>
                <w:highlight w:val="none"/>
              </w:rPr>
            </w:pPr>
          </w:p>
        </w:tc>
      </w:tr>
      <w:tr w14:paraId="7C36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2BCA414">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9EF573B">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DF21C3E">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0C325E01">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34CF9EC">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B1C96FF">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2D97A52">
            <w:pPr>
              <w:snapToGrid w:val="0"/>
              <w:jc w:val="center"/>
              <w:rPr>
                <w:sz w:val="24"/>
                <w:highlight w:val="none"/>
              </w:rPr>
            </w:pPr>
          </w:p>
        </w:tc>
      </w:tr>
      <w:tr w14:paraId="7835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350B05F">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98B09F2">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6097629">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406D649">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557B517">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0CB15E3">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A1379D6">
            <w:pPr>
              <w:snapToGrid w:val="0"/>
              <w:jc w:val="center"/>
              <w:rPr>
                <w:sz w:val="24"/>
                <w:highlight w:val="none"/>
              </w:rPr>
            </w:pPr>
          </w:p>
        </w:tc>
      </w:tr>
      <w:tr w14:paraId="17D8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33DE519">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388AC953">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F5A3571">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02C1040D">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1C50B96">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F5A616C">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958343E">
            <w:pPr>
              <w:snapToGrid w:val="0"/>
              <w:jc w:val="center"/>
              <w:rPr>
                <w:sz w:val="24"/>
                <w:highlight w:val="none"/>
              </w:rPr>
            </w:pPr>
          </w:p>
        </w:tc>
      </w:tr>
      <w:tr w14:paraId="1C9FA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99626D0">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105BE1B7">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FEEEF8A">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C685499">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9827F1F">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E53A6BF">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A30C919">
            <w:pPr>
              <w:snapToGrid w:val="0"/>
              <w:jc w:val="center"/>
              <w:rPr>
                <w:sz w:val="24"/>
                <w:highlight w:val="none"/>
              </w:rPr>
            </w:pPr>
          </w:p>
        </w:tc>
      </w:tr>
      <w:tr w14:paraId="16FB5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45D22AE">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40844CD">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C445345">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643B865C">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A9E60D8">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8F62E1E">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753DABC">
            <w:pPr>
              <w:snapToGrid w:val="0"/>
              <w:jc w:val="center"/>
              <w:rPr>
                <w:sz w:val="24"/>
                <w:highlight w:val="none"/>
              </w:rPr>
            </w:pPr>
          </w:p>
        </w:tc>
      </w:tr>
    </w:tbl>
    <w:p w14:paraId="42D59826">
      <w:pPr>
        <w:spacing w:line="560" w:lineRule="exact"/>
        <w:rPr>
          <w:sz w:val="24"/>
          <w:highlight w:val="none"/>
        </w:rPr>
      </w:pPr>
      <w:r>
        <w:rPr>
          <w:sz w:val="24"/>
          <w:highlight w:val="none"/>
        </w:rPr>
        <w:t>备注：若招标文件第二部分评分因素及评标标准中要求提供业绩的，投标人所列业绩应按其要求将证明材料按顺序附后。</w:t>
      </w:r>
    </w:p>
    <w:p w14:paraId="173AC093">
      <w:pPr>
        <w:spacing w:line="560" w:lineRule="exact"/>
        <w:rPr>
          <w:sz w:val="24"/>
          <w:highlight w:val="none"/>
        </w:rPr>
      </w:pPr>
    </w:p>
    <w:p w14:paraId="43FA87EA">
      <w:pPr>
        <w:spacing w:line="360" w:lineRule="auto"/>
        <w:ind w:firstLine="3808" w:firstLineChars="1700"/>
        <w:rPr>
          <w:sz w:val="24"/>
          <w:highlight w:val="none"/>
        </w:rPr>
      </w:pPr>
      <w:r>
        <w:rPr>
          <w:sz w:val="24"/>
          <w:highlight w:val="none"/>
        </w:rPr>
        <w:t>投标人名称：</w:t>
      </w:r>
    </w:p>
    <w:p w14:paraId="7D3D04E7">
      <w:pPr>
        <w:spacing w:line="360" w:lineRule="auto"/>
        <w:ind w:firstLine="3808" w:firstLineChars="1700"/>
        <w:rPr>
          <w:sz w:val="24"/>
          <w:highlight w:val="none"/>
        </w:rPr>
      </w:pPr>
    </w:p>
    <w:p w14:paraId="28F21D83">
      <w:pPr>
        <w:spacing w:line="360" w:lineRule="auto"/>
        <w:ind w:firstLine="3808" w:firstLineChars="1700"/>
        <w:rPr>
          <w:sz w:val="24"/>
          <w:highlight w:val="none"/>
        </w:rPr>
      </w:pPr>
      <w:r>
        <w:rPr>
          <w:sz w:val="24"/>
          <w:highlight w:val="none"/>
        </w:rPr>
        <w:t>日期：年月日</w:t>
      </w:r>
    </w:p>
    <w:p w14:paraId="6B62ED59">
      <w:pPr>
        <w:widowControl/>
        <w:jc w:val="left"/>
        <w:rPr>
          <w:rFonts w:hAnsiTheme="minorEastAsia"/>
          <w:b/>
          <w:sz w:val="24"/>
          <w:highlight w:val="none"/>
        </w:rPr>
      </w:pPr>
      <w:r>
        <w:rPr>
          <w:rFonts w:hAnsiTheme="minorEastAsia"/>
          <w:b/>
          <w:sz w:val="24"/>
          <w:highlight w:val="none"/>
        </w:rPr>
        <w:br w:type="page"/>
      </w:r>
    </w:p>
    <w:p w14:paraId="4D386977">
      <w:pPr>
        <w:spacing w:line="460" w:lineRule="exact"/>
        <w:rPr>
          <w:b/>
          <w:sz w:val="24"/>
          <w:highlight w:val="none"/>
        </w:rPr>
      </w:pPr>
      <w:r>
        <w:rPr>
          <w:rFonts w:hAnsiTheme="minorEastAsia"/>
          <w:b/>
          <w:sz w:val="24"/>
          <w:highlight w:val="none"/>
        </w:rPr>
        <w:t>附件</w:t>
      </w:r>
      <w:r>
        <w:rPr>
          <w:rFonts w:hint="eastAsia"/>
          <w:b/>
          <w:sz w:val="24"/>
          <w:highlight w:val="none"/>
        </w:rPr>
        <w:t>8</w:t>
      </w:r>
    </w:p>
    <w:p w14:paraId="0832D712">
      <w:pPr>
        <w:autoSpaceDN w:val="0"/>
        <w:spacing w:line="360" w:lineRule="auto"/>
        <w:jc w:val="center"/>
        <w:rPr>
          <w:b/>
          <w:bCs/>
          <w:sz w:val="24"/>
          <w:highlight w:val="none"/>
        </w:rPr>
      </w:pPr>
      <w:r>
        <w:rPr>
          <w:rFonts w:hint="eastAsia"/>
          <w:b/>
          <w:bCs/>
          <w:sz w:val="24"/>
          <w:highlight w:val="none"/>
        </w:rPr>
        <w:t>投标</w:t>
      </w:r>
      <w:r>
        <w:rPr>
          <w:b/>
          <w:bCs/>
          <w:sz w:val="24"/>
          <w:highlight w:val="none"/>
        </w:rPr>
        <w:t>代表人授权书</w:t>
      </w:r>
    </w:p>
    <w:p w14:paraId="2171830A">
      <w:pPr>
        <w:spacing w:line="360" w:lineRule="auto"/>
        <w:rPr>
          <w:sz w:val="24"/>
          <w:szCs w:val="21"/>
          <w:highlight w:val="none"/>
        </w:rPr>
      </w:pPr>
    </w:p>
    <w:p w14:paraId="1ABCE4A3">
      <w:pPr>
        <w:spacing w:line="360" w:lineRule="auto"/>
        <w:rPr>
          <w:sz w:val="24"/>
          <w:szCs w:val="21"/>
          <w:highlight w:val="none"/>
        </w:rPr>
      </w:pPr>
      <w:r>
        <w:rPr>
          <w:sz w:val="24"/>
          <w:szCs w:val="21"/>
          <w:highlight w:val="none"/>
        </w:rPr>
        <w:t>致：天津</w:t>
      </w:r>
      <w:r>
        <w:rPr>
          <w:rFonts w:hint="eastAsia"/>
          <w:sz w:val="24"/>
          <w:szCs w:val="21"/>
          <w:highlight w:val="none"/>
        </w:rPr>
        <w:t>市滨海新区</w:t>
      </w:r>
      <w:r>
        <w:rPr>
          <w:sz w:val="24"/>
          <w:szCs w:val="21"/>
          <w:highlight w:val="none"/>
        </w:rPr>
        <w:t>政府采购中心</w:t>
      </w:r>
    </w:p>
    <w:p w14:paraId="5B9BF810">
      <w:pPr>
        <w:spacing w:line="360" w:lineRule="auto"/>
        <w:ind w:firstLine="448" w:firstLineChars="200"/>
        <w:rPr>
          <w:sz w:val="24"/>
          <w:szCs w:val="21"/>
          <w:highlight w:val="none"/>
        </w:rPr>
      </w:pPr>
      <w:r>
        <w:rPr>
          <w:rFonts w:hint="eastAsia"/>
          <w:sz w:val="24"/>
          <w:szCs w:val="21"/>
          <w:highlight w:val="none"/>
        </w:rPr>
        <w:t>我单位</w:t>
      </w:r>
      <w:r>
        <w:rPr>
          <w:sz w:val="24"/>
          <w:szCs w:val="21"/>
          <w:highlight w:val="none"/>
        </w:rPr>
        <w:t>授权委托本月</w:t>
      </w:r>
      <w:r>
        <w:rPr>
          <w:rFonts w:hint="eastAsia"/>
          <w:sz w:val="24"/>
          <w:szCs w:val="21"/>
          <w:highlight w:val="none"/>
        </w:rPr>
        <w:t>/上月（本月尚未缴纳社保的，则填写上月）由我单位缴纳社会保险的</w:t>
      </w:r>
      <w:r>
        <w:rPr>
          <w:sz w:val="24"/>
          <w:szCs w:val="21"/>
          <w:highlight w:val="none"/>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09885628">
      <w:pPr>
        <w:spacing w:line="360" w:lineRule="auto"/>
        <w:ind w:firstLine="448" w:firstLineChars="200"/>
        <w:rPr>
          <w:sz w:val="24"/>
          <w:szCs w:val="21"/>
          <w:highlight w:val="none"/>
        </w:rPr>
      </w:pPr>
      <w:r>
        <w:rPr>
          <w:sz w:val="24"/>
          <w:szCs w:val="21"/>
          <w:highlight w:val="none"/>
        </w:rPr>
        <w:t>我方对</w:t>
      </w:r>
      <w:r>
        <w:rPr>
          <w:rFonts w:hint="eastAsia"/>
          <w:sz w:val="24"/>
          <w:szCs w:val="21"/>
          <w:highlight w:val="none"/>
        </w:rPr>
        <w:t>投标代表人</w:t>
      </w:r>
      <w:r>
        <w:rPr>
          <w:sz w:val="24"/>
          <w:szCs w:val="21"/>
          <w:highlight w:val="none"/>
        </w:rPr>
        <w:t>的签名事项负全部责任。</w:t>
      </w:r>
    </w:p>
    <w:p w14:paraId="4E5DF5ED">
      <w:pPr>
        <w:spacing w:line="360" w:lineRule="auto"/>
        <w:ind w:firstLine="448" w:firstLineChars="200"/>
        <w:rPr>
          <w:sz w:val="24"/>
          <w:szCs w:val="21"/>
          <w:highlight w:val="none"/>
        </w:rPr>
      </w:pPr>
      <w:r>
        <w:rPr>
          <w:sz w:val="24"/>
          <w:szCs w:val="21"/>
          <w:highlight w:val="none"/>
        </w:rPr>
        <w:t>本授权书至投标有效期结束前始终有效。</w:t>
      </w:r>
    </w:p>
    <w:p w14:paraId="05B0642F">
      <w:pPr>
        <w:spacing w:line="360" w:lineRule="auto"/>
        <w:ind w:firstLine="448" w:firstLineChars="200"/>
        <w:rPr>
          <w:sz w:val="24"/>
          <w:szCs w:val="21"/>
          <w:highlight w:val="none"/>
        </w:rPr>
      </w:pPr>
      <w:r>
        <w:rPr>
          <w:sz w:val="24"/>
          <w:szCs w:val="21"/>
          <w:highlight w:val="none"/>
        </w:rPr>
        <w:t>投标代表人无转委托权，特此委托。</w:t>
      </w:r>
    </w:p>
    <w:p w14:paraId="5B0025CE">
      <w:pPr>
        <w:spacing w:line="360" w:lineRule="auto"/>
        <w:ind w:firstLine="448" w:firstLineChars="200"/>
        <w:rPr>
          <w:sz w:val="24"/>
          <w:highlight w:val="none"/>
        </w:rPr>
      </w:pPr>
    </w:p>
    <w:p w14:paraId="2FB73BA9">
      <w:pPr>
        <w:spacing w:line="360" w:lineRule="auto"/>
        <w:ind w:firstLine="448" w:firstLineChars="200"/>
        <w:rPr>
          <w:sz w:val="24"/>
          <w:highlight w:val="none"/>
        </w:rPr>
      </w:pPr>
    </w:p>
    <w:p w14:paraId="2378847C">
      <w:pPr>
        <w:spacing w:line="360" w:lineRule="auto"/>
        <w:ind w:firstLine="448" w:firstLineChars="200"/>
        <w:rPr>
          <w:sz w:val="24"/>
          <w:highlight w:val="none"/>
        </w:rPr>
      </w:pPr>
    </w:p>
    <w:p w14:paraId="617F4477">
      <w:pPr>
        <w:spacing w:line="360" w:lineRule="auto"/>
        <w:ind w:firstLine="4704" w:firstLineChars="2100"/>
        <w:rPr>
          <w:sz w:val="24"/>
          <w:highlight w:val="none"/>
        </w:rPr>
      </w:pPr>
      <w:r>
        <w:rPr>
          <w:sz w:val="24"/>
          <w:highlight w:val="none"/>
        </w:rPr>
        <w:t>年月日</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1"/>
        <w:gridCol w:w="4151"/>
      </w:tblGrid>
      <w:tr w14:paraId="752E0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6A7264A4">
            <w:pPr>
              <w:spacing w:line="360" w:lineRule="auto"/>
              <w:jc w:val="left"/>
              <w:rPr>
                <w:sz w:val="24"/>
                <w:highlight w:val="none"/>
              </w:rPr>
            </w:pPr>
            <w:r>
              <w:rPr>
                <w:sz w:val="24"/>
                <w:highlight w:val="none"/>
              </w:rPr>
              <w:t>投标代表人身份证正面</w:t>
            </w:r>
          </w:p>
          <w:p w14:paraId="418BD87F">
            <w:pPr>
              <w:spacing w:line="360" w:lineRule="auto"/>
              <w:jc w:val="left"/>
              <w:rPr>
                <w:sz w:val="24"/>
                <w:highlight w:val="none"/>
              </w:rPr>
            </w:pPr>
          </w:p>
          <w:p w14:paraId="2CFD4FB6">
            <w:pPr>
              <w:spacing w:line="360" w:lineRule="auto"/>
              <w:jc w:val="left"/>
              <w:rPr>
                <w:sz w:val="24"/>
                <w:highlight w:val="none"/>
              </w:rPr>
            </w:pPr>
          </w:p>
          <w:p w14:paraId="0CE7CF37">
            <w:pPr>
              <w:spacing w:line="360" w:lineRule="auto"/>
              <w:jc w:val="left"/>
              <w:rPr>
                <w:sz w:val="24"/>
                <w:highlight w:val="none"/>
              </w:rPr>
            </w:pPr>
          </w:p>
          <w:p w14:paraId="34051925">
            <w:pPr>
              <w:spacing w:line="360" w:lineRule="auto"/>
              <w:jc w:val="left"/>
              <w:rPr>
                <w:sz w:val="24"/>
                <w:highlight w:val="none"/>
              </w:rPr>
            </w:pPr>
          </w:p>
          <w:p w14:paraId="42A261B4">
            <w:pPr>
              <w:spacing w:line="360" w:lineRule="auto"/>
              <w:jc w:val="left"/>
              <w:rPr>
                <w:sz w:val="24"/>
                <w:highlight w:val="none"/>
              </w:rPr>
            </w:pPr>
          </w:p>
        </w:tc>
        <w:tc>
          <w:tcPr>
            <w:tcW w:w="4264" w:type="dxa"/>
          </w:tcPr>
          <w:p w14:paraId="6A8B183F">
            <w:pPr>
              <w:spacing w:line="360" w:lineRule="auto"/>
              <w:jc w:val="left"/>
              <w:rPr>
                <w:sz w:val="24"/>
                <w:highlight w:val="none"/>
              </w:rPr>
            </w:pPr>
            <w:r>
              <w:rPr>
                <w:sz w:val="24"/>
                <w:highlight w:val="none"/>
              </w:rPr>
              <w:t>投标代表人身份证背面</w:t>
            </w:r>
          </w:p>
        </w:tc>
      </w:tr>
    </w:tbl>
    <w:p w14:paraId="02731C81">
      <w:pPr>
        <w:widowControl/>
        <w:jc w:val="left"/>
        <w:rPr>
          <w:sz w:val="24"/>
          <w:highlight w:val="none"/>
        </w:rPr>
      </w:pPr>
      <w:r>
        <w:rPr>
          <w:sz w:val="24"/>
          <w:highlight w:val="none"/>
        </w:rPr>
        <w:br w:type="page"/>
      </w:r>
    </w:p>
    <w:p w14:paraId="15192A74">
      <w:pPr>
        <w:spacing w:line="460" w:lineRule="exact"/>
        <w:ind w:right="444"/>
        <w:rPr>
          <w:b/>
          <w:sz w:val="24"/>
          <w:highlight w:val="none"/>
        </w:rPr>
      </w:pPr>
      <w:r>
        <w:rPr>
          <w:rFonts w:hAnsiTheme="minorEastAsia"/>
          <w:b/>
          <w:sz w:val="24"/>
          <w:highlight w:val="none"/>
        </w:rPr>
        <w:t>附件</w:t>
      </w:r>
      <w:r>
        <w:rPr>
          <w:rFonts w:hint="eastAsia"/>
          <w:b/>
          <w:sz w:val="24"/>
          <w:highlight w:val="none"/>
        </w:rPr>
        <w:t>9-1</w:t>
      </w:r>
    </w:p>
    <w:p w14:paraId="017E505B">
      <w:pPr>
        <w:autoSpaceDE w:val="0"/>
        <w:autoSpaceDN w:val="0"/>
        <w:spacing w:line="480" w:lineRule="auto"/>
        <w:jc w:val="center"/>
        <w:rPr>
          <w:sz w:val="24"/>
          <w:szCs w:val="24"/>
          <w:highlight w:val="none"/>
        </w:rPr>
      </w:pPr>
      <w:r>
        <w:rPr>
          <w:rFonts w:hint="eastAsia" w:hAnsiTheme="minorEastAsia"/>
          <w:b/>
          <w:sz w:val="24"/>
          <w:szCs w:val="24"/>
          <w:highlight w:val="none"/>
        </w:rPr>
        <w:t>中小企业声明函（服务）</w:t>
      </w:r>
    </w:p>
    <w:p w14:paraId="65DD5D9E">
      <w:pPr>
        <w:widowControl/>
        <w:spacing w:line="500" w:lineRule="exact"/>
        <w:ind w:firstLine="448" w:firstLineChars="200"/>
        <w:jc w:val="left"/>
        <w:rPr>
          <w:sz w:val="24"/>
          <w:szCs w:val="24"/>
          <w:highlight w:val="none"/>
        </w:rPr>
      </w:pPr>
      <w:r>
        <w:rPr>
          <w:rFonts w:hint="eastAsia" w:hAnsiTheme="minorEastAsia"/>
          <w:sz w:val="24"/>
          <w:szCs w:val="24"/>
          <w:highlight w:val="none"/>
        </w:rPr>
        <w:t>本公司（联合体）郑重声明，根据《政府采购促进中小企业发展管理办法》（财库﹝</w:t>
      </w:r>
      <w:r>
        <w:rPr>
          <w:sz w:val="24"/>
          <w:szCs w:val="24"/>
          <w:highlight w:val="none"/>
        </w:rPr>
        <w:t>2020</w:t>
      </w:r>
      <w:r>
        <w:rPr>
          <w:rFonts w:hint="eastAsia" w:hAnsiTheme="minorEastAsia"/>
          <w:sz w:val="24"/>
          <w:szCs w:val="24"/>
          <w:highlight w:val="none"/>
        </w:rPr>
        <w:t>﹞</w:t>
      </w:r>
      <w:r>
        <w:rPr>
          <w:sz w:val="24"/>
          <w:szCs w:val="24"/>
          <w:highlight w:val="none"/>
        </w:rPr>
        <w:t>46</w:t>
      </w:r>
      <w:r>
        <w:rPr>
          <w:rFonts w:hint="eastAsia" w:hAnsiTheme="minorEastAsia"/>
          <w:sz w:val="24"/>
          <w:szCs w:val="24"/>
          <w:highlight w:val="none"/>
        </w:rPr>
        <w:t>号）的规定，本公司（联合体）参加</w:t>
      </w:r>
      <w:r>
        <w:rPr>
          <w:rFonts w:hint="eastAsia" w:hAnsiTheme="minorEastAsia"/>
          <w:b/>
          <w:sz w:val="24"/>
          <w:szCs w:val="24"/>
          <w:highlight w:val="none"/>
          <w:u w:val="single"/>
        </w:rPr>
        <w:t>（请填写项目名称）</w:t>
      </w:r>
      <w:r>
        <w:rPr>
          <w:rFonts w:hint="eastAsia" w:hAnsiTheme="minorEastAsia"/>
          <w:sz w:val="24"/>
          <w:szCs w:val="24"/>
          <w:highlight w:val="none"/>
        </w:rPr>
        <w:t>采购活动，服务全部由符合政策要求的中小企业承接。相关企业（含联合体中的中小企业、签订分包意向协议的中小企业）的具体情况如下：</w:t>
      </w:r>
    </w:p>
    <w:p w14:paraId="785D56D4">
      <w:pPr>
        <w:autoSpaceDE w:val="0"/>
        <w:autoSpaceDN w:val="0"/>
        <w:spacing w:line="500" w:lineRule="exact"/>
        <w:ind w:firstLine="448" w:firstLineChars="200"/>
        <w:jc w:val="left"/>
        <w:rPr>
          <w:sz w:val="24"/>
          <w:szCs w:val="24"/>
          <w:highlight w:val="none"/>
        </w:rPr>
      </w:pPr>
      <w:r>
        <w:rPr>
          <w:sz w:val="24"/>
          <w:szCs w:val="24"/>
          <w:highlight w:val="none"/>
        </w:rPr>
        <w:t>1.</w:t>
      </w:r>
      <w:r>
        <w:rPr>
          <w:rFonts w:hint="eastAsia" w:hAnsiTheme="minorEastAsia"/>
          <w:sz w:val="24"/>
          <w:szCs w:val="24"/>
          <w:highlight w:val="none"/>
          <w:u w:val="single"/>
        </w:rPr>
        <w:t>（</w:t>
      </w:r>
      <w:r>
        <w:rPr>
          <w:rFonts w:hint="eastAsia" w:hAnsiTheme="minorEastAsia"/>
          <w:b/>
          <w:sz w:val="24"/>
          <w:szCs w:val="24"/>
          <w:highlight w:val="none"/>
        </w:rPr>
        <w:t>请填写标的名称</w:t>
      </w:r>
      <w:r>
        <w:rPr>
          <w:rFonts w:hint="eastAsia" w:hAnsiTheme="minorEastAsia"/>
          <w:sz w:val="24"/>
          <w:szCs w:val="24"/>
          <w:highlight w:val="none"/>
        </w:rPr>
        <w:t>），属于</w:t>
      </w:r>
      <w:r>
        <w:rPr>
          <w:rFonts w:hint="eastAsia" w:hAnsiTheme="minorEastAsia"/>
          <w:b/>
          <w:sz w:val="24"/>
          <w:szCs w:val="24"/>
          <w:highlight w:val="none"/>
        </w:rPr>
        <w:t>（请填写本项目采购文件中明确的所属行业）</w:t>
      </w:r>
      <w:r>
        <w:rPr>
          <w:rFonts w:hint="eastAsia" w:hAnsiTheme="minorEastAsia"/>
          <w:sz w:val="24"/>
          <w:szCs w:val="24"/>
          <w:highlight w:val="none"/>
        </w:rPr>
        <w:t>行业；承接企业为</w:t>
      </w:r>
      <w:r>
        <w:rPr>
          <w:rFonts w:hint="eastAsia" w:hAnsiTheme="minorEastAsia"/>
          <w:sz w:val="24"/>
          <w:szCs w:val="24"/>
          <w:highlight w:val="none"/>
          <w:u w:val="single"/>
        </w:rPr>
        <w:t>（</w:t>
      </w:r>
      <w:r>
        <w:rPr>
          <w:rFonts w:hint="eastAsia" w:hAnsiTheme="minorEastAsia"/>
          <w:b/>
          <w:sz w:val="24"/>
          <w:szCs w:val="24"/>
          <w:highlight w:val="none"/>
        </w:rPr>
        <w:t>请填写承接该标的企业名称</w:t>
      </w:r>
      <w:r>
        <w:rPr>
          <w:rFonts w:hint="eastAsia" w:hAnsiTheme="minorEastAsia"/>
          <w:sz w:val="24"/>
          <w:szCs w:val="24"/>
          <w:highlight w:val="none"/>
        </w:rPr>
        <w:t>），从业人员人，营业收入为万元，资产总额为万元，属于</w:t>
      </w:r>
      <w:r>
        <w:rPr>
          <w:rFonts w:hint="eastAsia" w:hAnsiTheme="minorEastAsia"/>
          <w:sz w:val="24"/>
          <w:szCs w:val="24"/>
          <w:highlight w:val="none"/>
          <w:u w:val="single"/>
        </w:rPr>
        <w:t>（</w:t>
      </w:r>
      <w:r>
        <w:rPr>
          <w:rFonts w:hint="eastAsia" w:hAnsiTheme="minorEastAsia"/>
          <w:b/>
          <w:sz w:val="24"/>
          <w:szCs w:val="24"/>
          <w:highlight w:val="none"/>
        </w:rPr>
        <w:t>请根据中小企业划分标准填写中型企业</w:t>
      </w:r>
      <w:r>
        <w:rPr>
          <w:b/>
          <w:sz w:val="24"/>
          <w:szCs w:val="24"/>
          <w:highlight w:val="none"/>
        </w:rPr>
        <w:t>/</w:t>
      </w:r>
      <w:r>
        <w:rPr>
          <w:rFonts w:hint="eastAsia" w:hAnsiTheme="minorEastAsia"/>
          <w:b/>
          <w:sz w:val="24"/>
          <w:szCs w:val="24"/>
          <w:highlight w:val="none"/>
        </w:rPr>
        <w:t>小型企业</w:t>
      </w:r>
      <w:r>
        <w:rPr>
          <w:b/>
          <w:sz w:val="24"/>
          <w:szCs w:val="24"/>
          <w:highlight w:val="none"/>
        </w:rPr>
        <w:t>/</w:t>
      </w:r>
      <w:r>
        <w:rPr>
          <w:rFonts w:hint="eastAsia" w:hAnsiTheme="minorEastAsia"/>
          <w:b/>
          <w:sz w:val="24"/>
          <w:szCs w:val="24"/>
          <w:highlight w:val="none"/>
        </w:rPr>
        <w:t>微型企业</w:t>
      </w:r>
      <w:r>
        <w:rPr>
          <w:rFonts w:hint="eastAsia" w:hAnsiTheme="minorEastAsia"/>
          <w:sz w:val="24"/>
          <w:szCs w:val="24"/>
          <w:highlight w:val="none"/>
        </w:rPr>
        <w:t>）；</w:t>
      </w:r>
    </w:p>
    <w:p w14:paraId="2FD905EB">
      <w:pPr>
        <w:autoSpaceDE w:val="0"/>
        <w:autoSpaceDN w:val="0"/>
        <w:spacing w:line="500" w:lineRule="exact"/>
        <w:ind w:firstLine="448" w:firstLineChars="200"/>
        <w:jc w:val="left"/>
        <w:rPr>
          <w:sz w:val="24"/>
          <w:szCs w:val="24"/>
          <w:highlight w:val="none"/>
        </w:rPr>
      </w:pPr>
      <w:r>
        <w:rPr>
          <w:sz w:val="24"/>
          <w:szCs w:val="24"/>
          <w:highlight w:val="none"/>
        </w:rPr>
        <w:t>2.</w:t>
      </w:r>
      <w:r>
        <w:rPr>
          <w:rFonts w:hint="eastAsia" w:hAnsiTheme="minorEastAsia"/>
          <w:sz w:val="24"/>
          <w:szCs w:val="24"/>
          <w:highlight w:val="none"/>
          <w:u w:val="single"/>
        </w:rPr>
        <w:t>（</w:t>
      </w:r>
      <w:r>
        <w:rPr>
          <w:rFonts w:hint="eastAsia" w:hAnsiTheme="minorEastAsia"/>
          <w:b/>
          <w:sz w:val="24"/>
          <w:szCs w:val="24"/>
          <w:highlight w:val="none"/>
        </w:rPr>
        <w:t>请填写标的名称</w:t>
      </w:r>
      <w:r>
        <w:rPr>
          <w:rFonts w:hint="eastAsia" w:hAnsiTheme="minorEastAsia"/>
          <w:sz w:val="24"/>
          <w:szCs w:val="24"/>
          <w:highlight w:val="none"/>
        </w:rPr>
        <w:t>），属于</w:t>
      </w:r>
      <w:r>
        <w:rPr>
          <w:rFonts w:hint="eastAsia" w:hAnsiTheme="minorEastAsia"/>
          <w:b/>
          <w:sz w:val="24"/>
          <w:szCs w:val="24"/>
          <w:highlight w:val="none"/>
        </w:rPr>
        <w:t>（请填写本项目采购文件中明确的所属行业）</w:t>
      </w:r>
      <w:r>
        <w:rPr>
          <w:rFonts w:hint="eastAsia" w:hAnsiTheme="minorEastAsia"/>
          <w:sz w:val="24"/>
          <w:szCs w:val="24"/>
          <w:highlight w:val="none"/>
        </w:rPr>
        <w:t>行业；承接企业为</w:t>
      </w:r>
      <w:r>
        <w:rPr>
          <w:rFonts w:hint="eastAsia" w:hAnsiTheme="minorEastAsia"/>
          <w:sz w:val="24"/>
          <w:szCs w:val="24"/>
          <w:highlight w:val="none"/>
          <w:u w:val="single"/>
        </w:rPr>
        <w:t>（</w:t>
      </w:r>
      <w:r>
        <w:rPr>
          <w:rFonts w:hint="eastAsia" w:hAnsiTheme="minorEastAsia"/>
          <w:b/>
          <w:sz w:val="24"/>
          <w:szCs w:val="24"/>
          <w:highlight w:val="none"/>
        </w:rPr>
        <w:t>请填写承接该标的企业名称</w:t>
      </w:r>
      <w:r>
        <w:rPr>
          <w:rFonts w:hint="eastAsia" w:hAnsiTheme="minorEastAsia"/>
          <w:sz w:val="24"/>
          <w:szCs w:val="24"/>
          <w:highlight w:val="none"/>
        </w:rPr>
        <w:t>），从业人员人，营业收入为万元，资产总额为万元，属于</w:t>
      </w:r>
      <w:r>
        <w:rPr>
          <w:rFonts w:hint="eastAsia" w:hAnsiTheme="minorEastAsia"/>
          <w:sz w:val="24"/>
          <w:szCs w:val="24"/>
          <w:highlight w:val="none"/>
          <w:u w:val="single"/>
        </w:rPr>
        <w:t>（</w:t>
      </w:r>
      <w:r>
        <w:rPr>
          <w:rFonts w:hint="eastAsia" w:hAnsiTheme="minorEastAsia"/>
          <w:b/>
          <w:sz w:val="24"/>
          <w:szCs w:val="24"/>
          <w:highlight w:val="none"/>
        </w:rPr>
        <w:t>请根据中小企业划分标准填写中型企业</w:t>
      </w:r>
      <w:r>
        <w:rPr>
          <w:b/>
          <w:sz w:val="24"/>
          <w:szCs w:val="24"/>
          <w:highlight w:val="none"/>
        </w:rPr>
        <w:t>/</w:t>
      </w:r>
      <w:r>
        <w:rPr>
          <w:rFonts w:hint="eastAsia" w:hAnsiTheme="minorEastAsia"/>
          <w:b/>
          <w:sz w:val="24"/>
          <w:szCs w:val="24"/>
          <w:highlight w:val="none"/>
        </w:rPr>
        <w:t>小型企业</w:t>
      </w:r>
      <w:r>
        <w:rPr>
          <w:b/>
          <w:sz w:val="24"/>
          <w:szCs w:val="24"/>
          <w:highlight w:val="none"/>
        </w:rPr>
        <w:t>/</w:t>
      </w:r>
      <w:r>
        <w:rPr>
          <w:rFonts w:hint="eastAsia" w:hAnsiTheme="minorEastAsia"/>
          <w:b/>
          <w:sz w:val="24"/>
          <w:szCs w:val="24"/>
          <w:highlight w:val="none"/>
        </w:rPr>
        <w:t>微型企业</w:t>
      </w:r>
      <w:r>
        <w:rPr>
          <w:rFonts w:hint="eastAsia" w:hAnsiTheme="minorEastAsia"/>
          <w:sz w:val="24"/>
          <w:szCs w:val="24"/>
          <w:highlight w:val="none"/>
        </w:rPr>
        <w:t>）；</w:t>
      </w:r>
    </w:p>
    <w:p w14:paraId="33C4C870">
      <w:pPr>
        <w:autoSpaceDE w:val="0"/>
        <w:autoSpaceDN w:val="0"/>
        <w:spacing w:line="500" w:lineRule="exact"/>
        <w:ind w:left="641"/>
        <w:jc w:val="left"/>
        <w:rPr>
          <w:sz w:val="24"/>
          <w:szCs w:val="24"/>
          <w:highlight w:val="none"/>
        </w:rPr>
      </w:pPr>
      <w:r>
        <w:rPr>
          <w:sz w:val="24"/>
          <w:szCs w:val="24"/>
          <w:highlight w:val="none"/>
        </w:rPr>
        <w:t>……</w:t>
      </w:r>
    </w:p>
    <w:p w14:paraId="1F4A2FC8">
      <w:pPr>
        <w:autoSpaceDE w:val="0"/>
        <w:autoSpaceDN w:val="0"/>
        <w:spacing w:line="500" w:lineRule="exact"/>
        <w:ind w:firstLine="448" w:firstLineChars="200"/>
        <w:jc w:val="left"/>
        <w:rPr>
          <w:sz w:val="24"/>
          <w:szCs w:val="24"/>
          <w:highlight w:val="none"/>
        </w:rPr>
      </w:pPr>
      <w:r>
        <w:rPr>
          <w:rFonts w:hint="eastAsia" w:hAnsiTheme="minorEastAsia"/>
          <w:sz w:val="24"/>
          <w:szCs w:val="24"/>
          <w:highlight w:val="none"/>
        </w:rPr>
        <w:t>以上企业，不属于大型企业的分支机构，不存在控股股东为大型企业的情形，也不存在与大型企业的负责人为同一人的情形。</w:t>
      </w:r>
    </w:p>
    <w:p w14:paraId="7C17BCE1">
      <w:pPr>
        <w:autoSpaceDE w:val="0"/>
        <w:autoSpaceDN w:val="0"/>
        <w:spacing w:line="500" w:lineRule="exact"/>
        <w:ind w:firstLine="448" w:firstLineChars="200"/>
        <w:jc w:val="left"/>
        <w:rPr>
          <w:sz w:val="24"/>
          <w:szCs w:val="24"/>
          <w:highlight w:val="none"/>
        </w:rPr>
      </w:pPr>
      <w:r>
        <w:rPr>
          <w:rFonts w:hint="eastAsia" w:hAnsiTheme="minorEastAsia"/>
          <w:sz w:val="24"/>
          <w:szCs w:val="24"/>
          <w:highlight w:val="none"/>
        </w:rPr>
        <w:t>本企业对上述声明内容的真实性负责。如有虚假，将依法承担相应责任。</w:t>
      </w:r>
    </w:p>
    <w:p w14:paraId="35B610E7">
      <w:pPr>
        <w:autoSpaceDE w:val="0"/>
        <w:autoSpaceDN w:val="0"/>
        <w:spacing w:line="500" w:lineRule="exact"/>
        <w:ind w:left="3840"/>
        <w:jc w:val="left"/>
        <w:rPr>
          <w:sz w:val="24"/>
          <w:szCs w:val="24"/>
          <w:highlight w:val="none"/>
        </w:rPr>
      </w:pPr>
      <w:r>
        <w:rPr>
          <w:rFonts w:hint="eastAsia" w:hAnsiTheme="minorEastAsia"/>
          <w:sz w:val="24"/>
          <w:szCs w:val="24"/>
          <w:highlight w:val="none"/>
        </w:rPr>
        <w:t>投标人名称：</w:t>
      </w:r>
    </w:p>
    <w:p w14:paraId="24B34FDA">
      <w:pPr>
        <w:autoSpaceDE w:val="0"/>
        <w:autoSpaceDN w:val="0"/>
        <w:spacing w:line="500" w:lineRule="exact"/>
        <w:ind w:left="3840"/>
        <w:jc w:val="left"/>
        <w:rPr>
          <w:sz w:val="32"/>
          <w:highlight w:val="none"/>
        </w:rPr>
      </w:pPr>
      <w:r>
        <w:rPr>
          <w:rFonts w:hint="eastAsia" w:hAnsiTheme="minorEastAsia"/>
          <w:sz w:val="24"/>
          <w:szCs w:val="24"/>
          <w:highlight w:val="none"/>
        </w:rPr>
        <w:t>日期：</w:t>
      </w:r>
    </w:p>
    <w:p w14:paraId="0E0B212F">
      <w:pPr>
        <w:spacing w:line="360" w:lineRule="auto"/>
        <w:ind w:right="84" w:firstLine="224" w:firstLineChars="100"/>
        <w:rPr>
          <w:b/>
          <w:sz w:val="24"/>
          <w:szCs w:val="24"/>
          <w:highlight w:val="none"/>
        </w:rPr>
      </w:pPr>
      <w:r>
        <w:rPr>
          <w:rFonts w:hint="eastAsia" w:hAnsiTheme="minorEastAsia"/>
          <w:b/>
          <w:sz w:val="24"/>
          <w:szCs w:val="24"/>
          <w:highlight w:val="none"/>
        </w:rPr>
        <w:t>注：</w:t>
      </w:r>
    </w:p>
    <w:p w14:paraId="5C04CA62">
      <w:pPr>
        <w:spacing w:line="360" w:lineRule="auto"/>
        <w:ind w:right="84" w:firstLine="224" w:firstLineChars="100"/>
        <w:rPr>
          <w:b/>
          <w:sz w:val="24"/>
          <w:szCs w:val="24"/>
          <w:highlight w:val="none"/>
        </w:rPr>
      </w:pPr>
      <w:r>
        <w:rPr>
          <w:b/>
          <w:sz w:val="24"/>
          <w:szCs w:val="24"/>
          <w:highlight w:val="none"/>
        </w:rPr>
        <w:t>1.</w:t>
      </w:r>
      <w:r>
        <w:rPr>
          <w:rFonts w:hint="eastAsia" w:hAnsiTheme="minorEastAsia"/>
          <w:b/>
          <w:sz w:val="24"/>
          <w:szCs w:val="24"/>
          <w:highlight w:val="none"/>
        </w:rPr>
        <w:t>标的名称须按照采购文件中明确的标的名称进行填写；所属行业须按照采购文件中明确的所属行业进行填写，否则不享受中小企业扶持政策。</w:t>
      </w:r>
    </w:p>
    <w:p w14:paraId="3ED5084A">
      <w:pPr>
        <w:spacing w:line="360" w:lineRule="auto"/>
        <w:ind w:right="84" w:firstLine="224" w:firstLineChars="100"/>
        <w:rPr>
          <w:b/>
          <w:sz w:val="24"/>
          <w:szCs w:val="24"/>
          <w:highlight w:val="none"/>
        </w:rPr>
      </w:pPr>
      <w:r>
        <w:rPr>
          <w:b/>
          <w:sz w:val="24"/>
          <w:szCs w:val="24"/>
          <w:highlight w:val="none"/>
        </w:rPr>
        <w:t>2.</w:t>
      </w:r>
      <w:r>
        <w:rPr>
          <w:rFonts w:hint="eastAsia" w:hAnsiTheme="minorEastAsia"/>
          <w:b/>
          <w:sz w:val="24"/>
          <w:szCs w:val="24"/>
          <w:highlight w:val="none"/>
        </w:rPr>
        <w:t>从业人员、营业收入、资产总额填报上一年度数据，无上一年度数据的新成立企业可不填报。除新成立企业外，上表填写不全的，不享受中小企业扶持政策。</w:t>
      </w:r>
    </w:p>
    <w:p w14:paraId="0DABCDF0">
      <w:pPr>
        <w:spacing w:line="360" w:lineRule="auto"/>
        <w:ind w:right="84" w:firstLine="224" w:firstLineChars="100"/>
        <w:rPr>
          <w:b/>
          <w:sz w:val="24"/>
          <w:szCs w:val="24"/>
          <w:highlight w:val="none"/>
        </w:rPr>
      </w:pPr>
      <w:r>
        <w:rPr>
          <w:b/>
          <w:sz w:val="24"/>
          <w:szCs w:val="24"/>
          <w:highlight w:val="none"/>
        </w:rPr>
        <w:t>3.</w:t>
      </w:r>
      <w:r>
        <w:rPr>
          <w:rFonts w:hint="eastAsia" w:hAnsiTheme="minorEastAsia"/>
          <w:b/>
          <w:sz w:val="24"/>
          <w:szCs w:val="24"/>
          <w:highlight w:val="none"/>
        </w:rPr>
        <w:t>中标（成交）供应商享受中小企业扶持政策的，将随中标（成交）结果同时公告其《中小企业声明函》，接受社会监督。</w:t>
      </w:r>
    </w:p>
    <w:p w14:paraId="13081581">
      <w:pPr>
        <w:autoSpaceDN w:val="0"/>
        <w:spacing w:line="360" w:lineRule="auto"/>
        <w:jc w:val="center"/>
        <w:rPr>
          <w:b/>
          <w:sz w:val="24"/>
          <w:highlight w:val="none"/>
        </w:rPr>
      </w:pPr>
      <w:r>
        <w:rPr>
          <w:b/>
          <w:sz w:val="24"/>
          <w:highlight w:val="none"/>
        </w:rPr>
        <w:br w:type="page"/>
      </w:r>
    </w:p>
    <w:p w14:paraId="382DBADF">
      <w:pPr>
        <w:autoSpaceDN w:val="0"/>
        <w:spacing w:line="360" w:lineRule="auto"/>
        <w:rPr>
          <w:b/>
          <w:sz w:val="24"/>
          <w:highlight w:val="none"/>
        </w:rPr>
      </w:pPr>
      <w:r>
        <w:rPr>
          <w:rFonts w:hint="eastAsia" w:hAnsiTheme="minorEastAsia"/>
          <w:b/>
          <w:sz w:val="24"/>
          <w:highlight w:val="none"/>
        </w:rPr>
        <w:t xml:space="preserve">附件 </w:t>
      </w:r>
      <w:r>
        <w:rPr>
          <w:rFonts w:hint="eastAsia"/>
          <w:b/>
          <w:sz w:val="24"/>
          <w:highlight w:val="none"/>
        </w:rPr>
        <w:t>9-2</w:t>
      </w:r>
    </w:p>
    <w:p w14:paraId="4D66E204">
      <w:pPr>
        <w:autoSpaceDN w:val="0"/>
        <w:spacing w:line="360" w:lineRule="auto"/>
        <w:rPr>
          <w:b/>
          <w:bCs/>
          <w:sz w:val="24"/>
          <w:highlight w:val="none"/>
        </w:rPr>
      </w:pPr>
      <w:r>
        <w:rPr>
          <w:rFonts w:hint="eastAsia" w:hAnsiTheme="minorEastAsia"/>
          <w:b/>
          <w:kern w:val="0"/>
          <w:sz w:val="24"/>
          <w:szCs w:val="21"/>
          <w:highlight w:val="none"/>
        </w:rPr>
        <w:t>若投标人不是残疾人福利性单位，投标文件中可不提供此声明函</w:t>
      </w:r>
    </w:p>
    <w:p w14:paraId="7EF98798">
      <w:pPr>
        <w:autoSpaceDN w:val="0"/>
        <w:spacing w:line="360" w:lineRule="auto"/>
        <w:jc w:val="center"/>
        <w:rPr>
          <w:b/>
          <w:bCs/>
          <w:sz w:val="24"/>
          <w:highlight w:val="none"/>
        </w:rPr>
      </w:pPr>
    </w:p>
    <w:p w14:paraId="45D3D1BF">
      <w:pPr>
        <w:autoSpaceDN w:val="0"/>
        <w:spacing w:line="360" w:lineRule="auto"/>
        <w:jc w:val="center"/>
        <w:rPr>
          <w:b/>
          <w:bCs/>
          <w:sz w:val="24"/>
          <w:highlight w:val="none"/>
        </w:rPr>
      </w:pPr>
      <w:r>
        <w:rPr>
          <w:rFonts w:hint="eastAsia" w:hAnsiTheme="minorEastAsia"/>
          <w:b/>
          <w:bCs/>
          <w:sz w:val="24"/>
          <w:highlight w:val="none"/>
        </w:rPr>
        <w:t>残疾人福利性单位声明函</w:t>
      </w:r>
    </w:p>
    <w:p w14:paraId="6A226C38">
      <w:pPr>
        <w:spacing w:line="588" w:lineRule="exact"/>
        <w:rPr>
          <w:b/>
          <w:spacing w:val="6"/>
          <w:sz w:val="30"/>
          <w:szCs w:val="30"/>
          <w:highlight w:val="none"/>
        </w:rPr>
      </w:pPr>
    </w:p>
    <w:p w14:paraId="459E8665">
      <w:pPr>
        <w:snapToGrid w:val="0"/>
        <w:spacing w:line="360" w:lineRule="auto"/>
        <w:ind w:firstLine="448" w:firstLineChars="200"/>
        <w:rPr>
          <w:sz w:val="24"/>
          <w:szCs w:val="21"/>
          <w:highlight w:val="none"/>
        </w:rPr>
      </w:pPr>
      <w:r>
        <w:rPr>
          <w:rFonts w:hint="eastAsia" w:hAnsiTheme="minorEastAsia"/>
          <w:sz w:val="24"/>
          <w:szCs w:val="21"/>
          <w:highlight w:val="none"/>
        </w:rPr>
        <w:t>本单位郑重声明，根据《财政部民政部中国残疾人联合会关于促进残疾人就业政府采购政策的通知》（财库〔</w:t>
      </w:r>
      <w:r>
        <w:rPr>
          <w:rFonts w:hint="eastAsia"/>
          <w:sz w:val="24"/>
          <w:szCs w:val="21"/>
          <w:highlight w:val="none"/>
        </w:rPr>
        <w:t>2017</w:t>
      </w:r>
      <w:r>
        <w:rPr>
          <w:rFonts w:hint="eastAsia" w:hAnsiTheme="minorEastAsia"/>
          <w:sz w:val="24"/>
          <w:szCs w:val="21"/>
          <w:highlight w:val="none"/>
        </w:rPr>
        <w:t>〕</w:t>
      </w:r>
      <w:r>
        <w:rPr>
          <w:rFonts w:hint="eastAsia"/>
          <w:sz w:val="24"/>
          <w:szCs w:val="21"/>
          <w:highlight w:val="none"/>
        </w:rPr>
        <w:t>141</w:t>
      </w:r>
      <w:r>
        <w:rPr>
          <w:rFonts w:hint="eastAsia" w:hAnsiTheme="minorEastAsia"/>
          <w:sz w:val="24"/>
          <w:szCs w:val="21"/>
          <w:highlight w:val="none"/>
        </w:rPr>
        <w:t>号）的规定，本单位为符合条件的残疾人福利性单位，且本单位参加</w:t>
      </w:r>
      <w:r>
        <w:rPr>
          <w:rFonts w:hint="eastAsia"/>
          <w:sz w:val="24"/>
          <w:szCs w:val="21"/>
          <w:highlight w:val="none"/>
        </w:rPr>
        <w:t>______</w:t>
      </w:r>
      <w:r>
        <w:rPr>
          <w:rFonts w:hint="eastAsia" w:hAnsiTheme="minorEastAsia"/>
          <w:sz w:val="24"/>
          <w:szCs w:val="21"/>
          <w:highlight w:val="none"/>
        </w:rPr>
        <w:t>单位的</w:t>
      </w:r>
      <w:r>
        <w:rPr>
          <w:rFonts w:hint="eastAsia"/>
          <w:sz w:val="24"/>
          <w:szCs w:val="21"/>
          <w:highlight w:val="none"/>
        </w:rPr>
        <w:t>______</w:t>
      </w:r>
      <w:r>
        <w:rPr>
          <w:rFonts w:hint="eastAsia" w:hAnsiTheme="minorEastAsia"/>
          <w:sz w:val="24"/>
          <w:szCs w:val="21"/>
          <w:highlight w:val="none"/>
        </w:rPr>
        <w:t>项目采购活动提供本单位制造的货物（由本单位承担工程</w:t>
      </w:r>
      <w:r>
        <w:rPr>
          <w:rFonts w:hint="eastAsia"/>
          <w:sz w:val="24"/>
          <w:szCs w:val="21"/>
          <w:highlight w:val="none"/>
        </w:rPr>
        <w:t>/</w:t>
      </w:r>
      <w:r>
        <w:rPr>
          <w:rFonts w:hint="eastAsia" w:hAnsiTheme="minorEastAsia"/>
          <w:sz w:val="24"/>
          <w:szCs w:val="21"/>
          <w:highlight w:val="none"/>
        </w:rPr>
        <w:t>提供服务），或者提供其他残疾人福利性单位制造的货物（不包括使用非残疾人福利性单位注册商标的货物）。</w:t>
      </w:r>
    </w:p>
    <w:p w14:paraId="6D96B9AA">
      <w:pPr>
        <w:snapToGrid w:val="0"/>
        <w:spacing w:line="360" w:lineRule="auto"/>
        <w:ind w:firstLine="448" w:firstLineChars="200"/>
        <w:rPr>
          <w:sz w:val="24"/>
          <w:szCs w:val="21"/>
          <w:highlight w:val="none"/>
        </w:rPr>
      </w:pPr>
      <w:r>
        <w:rPr>
          <w:rFonts w:hint="eastAsia" w:hAnsiTheme="minorEastAsia"/>
          <w:sz w:val="24"/>
          <w:szCs w:val="21"/>
          <w:highlight w:val="none"/>
        </w:rPr>
        <w:t>本单位对上述声明的真实性负责。如有虚假，将依法承担相应责任。</w:t>
      </w:r>
    </w:p>
    <w:p w14:paraId="4A5D9AF4">
      <w:pPr>
        <w:snapToGrid w:val="0"/>
        <w:spacing w:line="360" w:lineRule="auto"/>
        <w:ind w:firstLine="448" w:firstLineChars="200"/>
        <w:rPr>
          <w:sz w:val="24"/>
          <w:szCs w:val="21"/>
          <w:highlight w:val="none"/>
        </w:rPr>
      </w:pPr>
    </w:p>
    <w:p w14:paraId="040E6793">
      <w:pPr>
        <w:snapToGrid w:val="0"/>
        <w:spacing w:line="360" w:lineRule="auto"/>
        <w:ind w:firstLine="448" w:firstLineChars="200"/>
        <w:rPr>
          <w:sz w:val="24"/>
          <w:szCs w:val="21"/>
          <w:highlight w:val="none"/>
        </w:rPr>
      </w:pPr>
    </w:p>
    <w:p w14:paraId="37A81937">
      <w:pPr>
        <w:snapToGrid w:val="0"/>
        <w:spacing w:line="360" w:lineRule="auto"/>
        <w:ind w:firstLine="448" w:firstLineChars="200"/>
        <w:jc w:val="left"/>
        <w:rPr>
          <w:sz w:val="24"/>
          <w:szCs w:val="21"/>
          <w:highlight w:val="none"/>
        </w:rPr>
      </w:pPr>
      <w:r>
        <w:rPr>
          <w:rFonts w:hint="eastAsia" w:hAnsiTheme="minorEastAsia"/>
          <w:sz w:val="24"/>
          <w:szCs w:val="21"/>
          <w:highlight w:val="none"/>
        </w:rPr>
        <w:t>投标人名称：</w:t>
      </w:r>
    </w:p>
    <w:p w14:paraId="46DC3044">
      <w:pPr>
        <w:snapToGrid w:val="0"/>
        <w:spacing w:line="360" w:lineRule="auto"/>
        <w:ind w:firstLine="448" w:firstLineChars="200"/>
        <w:jc w:val="left"/>
        <w:rPr>
          <w:sz w:val="24"/>
          <w:szCs w:val="21"/>
          <w:highlight w:val="none"/>
        </w:rPr>
      </w:pPr>
    </w:p>
    <w:p w14:paraId="08348004">
      <w:pPr>
        <w:snapToGrid w:val="0"/>
        <w:spacing w:line="360" w:lineRule="auto"/>
        <w:ind w:firstLine="448" w:firstLineChars="200"/>
        <w:jc w:val="left"/>
        <w:rPr>
          <w:sz w:val="24"/>
          <w:szCs w:val="21"/>
          <w:highlight w:val="none"/>
        </w:rPr>
      </w:pPr>
      <w:r>
        <w:rPr>
          <w:rFonts w:hint="eastAsia" w:hAnsiTheme="minorEastAsia"/>
          <w:sz w:val="24"/>
          <w:szCs w:val="21"/>
          <w:highlight w:val="none"/>
        </w:rPr>
        <w:t>日期：年月日</w:t>
      </w:r>
    </w:p>
    <w:p w14:paraId="611FCEBA">
      <w:pPr>
        <w:snapToGrid w:val="0"/>
        <w:spacing w:line="360" w:lineRule="auto"/>
        <w:ind w:firstLine="448" w:firstLineChars="200"/>
        <w:jc w:val="left"/>
        <w:rPr>
          <w:sz w:val="24"/>
          <w:szCs w:val="21"/>
          <w:highlight w:val="none"/>
        </w:rPr>
      </w:pPr>
    </w:p>
    <w:p w14:paraId="1C4A9508">
      <w:pPr>
        <w:snapToGrid w:val="0"/>
        <w:spacing w:line="360" w:lineRule="auto"/>
        <w:ind w:firstLine="448" w:firstLineChars="200"/>
        <w:jc w:val="left"/>
        <w:rPr>
          <w:sz w:val="24"/>
          <w:szCs w:val="21"/>
          <w:highlight w:val="none"/>
        </w:rPr>
      </w:pPr>
    </w:p>
    <w:p w14:paraId="7444171D">
      <w:pPr>
        <w:snapToGrid w:val="0"/>
        <w:spacing w:line="360" w:lineRule="auto"/>
        <w:ind w:firstLine="448" w:firstLineChars="200"/>
        <w:rPr>
          <w:sz w:val="24"/>
          <w:szCs w:val="21"/>
          <w:highlight w:val="none"/>
        </w:rPr>
      </w:pPr>
      <w:r>
        <w:rPr>
          <w:rFonts w:hint="eastAsia" w:hAnsiTheme="minorEastAsia"/>
          <w:sz w:val="24"/>
          <w:szCs w:val="21"/>
          <w:highlight w:val="none"/>
        </w:rPr>
        <w:t>注：</w:t>
      </w:r>
    </w:p>
    <w:p w14:paraId="7337B11D">
      <w:pPr>
        <w:snapToGrid w:val="0"/>
        <w:spacing w:line="360" w:lineRule="auto"/>
        <w:ind w:firstLine="448" w:firstLineChars="200"/>
        <w:rPr>
          <w:b/>
          <w:sz w:val="24"/>
          <w:szCs w:val="21"/>
          <w:highlight w:val="none"/>
        </w:rPr>
      </w:pPr>
      <w:r>
        <w:rPr>
          <w:b/>
          <w:sz w:val="24"/>
          <w:szCs w:val="21"/>
          <w:highlight w:val="none"/>
        </w:rPr>
        <w:t>中标供应商为残疾人福利性单位的，将随中标结果同时公告其《残疾人福利性单位声明函》，接受社会监督。</w:t>
      </w:r>
    </w:p>
    <w:p w14:paraId="3A928FDC">
      <w:pPr>
        <w:snapToGrid w:val="0"/>
        <w:spacing w:line="360" w:lineRule="auto"/>
        <w:ind w:firstLine="448" w:firstLineChars="200"/>
        <w:rPr>
          <w:b/>
          <w:sz w:val="24"/>
          <w:szCs w:val="21"/>
          <w:highlight w:val="none"/>
        </w:rPr>
      </w:pPr>
      <w:r>
        <w:rPr>
          <w:b/>
          <w:kern w:val="0"/>
          <w:sz w:val="24"/>
          <w:szCs w:val="21"/>
          <w:highlight w:val="none"/>
        </w:rPr>
        <w:t>若不是残疾人福利性单位，投标文件中可不提供此声明函。</w:t>
      </w:r>
    </w:p>
    <w:p w14:paraId="23A5BB2C">
      <w:pPr>
        <w:widowControl/>
        <w:jc w:val="left"/>
        <w:rPr>
          <w:b/>
          <w:sz w:val="24"/>
          <w:highlight w:val="none"/>
        </w:rPr>
      </w:pPr>
      <w:r>
        <w:rPr>
          <w:b/>
          <w:sz w:val="24"/>
          <w:highlight w:val="none"/>
        </w:rPr>
        <w:br w:type="page"/>
      </w:r>
    </w:p>
    <w:p w14:paraId="280A4F11">
      <w:pPr>
        <w:spacing w:line="560" w:lineRule="exact"/>
        <w:jc w:val="left"/>
        <w:rPr>
          <w:b/>
          <w:sz w:val="24"/>
          <w:highlight w:val="none"/>
        </w:rPr>
      </w:pPr>
      <w:r>
        <w:rPr>
          <w:rFonts w:hAnsiTheme="minorEastAsia"/>
          <w:b/>
          <w:sz w:val="24"/>
          <w:highlight w:val="none"/>
        </w:rPr>
        <w:t>附件</w:t>
      </w:r>
      <w:r>
        <w:rPr>
          <w:rFonts w:hint="eastAsia"/>
          <w:b/>
          <w:sz w:val="24"/>
          <w:highlight w:val="none"/>
        </w:rPr>
        <w:t>10</w:t>
      </w:r>
      <w:r>
        <w:rPr>
          <w:rFonts w:hAnsiTheme="minorEastAsia"/>
          <w:b/>
          <w:sz w:val="24"/>
          <w:highlight w:val="none"/>
        </w:rPr>
        <w:t>：招标文件第</w:t>
      </w:r>
      <w:r>
        <w:rPr>
          <w:rFonts w:hint="eastAsia" w:hAnsiTheme="minorEastAsia"/>
          <w:b/>
          <w:sz w:val="24"/>
          <w:highlight w:val="none"/>
        </w:rPr>
        <w:t>一</w:t>
      </w:r>
      <w:r>
        <w:rPr>
          <w:rFonts w:hAnsiTheme="minorEastAsia"/>
          <w:b/>
          <w:sz w:val="24"/>
          <w:highlight w:val="none"/>
        </w:rPr>
        <w:t>部分供应商资格要求的证件</w:t>
      </w:r>
    </w:p>
    <w:p w14:paraId="2E880EFA">
      <w:pPr>
        <w:spacing w:line="560" w:lineRule="exact"/>
        <w:jc w:val="left"/>
        <w:rPr>
          <w:sz w:val="28"/>
          <w:highlight w:val="none"/>
        </w:rPr>
      </w:pPr>
    </w:p>
    <w:p w14:paraId="34B35175">
      <w:pPr>
        <w:spacing w:line="560" w:lineRule="exact"/>
        <w:jc w:val="left"/>
        <w:rPr>
          <w:sz w:val="28"/>
          <w:highlight w:val="none"/>
        </w:rPr>
      </w:pPr>
    </w:p>
    <w:p w14:paraId="5E48B7AA">
      <w:pPr>
        <w:spacing w:line="560" w:lineRule="exact"/>
        <w:jc w:val="left"/>
        <w:rPr>
          <w:sz w:val="28"/>
          <w:highlight w:val="none"/>
        </w:rPr>
      </w:pPr>
    </w:p>
    <w:p w14:paraId="26BADD82">
      <w:pPr>
        <w:spacing w:line="560" w:lineRule="exact"/>
        <w:jc w:val="left"/>
        <w:rPr>
          <w:sz w:val="28"/>
          <w:highlight w:val="none"/>
        </w:rPr>
      </w:pPr>
    </w:p>
    <w:p w14:paraId="69D09B84">
      <w:pPr>
        <w:spacing w:line="560" w:lineRule="exact"/>
        <w:jc w:val="left"/>
        <w:rPr>
          <w:sz w:val="28"/>
          <w:highlight w:val="none"/>
        </w:rPr>
      </w:pPr>
    </w:p>
    <w:p w14:paraId="02EB0840">
      <w:pPr>
        <w:spacing w:line="560" w:lineRule="exact"/>
        <w:jc w:val="left"/>
        <w:rPr>
          <w:sz w:val="28"/>
          <w:highlight w:val="none"/>
        </w:rPr>
      </w:pPr>
    </w:p>
    <w:p w14:paraId="0DA824F1">
      <w:pPr>
        <w:spacing w:line="560" w:lineRule="exact"/>
        <w:jc w:val="left"/>
        <w:rPr>
          <w:sz w:val="28"/>
          <w:highlight w:val="none"/>
        </w:rPr>
      </w:pPr>
    </w:p>
    <w:p w14:paraId="069DF30B">
      <w:pPr>
        <w:spacing w:line="560" w:lineRule="exact"/>
        <w:jc w:val="left"/>
        <w:rPr>
          <w:sz w:val="28"/>
          <w:highlight w:val="none"/>
        </w:rPr>
      </w:pPr>
    </w:p>
    <w:p w14:paraId="7481AE08">
      <w:pPr>
        <w:spacing w:line="560" w:lineRule="exact"/>
        <w:jc w:val="left"/>
        <w:rPr>
          <w:sz w:val="28"/>
          <w:highlight w:val="none"/>
        </w:rPr>
      </w:pPr>
    </w:p>
    <w:p w14:paraId="2DFE5C39">
      <w:pPr>
        <w:spacing w:line="560" w:lineRule="exact"/>
        <w:jc w:val="left"/>
        <w:rPr>
          <w:sz w:val="28"/>
          <w:highlight w:val="none"/>
        </w:rPr>
      </w:pPr>
    </w:p>
    <w:p w14:paraId="1224BF2A">
      <w:pPr>
        <w:spacing w:line="560" w:lineRule="exact"/>
        <w:jc w:val="left"/>
        <w:rPr>
          <w:sz w:val="28"/>
          <w:highlight w:val="none"/>
        </w:rPr>
      </w:pPr>
    </w:p>
    <w:p w14:paraId="26C67A89">
      <w:pPr>
        <w:spacing w:line="560" w:lineRule="exact"/>
        <w:jc w:val="left"/>
        <w:rPr>
          <w:sz w:val="28"/>
          <w:highlight w:val="none"/>
        </w:rPr>
      </w:pPr>
    </w:p>
    <w:p w14:paraId="2757B02A">
      <w:pPr>
        <w:spacing w:line="560" w:lineRule="exact"/>
        <w:jc w:val="left"/>
        <w:rPr>
          <w:sz w:val="28"/>
          <w:highlight w:val="none"/>
        </w:rPr>
      </w:pPr>
    </w:p>
    <w:p w14:paraId="6A0DFF4A">
      <w:pPr>
        <w:spacing w:line="560" w:lineRule="exact"/>
        <w:jc w:val="left"/>
        <w:rPr>
          <w:sz w:val="28"/>
          <w:highlight w:val="none"/>
        </w:rPr>
      </w:pPr>
    </w:p>
    <w:p w14:paraId="3607B763">
      <w:pPr>
        <w:spacing w:line="560" w:lineRule="exact"/>
        <w:jc w:val="left"/>
        <w:rPr>
          <w:sz w:val="28"/>
          <w:highlight w:val="none"/>
        </w:rPr>
      </w:pPr>
    </w:p>
    <w:p w14:paraId="61133451">
      <w:pPr>
        <w:spacing w:line="560" w:lineRule="exact"/>
        <w:jc w:val="left"/>
        <w:rPr>
          <w:sz w:val="28"/>
          <w:highlight w:val="none"/>
        </w:rPr>
      </w:pPr>
    </w:p>
    <w:p w14:paraId="38CB0216">
      <w:pPr>
        <w:spacing w:line="560" w:lineRule="exact"/>
        <w:jc w:val="left"/>
        <w:rPr>
          <w:sz w:val="28"/>
          <w:highlight w:val="none"/>
        </w:rPr>
      </w:pPr>
    </w:p>
    <w:p w14:paraId="5F1BC6BB">
      <w:pPr>
        <w:spacing w:line="560" w:lineRule="exact"/>
        <w:jc w:val="left"/>
        <w:rPr>
          <w:sz w:val="28"/>
          <w:highlight w:val="none"/>
        </w:rPr>
      </w:pPr>
    </w:p>
    <w:p w14:paraId="47A3CB60">
      <w:pPr>
        <w:spacing w:line="560" w:lineRule="exact"/>
        <w:jc w:val="left"/>
        <w:rPr>
          <w:sz w:val="28"/>
          <w:highlight w:val="none"/>
        </w:rPr>
      </w:pPr>
    </w:p>
    <w:p w14:paraId="71BDFABD">
      <w:pPr>
        <w:spacing w:line="560" w:lineRule="exact"/>
        <w:jc w:val="left"/>
        <w:rPr>
          <w:sz w:val="28"/>
          <w:highlight w:val="none"/>
        </w:rPr>
      </w:pPr>
    </w:p>
    <w:p w14:paraId="20490ED6">
      <w:pPr>
        <w:spacing w:line="560" w:lineRule="exact"/>
        <w:jc w:val="left"/>
        <w:rPr>
          <w:sz w:val="28"/>
          <w:highlight w:val="none"/>
        </w:rPr>
      </w:pPr>
    </w:p>
    <w:p w14:paraId="2DCAEA0E">
      <w:pPr>
        <w:spacing w:line="560" w:lineRule="exact"/>
        <w:jc w:val="left"/>
        <w:rPr>
          <w:sz w:val="28"/>
          <w:highlight w:val="none"/>
        </w:rPr>
      </w:pPr>
    </w:p>
    <w:p w14:paraId="5C81EB68">
      <w:pPr>
        <w:spacing w:line="560" w:lineRule="exact"/>
        <w:jc w:val="left"/>
        <w:rPr>
          <w:sz w:val="28"/>
          <w:highlight w:val="none"/>
        </w:rPr>
      </w:pPr>
    </w:p>
    <w:p w14:paraId="7F30EA31">
      <w:pPr>
        <w:widowControl/>
        <w:jc w:val="left"/>
        <w:rPr>
          <w:rFonts w:hAnsiTheme="minorEastAsia"/>
          <w:b/>
          <w:sz w:val="24"/>
          <w:highlight w:val="none"/>
        </w:rPr>
      </w:pPr>
      <w:r>
        <w:rPr>
          <w:rFonts w:hAnsiTheme="minorEastAsia"/>
          <w:b/>
          <w:sz w:val="24"/>
          <w:highlight w:val="none"/>
        </w:rPr>
        <w:br w:type="page"/>
      </w:r>
    </w:p>
    <w:p w14:paraId="12954BD8">
      <w:pPr>
        <w:snapToGrid w:val="0"/>
        <w:spacing w:line="360" w:lineRule="auto"/>
        <w:rPr>
          <w:b/>
          <w:bCs/>
          <w:sz w:val="24"/>
          <w:highlight w:val="none"/>
        </w:rPr>
      </w:pPr>
      <w:r>
        <w:rPr>
          <w:b/>
          <w:sz w:val="24"/>
          <w:highlight w:val="none"/>
        </w:rPr>
        <w:t>附件1</w:t>
      </w:r>
      <w:r>
        <w:rPr>
          <w:rFonts w:hint="eastAsia"/>
          <w:b/>
          <w:sz w:val="24"/>
          <w:highlight w:val="none"/>
        </w:rPr>
        <w:t>1</w:t>
      </w:r>
      <w:r>
        <w:rPr>
          <w:b/>
          <w:sz w:val="24"/>
          <w:highlight w:val="none"/>
        </w:rPr>
        <w:t>：招标文件</w:t>
      </w:r>
      <w:r>
        <w:rPr>
          <w:b/>
          <w:bCs/>
          <w:sz w:val="24"/>
          <w:highlight w:val="none"/>
        </w:rPr>
        <w:t>评分因素及评标标准中要求的证明材料电子件、方案等</w:t>
      </w:r>
    </w:p>
    <w:p w14:paraId="048B62A2">
      <w:pPr>
        <w:tabs>
          <w:tab w:val="left" w:pos="412"/>
          <w:tab w:val="left" w:pos="618"/>
        </w:tabs>
        <w:spacing w:line="520" w:lineRule="exact"/>
        <w:jc w:val="center"/>
        <w:rPr>
          <w:sz w:val="24"/>
          <w:szCs w:val="21"/>
          <w:highlight w:val="none"/>
        </w:rPr>
      </w:pPr>
    </w:p>
    <w:p w14:paraId="72538710">
      <w:pPr>
        <w:tabs>
          <w:tab w:val="left" w:pos="412"/>
          <w:tab w:val="left" w:pos="618"/>
        </w:tabs>
        <w:spacing w:line="520" w:lineRule="exact"/>
        <w:jc w:val="center"/>
        <w:rPr>
          <w:sz w:val="24"/>
          <w:szCs w:val="21"/>
          <w:highlight w:val="none"/>
        </w:rPr>
      </w:pPr>
    </w:p>
    <w:p w14:paraId="09716315">
      <w:pPr>
        <w:tabs>
          <w:tab w:val="left" w:pos="412"/>
          <w:tab w:val="left" w:pos="618"/>
        </w:tabs>
        <w:spacing w:line="520" w:lineRule="exact"/>
        <w:jc w:val="center"/>
        <w:rPr>
          <w:sz w:val="24"/>
          <w:szCs w:val="21"/>
          <w:highlight w:val="none"/>
        </w:rPr>
      </w:pPr>
    </w:p>
    <w:p w14:paraId="5DF2D041">
      <w:pPr>
        <w:widowControl/>
        <w:jc w:val="left"/>
        <w:rPr>
          <w:sz w:val="24"/>
          <w:szCs w:val="21"/>
          <w:highlight w:val="none"/>
        </w:rPr>
      </w:pPr>
      <w:r>
        <w:rPr>
          <w:sz w:val="24"/>
          <w:szCs w:val="21"/>
          <w:highlight w:val="none"/>
        </w:rPr>
        <w:br w:type="page"/>
      </w:r>
    </w:p>
    <w:p w14:paraId="472C2D39">
      <w:pPr>
        <w:snapToGrid w:val="0"/>
        <w:spacing w:line="360" w:lineRule="auto"/>
        <w:rPr>
          <w:b/>
          <w:sz w:val="24"/>
          <w:szCs w:val="21"/>
          <w:highlight w:val="none"/>
        </w:rPr>
      </w:pPr>
      <w:r>
        <w:rPr>
          <w:b/>
          <w:bCs/>
          <w:sz w:val="24"/>
          <w:highlight w:val="none"/>
        </w:rPr>
        <w:t>附件1</w:t>
      </w:r>
      <w:r>
        <w:rPr>
          <w:rFonts w:hint="eastAsia"/>
          <w:b/>
          <w:bCs/>
          <w:sz w:val="24"/>
          <w:highlight w:val="none"/>
        </w:rPr>
        <w:t>2</w:t>
      </w:r>
      <w:r>
        <w:rPr>
          <w:b/>
          <w:bCs/>
          <w:sz w:val="24"/>
          <w:highlight w:val="none"/>
        </w:rPr>
        <w:t>：</w:t>
      </w:r>
      <w:r>
        <w:rPr>
          <w:b/>
          <w:sz w:val="24"/>
          <w:highlight w:val="none"/>
        </w:rPr>
        <w:t>投标人认为需要提供的其他资料</w:t>
      </w:r>
    </w:p>
    <w:p w14:paraId="04CFB4DC">
      <w:pPr>
        <w:tabs>
          <w:tab w:val="left" w:pos="412"/>
          <w:tab w:val="left" w:pos="618"/>
        </w:tabs>
        <w:spacing w:line="520" w:lineRule="exact"/>
        <w:jc w:val="center"/>
        <w:rPr>
          <w:sz w:val="24"/>
          <w:szCs w:val="21"/>
          <w:highlight w:val="none"/>
        </w:rPr>
      </w:pPr>
    </w:p>
    <w:p w14:paraId="2F5A0489">
      <w:pPr>
        <w:pStyle w:val="15"/>
        <w:rPr>
          <w:rFonts w:ascii="Times New Roman" w:hAnsi="Times New Roman"/>
          <w:sz w:val="24"/>
          <w:szCs w:val="21"/>
          <w:highlight w:val="none"/>
        </w:rPr>
      </w:pPr>
    </w:p>
    <w:sectPr>
      <w:footerReference r:id="rId3"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
    <w:altName w:val="微软雅黑"/>
    <w:panose1 w:val="00000000000000000000"/>
    <w:charset w:val="86"/>
    <w:family w:val="roman"/>
    <w:pitch w:val="default"/>
    <w:sig w:usb0="00000000" w:usb1="00000000" w:usb2="0000001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25A97">
    <w:pPr>
      <w:pStyle w:val="13"/>
      <w:jc w:val="center"/>
    </w:pPr>
    <w:r>
      <w:rPr>
        <w:b/>
      </w:rPr>
      <w:fldChar w:fldCharType="begin"/>
    </w:r>
    <w:r>
      <w:rPr>
        <w:b/>
      </w:rPr>
      <w:instrText xml:space="preserve">PAGE  \* Arabic  \* MERGEFORMAT</w:instrText>
    </w:r>
    <w:r>
      <w:rPr>
        <w:b/>
      </w:rPr>
      <w:fldChar w:fldCharType="separate"/>
    </w:r>
    <w:r>
      <w:rPr>
        <w:b/>
        <w:lang w:val="zh-CN"/>
      </w:rPr>
      <w:t>114</w:t>
    </w:r>
    <w:r>
      <w:rPr>
        <w:b/>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00215"/>
    <w:multiLevelType w:val="singleLevel"/>
    <w:tmpl w:val="9BD00215"/>
    <w:lvl w:ilvl="0" w:tentative="0">
      <w:start w:val="1"/>
      <w:numFmt w:val="decimal"/>
      <w:suff w:val="nothing"/>
      <w:lvlText w:val="%1、"/>
      <w:lvlJc w:val="left"/>
    </w:lvl>
  </w:abstractNum>
  <w:abstractNum w:abstractNumId="1">
    <w:nsid w:val="BCF5A594"/>
    <w:multiLevelType w:val="singleLevel"/>
    <w:tmpl w:val="BCF5A594"/>
    <w:lvl w:ilvl="0" w:tentative="0">
      <w:start w:val="2"/>
      <w:numFmt w:val="decimal"/>
      <w:suff w:val="nothing"/>
      <w:lvlText w:val="%1、"/>
      <w:lvlJc w:val="left"/>
    </w:lvl>
  </w:abstractNum>
  <w:abstractNum w:abstractNumId="2">
    <w:nsid w:val="DB4A9401"/>
    <w:multiLevelType w:val="singleLevel"/>
    <w:tmpl w:val="DB4A9401"/>
    <w:lvl w:ilvl="0" w:tentative="0">
      <w:start w:val="1"/>
      <w:numFmt w:val="decimal"/>
      <w:suff w:val="nothing"/>
      <w:lvlText w:val="%1、"/>
      <w:lvlJc w:val="left"/>
    </w:lvl>
  </w:abstractNum>
  <w:abstractNum w:abstractNumId="3">
    <w:nsid w:val="DF1D2495"/>
    <w:multiLevelType w:val="singleLevel"/>
    <w:tmpl w:val="DF1D2495"/>
    <w:lvl w:ilvl="0" w:tentative="0">
      <w:start w:val="1"/>
      <w:numFmt w:val="decimal"/>
      <w:suff w:val="nothing"/>
      <w:lvlText w:val="%1、"/>
      <w:lvlJc w:val="left"/>
    </w:lvl>
  </w:abstractNum>
  <w:abstractNum w:abstractNumId="4">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5">
    <w:nsid w:val="1EF423E0"/>
    <w:multiLevelType w:val="multilevel"/>
    <w:tmpl w:val="1EF423E0"/>
    <w:lvl w:ilvl="0" w:tentative="0">
      <w:start w:val="1"/>
      <w:numFmt w:val="bullet"/>
      <w:lvlText w:val=""/>
      <w:lvlJc w:val="left"/>
      <w:pPr>
        <w:ind w:left="920" w:hanging="440"/>
      </w:pPr>
      <w:rPr>
        <w:rFonts w:hint="default" w:ascii="Wingdings" w:hAnsi="Wingdings"/>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abstractNum w:abstractNumId="6">
    <w:nsid w:val="1F5706BF"/>
    <w:multiLevelType w:val="multilevel"/>
    <w:tmpl w:val="1F5706BF"/>
    <w:lvl w:ilvl="0" w:tentative="0">
      <w:start w:val="1"/>
      <w:numFmt w:val="bullet"/>
      <w:lvlText w:val=""/>
      <w:lvlJc w:val="left"/>
      <w:pPr>
        <w:ind w:left="920" w:hanging="440"/>
      </w:pPr>
      <w:rPr>
        <w:rFonts w:hint="default" w:ascii="Wingdings" w:hAnsi="Wingdings"/>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abstractNum w:abstractNumId="7">
    <w:nsid w:val="2E4CA392"/>
    <w:multiLevelType w:val="singleLevel"/>
    <w:tmpl w:val="2E4CA392"/>
    <w:lvl w:ilvl="0" w:tentative="0">
      <w:start w:val="1"/>
      <w:numFmt w:val="decimal"/>
      <w:suff w:val="nothing"/>
      <w:lvlText w:val="%1、"/>
      <w:lvlJc w:val="left"/>
    </w:lvl>
  </w:abstractNum>
  <w:abstractNum w:abstractNumId="8">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6"/>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9">
    <w:nsid w:val="6665794C"/>
    <w:multiLevelType w:val="multilevel"/>
    <w:tmpl w:val="6665794C"/>
    <w:lvl w:ilvl="0" w:tentative="0">
      <w:start w:val="1"/>
      <w:numFmt w:val="bullet"/>
      <w:lvlText w:val=""/>
      <w:lvlJc w:val="left"/>
      <w:pPr>
        <w:ind w:left="920" w:hanging="440"/>
      </w:pPr>
      <w:rPr>
        <w:rFonts w:hint="default" w:ascii="Wingdings" w:hAnsi="Wingdings"/>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num w:numId="1">
    <w:abstractNumId w:val="8"/>
  </w:num>
  <w:num w:numId="2">
    <w:abstractNumId w:val="6"/>
  </w:num>
  <w:num w:numId="3">
    <w:abstractNumId w:val="9"/>
  </w:num>
  <w:num w:numId="4">
    <w:abstractNumId w:val="5"/>
  </w:num>
  <w:num w:numId="5">
    <w:abstractNumId w:val="0"/>
  </w:num>
  <w:num w:numId="6">
    <w:abstractNumId w:val="7"/>
  </w:num>
  <w:num w:numId="7">
    <w:abstractNumId w:val="2"/>
  </w:num>
  <w:num w:numId="8">
    <w:abstractNumId w:val="1"/>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832"/>
    <w:rsid w:val="00000D09"/>
    <w:rsid w:val="000014E1"/>
    <w:rsid w:val="00001FD1"/>
    <w:rsid w:val="00010DCF"/>
    <w:rsid w:val="00011B73"/>
    <w:rsid w:val="00013068"/>
    <w:rsid w:val="00013701"/>
    <w:rsid w:val="00013BB7"/>
    <w:rsid w:val="000142F9"/>
    <w:rsid w:val="00017C2D"/>
    <w:rsid w:val="00025169"/>
    <w:rsid w:val="000279E6"/>
    <w:rsid w:val="000308AC"/>
    <w:rsid w:val="00031715"/>
    <w:rsid w:val="00032015"/>
    <w:rsid w:val="00036A32"/>
    <w:rsid w:val="000403B6"/>
    <w:rsid w:val="00040BFA"/>
    <w:rsid w:val="0004130F"/>
    <w:rsid w:val="00042FFE"/>
    <w:rsid w:val="00045920"/>
    <w:rsid w:val="00046460"/>
    <w:rsid w:val="00046B3D"/>
    <w:rsid w:val="00050365"/>
    <w:rsid w:val="00053AAE"/>
    <w:rsid w:val="00055AED"/>
    <w:rsid w:val="00056208"/>
    <w:rsid w:val="0005643C"/>
    <w:rsid w:val="00056EF3"/>
    <w:rsid w:val="000607D4"/>
    <w:rsid w:val="00065BDD"/>
    <w:rsid w:val="00066326"/>
    <w:rsid w:val="0007081F"/>
    <w:rsid w:val="00072919"/>
    <w:rsid w:val="00074F44"/>
    <w:rsid w:val="000756A0"/>
    <w:rsid w:val="00075A17"/>
    <w:rsid w:val="00075AF1"/>
    <w:rsid w:val="00075C85"/>
    <w:rsid w:val="00076BA5"/>
    <w:rsid w:val="000826F9"/>
    <w:rsid w:val="00086439"/>
    <w:rsid w:val="00092400"/>
    <w:rsid w:val="00093397"/>
    <w:rsid w:val="000A260B"/>
    <w:rsid w:val="000A5CEA"/>
    <w:rsid w:val="000A62E5"/>
    <w:rsid w:val="000B1CA7"/>
    <w:rsid w:val="000B2975"/>
    <w:rsid w:val="000B4BF2"/>
    <w:rsid w:val="000B5BA1"/>
    <w:rsid w:val="000B78E8"/>
    <w:rsid w:val="000C337F"/>
    <w:rsid w:val="000C4541"/>
    <w:rsid w:val="000C6CA8"/>
    <w:rsid w:val="000C7A3F"/>
    <w:rsid w:val="000D26D7"/>
    <w:rsid w:val="000D2F5A"/>
    <w:rsid w:val="000D321F"/>
    <w:rsid w:val="000D3C29"/>
    <w:rsid w:val="000D514E"/>
    <w:rsid w:val="000D5DE9"/>
    <w:rsid w:val="000D690F"/>
    <w:rsid w:val="000E0044"/>
    <w:rsid w:val="000E1425"/>
    <w:rsid w:val="000E50F9"/>
    <w:rsid w:val="000E5380"/>
    <w:rsid w:val="000E6A76"/>
    <w:rsid w:val="000F08EE"/>
    <w:rsid w:val="000F1202"/>
    <w:rsid w:val="000F1454"/>
    <w:rsid w:val="000F48D9"/>
    <w:rsid w:val="000F4D4E"/>
    <w:rsid w:val="000F5C82"/>
    <w:rsid w:val="000F6957"/>
    <w:rsid w:val="001057D8"/>
    <w:rsid w:val="001148E6"/>
    <w:rsid w:val="001165C6"/>
    <w:rsid w:val="00120B9A"/>
    <w:rsid w:val="00121CDE"/>
    <w:rsid w:val="00123BF8"/>
    <w:rsid w:val="001256ED"/>
    <w:rsid w:val="0012609D"/>
    <w:rsid w:val="00126B4D"/>
    <w:rsid w:val="001303B1"/>
    <w:rsid w:val="00130AD2"/>
    <w:rsid w:val="00130B12"/>
    <w:rsid w:val="00132342"/>
    <w:rsid w:val="00136F51"/>
    <w:rsid w:val="00136FA7"/>
    <w:rsid w:val="001411F4"/>
    <w:rsid w:val="001415E2"/>
    <w:rsid w:val="00141664"/>
    <w:rsid w:val="001418B8"/>
    <w:rsid w:val="00143B4D"/>
    <w:rsid w:val="0014712D"/>
    <w:rsid w:val="00147C7C"/>
    <w:rsid w:val="001524A8"/>
    <w:rsid w:val="001548C7"/>
    <w:rsid w:val="00154B35"/>
    <w:rsid w:val="00155128"/>
    <w:rsid w:val="001659F0"/>
    <w:rsid w:val="00166A23"/>
    <w:rsid w:val="001704C8"/>
    <w:rsid w:val="001707F2"/>
    <w:rsid w:val="00170AF0"/>
    <w:rsid w:val="00173561"/>
    <w:rsid w:val="00176E4F"/>
    <w:rsid w:val="00181ED5"/>
    <w:rsid w:val="001834DA"/>
    <w:rsid w:val="001837F4"/>
    <w:rsid w:val="00184B7F"/>
    <w:rsid w:val="00185D85"/>
    <w:rsid w:val="00187959"/>
    <w:rsid w:val="00190D07"/>
    <w:rsid w:val="00193BCD"/>
    <w:rsid w:val="0019431D"/>
    <w:rsid w:val="00194FBC"/>
    <w:rsid w:val="00196A86"/>
    <w:rsid w:val="00196D6B"/>
    <w:rsid w:val="00196E07"/>
    <w:rsid w:val="001A0C29"/>
    <w:rsid w:val="001A142F"/>
    <w:rsid w:val="001A2919"/>
    <w:rsid w:val="001A3DE3"/>
    <w:rsid w:val="001A46F9"/>
    <w:rsid w:val="001A6C7C"/>
    <w:rsid w:val="001A7B79"/>
    <w:rsid w:val="001B5BEA"/>
    <w:rsid w:val="001B72DA"/>
    <w:rsid w:val="001B7417"/>
    <w:rsid w:val="001B78FF"/>
    <w:rsid w:val="001C0D8C"/>
    <w:rsid w:val="001C0E64"/>
    <w:rsid w:val="001C100F"/>
    <w:rsid w:val="001C1981"/>
    <w:rsid w:val="001C1AFF"/>
    <w:rsid w:val="001C3CB7"/>
    <w:rsid w:val="001C50CC"/>
    <w:rsid w:val="001D1850"/>
    <w:rsid w:val="001D4FB9"/>
    <w:rsid w:val="001E2963"/>
    <w:rsid w:val="001E3CB7"/>
    <w:rsid w:val="001E5483"/>
    <w:rsid w:val="001F185D"/>
    <w:rsid w:val="001F1DE0"/>
    <w:rsid w:val="001F2B50"/>
    <w:rsid w:val="001F345B"/>
    <w:rsid w:val="001F4AD6"/>
    <w:rsid w:val="001F65EF"/>
    <w:rsid w:val="001F6DCF"/>
    <w:rsid w:val="002027E3"/>
    <w:rsid w:val="00203828"/>
    <w:rsid w:val="00206328"/>
    <w:rsid w:val="002113A2"/>
    <w:rsid w:val="00212E26"/>
    <w:rsid w:val="00214D65"/>
    <w:rsid w:val="00215764"/>
    <w:rsid w:val="0021638D"/>
    <w:rsid w:val="00220883"/>
    <w:rsid w:val="00230077"/>
    <w:rsid w:val="002320BD"/>
    <w:rsid w:val="00233239"/>
    <w:rsid w:val="00234459"/>
    <w:rsid w:val="00234778"/>
    <w:rsid w:val="00235557"/>
    <w:rsid w:val="00240A5B"/>
    <w:rsid w:val="00243CBF"/>
    <w:rsid w:val="00243DC1"/>
    <w:rsid w:val="00244482"/>
    <w:rsid w:val="0024790F"/>
    <w:rsid w:val="00247A26"/>
    <w:rsid w:val="00250531"/>
    <w:rsid w:val="00251ED7"/>
    <w:rsid w:val="00253145"/>
    <w:rsid w:val="0025399D"/>
    <w:rsid w:val="00254F93"/>
    <w:rsid w:val="00256A4A"/>
    <w:rsid w:val="00256FF5"/>
    <w:rsid w:val="002575F6"/>
    <w:rsid w:val="00261C83"/>
    <w:rsid w:val="00264E8A"/>
    <w:rsid w:val="00265753"/>
    <w:rsid w:val="00265B2C"/>
    <w:rsid w:val="00266956"/>
    <w:rsid w:val="00266AAA"/>
    <w:rsid w:val="00274CF5"/>
    <w:rsid w:val="00275C48"/>
    <w:rsid w:val="00275DE7"/>
    <w:rsid w:val="00277AEF"/>
    <w:rsid w:val="002804EC"/>
    <w:rsid w:val="00280C49"/>
    <w:rsid w:val="002825C7"/>
    <w:rsid w:val="00283662"/>
    <w:rsid w:val="002850F6"/>
    <w:rsid w:val="00291CD4"/>
    <w:rsid w:val="00292BE5"/>
    <w:rsid w:val="00293728"/>
    <w:rsid w:val="00293B4A"/>
    <w:rsid w:val="002948B5"/>
    <w:rsid w:val="00294986"/>
    <w:rsid w:val="00294EAF"/>
    <w:rsid w:val="00295416"/>
    <w:rsid w:val="00295883"/>
    <w:rsid w:val="0029610C"/>
    <w:rsid w:val="00297EAE"/>
    <w:rsid w:val="002A1B62"/>
    <w:rsid w:val="002A39AE"/>
    <w:rsid w:val="002A4B3C"/>
    <w:rsid w:val="002A5E55"/>
    <w:rsid w:val="002A7AEA"/>
    <w:rsid w:val="002B3887"/>
    <w:rsid w:val="002B3BB4"/>
    <w:rsid w:val="002B3BFC"/>
    <w:rsid w:val="002B4BC0"/>
    <w:rsid w:val="002B538F"/>
    <w:rsid w:val="002C05E5"/>
    <w:rsid w:val="002C3B1D"/>
    <w:rsid w:val="002C696D"/>
    <w:rsid w:val="002D09CD"/>
    <w:rsid w:val="002D17E4"/>
    <w:rsid w:val="002D1D64"/>
    <w:rsid w:val="002D41E9"/>
    <w:rsid w:val="002D5B4E"/>
    <w:rsid w:val="002D5B5F"/>
    <w:rsid w:val="002E079A"/>
    <w:rsid w:val="002E1053"/>
    <w:rsid w:val="002E4551"/>
    <w:rsid w:val="002F1119"/>
    <w:rsid w:val="002F245E"/>
    <w:rsid w:val="002F4792"/>
    <w:rsid w:val="002F4FD8"/>
    <w:rsid w:val="002F7322"/>
    <w:rsid w:val="003036EA"/>
    <w:rsid w:val="00307016"/>
    <w:rsid w:val="0031086D"/>
    <w:rsid w:val="00313073"/>
    <w:rsid w:val="0031461A"/>
    <w:rsid w:val="003159EF"/>
    <w:rsid w:val="00320416"/>
    <w:rsid w:val="00321DA5"/>
    <w:rsid w:val="00322EA4"/>
    <w:rsid w:val="00325832"/>
    <w:rsid w:val="00325D0D"/>
    <w:rsid w:val="00330315"/>
    <w:rsid w:val="0033138A"/>
    <w:rsid w:val="00333F74"/>
    <w:rsid w:val="00343849"/>
    <w:rsid w:val="00343BA7"/>
    <w:rsid w:val="003473CD"/>
    <w:rsid w:val="0035257E"/>
    <w:rsid w:val="00355EEA"/>
    <w:rsid w:val="00355F01"/>
    <w:rsid w:val="003562E3"/>
    <w:rsid w:val="00357222"/>
    <w:rsid w:val="0036407A"/>
    <w:rsid w:val="00364265"/>
    <w:rsid w:val="00367868"/>
    <w:rsid w:val="0037085F"/>
    <w:rsid w:val="00371639"/>
    <w:rsid w:val="00373357"/>
    <w:rsid w:val="00373C07"/>
    <w:rsid w:val="00374D2C"/>
    <w:rsid w:val="0037542C"/>
    <w:rsid w:val="00377781"/>
    <w:rsid w:val="003778E8"/>
    <w:rsid w:val="00377DFB"/>
    <w:rsid w:val="00381EC7"/>
    <w:rsid w:val="003839AE"/>
    <w:rsid w:val="00383A58"/>
    <w:rsid w:val="003903CD"/>
    <w:rsid w:val="003904F7"/>
    <w:rsid w:val="003918BD"/>
    <w:rsid w:val="00391FD0"/>
    <w:rsid w:val="0039235B"/>
    <w:rsid w:val="003926CA"/>
    <w:rsid w:val="00394B36"/>
    <w:rsid w:val="00395727"/>
    <w:rsid w:val="003A4B1D"/>
    <w:rsid w:val="003A543A"/>
    <w:rsid w:val="003A7FEB"/>
    <w:rsid w:val="003B1443"/>
    <w:rsid w:val="003B2D9F"/>
    <w:rsid w:val="003B691D"/>
    <w:rsid w:val="003B6D2D"/>
    <w:rsid w:val="003B78E0"/>
    <w:rsid w:val="003C71A3"/>
    <w:rsid w:val="003C7A89"/>
    <w:rsid w:val="003D2EF8"/>
    <w:rsid w:val="003D5104"/>
    <w:rsid w:val="003D7C19"/>
    <w:rsid w:val="003E2404"/>
    <w:rsid w:val="003E2BBE"/>
    <w:rsid w:val="003E4B1B"/>
    <w:rsid w:val="003E5355"/>
    <w:rsid w:val="003E5E39"/>
    <w:rsid w:val="003E6E8F"/>
    <w:rsid w:val="003E71CA"/>
    <w:rsid w:val="003E7FA5"/>
    <w:rsid w:val="003F2099"/>
    <w:rsid w:val="003F26E5"/>
    <w:rsid w:val="003F64B7"/>
    <w:rsid w:val="003F68DF"/>
    <w:rsid w:val="003F6B18"/>
    <w:rsid w:val="003F7025"/>
    <w:rsid w:val="0040134A"/>
    <w:rsid w:val="00402BE6"/>
    <w:rsid w:val="00403986"/>
    <w:rsid w:val="0040553A"/>
    <w:rsid w:val="004055D4"/>
    <w:rsid w:val="0040569C"/>
    <w:rsid w:val="00410A95"/>
    <w:rsid w:val="00411416"/>
    <w:rsid w:val="00412894"/>
    <w:rsid w:val="00413972"/>
    <w:rsid w:val="004153D6"/>
    <w:rsid w:val="00415D1E"/>
    <w:rsid w:val="00415D39"/>
    <w:rsid w:val="00416AFE"/>
    <w:rsid w:val="004176FC"/>
    <w:rsid w:val="00424BD8"/>
    <w:rsid w:val="00424D37"/>
    <w:rsid w:val="00424F07"/>
    <w:rsid w:val="00426703"/>
    <w:rsid w:val="004267C9"/>
    <w:rsid w:val="00427F8D"/>
    <w:rsid w:val="00431536"/>
    <w:rsid w:val="00431C42"/>
    <w:rsid w:val="00432C99"/>
    <w:rsid w:val="004377AC"/>
    <w:rsid w:val="00437DB0"/>
    <w:rsid w:val="00441FDF"/>
    <w:rsid w:val="004424FE"/>
    <w:rsid w:val="00443C74"/>
    <w:rsid w:val="00445313"/>
    <w:rsid w:val="00446120"/>
    <w:rsid w:val="004519C8"/>
    <w:rsid w:val="00454160"/>
    <w:rsid w:val="004559D5"/>
    <w:rsid w:val="00455F7E"/>
    <w:rsid w:val="00457B84"/>
    <w:rsid w:val="00460809"/>
    <w:rsid w:val="00460AE2"/>
    <w:rsid w:val="00461A5D"/>
    <w:rsid w:val="00467BBC"/>
    <w:rsid w:val="004708E2"/>
    <w:rsid w:val="00472C82"/>
    <w:rsid w:val="00473E10"/>
    <w:rsid w:val="004740E4"/>
    <w:rsid w:val="004748EF"/>
    <w:rsid w:val="00480BCD"/>
    <w:rsid w:val="004826E0"/>
    <w:rsid w:val="004833B1"/>
    <w:rsid w:val="004933AF"/>
    <w:rsid w:val="00495ECD"/>
    <w:rsid w:val="004A0F57"/>
    <w:rsid w:val="004A18BA"/>
    <w:rsid w:val="004A1E95"/>
    <w:rsid w:val="004A3709"/>
    <w:rsid w:val="004A3B65"/>
    <w:rsid w:val="004A4934"/>
    <w:rsid w:val="004A4E98"/>
    <w:rsid w:val="004A59B1"/>
    <w:rsid w:val="004A7516"/>
    <w:rsid w:val="004A7F72"/>
    <w:rsid w:val="004B08A0"/>
    <w:rsid w:val="004B0FBD"/>
    <w:rsid w:val="004B2DBB"/>
    <w:rsid w:val="004B3F28"/>
    <w:rsid w:val="004B725D"/>
    <w:rsid w:val="004C13B0"/>
    <w:rsid w:val="004C3AC0"/>
    <w:rsid w:val="004D30C6"/>
    <w:rsid w:val="004D5F22"/>
    <w:rsid w:val="004D6145"/>
    <w:rsid w:val="004D6293"/>
    <w:rsid w:val="004D6546"/>
    <w:rsid w:val="004E0B40"/>
    <w:rsid w:val="004E38E3"/>
    <w:rsid w:val="004F55DE"/>
    <w:rsid w:val="004F5DC4"/>
    <w:rsid w:val="004F7B5C"/>
    <w:rsid w:val="0050174C"/>
    <w:rsid w:val="00502349"/>
    <w:rsid w:val="00502D44"/>
    <w:rsid w:val="00503972"/>
    <w:rsid w:val="00505330"/>
    <w:rsid w:val="00506C8E"/>
    <w:rsid w:val="00506CD1"/>
    <w:rsid w:val="005131C3"/>
    <w:rsid w:val="00513A4E"/>
    <w:rsid w:val="005152A6"/>
    <w:rsid w:val="00515B18"/>
    <w:rsid w:val="005201BE"/>
    <w:rsid w:val="00523F89"/>
    <w:rsid w:val="00524604"/>
    <w:rsid w:val="00525EE9"/>
    <w:rsid w:val="005268A6"/>
    <w:rsid w:val="005268E6"/>
    <w:rsid w:val="0053021A"/>
    <w:rsid w:val="00530D50"/>
    <w:rsid w:val="00531FCF"/>
    <w:rsid w:val="005329BE"/>
    <w:rsid w:val="0053326A"/>
    <w:rsid w:val="005334B4"/>
    <w:rsid w:val="005349D4"/>
    <w:rsid w:val="00537D63"/>
    <w:rsid w:val="005407BF"/>
    <w:rsid w:val="00542508"/>
    <w:rsid w:val="00543FCF"/>
    <w:rsid w:val="00544107"/>
    <w:rsid w:val="005449BE"/>
    <w:rsid w:val="005506BE"/>
    <w:rsid w:val="005506C7"/>
    <w:rsid w:val="005506CE"/>
    <w:rsid w:val="0055079B"/>
    <w:rsid w:val="005509D8"/>
    <w:rsid w:val="00550ADF"/>
    <w:rsid w:val="00550B2F"/>
    <w:rsid w:val="00553650"/>
    <w:rsid w:val="00555DDD"/>
    <w:rsid w:val="0055739D"/>
    <w:rsid w:val="0056011E"/>
    <w:rsid w:val="00562957"/>
    <w:rsid w:val="0056453E"/>
    <w:rsid w:val="00565F6E"/>
    <w:rsid w:val="00570D6F"/>
    <w:rsid w:val="0057120E"/>
    <w:rsid w:val="00571853"/>
    <w:rsid w:val="005718A8"/>
    <w:rsid w:val="00572118"/>
    <w:rsid w:val="00572CCF"/>
    <w:rsid w:val="00572E0A"/>
    <w:rsid w:val="005737C6"/>
    <w:rsid w:val="0057515A"/>
    <w:rsid w:val="00575DF4"/>
    <w:rsid w:val="00577CA1"/>
    <w:rsid w:val="00580546"/>
    <w:rsid w:val="005842A0"/>
    <w:rsid w:val="0058472E"/>
    <w:rsid w:val="00584D37"/>
    <w:rsid w:val="005862AB"/>
    <w:rsid w:val="0059202A"/>
    <w:rsid w:val="00593EC0"/>
    <w:rsid w:val="0059473B"/>
    <w:rsid w:val="005953CA"/>
    <w:rsid w:val="005960BA"/>
    <w:rsid w:val="00596608"/>
    <w:rsid w:val="005A2B3D"/>
    <w:rsid w:val="005A6731"/>
    <w:rsid w:val="005B352D"/>
    <w:rsid w:val="005B631B"/>
    <w:rsid w:val="005B6420"/>
    <w:rsid w:val="005C463B"/>
    <w:rsid w:val="005C5EB1"/>
    <w:rsid w:val="005D1B17"/>
    <w:rsid w:val="005D3683"/>
    <w:rsid w:val="005D3AB2"/>
    <w:rsid w:val="005D792B"/>
    <w:rsid w:val="005E0072"/>
    <w:rsid w:val="005E0F39"/>
    <w:rsid w:val="005E2966"/>
    <w:rsid w:val="005E6149"/>
    <w:rsid w:val="005E7FF4"/>
    <w:rsid w:val="005F09CC"/>
    <w:rsid w:val="005F2890"/>
    <w:rsid w:val="005F297C"/>
    <w:rsid w:val="005F3EB2"/>
    <w:rsid w:val="005F5EF3"/>
    <w:rsid w:val="006001B2"/>
    <w:rsid w:val="006014DA"/>
    <w:rsid w:val="006038D0"/>
    <w:rsid w:val="006044CF"/>
    <w:rsid w:val="006117A3"/>
    <w:rsid w:val="00611A86"/>
    <w:rsid w:val="00612BD3"/>
    <w:rsid w:val="00613FFB"/>
    <w:rsid w:val="00616B13"/>
    <w:rsid w:val="006179E3"/>
    <w:rsid w:val="00620130"/>
    <w:rsid w:val="00621FD4"/>
    <w:rsid w:val="00622893"/>
    <w:rsid w:val="00625361"/>
    <w:rsid w:val="0062548D"/>
    <w:rsid w:val="00627EB6"/>
    <w:rsid w:val="00630B07"/>
    <w:rsid w:val="00631029"/>
    <w:rsid w:val="00632268"/>
    <w:rsid w:val="006336ED"/>
    <w:rsid w:val="00633921"/>
    <w:rsid w:val="00635DAE"/>
    <w:rsid w:val="00637E05"/>
    <w:rsid w:val="00641801"/>
    <w:rsid w:val="00645C89"/>
    <w:rsid w:val="006478CA"/>
    <w:rsid w:val="00650C68"/>
    <w:rsid w:val="006633CF"/>
    <w:rsid w:val="0066588E"/>
    <w:rsid w:val="00665F3D"/>
    <w:rsid w:val="00670BE5"/>
    <w:rsid w:val="0067102C"/>
    <w:rsid w:val="006741E5"/>
    <w:rsid w:val="006802EF"/>
    <w:rsid w:val="00684B67"/>
    <w:rsid w:val="00685987"/>
    <w:rsid w:val="00690AD3"/>
    <w:rsid w:val="00690E39"/>
    <w:rsid w:val="006910E6"/>
    <w:rsid w:val="00692004"/>
    <w:rsid w:val="0069344F"/>
    <w:rsid w:val="00695CDD"/>
    <w:rsid w:val="00695E9E"/>
    <w:rsid w:val="006A1C8A"/>
    <w:rsid w:val="006A437D"/>
    <w:rsid w:val="006A4BDB"/>
    <w:rsid w:val="006A5D28"/>
    <w:rsid w:val="006A6F51"/>
    <w:rsid w:val="006A75E7"/>
    <w:rsid w:val="006B0EC3"/>
    <w:rsid w:val="006B52A7"/>
    <w:rsid w:val="006B5D2F"/>
    <w:rsid w:val="006B6887"/>
    <w:rsid w:val="006C0461"/>
    <w:rsid w:val="006C23C2"/>
    <w:rsid w:val="006C4E53"/>
    <w:rsid w:val="006C59A5"/>
    <w:rsid w:val="006C7FB3"/>
    <w:rsid w:val="006E0CD2"/>
    <w:rsid w:val="006E17B5"/>
    <w:rsid w:val="006E1997"/>
    <w:rsid w:val="006E2EB7"/>
    <w:rsid w:val="006E76A5"/>
    <w:rsid w:val="006F0645"/>
    <w:rsid w:val="006F1700"/>
    <w:rsid w:val="006F239F"/>
    <w:rsid w:val="0070070A"/>
    <w:rsid w:val="00703FBD"/>
    <w:rsid w:val="0071193F"/>
    <w:rsid w:val="0071299E"/>
    <w:rsid w:val="007236BA"/>
    <w:rsid w:val="007238DD"/>
    <w:rsid w:val="00723D02"/>
    <w:rsid w:val="00723D84"/>
    <w:rsid w:val="00723EDE"/>
    <w:rsid w:val="00724717"/>
    <w:rsid w:val="00725838"/>
    <w:rsid w:val="0072660C"/>
    <w:rsid w:val="007268B8"/>
    <w:rsid w:val="00726F9F"/>
    <w:rsid w:val="00727446"/>
    <w:rsid w:val="00727CF8"/>
    <w:rsid w:val="00730404"/>
    <w:rsid w:val="00731AB7"/>
    <w:rsid w:val="0074180F"/>
    <w:rsid w:val="007446DE"/>
    <w:rsid w:val="007449DB"/>
    <w:rsid w:val="00745DED"/>
    <w:rsid w:val="00746019"/>
    <w:rsid w:val="00746D3F"/>
    <w:rsid w:val="00750AB2"/>
    <w:rsid w:val="007532A0"/>
    <w:rsid w:val="00753331"/>
    <w:rsid w:val="00755358"/>
    <w:rsid w:val="007558DB"/>
    <w:rsid w:val="00755AB9"/>
    <w:rsid w:val="00757B8F"/>
    <w:rsid w:val="00757FB9"/>
    <w:rsid w:val="00760746"/>
    <w:rsid w:val="00765303"/>
    <w:rsid w:val="00765A27"/>
    <w:rsid w:val="00766299"/>
    <w:rsid w:val="00766870"/>
    <w:rsid w:val="00767923"/>
    <w:rsid w:val="007702C7"/>
    <w:rsid w:val="00771DD4"/>
    <w:rsid w:val="007737A3"/>
    <w:rsid w:val="007738A0"/>
    <w:rsid w:val="0077606A"/>
    <w:rsid w:val="0078146D"/>
    <w:rsid w:val="00781801"/>
    <w:rsid w:val="00784C33"/>
    <w:rsid w:val="007879E2"/>
    <w:rsid w:val="0079081E"/>
    <w:rsid w:val="0079363C"/>
    <w:rsid w:val="00793B6E"/>
    <w:rsid w:val="0079785B"/>
    <w:rsid w:val="007A4BB5"/>
    <w:rsid w:val="007A4FB6"/>
    <w:rsid w:val="007A5AEB"/>
    <w:rsid w:val="007A6AA6"/>
    <w:rsid w:val="007B1550"/>
    <w:rsid w:val="007B1B3A"/>
    <w:rsid w:val="007B3991"/>
    <w:rsid w:val="007B4E82"/>
    <w:rsid w:val="007B5D7F"/>
    <w:rsid w:val="007B66EC"/>
    <w:rsid w:val="007B7C1E"/>
    <w:rsid w:val="007C1B8F"/>
    <w:rsid w:val="007C1D1B"/>
    <w:rsid w:val="007C4C48"/>
    <w:rsid w:val="007D6EC1"/>
    <w:rsid w:val="007E1B6D"/>
    <w:rsid w:val="007E4CD6"/>
    <w:rsid w:val="007E59DB"/>
    <w:rsid w:val="007E73D8"/>
    <w:rsid w:val="007E78B2"/>
    <w:rsid w:val="007F1F0C"/>
    <w:rsid w:val="007F23EB"/>
    <w:rsid w:val="007F5589"/>
    <w:rsid w:val="007F55DE"/>
    <w:rsid w:val="007F79A8"/>
    <w:rsid w:val="008005A8"/>
    <w:rsid w:val="00802CE5"/>
    <w:rsid w:val="00805098"/>
    <w:rsid w:val="00807A77"/>
    <w:rsid w:val="00814C9A"/>
    <w:rsid w:val="008150AD"/>
    <w:rsid w:val="0081595F"/>
    <w:rsid w:val="00823A7E"/>
    <w:rsid w:val="008259FC"/>
    <w:rsid w:val="008304DA"/>
    <w:rsid w:val="00832534"/>
    <w:rsid w:val="0083284E"/>
    <w:rsid w:val="00834EDE"/>
    <w:rsid w:val="008353B1"/>
    <w:rsid w:val="00835D1F"/>
    <w:rsid w:val="00837228"/>
    <w:rsid w:val="0084384E"/>
    <w:rsid w:val="00843AA7"/>
    <w:rsid w:val="008444AE"/>
    <w:rsid w:val="008465BF"/>
    <w:rsid w:val="00851B4B"/>
    <w:rsid w:val="008527D8"/>
    <w:rsid w:val="00852A19"/>
    <w:rsid w:val="00852DD8"/>
    <w:rsid w:val="00852EBB"/>
    <w:rsid w:val="008545E7"/>
    <w:rsid w:val="0085585F"/>
    <w:rsid w:val="00855FFB"/>
    <w:rsid w:val="00856C7F"/>
    <w:rsid w:val="00861293"/>
    <w:rsid w:val="0086630A"/>
    <w:rsid w:val="00867821"/>
    <w:rsid w:val="00872A7C"/>
    <w:rsid w:val="00874016"/>
    <w:rsid w:val="008763F1"/>
    <w:rsid w:val="00880769"/>
    <w:rsid w:val="00883479"/>
    <w:rsid w:val="00883953"/>
    <w:rsid w:val="00885DD4"/>
    <w:rsid w:val="00886809"/>
    <w:rsid w:val="0088750D"/>
    <w:rsid w:val="008879C5"/>
    <w:rsid w:val="00890051"/>
    <w:rsid w:val="00890E84"/>
    <w:rsid w:val="0089306D"/>
    <w:rsid w:val="008951B3"/>
    <w:rsid w:val="00895914"/>
    <w:rsid w:val="008A1E8A"/>
    <w:rsid w:val="008A24A3"/>
    <w:rsid w:val="008A64B8"/>
    <w:rsid w:val="008B113A"/>
    <w:rsid w:val="008B202B"/>
    <w:rsid w:val="008B3001"/>
    <w:rsid w:val="008B3CFE"/>
    <w:rsid w:val="008B5DBC"/>
    <w:rsid w:val="008B73BC"/>
    <w:rsid w:val="008C3C92"/>
    <w:rsid w:val="008C4E8A"/>
    <w:rsid w:val="008C5330"/>
    <w:rsid w:val="008C73D5"/>
    <w:rsid w:val="008D32B0"/>
    <w:rsid w:val="008D394D"/>
    <w:rsid w:val="008D4422"/>
    <w:rsid w:val="008D640B"/>
    <w:rsid w:val="008E3C04"/>
    <w:rsid w:val="008E56E2"/>
    <w:rsid w:val="008E57F5"/>
    <w:rsid w:val="008F35A8"/>
    <w:rsid w:val="008F46E4"/>
    <w:rsid w:val="009016E3"/>
    <w:rsid w:val="0090233C"/>
    <w:rsid w:val="009039FB"/>
    <w:rsid w:val="0090766A"/>
    <w:rsid w:val="00911275"/>
    <w:rsid w:val="00913750"/>
    <w:rsid w:val="00913815"/>
    <w:rsid w:val="00913F09"/>
    <w:rsid w:val="00917496"/>
    <w:rsid w:val="0092151E"/>
    <w:rsid w:val="0092600D"/>
    <w:rsid w:val="00931D42"/>
    <w:rsid w:val="00932AD3"/>
    <w:rsid w:val="009332B8"/>
    <w:rsid w:val="0093523E"/>
    <w:rsid w:val="00935C40"/>
    <w:rsid w:val="0093630E"/>
    <w:rsid w:val="00936E99"/>
    <w:rsid w:val="0094212E"/>
    <w:rsid w:val="00942F6B"/>
    <w:rsid w:val="0094458A"/>
    <w:rsid w:val="0094466C"/>
    <w:rsid w:val="00945846"/>
    <w:rsid w:val="00947EC9"/>
    <w:rsid w:val="00951A8D"/>
    <w:rsid w:val="009533CE"/>
    <w:rsid w:val="00955B43"/>
    <w:rsid w:val="00955B47"/>
    <w:rsid w:val="0095612C"/>
    <w:rsid w:val="00960975"/>
    <w:rsid w:val="00961D54"/>
    <w:rsid w:val="00962A82"/>
    <w:rsid w:val="009662F0"/>
    <w:rsid w:val="00967BE2"/>
    <w:rsid w:val="0097354D"/>
    <w:rsid w:val="009739A9"/>
    <w:rsid w:val="00973E20"/>
    <w:rsid w:val="00974B43"/>
    <w:rsid w:val="009761E9"/>
    <w:rsid w:val="00977FB6"/>
    <w:rsid w:val="009809F0"/>
    <w:rsid w:val="009820A2"/>
    <w:rsid w:val="009829B0"/>
    <w:rsid w:val="00984AB0"/>
    <w:rsid w:val="0098544D"/>
    <w:rsid w:val="00986288"/>
    <w:rsid w:val="00987484"/>
    <w:rsid w:val="009908ED"/>
    <w:rsid w:val="009916E2"/>
    <w:rsid w:val="00993DBF"/>
    <w:rsid w:val="00994D53"/>
    <w:rsid w:val="0099688A"/>
    <w:rsid w:val="009A02C9"/>
    <w:rsid w:val="009A0D32"/>
    <w:rsid w:val="009A2C84"/>
    <w:rsid w:val="009A3371"/>
    <w:rsid w:val="009A3D6A"/>
    <w:rsid w:val="009A3F39"/>
    <w:rsid w:val="009A418D"/>
    <w:rsid w:val="009A4641"/>
    <w:rsid w:val="009A5F5B"/>
    <w:rsid w:val="009A70B1"/>
    <w:rsid w:val="009A7596"/>
    <w:rsid w:val="009B477B"/>
    <w:rsid w:val="009B50B5"/>
    <w:rsid w:val="009C0EA3"/>
    <w:rsid w:val="009C69C7"/>
    <w:rsid w:val="009C6FBB"/>
    <w:rsid w:val="009C792A"/>
    <w:rsid w:val="009D061F"/>
    <w:rsid w:val="009D187B"/>
    <w:rsid w:val="009D1E28"/>
    <w:rsid w:val="009D2385"/>
    <w:rsid w:val="009D24A0"/>
    <w:rsid w:val="009D49FE"/>
    <w:rsid w:val="009D52B6"/>
    <w:rsid w:val="009D5C8E"/>
    <w:rsid w:val="009E0499"/>
    <w:rsid w:val="009E105F"/>
    <w:rsid w:val="009E2558"/>
    <w:rsid w:val="009E3B6B"/>
    <w:rsid w:val="009E44DC"/>
    <w:rsid w:val="009E7D35"/>
    <w:rsid w:val="009F2269"/>
    <w:rsid w:val="009F3382"/>
    <w:rsid w:val="009F598A"/>
    <w:rsid w:val="009F5AC3"/>
    <w:rsid w:val="009F60C9"/>
    <w:rsid w:val="00A002FE"/>
    <w:rsid w:val="00A02228"/>
    <w:rsid w:val="00A03C90"/>
    <w:rsid w:val="00A03EDD"/>
    <w:rsid w:val="00A044CA"/>
    <w:rsid w:val="00A0475A"/>
    <w:rsid w:val="00A050E6"/>
    <w:rsid w:val="00A05682"/>
    <w:rsid w:val="00A06370"/>
    <w:rsid w:val="00A06870"/>
    <w:rsid w:val="00A071FC"/>
    <w:rsid w:val="00A07548"/>
    <w:rsid w:val="00A11FFD"/>
    <w:rsid w:val="00A12C8D"/>
    <w:rsid w:val="00A148A6"/>
    <w:rsid w:val="00A15361"/>
    <w:rsid w:val="00A15D9F"/>
    <w:rsid w:val="00A2223B"/>
    <w:rsid w:val="00A252F0"/>
    <w:rsid w:val="00A264A9"/>
    <w:rsid w:val="00A26C90"/>
    <w:rsid w:val="00A317D9"/>
    <w:rsid w:val="00A3561D"/>
    <w:rsid w:val="00A35793"/>
    <w:rsid w:val="00A35BC5"/>
    <w:rsid w:val="00A36777"/>
    <w:rsid w:val="00A41A92"/>
    <w:rsid w:val="00A43224"/>
    <w:rsid w:val="00A440E2"/>
    <w:rsid w:val="00A45815"/>
    <w:rsid w:val="00A5132F"/>
    <w:rsid w:val="00A5241A"/>
    <w:rsid w:val="00A53C66"/>
    <w:rsid w:val="00A54763"/>
    <w:rsid w:val="00A55CB3"/>
    <w:rsid w:val="00A57696"/>
    <w:rsid w:val="00A60795"/>
    <w:rsid w:val="00A60AF2"/>
    <w:rsid w:val="00A62455"/>
    <w:rsid w:val="00A63263"/>
    <w:rsid w:val="00A635D6"/>
    <w:rsid w:val="00A64F8F"/>
    <w:rsid w:val="00A711EB"/>
    <w:rsid w:val="00A77D06"/>
    <w:rsid w:val="00A8009D"/>
    <w:rsid w:val="00A80AAB"/>
    <w:rsid w:val="00A81A7A"/>
    <w:rsid w:val="00A82EE7"/>
    <w:rsid w:val="00A90C1C"/>
    <w:rsid w:val="00A90DDC"/>
    <w:rsid w:val="00A90E13"/>
    <w:rsid w:val="00A92667"/>
    <w:rsid w:val="00A92A1A"/>
    <w:rsid w:val="00A936E7"/>
    <w:rsid w:val="00A9562A"/>
    <w:rsid w:val="00A959A5"/>
    <w:rsid w:val="00A97408"/>
    <w:rsid w:val="00A97998"/>
    <w:rsid w:val="00A979D9"/>
    <w:rsid w:val="00AA0DD9"/>
    <w:rsid w:val="00AA0FDA"/>
    <w:rsid w:val="00AA1865"/>
    <w:rsid w:val="00AA2CF3"/>
    <w:rsid w:val="00AA3118"/>
    <w:rsid w:val="00AA6B88"/>
    <w:rsid w:val="00AA772B"/>
    <w:rsid w:val="00AB0817"/>
    <w:rsid w:val="00AB0F96"/>
    <w:rsid w:val="00AB1AAB"/>
    <w:rsid w:val="00AB1AB2"/>
    <w:rsid w:val="00AB1F49"/>
    <w:rsid w:val="00AB2E38"/>
    <w:rsid w:val="00AB3D31"/>
    <w:rsid w:val="00AB472B"/>
    <w:rsid w:val="00AB6076"/>
    <w:rsid w:val="00AC04F7"/>
    <w:rsid w:val="00AC0B2F"/>
    <w:rsid w:val="00AC3AB3"/>
    <w:rsid w:val="00AC6628"/>
    <w:rsid w:val="00AC6BDD"/>
    <w:rsid w:val="00AC7CD8"/>
    <w:rsid w:val="00AD4123"/>
    <w:rsid w:val="00AE15EA"/>
    <w:rsid w:val="00AE1773"/>
    <w:rsid w:val="00AE183F"/>
    <w:rsid w:val="00AE20C6"/>
    <w:rsid w:val="00AE2C34"/>
    <w:rsid w:val="00AE2ECF"/>
    <w:rsid w:val="00AE4505"/>
    <w:rsid w:val="00AE52B0"/>
    <w:rsid w:val="00AE5C1F"/>
    <w:rsid w:val="00AF06D9"/>
    <w:rsid w:val="00AF3DA6"/>
    <w:rsid w:val="00AF4C34"/>
    <w:rsid w:val="00AF65F0"/>
    <w:rsid w:val="00B012DE"/>
    <w:rsid w:val="00B05458"/>
    <w:rsid w:val="00B06628"/>
    <w:rsid w:val="00B07152"/>
    <w:rsid w:val="00B10B2D"/>
    <w:rsid w:val="00B1328E"/>
    <w:rsid w:val="00B136A7"/>
    <w:rsid w:val="00B13707"/>
    <w:rsid w:val="00B13CD0"/>
    <w:rsid w:val="00B208E4"/>
    <w:rsid w:val="00B2233E"/>
    <w:rsid w:val="00B24A31"/>
    <w:rsid w:val="00B25107"/>
    <w:rsid w:val="00B2567C"/>
    <w:rsid w:val="00B26508"/>
    <w:rsid w:val="00B31F81"/>
    <w:rsid w:val="00B32A76"/>
    <w:rsid w:val="00B32C88"/>
    <w:rsid w:val="00B331B2"/>
    <w:rsid w:val="00B37FB0"/>
    <w:rsid w:val="00B4237D"/>
    <w:rsid w:val="00B424BA"/>
    <w:rsid w:val="00B42656"/>
    <w:rsid w:val="00B443B4"/>
    <w:rsid w:val="00B45888"/>
    <w:rsid w:val="00B45B15"/>
    <w:rsid w:val="00B51D96"/>
    <w:rsid w:val="00B53BAF"/>
    <w:rsid w:val="00B53BD7"/>
    <w:rsid w:val="00B55825"/>
    <w:rsid w:val="00B558D2"/>
    <w:rsid w:val="00B56096"/>
    <w:rsid w:val="00B601A7"/>
    <w:rsid w:val="00B62B11"/>
    <w:rsid w:val="00B6637D"/>
    <w:rsid w:val="00B666EF"/>
    <w:rsid w:val="00B671A0"/>
    <w:rsid w:val="00B672EC"/>
    <w:rsid w:val="00B703FD"/>
    <w:rsid w:val="00B714B3"/>
    <w:rsid w:val="00B7176B"/>
    <w:rsid w:val="00B728F9"/>
    <w:rsid w:val="00B73509"/>
    <w:rsid w:val="00B8141F"/>
    <w:rsid w:val="00B83D1A"/>
    <w:rsid w:val="00B84566"/>
    <w:rsid w:val="00B85D52"/>
    <w:rsid w:val="00B86890"/>
    <w:rsid w:val="00B90E88"/>
    <w:rsid w:val="00B91501"/>
    <w:rsid w:val="00B9219B"/>
    <w:rsid w:val="00B92D7E"/>
    <w:rsid w:val="00BA126A"/>
    <w:rsid w:val="00BA33E7"/>
    <w:rsid w:val="00BA48C0"/>
    <w:rsid w:val="00BA4E83"/>
    <w:rsid w:val="00BB09D4"/>
    <w:rsid w:val="00BB21E1"/>
    <w:rsid w:val="00BB6976"/>
    <w:rsid w:val="00BC035C"/>
    <w:rsid w:val="00BC2979"/>
    <w:rsid w:val="00BC3170"/>
    <w:rsid w:val="00BC5201"/>
    <w:rsid w:val="00BC5D73"/>
    <w:rsid w:val="00BC6742"/>
    <w:rsid w:val="00BC74D7"/>
    <w:rsid w:val="00BC78CE"/>
    <w:rsid w:val="00BD0EA1"/>
    <w:rsid w:val="00BD11D6"/>
    <w:rsid w:val="00BD3DB6"/>
    <w:rsid w:val="00BD5A2E"/>
    <w:rsid w:val="00BD751A"/>
    <w:rsid w:val="00BE0257"/>
    <w:rsid w:val="00BE20B2"/>
    <w:rsid w:val="00BE4FFC"/>
    <w:rsid w:val="00BF121B"/>
    <w:rsid w:val="00BF1387"/>
    <w:rsid w:val="00BF27F1"/>
    <w:rsid w:val="00BF3297"/>
    <w:rsid w:val="00BF3B42"/>
    <w:rsid w:val="00BF402E"/>
    <w:rsid w:val="00BF4915"/>
    <w:rsid w:val="00C01AD0"/>
    <w:rsid w:val="00C030CD"/>
    <w:rsid w:val="00C045E5"/>
    <w:rsid w:val="00C05020"/>
    <w:rsid w:val="00C0504F"/>
    <w:rsid w:val="00C0765F"/>
    <w:rsid w:val="00C07C56"/>
    <w:rsid w:val="00C137F2"/>
    <w:rsid w:val="00C1421A"/>
    <w:rsid w:val="00C1584D"/>
    <w:rsid w:val="00C23233"/>
    <w:rsid w:val="00C23D41"/>
    <w:rsid w:val="00C243BC"/>
    <w:rsid w:val="00C24668"/>
    <w:rsid w:val="00C25308"/>
    <w:rsid w:val="00C258AC"/>
    <w:rsid w:val="00C27942"/>
    <w:rsid w:val="00C337B7"/>
    <w:rsid w:val="00C352E4"/>
    <w:rsid w:val="00C37976"/>
    <w:rsid w:val="00C37DF9"/>
    <w:rsid w:val="00C425FC"/>
    <w:rsid w:val="00C45B01"/>
    <w:rsid w:val="00C4698B"/>
    <w:rsid w:val="00C55371"/>
    <w:rsid w:val="00C553EC"/>
    <w:rsid w:val="00C555A4"/>
    <w:rsid w:val="00C55AB7"/>
    <w:rsid w:val="00C55ACC"/>
    <w:rsid w:val="00C56A67"/>
    <w:rsid w:val="00C6143B"/>
    <w:rsid w:val="00C637D6"/>
    <w:rsid w:val="00C64598"/>
    <w:rsid w:val="00C6657F"/>
    <w:rsid w:val="00C67013"/>
    <w:rsid w:val="00C70374"/>
    <w:rsid w:val="00C720A2"/>
    <w:rsid w:val="00C7230E"/>
    <w:rsid w:val="00C72A5F"/>
    <w:rsid w:val="00C74859"/>
    <w:rsid w:val="00C8474B"/>
    <w:rsid w:val="00C90170"/>
    <w:rsid w:val="00C90EDD"/>
    <w:rsid w:val="00C92ED5"/>
    <w:rsid w:val="00CA05BC"/>
    <w:rsid w:val="00CA0D71"/>
    <w:rsid w:val="00CA262C"/>
    <w:rsid w:val="00CA2A97"/>
    <w:rsid w:val="00CA3960"/>
    <w:rsid w:val="00CB0677"/>
    <w:rsid w:val="00CB1696"/>
    <w:rsid w:val="00CB39AA"/>
    <w:rsid w:val="00CC3889"/>
    <w:rsid w:val="00CC3D49"/>
    <w:rsid w:val="00CC4E0C"/>
    <w:rsid w:val="00CD0B61"/>
    <w:rsid w:val="00CD214D"/>
    <w:rsid w:val="00CD2457"/>
    <w:rsid w:val="00CD3E4C"/>
    <w:rsid w:val="00CD4977"/>
    <w:rsid w:val="00CD4D29"/>
    <w:rsid w:val="00CD5427"/>
    <w:rsid w:val="00CD620E"/>
    <w:rsid w:val="00CE143E"/>
    <w:rsid w:val="00CE33FF"/>
    <w:rsid w:val="00CE48BF"/>
    <w:rsid w:val="00CF1AAC"/>
    <w:rsid w:val="00CF31B8"/>
    <w:rsid w:val="00CF3D52"/>
    <w:rsid w:val="00CF4653"/>
    <w:rsid w:val="00CF492A"/>
    <w:rsid w:val="00CF4DE8"/>
    <w:rsid w:val="00CF5CBE"/>
    <w:rsid w:val="00CF6792"/>
    <w:rsid w:val="00CF6EAD"/>
    <w:rsid w:val="00D03B36"/>
    <w:rsid w:val="00D06931"/>
    <w:rsid w:val="00D12CAF"/>
    <w:rsid w:val="00D13280"/>
    <w:rsid w:val="00D13923"/>
    <w:rsid w:val="00D15990"/>
    <w:rsid w:val="00D16098"/>
    <w:rsid w:val="00D16A49"/>
    <w:rsid w:val="00D2261A"/>
    <w:rsid w:val="00D260FE"/>
    <w:rsid w:val="00D31467"/>
    <w:rsid w:val="00D3372F"/>
    <w:rsid w:val="00D43D4D"/>
    <w:rsid w:val="00D470D2"/>
    <w:rsid w:val="00D5068B"/>
    <w:rsid w:val="00D57E7B"/>
    <w:rsid w:val="00D616C1"/>
    <w:rsid w:val="00D65F9B"/>
    <w:rsid w:val="00D6662E"/>
    <w:rsid w:val="00D6763D"/>
    <w:rsid w:val="00D679E2"/>
    <w:rsid w:val="00D73247"/>
    <w:rsid w:val="00D76D82"/>
    <w:rsid w:val="00D8223A"/>
    <w:rsid w:val="00D8458A"/>
    <w:rsid w:val="00D85E94"/>
    <w:rsid w:val="00D872E5"/>
    <w:rsid w:val="00D873D6"/>
    <w:rsid w:val="00D87A4B"/>
    <w:rsid w:val="00D87A82"/>
    <w:rsid w:val="00D94293"/>
    <w:rsid w:val="00D9463C"/>
    <w:rsid w:val="00D94BC3"/>
    <w:rsid w:val="00D9515A"/>
    <w:rsid w:val="00DA065A"/>
    <w:rsid w:val="00DA1C99"/>
    <w:rsid w:val="00DA30D4"/>
    <w:rsid w:val="00DA3B07"/>
    <w:rsid w:val="00DA43E2"/>
    <w:rsid w:val="00DA44A4"/>
    <w:rsid w:val="00DA4AE5"/>
    <w:rsid w:val="00DA5924"/>
    <w:rsid w:val="00DA6E94"/>
    <w:rsid w:val="00DA75BE"/>
    <w:rsid w:val="00DB1959"/>
    <w:rsid w:val="00DB32FF"/>
    <w:rsid w:val="00DB3474"/>
    <w:rsid w:val="00DB491A"/>
    <w:rsid w:val="00DB682A"/>
    <w:rsid w:val="00DB6FD4"/>
    <w:rsid w:val="00DC1E27"/>
    <w:rsid w:val="00DC5888"/>
    <w:rsid w:val="00DD1519"/>
    <w:rsid w:val="00DD1FB1"/>
    <w:rsid w:val="00DD4A57"/>
    <w:rsid w:val="00DD4D01"/>
    <w:rsid w:val="00DD65D1"/>
    <w:rsid w:val="00DD66F0"/>
    <w:rsid w:val="00DD7985"/>
    <w:rsid w:val="00DE45AA"/>
    <w:rsid w:val="00DE4901"/>
    <w:rsid w:val="00DE5B26"/>
    <w:rsid w:val="00DE766C"/>
    <w:rsid w:val="00DE78D0"/>
    <w:rsid w:val="00DF03C2"/>
    <w:rsid w:val="00DF12BE"/>
    <w:rsid w:val="00DF2A97"/>
    <w:rsid w:val="00DF70B1"/>
    <w:rsid w:val="00DF7E40"/>
    <w:rsid w:val="00E03E6D"/>
    <w:rsid w:val="00E0438B"/>
    <w:rsid w:val="00E07B01"/>
    <w:rsid w:val="00E12E28"/>
    <w:rsid w:val="00E15D14"/>
    <w:rsid w:val="00E20F2B"/>
    <w:rsid w:val="00E227FF"/>
    <w:rsid w:val="00E22C56"/>
    <w:rsid w:val="00E235A2"/>
    <w:rsid w:val="00E25042"/>
    <w:rsid w:val="00E26969"/>
    <w:rsid w:val="00E269BA"/>
    <w:rsid w:val="00E3578B"/>
    <w:rsid w:val="00E40D53"/>
    <w:rsid w:val="00E40E5F"/>
    <w:rsid w:val="00E41D23"/>
    <w:rsid w:val="00E4390F"/>
    <w:rsid w:val="00E455E0"/>
    <w:rsid w:val="00E511F8"/>
    <w:rsid w:val="00E53369"/>
    <w:rsid w:val="00E575B1"/>
    <w:rsid w:val="00E578C5"/>
    <w:rsid w:val="00E60CAD"/>
    <w:rsid w:val="00E618AE"/>
    <w:rsid w:val="00E619CC"/>
    <w:rsid w:val="00E6480D"/>
    <w:rsid w:val="00E658A6"/>
    <w:rsid w:val="00E67265"/>
    <w:rsid w:val="00E70592"/>
    <w:rsid w:val="00E716E0"/>
    <w:rsid w:val="00E71BED"/>
    <w:rsid w:val="00E7435F"/>
    <w:rsid w:val="00E74899"/>
    <w:rsid w:val="00E753DF"/>
    <w:rsid w:val="00E77325"/>
    <w:rsid w:val="00E81B33"/>
    <w:rsid w:val="00E81D71"/>
    <w:rsid w:val="00E839EF"/>
    <w:rsid w:val="00E84D20"/>
    <w:rsid w:val="00E85C37"/>
    <w:rsid w:val="00E902A9"/>
    <w:rsid w:val="00E92A1C"/>
    <w:rsid w:val="00E92C60"/>
    <w:rsid w:val="00E940DA"/>
    <w:rsid w:val="00E94513"/>
    <w:rsid w:val="00E96E45"/>
    <w:rsid w:val="00EA3BA2"/>
    <w:rsid w:val="00EA48B8"/>
    <w:rsid w:val="00EA6EC8"/>
    <w:rsid w:val="00EA795D"/>
    <w:rsid w:val="00EB01B6"/>
    <w:rsid w:val="00EB1F35"/>
    <w:rsid w:val="00EB39C5"/>
    <w:rsid w:val="00EB47D5"/>
    <w:rsid w:val="00EB6C44"/>
    <w:rsid w:val="00EC07CF"/>
    <w:rsid w:val="00EC0FB5"/>
    <w:rsid w:val="00EC2739"/>
    <w:rsid w:val="00EC29FA"/>
    <w:rsid w:val="00EC2CB4"/>
    <w:rsid w:val="00EC2FAA"/>
    <w:rsid w:val="00EC36BA"/>
    <w:rsid w:val="00EC3ACA"/>
    <w:rsid w:val="00EC4477"/>
    <w:rsid w:val="00EC6E7D"/>
    <w:rsid w:val="00ED080B"/>
    <w:rsid w:val="00ED0E03"/>
    <w:rsid w:val="00ED3B82"/>
    <w:rsid w:val="00ED3E72"/>
    <w:rsid w:val="00ED4B6D"/>
    <w:rsid w:val="00ED6893"/>
    <w:rsid w:val="00EE1326"/>
    <w:rsid w:val="00EE564B"/>
    <w:rsid w:val="00EE5B7A"/>
    <w:rsid w:val="00EE79D6"/>
    <w:rsid w:val="00EF0D03"/>
    <w:rsid w:val="00EF0E84"/>
    <w:rsid w:val="00EF18D1"/>
    <w:rsid w:val="00EF35FB"/>
    <w:rsid w:val="00EF5154"/>
    <w:rsid w:val="00EF5351"/>
    <w:rsid w:val="00EF7338"/>
    <w:rsid w:val="00F0350D"/>
    <w:rsid w:val="00F041C4"/>
    <w:rsid w:val="00F04F5F"/>
    <w:rsid w:val="00F04FF1"/>
    <w:rsid w:val="00F06129"/>
    <w:rsid w:val="00F06646"/>
    <w:rsid w:val="00F0691A"/>
    <w:rsid w:val="00F07FF9"/>
    <w:rsid w:val="00F1082E"/>
    <w:rsid w:val="00F120EE"/>
    <w:rsid w:val="00F1385D"/>
    <w:rsid w:val="00F238DF"/>
    <w:rsid w:val="00F24726"/>
    <w:rsid w:val="00F25204"/>
    <w:rsid w:val="00F25738"/>
    <w:rsid w:val="00F25935"/>
    <w:rsid w:val="00F306C7"/>
    <w:rsid w:val="00F32D89"/>
    <w:rsid w:val="00F32F05"/>
    <w:rsid w:val="00F33DDF"/>
    <w:rsid w:val="00F374A1"/>
    <w:rsid w:val="00F40389"/>
    <w:rsid w:val="00F40717"/>
    <w:rsid w:val="00F41B8B"/>
    <w:rsid w:val="00F436AA"/>
    <w:rsid w:val="00F43FF6"/>
    <w:rsid w:val="00F51AD2"/>
    <w:rsid w:val="00F53829"/>
    <w:rsid w:val="00F57097"/>
    <w:rsid w:val="00F576F0"/>
    <w:rsid w:val="00F61CAD"/>
    <w:rsid w:val="00F62AA7"/>
    <w:rsid w:val="00F66060"/>
    <w:rsid w:val="00F66DD2"/>
    <w:rsid w:val="00F67C9D"/>
    <w:rsid w:val="00F70820"/>
    <w:rsid w:val="00F749C4"/>
    <w:rsid w:val="00F81A86"/>
    <w:rsid w:val="00F86DB5"/>
    <w:rsid w:val="00F86E3C"/>
    <w:rsid w:val="00F86E7B"/>
    <w:rsid w:val="00F9117A"/>
    <w:rsid w:val="00F91EB6"/>
    <w:rsid w:val="00F9231F"/>
    <w:rsid w:val="00F92891"/>
    <w:rsid w:val="00F97162"/>
    <w:rsid w:val="00FA16EF"/>
    <w:rsid w:val="00FA4865"/>
    <w:rsid w:val="00FA4AA2"/>
    <w:rsid w:val="00FB0A47"/>
    <w:rsid w:val="00FB3025"/>
    <w:rsid w:val="00FB56AE"/>
    <w:rsid w:val="00FB5E5B"/>
    <w:rsid w:val="00FC4DF5"/>
    <w:rsid w:val="00FC5736"/>
    <w:rsid w:val="00FC5AA6"/>
    <w:rsid w:val="00FC6823"/>
    <w:rsid w:val="00FC7BCC"/>
    <w:rsid w:val="00FC7FDF"/>
    <w:rsid w:val="00FD2929"/>
    <w:rsid w:val="00FD3118"/>
    <w:rsid w:val="00FD4590"/>
    <w:rsid w:val="00FD796D"/>
    <w:rsid w:val="00FE251C"/>
    <w:rsid w:val="00FE3329"/>
    <w:rsid w:val="00FE4A64"/>
    <w:rsid w:val="00FF004C"/>
    <w:rsid w:val="00FF00AD"/>
    <w:rsid w:val="00FF2317"/>
    <w:rsid w:val="00FF3D7F"/>
    <w:rsid w:val="00FF5906"/>
    <w:rsid w:val="00FF67C0"/>
    <w:rsid w:val="018856AF"/>
    <w:rsid w:val="03E312C3"/>
    <w:rsid w:val="047343F5"/>
    <w:rsid w:val="07E8065C"/>
    <w:rsid w:val="0B386398"/>
    <w:rsid w:val="0B521208"/>
    <w:rsid w:val="0B5605CC"/>
    <w:rsid w:val="0D725B91"/>
    <w:rsid w:val="0EAA4EB7"/>
    <w:rsid w:val="0F380715"/>
    <w:rsid w:val="0FDA17CC"/>
    <w:rsid w:val="110A724F"/>
    <w:rsid w:val="15693FE0"/>
    <w:rsid w:val="166938A9"/>
    <w:rsid w:val="1A484105"/>
    <w:rsid w:val="1A7A6085"/>
    <w:rsid w:val="1D632E00"/>
    <w:rsid w:val="1D8B67FB"/>
    <w:rsid w:val="2427745B"/>
    <w:rsid w:val="254554E2"/>
    <w:rsid w:val="25875AFA"/>
    <w:rsid w:val="265359DC"/>
    <w:rsid w:val="26C320A3"/>
    <w:rsid w:val="2B9D1C3A"/>
    <w:rsid w:val="2BF71746"/>
    <w:rsid w:val="30DA7426"/>
    <w:rsid w:val="31572824"/>
    <w:rsid w:val="32052280"/>
    <w:rsid w:val="348A2F11"/>
    <w:rsid w:val="38303DCF"/>
    <w:rsid w:val="39846181"/>
    <w:rsid w:val="3A444BF6"/>
    <w:rsid w:val="3D6C7658"/>
    <w:rsid w:val="3E5F71BC"/>
    <w:rsid w:val="3E646581"/>
    <w:rsid w:val="3ECF4342"/>
    <w:rsid w:val="402C30CE"/>
    <w:rsid w:val="41591156"/>
    <w:rsid w:val="4251369D"/>
    <w:rsid w:val="47F941DE"/>
    <w:rsid w:val="4A5244AC"/>
    <w:rsid w:val="4DCB3F26"/>
    <w:rsid w:val="4DDC6134"/>
    <w:rsid w:val="4E0062C6"/>
    <w:rsid w:val="4F2E2317"/>
    <w:rsid w:val="5147420C"/>
    <w:rsid w:val="516B74D5"/>
    <w:rsid w:val="563247DE"/>
    <w:rsid w:val="56766566"/>
    <w:rsid w:val="576D332A"/>
    <w:rsid w:val="5ABC2226"/>
    <w:rsid w:val="5BC84AE3"/>
    <w:rsid w:val="5C317F92"/>
    <w:rsid w:val="5D211FC7"/>
    <w:rsid w:val="5EA90C74"/>
    <w:rsid w:val="5EC944B2"/>
    <w:rsid w:val="5EFB03E4"/>
    <w:rsid w:val="61D218D0"/>
    <w:rsid w:val="64DA5677"/>
    <w:rsid w:val="65CE0600"/>
    <w:rsid w:val="664803B2"/>
    <w:rsid w:val="66CD08B8"/>
    <w:rsid w:val="68324E76"/>
    <w:rsid w:val="68784853"/>
    <w:rsid w:val="6B0D06C7"/>
    <w:rsid w:val="6B4F2206"/>
    <w:rsid w:val="6D5D0751"/>
    <w:rsid w:val="6FB62831"/>
    <w:rsid w:val="71B57308"/>
    <w:rsid w:val="75874327"/>
    <w:rsid w:val="78B611AB"/>
    <w:rsid w:val="792B7DEB"/>
    <w:rsid w:val="7A2C3B07"/>
    <w:rsid w:val="7D580A83"/>
    <w:rsid w:val="7D603DDC"/>
    <w:rsid w:val="7EA4025D"/>
    <w:rsid w:val="7F7E679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32"/>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46"/>
    <w:semiHidden/>
    <w:unhideWhenUsed/>
    <w:qFormat/>
    <w:uiPriority w:val="99"/>
    <w:pPr>
      <w:jc w:val="left"/>
    </w:pPr>
  </w:style>
  <w:style w:type="paragraph" w:styleId="6">
    <w:name w:val="Body Text"/>
    <w:basedOn w:val="1"/>
    <w:link w:val="45"/>
    <w:semiHidden/>
    <w:unhideWhenUsed/>
    <w:qFormat/>
    <w:uiPriority w:val="99"/>
    <w:pPr>
      <w:spacing w:after="120"/>
    </w:pPr>
  </w:style>
  <w:style w:type="paragraph" w:styleId="7">
    <w:name w:val="Body Text Indent"/>
    <w:basedOn w:val="1"/>
    <w:link w:val="24"/>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36"/>
    <w:qFormat/>
    <w:uiPriority w:val="0"/>
    <w:rPr>
      <w:rFonts w:ascii="宋体" w:hAnsi="Courier New"/>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29"/>
    <w:qFormat/>
    <w:uiPriority w:val="0"/>
    <w:pPr>
      <w:adjustRightInd w:val="0"/>
      <w:spacing w:line="360" w:lineRule="atLeast"/>
      <w:textAlignment w:val="baseline"/>
    </w:pPr>
    <w:rPr>
      <w:sz w:val="32"/>
    </w:rPr>
  </w:style>
  <w:style w:type="paragraph" w:styleId="12">
    <w:name w:val="Body Text Indent 2"/>
    <w:basedOn w:val="1"/>
    <w:link w:val="31"/>
    <w:semiHidden/>
    <w:unhideWhenUsed/>
    <w:qFormat/>
    <w:uiPriority w:val="99"/>
    <w:pPr>
      <w:spacing w:after="120" w:line="480" w:lineRule="auto"/>
      <w:ind w:left="420" w:leftChars="200"/>
    </w:pPr>
  </w:style>
  <w:style w:type="paragraph" w:styleId="13">
    <w:name w:val="footer"/>
    <w:basedOn w:val="1"/>
    <w:link w:val="28"/>
    <w:unhideWhenUsed/>
    <w:qFormat/>
    <w:uiPriority w:val="99"/>
    <w:pPr>
      <w:tabs>
        <w:tab w:val="center" w:pos="4153"/>
        <w:tab w:val="right" w:pos="8306"/>
      </w:tabs>
      <w:snapToGrid w:val="0"/>
      <w:jc w:val="left"/>
    </w:pPr>
    <w:rPr>
      <w:sz w:val="18"/>
      <w:szCs w:val="18"/>
    </w:rPr>
  </w:style>
  <w:style w:type="paragraph" w:styleId="14">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Subtitle"/>
    <w:basedOn w:val="1"/>
    <w:next w:val="1"/>
    <w:link w:val="26"/>
    <w:qFormat/>
    <w:uiPriority w:val="11"/>
    <w:pPr>
      <w:spacing w:before="240" w:after="60" w:line="312" w:lineRule="auto"/>
      <w:jc w:val="center"/>
      <w:outlineLvl w:val="1"/>
    </w:pPr>
    <w:rPr>
      <w:rFonts w:ascii="Cambria" w:hAnsi="Cambria"/>
      <w:b/>
      <w:bCs/>
      <w:kern w:val="28"/>
      <w:sz w:val="32"/>
      <w:szCs w:val="32"/>
    </w:rPr>
  </w:style>
  <w:style w:type="paragraph" w:styleId="16">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7">
    <w:name w:val="Body Text Indent 3"/>
    <w:basedOn w:val="1"/>
    <w:link w:val="37"/>
    <w:semiHidden/>
    <w:unhideWhenUsed/>
    <w:qFormat/>
    <w:uiPriority w:val="99"/>
    <w:pPr>
      <w:spacing w:after="120"/>
      <w:ind w:left="420" w:leftChars="200"/>
    </w:pPr>
    <w:rPr>
      <w:sz w:val="16"/>
      <w:szCs w:val="16"/>
    </w:rPr>
  </w:style>
  <w:style w:type="paragraph" w:styleId="18">
    <w:name w:val="Body Text 2"/>
    <w:basedOn w:val="1"/>
    <w:link w:val="33"/>
    <w:semiHidden/>
    <w:unhideWhenUsed/>
    <w:qFormat/>
    <w:uiPriority w:val="99"/>
    <w:pPr>
      <w:spacing w:after="120" w:line="480" w:lineRule="auto"/>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FollowedHyperlink"/>
    <w:basedOn w:val="21"/>
    <w:semiHidden/>
    <w:unhideWhenUsed/>
    <w:qFormat/>
    <w:uiPriority w:val="99"/>
    <w:rPr>
      <w:color w:val="800080" w:themeColor="followedHyperlink"/>
      <w:u w:val="single"/>
      <w14:textFill>
        <w14:solidFill>
          <w14:schemeClr w14:val="folHlink"/>
        </w14:solidFill>
      </w14:textFill>
    </w:rPr>
  </w:style>
  <w:style w:type="character" w:styleId="23">
    <w:name w:val="Hyperlink"/>
    <w:basedOn w:val="21"/>
    <w:unhideWhenUsed/>
    <w:qFormat/>
    <w:uiPriority w:val="99"/>
    <w:rPr>
      <w:color w:val="0000FF" w:themeColor="hyperlink"/>
      <w:u w:val="single"/>
      <w14:textFill>
        <w14:solidFill>
          <w14:schemeClr w14:val="hlink"/>
        </w14:solidFill>
      </w14:textFill>
    </w:rPr>
  </w:style>
  <w:style w:type="character" w:customStyle="1" w:styleId="24">
    <w:name w:val="正文文本缩进 Char"/>
    <w:basedOn w:val="21"/>
    <w:link w:val="7"/>
    <w:qFormat/>
    <w:uiPriority w:val="0"/>
    <w:rPr>
      <w:rFonts w:ascii="宋体" w:hAnsi="宋体" w:eastAsia="宋体" w:cs="Times New Roman"/>
      <w:sz w:val="24"/>
      <w:szCs w:val="20"/>
    </w:rPr>
  </w:style>
  <w:style w:type="paragraph" w:customStyle="1" w:styleId="25">
    <w:name w:val="Default"/>
    <w:link w:val="44"/>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26">
    <w:name w:val="副标题 Char"/>
    <w:basedOn w:val="21"/>
    <w:link w:val="15"/>
    <w:qFormat/>
    <w:uiPriority w:val="11"/>
    <w:rPr>
      <w:rFonts w:ascii="Cambria" w:hAnsi="Cambria" w:eastAsia="宋体" w:cs="Times New Roman"/>
      <w:b/>
      <w:bCs/>
      <w:kern w:val="28"/>
      <w:sz w:val="32"/>
      <w:szCs w:val="32"/>
    </w:rPr>
  </w:style>
  <w:style w:type="character" w:customStyle="1" w:styleId="27">
    <w:name w:val="页眉 Char"/>
    <w:basedOn w:val="21"/>
    <w:link w:val="14"/>
    <w:qFormat/>
    <w:uiPriority w:val="99"/>
    <w:rPr>
      <w:rFonts w:ascii="Times New Roman" w:hAnsi="Times New Roman" w:eastAsia="宋体" w:cs="Times New Roman"/>
      <w:sz w:val="18"/>
      <w:szCs w:val="18"/>
    </w:rPr>
  </w:style>
  <w:style w:type="character" w:customStyle="1" w:styleId="28">
    <w:name w:val="页脚 Char"/>
    <w:basedOn w:val="21"/>
    <w:link w:val="13"/>
    <w:qFormat/>
    <w:uiPriority w:val="99"/>
    <w:rPr>
      <w:rFonts w:ascii="Times New Roman" w:hAnsi="Times New Roman" w:eastAsia="宋体" w:cs="Times New Roman"/>
      <w:sz w:val="18"/>
      <w:szCs w:val="18"/>
    </w:rPr>
  </w:style>
  <w:style w:type="character" w:customStyle="1" w:styleId="29">
    <w:name w:val="日期 Char"/>
    <w:basedOn w:val="21"/>
    <w:link w:val="11"/>
    <w:qFormat/>
    <w:uiPriority w:val="0"/>
    <w:rPr>
      <w:rFonts w:ascii="Times New Roman" w:hAnsi="Times New Roman" w:eastAsia="宋体" w:cs="Times New Roman"/>
      <w:sz w:val="32"/>
      <w:szCs w:val="20"/>
    </w:rPr>
  </w:style>
  <w:style w:type="paragraph" w:styleId="30">
    <w:name w:val="List Paragraph"/>
    <w:basedOn w:val="1"/>
    <w:link w:val="49"/>
    <w:qFormat/>
    <w:uiPriority w:val="34"/>
    <w:pPr>
      <w:ind w:firstLine="420" w:firstLineChars="200"/>
    </w:pPr>
  </w:style>
  <w:style w:type="character" w:customStyle="1" w:styleId="31">
    <w:name w:val="正文文本缩进 2 Char"/>
    <w:basedOn w:val="21"/>
    <w:link w:val="12"/>
    <w:semiHidden/>
    <w:qFormat/>
    <w:uiPriority w:val="99"/>
    <w:rPr>
      <w:rFonts w:ascii="Times New Roman" w:hAnsi="Times New Roman" w:eastAsia="宋体" w:cs="Times New Roman"/>
      <w:szCs w:val="20"/>
    </w:rPr>
  </w:style>
  <w:style w:type="character" w:customStyle="1" w:styleId="32">
    <w:name w:val="标题 3 Char"/>
    <w:basedOn w:val="21"/>
    <w:link w:val="2"/>
    <w:qFormat/>
    <w:uiPriority w:val="0"/>
    <w:rPr>
      <w:rFonts w:ascii="Times New Roman" w:hAnsi="Times New Roman" w:eastAsia="宋体" w:cs="Times New Roman"/>
      <w:b/>
      <w:bCs/>
      <w:sz w:val="32"/>
      <w:szCs w:val="32"/>
    </w:rPr>
  </w:style>
  <w:style w:type="character" w:customStyle="1" w:styleId="33">
    <w:name w:val="正文文本 2 Char"/>
    <w:basedOn w:val="21"/>
    <w:link w:val="18"/>
    <w:semiHidden/>
    <w:qFormat/>
    <w:uiPriority w:val="99"/>
    <w:rPr>
      <w:rFonts w:ascii="Times New Roman" w:hAnsi="Times New Roman" w:eastAsia="宋体" w:cs="Times New Roman"/>
      <w:szCs w:val="20"/>
    </w:rPr>
  </w:style>
  <w:style w:type="paragraph" w:customStyle="1" w:styleId="34">
    <w:name w:val="Char"/>
    <w:basedOn w:val="1"/>
    <w:autoRedefine/>
    <w:qFormat/>
    <w:uiPriority w:val="0"/>
    <w:pPr>
      <w:tabs>
        <w:tab w:val="left" w:pos="360"/>
      </w:tabs>
    </w:pPr>
    <w:rPr>
      <w:sz w:val="24"/>
      <w:szCs w:val="24"/>
    </w:rPr>
  </w:style>
  <w:style w:type="character" w:customStyle="1" w:styleId="35">
    <w:name w:val="纯文本 Char"/>
    <w:basedOn w:val="21"/>
    <w:semiHidden/>
    <w:qFormat/>
    <w:uiPriority w:val="99"/>
    <w:rPr>
      <w:rFonts w:ascii="宋体" w:hAnsi="Courier New" w:eastAsia="宋体" w:cs="Courier New"/>
      <w:szCs w:val="21"/>
    </w:rPr>
  </w:style>
  <w:style w:type="character" w:customStyle="1" w:styleId="36">
    <w:name w:val="纯文本 Char1"/>
    <w:link w:val="9"/>
    <w:qFormat/>
    <w:locked/>
    <w:uiPriority w:val="0"/>
    <w:rPr>
      <w:rFonts w:ascii="宋体" w:hAnsi="Courier New" w:eastAsia="宋体" w:cs="Times New Roman"/>
      <w:szCs w:val="20"/>
    </w:rPr>
  </w:style>
  <w:style w:type="character" w:customStyle="1" w:styleId="37">
    <w:name w:val="正文文本缩进 3 Char"/>
    <w:basedOn w:val="21"/>
    <w:link w:val="17"/>
    <w:semiHidden/>
    <w:qFormat/>
    <w:uiPriority w:val="99"/>
    <w:rPr>
      <w:rFonts w:ascii="Times New Roman" w:hAnsi="Times New Roman" w:eastAsia="宋体" w:cs="Times New Roman"/>
      <w:sz w:val="16"/>
      <w:szCs w:val="16"/>
    </w:rPr>
  </w:style>
  <w:style w:type="paragraph" w:customStyle="1" w:styleId="38">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Char1"/>
    <w:basedOn w:val="1"/>
    <w:autoRedefine/>
    <w:qFormat/>
    <w:uiPriority w:val="0"/>
    <w:pPr>
      <w:tabs>
        <w:tab w:val="left" w:pos="360"/>
      </w:tabs>
    </w:pPr>
    <w:rPr>
      <w:sz w:val="24"/>
      <w:szCs w:val="24"/>
    </w:rPr>
  </w:style>
  <w:style w:type="paragraph" w:customStyle="1" w:styleId="43">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4">
    <w:name w:val="Default Char"/>
    <w:link w:val="25"/>
    <w:qFormat/>
    <w:locked/>
    <w:uiPriority w:val="0"/>
    <w:rPr>
      <w:rFonts w:ascii="......." w:hAnsi="Calibri" w:eastAsia="......." w:cs="......."/>
      <w:color w:val="000000"/>
      <w:kern w:val="0"/>
      <w:sz w:val="24"/>
      <w:szCs w:val="24"/>
    </w:rPr>
  </w:style>
  <w:style w:type="character" w:customStyle="1" w:styleId="45">
    <w:name w:val="正文文本 Char"/>
    <w:basedOn w:val="21"/>
    <w:link w:val="6"/>
    <w:semiHidden/>
    <w:qFormat/>
    <w:uiPriority w:val="99"/>
    <w:rPr>
      <w:rFonts w:ascii="Times New Roman" w:hAnsi="Times New Roman" w:eastAsia="宋体" w:cs="Times New Roman"/>
      <w:szCs w:val="20"/>
    </w:rPr>
  </w:style>
  <w:style w:type="character" w:customStyle="1" w:styleId="46">
    <w:name w:val="批注文字 Char"/>
    <w:basedOn w:val="21"/>
    <w:link w:val="5"/>
    <w:semiHidden/>
    <w:qFormat/>
    <w:uiPriority w:val="99"/>
    <w:rPr>
      <w:rFonts w:ascii="Times New Roman" w:hAnsi="Times New Roman" w:eastAsia="宋体" w:cs="Times New Roman"/>
      <w:szCs w:val="20"/>
    </w:rPr>
  </w:style>
  <w:style w:type="paragraph" w:customStyle="1" w:styleId="47">
    <w:name w:val="Char2"/>
    <w:basedOn w:val="1"/>
    <w:qFormat/>
    <w:uiPriority w:val="0"/>
    <w:pPr>
      <w:tabs>
        <w:tab w:val="left" w:pos="360"/>
      </w:tabs>
    </w:pPr>
    <w:rPr>
      <w:sz w:val="24"/>
      <w:szCs w:val="24"/>
    </w:rPr>
  </w:style>
  <w:style w:type="character" w:customStyle="1" w:styleId="48">
    <w:name w:val="NormalCharacter"/>
    <w:semiHidden/>
    <w:qFormat/>
    <w:uiPriority w:val="0"/>
  </w:style>
  <w:style w:type="character" w:customStyle="1" w:styleId="49">
    <w:name w:val="列出段落 Char"/>
    <w:link w:val="30"/>
    <w:qFormat/>
    <w:uiPriority w:val="34"/>
    <w:rPr>
      <w:rFonts w:ascii="Times New Roman" w:hAnsi="Times New Roman" w:eastAsia="宋体" w:cs="Times New Roman"/>
      <w:szCs w:val="20"/>
    </w:rPr>
  </w:style>
  <w:style w:type="paragraph" w:customStyle="1" w:styleId="50">
    <w:name w:val="S-表中正文"/>
    <w:basedOn w:val="1"/>
    <w:qFormat/>
    <w:uiPriority w:val="0"/>
    <w:pPr>
      <w:snapToGrid w:val="0"/>
      <w:jc w:val="center"/>
    </w:pPr>
    <w:rPr>
      <w:rFonts w:ascii="Calibri" w:hAnsi="Calibri"/>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124DF1-A8BC-4F1B-A298-B49BCEE7532C}">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125</Pages>
  <Words>4722</Words>
  <Characters>5482</Characters>
  <Lines>584</Lines>
  <Paragraphs>164</Paragraphs>
  <TotalTime>0</TotalTime>
  <ScaleCrop>false</ScaleCrop>
  <LinksUpToDate>false</LinksUpToDate>
  <CharactersWithSpaces>5505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2026-10-14T02:38:00Z</dcterms:created>
  <dc:creator>未定义</dc:creator>
  <cp:lastModifiedBy>WPS_1622597887</cp:lastModifiedBy>
  <dcterms:modified xsi:type="dcterms:W3CDTF">2026-10-14T06:24:42Z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eyJoZGlkIjoiNmU4NTFjZDUyMjczN2VlYmNmMGM4NjZkOTA5ZTkwNGQiLCJ1c2VySWQiOiIxMjEzMjA2NDAwIn0=</vt:lpwstr>
  </property>
  <property fmtid="{D5CDD505-2E9C-101B-9397-08002B2CF9AE}" pid="3" name="KSOProductBuildVer">
    <vt:lpwstr>2052-12.1.0.28505</vt:lpwstr>
  </property>
  <property fmtid="{D5CDD505-2E9C-101B-9397-08002B2CF9AE}" pid="4" name="ICV">
    <vt:lpwstr>0924D9164D9842D1926C170D2EC0EC59_13</vt:lpwstr>
  </property>
</Properties>
</file>