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35"/>
      </w:pPr>
    </w:p>
    <w:p w14:paraId="6433C32E">
      <w:pPr>
        <w:pStyle w:val="35"/>
      </w:pPr>
    </w:p>
    <w:p w14:paraId="70397CE7">
      <w:pPr>
        <w:ind w:right="105"/>
        <w:jc w:val="right"/>
        <w:rPr>
          <w:rFonts w:hint="eastAsia" w:eastAsia="黑体"/>
          <w:b/>
          <w:spacing w:val="40"/>
          <w:w w:val="66"/>
          <w:sz w:val="60"/>
          <w:szCs w:val="60"/>
          <w:lang w:eastAsia="zh-CN"/>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163830</wp:posOffset>
                </wp:positionH>
                <wp:positionV relativeFrom="paragraph">
                  <wp:posOffset>329565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9pt;margin-top:25.95pt;height:0pt;width:56.7pt;z-index:251661312;mso-width-relative:page;mso-height-relative:page;" filled="f" stroked="t" coordsize="21600,21600" o:gfxdata="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y9SmG1QAAAAgB&#10;AAAPAAAAAAAAAAEAIAAAACIAAABkcnMvZG93bnJldi54bWxQSwECFAAUAAAACACHTuJAPTQUi+UB&#10;AACrAwAADgAAAAAAAAABACAAAAAkAQAAZHJzL2Uyb0RvYy54bWxQSwUGAAAAAAYABgBZAQAAewUA&#10;AAAA&#10;">
                <v:fill on="f" focussize="0,0"/>
                <v:stroke weight="15pt" color="#4B69B5" joinstyle="round"/>
                <v:imagedata o:title=""/>
                <o:lock v:ext="edit" aspectratio="f"/>
              </v:line>
            </w:pict>
          </mc:Fallback>
        </mc:AlternateContent>
      </w:r>
      <w:r>
        <w:rPr>
          <w:rFonts w:hint="eastAsia" w:eastAsia="黑体"/>
          <w:b/>
          <w:spacing w:val="40"/>
          <w:w w:val="66"/>
          <w:sz w:val="60"/>
          <w:szCs w:val="60"/>
          <w:lang w:val="en-US" w:eastAsia="zh-CN"/>
        </w:rPr>
        <w:t xml:space="preserve">            </w:t>
      </w:r>
      <w:r>
        <w:rPr>
          <w:rFonts w:hint="eastAsia" w:eastAsia="黑体"/>
          <w:b/>
          <w:spacing w:val="40"/>
          <w:w w:val="66"/>
          <w:sz w:val="60"/>
          <w:szCs w:val="60"/>
          <w:lang w:eastAsia="zh-CN"/>
        </w:rPr>
        <w:t>天津市西青区人民政府李七庄街道办事处</w:t>
      </w:r>
    </w:p>
    <w:p w14:paraId="531A1DEE">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lang w:eastAsia="zh-CN"/>
        </w:rPr>
        <w:t>保安服务项目</w:t>
      </w:r>
    </w:p>
    <w:p w14:paraId="57887373">
      <w:pPr>
        <w:ind w:right="105"/>
        <w:jc w:val="right"/>
        <w:rPr>
          <w:rFonts w:eastAsia="黑体"/>
          <w:b/>
          <w:spacing w:val="40"/>
          <w:w w:val="66"/>
          <w:sz w:val="60"/>
          <w:szCs w:val="60"/>
        </w:rPr>
      </w:pPr>
      <w:r>
        <w:rPr>
          <w:rFonts w:eastAsia="黑体"/>
          <w:b/>
          <w:spacing w:val="40"/>
          <w:w w:val="66"/>
          <w:sz w:val="60"/>
          <w:szCs w:val="60"/>
        </w:rPr>
        <w:t>竞争性磋商文件</w:t>
      </w:r>
    </w:p>
    <w:p w14:paraId="565ACAD4">
      <w:pPr>
        <w:ind w:right="1025"/>
        <w:jc w:val="center"/>
        <w:rPr>
          <w:rFonts w:eastAsia="黑体"/>
          <w:b/>
          <w:spacing w:val="40"/>
          <w:w w:val="66"/>
          <w:sz w:val="60"/>
          <w:szCs w:val="60"/>
        </w:rPr>
      </w:pPr>
    </w:p>
    <w:p w14:paraId="53704CB0">
      <w:pPr>
        <w:jc w:val="center"/>
        <w:rPr>
          <w:rFonts w:eastAsia="黑体"/>
          <w:b/>
          <w:spacing w:val="40"/>
          <w:w w:val="66"/>
          <w:sz w:val="15"/>
          <w:szCs w:val="15"/>
        </w:rPr>
      </w:pPr>
      <w:r>
        <w:rPr>
          <w:rFonts w:eastAsia="黑体"/>
          <w:b/>
          <w:spacing w:val="40"/>
          <w:w w:val="66"/>
          <w:sz w:val="56"/>
          <w:szCs w:val="56"/>
        </w:rPr>
        <w:t xml:space="preserve">            </w:t>
      </w:r>
    </w:p>
    <w:p w14:paraId="259A850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TJXQ-2025-D-0013</w:t>
      </w:r>
      <w:r>
        <w:rPr>
          <w:rFonts w:eastAsia="黑体"/>
          <w:spacing w:val="40"/>
          <w:w w:val="66"/>
          <w:sz w:val="32"/>
          <w:szCs w:val="32"/>
        </w:rPr>
        <w:t>）</w:t>
      </w:r>
    </w:p>
    <w:p w14:paraId="4FF76F76">
      <w:pPr>
        <w:rPr>
          <w:sz w:val="40"/>
        </w:rPr>
      </w:pPr>
    </w:p>
    <w:p w14:paraId="2CF1D86B">
      <w:pPr>
        <w:rPr>
          <w:sz w:val="36"/>
        </w:rPr>
      </w:pPr>
    </w:p>
    <w:p w14:paraId="43B6734E">
      <w:pPr>
        <w:rPr>
          <w:sz w:val="36"/>
        </w:rPr>
      </w:pPr>
    </w:p>
    <w:p w14:paraId="6FCBE2DD">
      <w:pPr>
        <w:rPr>
          <w:sz w:val="36"/>
        </w:rPr>
      </w:pPr>
    </w:p>
    <w:p w14:paraId="571A6F70">
      <w:pPr>
        <w:rPr>
          <w:sz w:val="36"/>
        </w:rPr>
      </w:pPr>
    </w:p>
    <w:p w14:paraId="031294BB">
      <w:pPr>
        <w:rPr>
          <w:sz w:val="36"/>
        </w:rPr>
      </w:pPr>
    </w:p>
    <w:p w14:paraId="3B018E78">
      <w:pPr>
        <w:rPr>
          <w:sz w:val="36"/>
        </w:rPr>
      </w:pPr>
    </w:p>
    <w:p w14:paraId="0C185104">
      <w:pPr>
        <w:rPr>
          <w:sz w:val="36"/>
        </w:rPr>
      </w:pPr>
    </w:p>
    <w:p w14:paraId="16711178">
      <w:pPr>
        <w:rPr>
          <w:sz w:val="36"/>
        </w:rPr>
      </w:pPr>
    </w:p>
    <w:p w14:paraId="45A43838">
      <w:pPr>
        <w:rPr>
          <w:sz w:val="36"/>
        </w:rPr>
      </w:pPr>
    </w:p>
    <w:p w14:paraId="1D9D1D84">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w:t>
      </w:r>
      <w:r>
        <w:rPr>
          <w:rFonts w:hint="eastAsia" w:eastAsia="黑体"/>
          <w:spacing w:val="20"/>
          <w:w w:val="66"/>
          <w:sz w:val="44"/>
          <w:szCs w:val="44"/>
          <w:lang w:eastAsia="zh-CN"/>
        </w:rPr>
        <w:t>西青区</w:t>
      </w:r>
      <w:r>
        <w:rPr>
          <w:rFonts w:eastAsia="黑体"/>
          <w:spacing w:val="20"/>
          <w:w w:val="66"/>
          <w:sz w:val="44"/>
          <w:szCs w:val="44"/>
        </w:rPr>
        <w:t>政府采购中心</w:t>
      </w:r>
    </w:p>
    <w:p w14:paraId="0C644F23">
      <w:pPr>
        <w:tabs>
          <w:tab w:val="left" w:pos="3281"/>
          <w:tab w:val="center" w:pos="4711"/>
        </w:tabs>
        <w:jc w:val="center"/>
        <w:rPr>
          <w:rFonts w:hint="eastAsia" w:eastAsia="仿宋_GB2312"/>
          <w:b/>
          <w:bCs/>
          <w:color w:val="auto"/>
          <w:spacing w:val="20"/>
          <w:w w:val="66"/>
          <w:sz w:val="44"/>
          <w:szCs w:val="44"/>
          <w:lang w:eastAsia="zh-CN"/>
        </w:rPr>
      </w:pP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7</w:t>
      </w:r>
    </w:p>
    <w:p w14:paraId="0280169C">
      <w:pPr>
        <w:tabs>
          <w:tab w:val="left" w:pos="3281"/>
          <w:tab w:val="center" w:pos="4711"/>
        </w:tabs>
        <w:jc w:val="center"/>
        <w:rPr>
          <w:rFonts w:eastAsia="仿宋_GB2312"/>
          <w:b/>
          <w:bCs/>
          <w:kern w:val="0"/>
          <w:sz w:val="44"/>
          <w:szCs w:val="44"/>
        </w:rPr>
      </w:pPr>
    </w:p>
    <w:p w14:paraId="6B4C965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71BF0E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35"/>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天津市西青区人民政府李七庄街道办事处</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天津市西青区人民政府李七庄街道办事处保安服务项目</w:t>
      </w:r>
      <w:r>
        <w:rPr>
          <w:rFonts w:ascii="Times New Roman" w:hAnsi="Times New Roman" w:eastAsia="宋体" w:cs="Times New Roman"/>
          <w:color w:val="auto"/>
          <w:kern w:val="2"/>
        </w:rPr>
        <w:t>实施政府采购。现欢迎合格的供应商参加磋商。</w:t>
      </w:r>
    </w:p>
    <w:p w14:paraId="3DA95B70">
      <w:pPr>
        <w:pStyle w:val="3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天津市西青区人民政府李七庄街道办事处保安服务项目</w:t>
      </w:r>
    </w:p>
    <w:p w14:paraId="5FE8AA24">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TJXQ-2025-D-0013</w:t>
      </w:r>
    </w:p>
    <w:p w14:paraId="5BA7ED43">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7ED42F3">
      <w:pPr>
        <w:pStyle w:val="35"/>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eastAsia="zh-CN"/>
        </w:rPr>
        <w:t>保安服务项目</w:t>
      </w:r>
      <w:r>
        <w:rPr>
          <w:rFonts w:hint="eastAsia" w:ascii="Times New Roman" w:hAnsi="Times New Roman" w:eastAsia="宋体" w:cs="Times New Roman"/>
          <w:color w:val="auto"/>
          <w:kern w:val="2"/>
          <w:lang w:val="en-US" w:eastAsia="zh-CN"/>
        </w:rPr>
        <w:t>1项</w:t>
      </w:r>
      <w:r>
        <w:rPr>
          <w:rFonts w:hint="eastAsia" w:ascii="Times New Roman" w:hAnsi="Times New Roman" w:eastAsia="宋体" w:cs="Times New Roman"/>
          <w:color w:val="auto"/>
          <w:kern w:val="2"/>
          <w:lang w:eastAsia="zh-CN"/>
        </w:rPr>
        <w:t>。</w:t>
      </w:r>
    </w:p>
    <w:p w14:paraId="2D66578B">
      <w:pPr>
        <w:pStyle w:val="35"/>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5A02D6DE">
      <w:pPr>
        <w:pStyle w:val="100"/>
      </w:pPr>
      <w:r>
        <w:t>窗体顶端</w:t>
      </w:r>
    </w:p>
    <w:p w14:paraId="26733069">
      <w:pPr>
        <w:pStyle w:val="35"/>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3600000元。</w:t>
      </w:r>
    </w:p>
    <w:p w14:paraId="17F2F314">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94C98AE">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1、营业执照副本加盖公章的复印件。</w:t>
      </w:r>
    </w:p>
    <w:p w14:paraId="4A7B5CBC">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2、法人代表授权书原件</w:t>
      </w:r>
      <w:r>
        <w:rPr>
          <w:rFonts w:hint="eastAsia" w:ascii="宋体" w:hAnsi="宋体"/>
          <w:sz w:val="24"/>
        </w:rPr>
        <w:t>（须有法人签字或盖章，法人</w:t>
      </w:r>
      <w:r>
        <w:rPr>
          <w:rFonts w:hint="eastAsia"/>
          <w:sz w:val="24"/>
        </w:rPr>
        <w:t>不能参与投标时必须提供）</w:t>
      </w:r>
      <w:r>
        <w:rPr>
          <w:rFonts w:hint="eastAsia" w:ascii="宋体" w:hAnsi="宋体"/>
          <w:sz w:val="24"/>
          <w:szCs w:val="24"/>
        </w:rPr>
        <w:t>。</w:t>
      </w:r>
    </w:p>
    <w:p w14:paraId="31A0AA32">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rPr>
        <w:t>3.法人参与</w:t>
      </w:r>
      <w:r>
        <w:rPr>
          <w:rFonts w:ascii="宋体" w:hAnsi="宋体"/>
          <w:sz w:val="24"/>
          <w:szCs w:val="24"/>
        </w:rPr>
        <w:t>投标的提供法人身份证复印件加盖公章，法人不能参与</w:t>
      </w:r>
      <w:r>
        <w:rPr>
          <w:rFonts w:hint="eastAsia" w:ascii="宋体" w:hAnsi="宋体"/>
          <w:sz w:val="24"/>
          <w:szCs w:val="24"/>
        </w:rPr>
        <w:t>投</w:t>
      </w:r>
      <w:r>
        <w:rPr>
          <w:rFonts w:ascii="宋体" w:hAnsi="宋体"/>
          <w:sz w:val="24"/>
          <w:szCs w:val="24"/>
        </w:rPr>
        <w:t>标的提供法人身份</w:t>
      </w:r>
      <w:r>
        <w:rPr>
          <w:rFonts w:hint="eastAsia" w:ascii="宋体" w:hAnsi="宋体"/>
          <w:sz w:val="24"/>
          <w:szCs w:val="24"/>
        </w:rPr>
        <w:t>证</w:t>
      </w:r>
      <w:r>
        <w:rPr>
          <w:rFonts w:ascii="宋体" w:hAnsi="宋体"/>
          <w:sz w:val="24"/>
          <w:szCs w:val="24"/>
        </w:rPr>
        <w:t>复印件加盖公章同时提供</w:t>
      </w:r>
      <w:r>
        <w:rPr>
          <w:rFonts w:hint="eastAsia" w:ascii="宋体" w:hAnsi="宋体"/>
          <w:sz w:val="24"/>
          <w:szCs w:val="24"/>
        </w:rPr>
        <w:t>被</w:t>
      </w:r>
      <w:r>
        <w:rPr>
          <w:rFonts w:ascii="宋体" w:hAnsi="宋体"/>
          <w:sz w:val="24"/>
          <w:szCs w:val="24"/>
        </w:rPr>
        <w:t>授权人身份证复印件加盖公章。</w:t>
      </w:r>
    </w:p>
    <w:p w14:paraId="39A5FB7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4、本次招标不接受联合体投标。</w:t>
      </w:r>
    </w:p>
    <w:p w14:paraId="5364183C">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rPr>
        <w:t>5、</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30B89910">
      <w:pPr>
        <w:tabs>
          <w:tab w:val="left" w:pos="900"/>
          <w:tab w:val="left" w:pos="7740"/>
        </w:tabs>
        <w:spacing w:line="560" w:lineRule="exact"/>
        <w:ind w:firstLine="480" w:firstLineChars="200"/>
        <w:rPr>
          <w:rFonts w:ascii="宋体" w:hAnsi="宋体"/>
          <w:sz w:val="24"/>
          <w:szCs w:val="24"/>
          <w:highlight w:val="none"/>
          <w:lang w:eastAsia="zh-CN"/>
        </w:rPr>
      </w:pPr>
      <w:r>
        <w:rPr>
          <w:rFonts w:hint="eastAsia" w:ascii="宋体" w:hAnsi="宋体"/>
          <w:sz w:val="24"/>
          <w:szCs w:val="24"/>
          <w:highlight w:val="none"/>
        </w:rPr>
        <w:t>6</w:t>
      </w:r>
      <w:r>
        <w:rPr>
          <w:rFonts w:ascii="宋体" w:hAnsi="宋体"/>
          <w:sz w:val="24"/>
          <w:szCs w:val="24"/>
          <w:highlight w:val="none"/>
        </w:rPr>
        <w:t xml:space="preserve">. </w:t>
      </w:r>
      <w:r>
        <w:rPr>
          <w:rFonts w:ascii="宋体" w:hAnsi="宋体"/>
          <w:sz w:val="24"/>
          <w:szCs w:val="24"/>
          <w:highlight w:val="none"/>
          <w:lang w:eastAsia="zh-CN"/>
        </w:rPr>
        <w:t>财务状况报告等相关材料：</w:t>
      </w:r>
    </w:p>
    <w:p w14:paraId="390828A9">
      <w:pPr>
        <w:tabs>
          <w:tab w:val="left" w:pos="900"/>
          <w:tab w:val="left" w:pos="7740"/>
        </w:tabs>
        <w:spacing w:line="560" w:lineRule="exact"/>
        <w:ind w:firstLine="480" w:firstLineChars="200"/>
        <w:rPr>
          <w:rFonts w:ascii="宋体" w:hAnsi="宋体"/>
          <w:sz w:val="24"/>
          <w:szCs w:val="24"/>
          <w:highlight w:val="none"/>
          <w:lang w:eastAsia="zh-CN"/>
        </w:rPr>
      </w:pPr>
      <w:r>
        <w:rPr>
          <w:rFonts w:ascii="宋体" w:hAnsi="宋体"/>
          <w:sz w:val="24"/>
          <w:szCs w:val="24"/>
          <w:highlight w:val="none"/>
          <w:lang w:eastAsia="zh-CN"/>
        </w:rPr>
        <w:t>A.经第三方会计师事务所审计的</w:t>
      </w:r>
      <w:r>
        <w:rPr>
          <w:rFonts w:ascii="宋体" w:hAnsi="宋体"/>
          <w:sz w:val="24"/>
          <w:szCs w:val="24"/>
          <w:highlight w:val="none"/>
          <w:lang w:val="en-US" w:eastAsia="zh-CN"/>
        </w:rPr>
        <w:t>2024年度</w:t>
      </w:r>
      <w:r>
        <w:rPr>
          <w:rFonts w:ascii="宋体" w:hAnsi="宋体"/>
          <w:sz w:val="24"/>
          <w:szCs w:val="24"/>
          <w:highlight w:val="none"/>
          <w:lang w:eastAsia="zh-CN"/>
        </w:rPr>
        <w:t>财务报告扫描件。</w:t>
      </w:r>
    </w:p>
    <w:p w14:paraId="042DB72D">
      <w:pPr>
        <w:tabs>
          <w:tab w:val="left" w:pos="900"/>
          <w:tab w:val="left" w:pos="7740"/>
        </w:tabs>
        <w:spacing w:line="560" w:lineRule="exact"/>
        <w:ind w:firstLine="480" w:firstLineChars="200"/>
        <w:rPr>
          <w:rFonts w:ascii="宋体" w:hAnsi="宋体"/>
          <w:sz w:val="24"/>
          <w:szCs w:val="24"/>
          <w:highlight w:val="none"/>
          <w:lang w:eastAsia="zh-CN"/>
        </w:rPr>
      </w:pPr>
      <w:r>
        <w:rPr>
          <w:rFonts w:ascii="宋体" w:hAnsi="宋体"/>
          <w:sz w:val="24"/>
          <w:szCs w:val="24"/>
          <w:highlight w:val="none"/>
          <w:lang w:eastAsia="zh-CN"/>
        </w:rPr>
        <w:t>B.</w:t>
      </w:r>
      <w:r>
        <w:rPr>
          <w:rFonts w:ascii="宋体" w:hAnsi="宋体"/>
          <w:sz w:val="24"/>
          <w:szCs w:val="24"/>
          <w:highlight w:val="none"/>
          <w:lang w:val="en-US" w:eastAsia="zh-CN"/>
        </w:rPr>
        <w:t>投标截止日前三个月内</w:t>
      </w:r>
      <w:r>
        <w:rPr>
          <w:rFonts w:ascii="宋体" w:hAnsi="宋体"/>
          <w:sz w:val="24"/>
          <w:szCs w:val="24"/>
          <w:highlight w:val="none"/>
          <w:lang w:eastAsia="zh-CN"/>
        </w:rPr>
        <w:t>银行出具的资信证明扫描件。</w:t>
      </w:r>
    </w:p>
    <w:p w14:paraId="028121B6">
      <w:pPr>
        <w:tabs>
          <w:tab w:val="left" w:pos="900"/>
          <w:tab w:val="left" w:pos="7740"/>
        </w:tabs>
        <w:spacing w:line="560" w:lineRule="exact"/>
        <w:ind w:firstLine="480" w:firstLineChars="200"/>
        <w:rPr>
          <w:rFonts w:ascii="宋体" w:hAnsi="宋体"/>
          <w:sz w:val="24"/>
          <w:szCs w:val="24"/>
          <w:highlight w:val="none"/>
        </w:rPr>
      </w:pPr>
      <w:r>
        <w:rPr>
          <w:rFonts w:ascii="宋体" w:hAnsi="宋体"/>
          <w:sz w:val="24"/>
          <w:szCs w:val="24"/>
          <w:highlight w:val="none"/>
          <w:lang w:eastAsia="zh-CN"/>
        </w:rPr>
        <w:t>注：A、B两项提供任意一项均可。</w:t>
      </w:r>
    </w:p>
    <w:p w14:paraId="37D48547">
      <w:pPr>
        <w:tabs>
          <w:tab w:val="left" w:pos="900"/>
          <w:tab w:val="left" w:pos="7740"/>
        </w:tabs>
        <w:spacing w:line="560" w:lineRule="exact"/>
        <w:ind w:firstLine="480" w:firstLineChars="200"/>
        <w:rPr>
          <w:rFonts w:hint="eastAsia" w:ascii="宋体" w:hAnsi="宋体"/>
          <w:sz w:val="24"/>
          <w:szCs w:val="24"/>
          <w:highlight w:val="none"/>
          <w:lang w:eastAsia="zh-CN"/>
        </w:rPr>
      </w:pPr>
      <w:r>
        <w:rPr>
          <w:rFonts w:hint="eastAsia" w:ascii="宋体" w:hAnsi="宋体"/>
          <w:sz w:val="24"/>
          <w:szCs w:val="24"/>
          <w:highlight w:val="none"/>
        </w:rPr>
        <w:t>7．</w:t>
      </w:r>
      <w:r>
        <w:rPr>
          <w:rFonts w:hint="eastAsia" w:ascii="宋体" w:hAnsi="宋体"/>
          <w:sz w:val="24"/>
          <w:szCs w:val="24"/>
          <w:highlight w:val="none"/>
          <w:lang w:eastAsia="zh-CN"/>
        </w:rPr>
        <w:t>20</w:t>
      </w:r>
      <w:r>
        <w:rPr>
          <w:rFonts w:hint="eastAsia" w:ascii="宋体" w:hAnsi="宋体"/>
          <w:sz w:val="24"/>
          <w:szCs w:val="24"/>
          <w:highlight w:val="none"/>
          <w:lang w:val="en-US" w:eastAsia="zh-CN"/>
        </w:rPr>
        <w:t>25</w:t>
      </w:r>
      <w:r>
        <w:rPr>
          <w:rFonts w:hint="eastAsia" w:ascii="宋体" w:hAnsi="宋体"/>
          <w:sz w:val="24"/>
          <w:szCs w:val="24"/>
          <w:highlight w:val="none"/>
          <w:lang w:eastAsia="zh-CN"/>
        </w:rPr>
        <w:t>年</w:t>
      </w:r>
      <w:r>
        <w:rPr>
          <w:rFonts w:hint="eastAsia" w:ascii="宋体" w:hAnsi="宋体"/>
          <w:sz w:val="24"/>
          <w:szCs w:val="24"/>
          <w:highlight w:val="none"/>
          <w:lang w:val="en-US" w:eastAsia="zh-CN"/>
        </w:rPr>
        <w:t>1月至今</w:t>
      </w:r>
      <w:r>
        <w:rPr>
          <w:rFonts w:hint="eastAsia" w:ascii="宋体" w:hAnsi="宋体"/>
          <w:sz w:val="24"/>
          <w:szCs w:val="24"/>
          <w:highlight w:val="none"/>
          <w:lang w:eastAsia="zh-CN"/>
        </w:rPr>
        <w:t>至少1个月的依法缴纳税收和社会保险费的相关证明材料扫描件。（依法免缴的，应提供依法免缴的相关证明文件；未到缴税时间的新注册的公司应提供未拖欠税款及社会保险的相关证明材料）。</w:t>
      </w:r>
    </w:p>
    <w:p w14:paraId="6C8D3279">
      <w:pPr>
        <w:tabs>
          <w:tab w:val="left" w:pos="900"/>
          <w:tab w:val="left" w:pos="7740"/>
        </w:tabs>
        <w:spacing w:line="560" w:lineRule="exact"/>
        <w:ind w:firstLine="480" w:firstLineChars="200"/>
        <w:rPr>
          <w:rFonts w:hint="eastAsia" w:ascii="宋体" w:hAnsi="宋体"/>
          <w:sz w:val="24"/>
          <w:szCs w:val="24"/>
          <w:highlight w:val="none"/>
          <w:lang w:val="en-US" w:eastAsia="zh-CN"/>
        </w:rPr>
      </w:pPr>
      <w:r>
        <w:rPr>
          <w:rFonts w:hint="eastAsia" w:ascii="宋体" w:hAnsi="宋体"/>
          <w:sz w:val="24"/>
          <w:szCs w:val="24"/>
          <w:highlight w:val="none"/>
          <w:lang w:val="en-US" w:eastAsia="zh-CN"/>
        </w:rPr>
        <w:t>8、须持有企业注册地政府机构颁发的有效期内的《保安服务许可证》；非天津注册供应商一旦成交，须在合同规定时间内到天津市公安机关进行备案，投标文件中须提供备案承诺书。</w:t>
      </w:r>
    </w:p>
    <w:p w14:paraId="37E1C47C">
      <w:pPr>
        <w:tabs>
          <w:tab w:val="left" w:pos="900"/>
          <w:tab w:val="left" w:pos="7740"/>
        </w:tabs>
        <w:spacing w:line="560" w:lineRule="exact"/>
        <w:ind w:firstLine="480" w:firstLineChars="200"/>
        <w:rPr>
          <w:rFonts w:hint="eastAsia" w:ascii="宋体" w:hAnsi="宋体"/>
          <w:sz w:val="24"/>
          <w:szCs w:val="24"/>
          <w:highlight w:val="none"/>
          <w:lang w:val="en-US" w:eastAsia="zh-CN"/>
        </w:rPr>
      </w:pPr>
      <w:r>
        <w:rPr>
          <w:rFonts w:hint="eastAsia" w:ascii="宋体" w:hAnsi="宋体"/>
          <w:sz w:val="24"/>
          <w:szCs w:val="24"/>
          <w:highlight w:val="none"/>
          <w:lang w:val="en-US" w:eastAsia="zh-CN"/>
        </w:rPr>
        <w:t>9、提交具备履行合同所必需的设备和专业技术能力的承诺书。</w:t>
      </w:r>
    </w:p>
    <w:p w14:paraId="5D0445B4">
      <w:pPr>
        <w:numPr>
          <w:numId w:val="0"/>
        </w:numPr>
        <w:tabs>
          <w:tab w:val="left" w:pos="900"/>
          <w:tab w:val="left" w:pos="7740"/>
        </w:tabs>
        <w:spacing w:line="560" w:lineRule="exact"/>
        <w:ind w:firstLine="480" w:firstLineChars="200"/>
        <w:rPr>
          <w:rFonts w:hint="eastAsia" w:ascii="宋体" w:hAnsi="宋体"/>
          <w:sz w:val="24"/>
          <w:szCs w:val="24"/>
          <w:highlight w:val="none"/>
          <w:lang w:val="en-US" w:eastAsia="zh-CN"/>
        </w:rPr>
      </w:pPr>
      <w:r>
        <w:rPr>
          <w:rFonts w:hint="eastAsia" w:ascii="宋体" w:hAnsi="宋体" w:eastAsia="宋体" w:cs="Times New Roman"/>
          <w:sz w:val="24"/>
          <w:szCs w:val="24"/>
          <w:lang w:val="en-US" w:eastAsia="zh-CN"/>
        </w:rPr>
        <w:t>10、本项目仅限中、小微企业、监狱企业、残疾人福利性单位参与，投标人须提供《中小企业声明函》或《残疾人福利性单位声明函》或属于监狱企业的证明文件。</w:t>
      </w:r>
      <w:bookmarkStart w:id="8" w:name="_GoBack"/>
      <w:bookmarkEnd w:id="8"/>
    </w:p>
    <w:p w14:paraId="003B4487">
      <w:pPr>
        <w:tabs>
          <w:tab w:val="left" w:pos="900"/>
          <w:tab w:val="left" w:pos="7740"/>
        </w:tabs>
        <w:spacing w:line="560" w:lineRule="exact"/>
        <w:ind w:firstLine="480" w:firstLineChars="200"/>
        <w:rPr>
          <w:rFonts w:hint="eastAsia" w:ascii="宋体" w:hAnsi="宋体"/>
          <w:sz w:val="24"/>
          <w:szCs w:val="24"/>
          <w:highlight w:val="none"/>
          <w:lang w:val="en-US" w:eastAsia="zh-CN"/>
        </w:rPr>
      </w:pPr>
      <w:r>
        <w:rPr>
          <w:rFonts w:hint="eastAsia" w:ascii="宋体" w:hAnsi="宋体"/>
          <w:sz w:val="24"/>
          <w:szCs w:val="24"/>
          <w:highlight w:val="none"/>
          <w:lang w:val="en-US" w:eastAsia="zh-CN"/>
        </w:rPr>
        <w:t>五、项目需要落实的政府采购政策</w:t>
      </w:r>
    </w:p>
    <w:bookmarkEnd w:id="3"/>
    <w:p w14:paraId="58DA625A">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（一）按照国家节能环保政策执行。</w:t>
      </w:r>
    </w:p>
    <w:p w14:paraId="2E1BD3E7">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Times New Roman" w:hAnsi="Times New Roman" w:eastAsia="宋体" w:cs="Times New Roman"/>
          <w:color w:val="auto"/>
          <w:lang w:val="en-US" w:eastAsia="zh-CN"/>
        </w:rPr>
        <w:t>中小微</w:t>
      </w:r>
      <w:r>
        <w:rPr>
          <w:rFonts w:hint="eastAsia" w:ascii="Times New Roman" w:hAnsi="Times New Roman" w:eastAsia="宋体" w:cs="Times New Roman"/>
          <w:color w:val="auto"/>
        </w:rPr>
        <w:t>企业、监狱企业、残疾人福利性单位参与，投标人须提供《中小企业声明函》或《残疾人福利性单位声明函》或属于监狱企业的证明文件。</w:t>
      </w:r>
    </w:p>
    <w:p w14:paraId="14BED98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CBD8D69">
      <w:pPr>
        <w:pStyle w:val="35"/>
        <w:numPr>
          <w:ilvl w:val="0"/>
          <w:numId w:val="1"/>
        </w:numPr>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08B39D8">
      <w:pPr>
        <w:pStyle w:val="35"/>
        <w:numPr>
          <w:ilvl w:val="0"/>
          <w:numId w:val="0"/>
        </w:numPr>
        <w:spacing w:line="360" w:lineRule="auto"/>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日，每日</w:t>
      </w:r>
      <w:r>
        <w:rPr>
          <w:rFonts w:ascii="Times New Roman" w:hAnsi="Times New Roman" w:eastAsia="宋体" w:cs="Times New Roman"/>
          <w:color w:val="auto"/>
        </w:rPr>
        <w:t>9:00至17:00（北京时间，法定节假日除外）。</w:t>
      </w:r>
    </w:p>
    <w:p w14:paraId="119AFD77">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1E4A8CB">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150FA716">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0643A1B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hint="eastAsia" w:ascii="Times New Roman" w:hAnsi="Times New Roman" w:eastAsia="宋体" w:cs="Times New Roman"/>
          <w:color w:val="auto"/>
        </w:rPr>
        <w:t>日8:30至9:</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0完成第一阶段解密的方为有效响应。</w:t>
      </w:r>
    </w:p>
    <w:p w14:paraId="6BBC569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A1E2DAD">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35"/>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7C67C86D">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64B7AFD8">
      <w:pPr>
        <w:pStyle w:val="35"/>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val="en-US" w:eastAsia="zh-CN"/>
        </w:rPr>
        <w:t>张颖   联系电话：022-27394697</w:t>
      </w:r>
    </w:p>
    <w:p w14:paraId="0C8DE8C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D4D57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w:t>
      </w:r>
      <w:r>
        <w:rPr>
          <w:rFonts w:hint="eastAsia" w:ascii="Times New Roman" w:hAnsi="Times New Roman" w:eastAsia="宋体" w:cs="Times New Roman"/>
          <w:color w:val="auto"/>
          <w:lang w:val="en-US" w:eastAsia="zh-CN"/>
        </w:rPr>
        <w:t>27937066</w:t>
      </w:r>
    </w:p>
    <w:p w14:paraId="4DA8B1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F6B09BD">
      <w:pPr>
        <w:pStyle w:val="35"/>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49F18F75">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ascii="Times New Roman" w:hAnsi="Times New Roman" w:eastAsia="宋体" w:cs="Times New Roman"/>
          <w:color w:val="auto"/>
          <w:highlight w:val="none"/>
          <w:lang w:eastAsia="zh-CN"/>
        </w:rPr>
        <w:t>天津市西青区人民政府李七庄街道办事处</w:t>
      </w:r>
      <w:r>
        <w:rPr>
          <w:rFonts w:ascii="Times New Roman" w:hAnsi="Times New Roman" w:eastAsia="宋体" w:cs="Times New Roman"/>
          <w:color w:val="auto"/>
          <w:highlight w:val="none"/>
        </w:rPr>
        <w:t xml:space="preserve">  </w:t>
      </w:r>
    </w:p>
    <w:p w14:paraId="5A7D8C76">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 天津市西青区李七庄街秀川路10号</w:t>
      </w:r>
    </w:p>
    <w:p w14:paraId="414782BE">
      <w:pPr>
        <w:pStyle w:val="35"/>
        <w:spacing w:line="360" w:lineRule="auto"/>
        <w:ind w:firstLine="480" w:firstLineChars="200"/>
        <w:rPr>
          <w:rFonts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（三）采购人联系人：</w:t>
      </w:r>
      <w:r>
        <w:rPr>
          <w:rFonts w:ascii="Times New Roman" w:hAnsi="Times New Roman" w:eastAsia="宋体" w:cs="Times New Roman"/>
          <w:color w:val="auto"/>
          <w:highlight w:val="none"/>
          <w:lang w:val="en-US" w:eastAsia="zh-CN"/>
        </w:rPr>
        <w:t>李朋</w:t>
      </w:r>
    </w:p>
    <w:p w14:paraId="7A2D28EE">
      <w:pPr>
        <w:pStyle w:val="35"/>
        <w:spacing w:line="360" w:lineRule="auto"/>
        <w:ind w:firstLine="480" w:firstLineChars="200"/>
        <w:jc w:val="both"/>
        <w:rPr>
          <w:rFonts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w:t>
      </w:r>
      <w:r>
        <w:rPr>
          <w:rFonts w:ascii="Times New Roman" w:hAnsi="Times New Roman" w:eastAsia="宋体" w:cs="Times New Roman"/>
          <w:color w:val="auto"/>
          <w:highlight w:val="none"/>
          <w:lang w:val="en-US" w:eastAsia="zh-CN"/>
        </w:rPr>
        <w:t>23949626</w:t>
      </w:r>
    </w:p>
    <w:p w14:paraId="5EEDF0E3">
      <w:pPr>
        <w:pStyle w:val="35"/>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3F39DA11">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35"/>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0072E5F2">
      <w:pPr>
        <w:pStyle w:val="35"/>
        <w:spacing w:line="360" w:lineRule="auto"/>
        <w:ind w:firstLine="480" w:firstLineChars="200"/>
        <w:rPr>
          <w:rFonts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1. 联系部门：</w:t>
      </w:r>
      <w:r>
        <w:rPr>
          <w:rFonts w:ascii="Times New Roman" w:hAnsi="Times New Roman" w:eastAsia="宋体" w:cs="Times New Roman"/>
          <w:color w:val="auto"/>
          <w:highlight w:val="none"/>
          <w:lang w:eastAsia="zh-CN"/>
        </w:rPr>
        <w:t>天津市西青区人民政府李七庄街道办事处</w:t>
      </w:r>
    </w:p>
    <w:p w14:paraId="76F02745">
      <w:pPr>
        <w:pStyle w:val="35"/>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 联系地址：天津市西青区李七庄街秀川路10号</w:t>
      </w:r>
    </w:p>
    <w:p w14:paraId="0DA476DC">
      <w:pPr>
        <w:pStyle w:val="35"/>
        <w:spacing w:line="360" w:lineRule="auto"/>
        <w:ind w:firstLine="480" w:firstLineChars="200"/>
        <w:rPr>
          <w:rFonts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3. 联 系 人：</w:t>
      </w:r>
      <w:r>
        <w:rPr>
          <w:rFonts w:ascii="Times New Roman" w:hAnsi="Times New Roman" w:eastAsia="宋体" w:cs="Times New Roman"/>
          <w:color w:val="auto"/>
          <w:highlight w:val="none"/>
          <w:lang w:val="en-US" w:eastAsia="zh-CN"/>
        </w:rPr>
        <w:t>李朋</w:t>
      </w:r>
    </w:p>
    <w:p w14:paraId="63BB5575">
      <w:pPr>
        <w:pStyle w:val="35"/>
        <w:spacing w:line="360" w:lineRule="auto"/>
        <w:ind w:firstLine="480" w:firstLineChars="200"/>
        <w:rPr>
          <w:rFonts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w:t>
      </w:r>
      <w:r>
        <w:rPr>
          <w:rFonts w:ascii="Times New Roman" w:hAnsi="Times New Roman" w:eastAsia="宋体" w:cs="Times New Roman"/>
          <w:color w:val="auto"/>
          <w:highlight w:val="none"/>
          <w:lang w:val="en-US" w:eastAsia="zh-CN"/>
        </w:rPr>
        <w:t>23949626</w:t>
      </w:r>
    </w:p>
    <w:p w14:paraId="13C5B8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2936D706">
      <w:pPr>
        <w:pStyle w:val="35"/>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075EA382">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32CC4445">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02769DD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A35FFCF">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01FD0159">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服务期：自签订合同之日起</w:t>
      </w:r>
      <w:r>
        <w:rPr>
          <w:rFonts w:ascii="Times New Roman" w:hAnsi="Times New Roman" w:eastAsia="宋体" w:cs="Times New Roman"/>
          <w:color w:val="auto"/>
          <w:kern w:val="2"/>
          <w:highlight w:val="none"/>
          <w:lang w:val="en-US" w:eastAsia="zh-CN"/>
        </w:rPr>
        <w:t>3</w:t>
      </w:r>
      <w:r>
        <w:rPr>
          <w:rFonts w:ascii="Times New Roman" w:hAnsi="Times New Roman" w:eastAsia="宋体" w:cs="Times New Roman"/>
          <w:color w:val="auto"/>
          <w:kern w:val="2"/>
          <w:highlight w:val="none"/>
        </w:rPr>
        <w:t>年。（特殊情况以合同为准）。</w:t>
      </w:r>
    </w:p>
    <w:p w14:paraId="2363149F">
      <w:pPr>
        <w:pStyle w:val="35"/>
        <w:spacing w:line="360" w:lineRule="auto"/>
        <w:ind w:firstLine="480" w:firstLineChars="200"/>
        <w:jc w:val="both"/>
        <w:rPr>
          <w:rFonts w:ascii="Times New Roman" w:hAnsi="Times New Roman" w:eastAsia="宋体" w:cs="Times New Roman"/>
          <w:color w:val="auto"/>
          <w:kern w:val="2"/>
          <w:highlight w:val="none"/>
          <w:lang w:val="en-US" w:eastAsia="zh-CN"/>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ascii="Times New Roman" w:hAnsi="Times New Roman" w:eastAsia="宋体" w:cs="Times New Roman"/>
          <w:color w:val="auto"/>
          <w:kern w:val="2"/>
          <w:highlight w:val="none"/>
          <w:lang w:val="en-US" w:eastAsia="zh-CN"/>
        </w:rPr>
        <w:t>天津市西青区李七庄街秀川路10号。</w:t>
      </w:r>
    </w:p>
    <w:p w14:paraId="49ED9C66">
      <w:pPr>
        <w:pStyle w:val="103"/>
        <w:keepNext w:val="0"/>
        <w:keepLines w:val="0"/>
        <w:pageBreakBefore w:val="0"/>
        <w:widowControl w:val="0"/>
        <w:kinsoku/>
        <w:overflowPunct/>
        <w:autoSpaceDE w:val="0"/>
        <w:autoSpaceDN w:val="0"/>
        <w:bidi w:val="0"/>
        <w:spacing w:line="360" w:lineRule="auto"/>
        <w:ind w:firstLine="480" w:firstLineChars="200"/>
        <w:textAlignment w:val="auto"/>
        <w:rPr>
          <w:rFonts w:ascii="Times New Roman" w:hAnsi="Times New Roman" w:eastAsia="宋体"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3. 特别要求：</w:t>
      </w:r>
      <w:r>
        <w:rPr>
          <w:rFonts w:ascii="Times New Roman" w:hAnsi="Times New Roman" w:eastAsia="宋体" w:cs="Times New Roman"/>
          <w:color w:val="auto"/>
          <w:kern w:val="2"/>
          <w:sz w:val="24"/>
          <w:szCs w:val="24"/>
          <w:highlight w:val="none"/>
          <w:lang w:val="en-US" w:eastAsia="zh-CN" w:bidi="ar-SA"/>
        </w:rPr>
        <w:t>采购人在实际运做中按照岗位需求有权随时增加或减少保安人员，供应商应按照采购人不同时期的不同需求提供现场服务人员。服务人员发生变化时需双方书面确认，服务费用按照实际发生结算。</w:t>
      </w:r>
    </w:p>
    <w:p w14:paraId="71B999FA">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A7D514">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F2995F1">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4485981C">
      <w:pPr>
        <w:pStyle w:val="35"/>
        <w:spacing w:line="360" w:lineRule="auto"/>
        <w:ind w:firstLine="480" w:firstLineChars="200"/>
        <w:jc w:val="both"/>
        <w:rPr>
          <w:rFonts w:ascii="Times New Roman" w:hAnsi="Times New Roman" w:eastAsia="宋体" w:cs="Times New Roman"/>
          <w:color w:val="auto"/>
          <w:kern w:val="2"/>
          <w:highlight w:val="none"/>
          <w:lang w:val="ja-JP" w:eastAsia="zh-CN"/>
        </w:rPr>
      </w:pPr>
      <w:r>
        <w:rPr>
          <w:rFonts w:ascii="Times New Roman" w:hAnsi="Times New Roman" w:eastAsia="宋体" w:cs="Times New Roman"/>
          <w:color w:val="auto"/>
          <w:kern w:val="2"/>
          <w:highlight w:val="none"/>
          <w:lang w:val="ja-JP" w:eastAsia="zh-CN"/>
        </w:rPr>
        <w:t>按季度支付，</w:t>
      </w:r>
      <w:r>
        <w:rPr>
          <w:rFonts w:ascii="Times New Roman" w:hAnsi="Times New Roman" w:eastAsia="宋体" w:cs="Times New Roman"/>
          <w:color w:val="auto"/>
          <w:kern w:val="2"/>
          <w:highlight w:val="none"/>
          <w:lang w:val="en-US" w:eastAsia="zh-CN"/>
        </w:rPr>
        <w:t>依据</w:t>
      </w:r>
      <w:r>
        <w:rPr>
          <w:rFonts w:ascii="Times New Roman" w:hAnsi="Times New Roman" w:eastAsia="宋体" w:cs="Times New Roman"/>
          <w:color w:val="auto"/>
          <w:kern w:val="2"/>
          <w:highlight w:val="none"/>
          <w:lang w:val="ja-JP" w:eastAsia="zh-CN"/>
        </w:rPr>
        <w:t>考核</w:t>
      </w:r>
      <w:r>
        <w:rPr>
          <w:rFonts w:ascii="Times New Roman" w:hAnsi="Times New Roman" w:eastAsia="宋体" w:cs="Times New Roman"/>
          <w:color w:val="auto"/>
          <w:kern w:val="2"/>
          <w:highlight w:val="none"/>
          <w:lang w:val="en-US" w:eastAsia="zh-CN"/>
        </w:rPr>
        <w:t>结果</w:t>
      </w:r>
      <w:r>
        <w:rPr>
          <w:rFonts w:ascii="Times New Roman" w:hAnsi="Times New Roman" w:eastAsia="宋体" w:cs="Times New Roman"/>
          <w:color w:val="auto"/>
          <w:kern w:val="2"/>
          <w:highlight w:val="none"/>
          <w:lang w:val="ja-JP" w:eastAsia="zh-CN"/>
        </w:rPr>
        <w:t>，每季度首月15日前支付上一季度服务费，</w:t>
      </w:r>
      <w:r>
        <w:rPr>
          <w:rFonts w:ascii="Times New Roman" w:hAnsi="Times New Roman" w:eastAsia="宋体" w:cs="Times New Roman"/>
          <w:color w:val="auto"/>
          <w:kern w:val="2"/>
          <w:highlight w:val="none"/>
          <w:lang w:val="en-US" w:eastAsia="zh-CN"/>
        </w:rPr>
        <w:t>据实结算</w:t>
      </w:r>
      <w:r>
        <w:rPr>
          <w:rFonts w:ascii="Times New Roman" w:hAnsi="Times New Roman" w:eastAsia="宋体" w:cs="Times New Roman"/>
          <w:color w:val="auto"/>
          <w:kern w:val="2"/>
          <w:highlight w:val="none"/>
          <w:lang w:val="ja-JP" w:eastAsia="zh-CN"/>
        </w:rPr>
        <w:t>（特殊情况以合同为准）。</w:t>
      </w:r>
    </w:p>
    <w:p w14:paraId="647A08E5">
      <w:pPr>
        <w:pStyle w:val="35"/>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148B4D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0CA03977">
      <w:pPr>
        <w:pStyle w:val="35"/>
        <w:spacing w:line="360" w:lineRule="auto"/>
        <w:ind w:firstLine="480" w:firstLineChars="200"/>
        <w:jc w:val="both"/>
        <w:rPr>
          <w:rFonts w:ascii="Times New Roman" w:hAnsi="Times New Roman" w:eastAsia="宋体" w:cs="Times New Roman"/>
          <w:kern w:val="2"/>
        </w:rPr>
      </w:pP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p w14:paraId="31F9CD05">
      <w:pPr>
        <w:pStyle w:val="103"/>
        <w:keepNext w:val="0"/>
        <w:keepLines w:val="0"/>
        <w:pageBreakBefore w:val="0"/>
        <w:widowControl w:val="0"/>
        <w:kinsoku/>
        <w:overflowPunct/>
        <w:autoSpaceDE w:val="0"/>
        <w:autoSpaceDN w:val="0"/>
        <w:bidi w:val="0"/>
        <w:snapToGrid/>
        <w:spacing w:line="360" w:lineRule="auto"/>
        <w:textAlignment w:val="auto"/>
        <w:rPr>
          <w:rFonts w:hint="eastAsia" w:ascii="Times New Roman" w:hAnsi="Times New Roman" w:eastAsia="宋体" w:cs="Times New Roman"/>
          <w:bCs/>
          <w:color w:val="auto"/>
          <w:kern w:val="2"/>
          <w:sz w:val="24"/>
          <w:szCs w:val="20"/>
          <w:lang w:val="en-US" w:eastAsia="zh-CN" w:bidi="ar-SA"/>
        </w:rPr>
      </w:pPr>
      <w:r>
        <w:rPr>
          <w:rFonts w:hint="eastAsia" w:ascii="Times New Roman" w:hAnsi="Times New Roman" w:eastAsia="宋体" w:cs="Times New Roman"/>
          <w:bCs/>
          <w:color w:val="auto"/>
          <w:kern w:val="2"/>
          <w:sz w:val="24"/>
          <w:szCs w:val="20"/>
          <w:lang w:val="en-US" w:eastAsia="zh-CN" w:bidi="ar-SA"/>
        </w:rPr>
        <w:t>技术标评分表（90分）</w:t>
      </w:r>
    </w:p>
    <w:tbl>
      <w:tblPr>
        <w:tblStyle w:val="16"/>
        <w:tblW w:w="10260" w:type="dxa"/>
        <w:jc w:val="center"/>
        <w:tblLayout w:type="fixed"/>
        <w:tblCellMar>
          <w:top w:w="0" w:type="dxa"/>
          <w:left w:w="108" w:type="dxa"/>
          <w:bottom w:w="0" w:type="dxa"/>
          <w:right w:w="108" w:type="dxa"/>
        </w:tblCellMar>
      </w:tblPr>
      <w:tblGrid>
        <w:gridCol w:w="507"/>
        <w:gridCol w:w="1655"/>
        <w:gridCol w:w="7017"/>
        <w:gridCol w:w="1080"/>
      </w:tblGrid>
      <w:tr w14:paraId="4706FF12">
        <w:tblPrEx>
          <w:tblCellMar>
            <w:top w:w="0" w:type="dxa"/>
            <w:left w:w="108" w:type="dxa"/>
            <w:bottom w:w="0" w:type="dxa"/>
            <w:right w:w="108" w:type="dxa"/>
          </w:tblCellMar>
        </w:tblPrEx>
        <w:trPr>
          <w:jc w:val="center"/>
        </w:trPr>
        <w:tc>
          <w:tcPr>
            <w:tcW w:w="9179" w:type="dxa"/>
            <w:gridSpan w:val="3"/>
            <w:tcBorders>
              <w:top w:val="single" w:color="000000" w:sz="4" w:space="0"/>
              <w:left w:val="single" w:color="000000" w:sz="4" w:space="0"/>
              <w:bottom w:val="single" w:color="000000" w:sz="4" w:space="0"/>
              <w:right w:val="single" w:color="000000" w:sz="4" w:space="0"/>
            </w:tcBorders>
            <w:vAlign w:val="center"/>
          </w:tcPr>
          <w:p w14:paraId="4BB9B5E2">
            <w:pPr>
              <w:pStyle w:val="103"/>
              <w:widowControl w:val="0"/>
              <w:snapToGrid w:val="0"/>
              <w:spacing w:beforeLines="0" w:beforeAutospacing="0" w:afterLines="0" w:afterAutospacing="0" w:line="360" w:lineRule="auto"/>
              <w:jc w:val="center"/>
              <w:rPr>
                <w:rFonts w:hint="eastAsia" w:ascii="Times New Roman" w:hAnsi="Times New Roman" w:eastAsia="宋体" w:cs="Times New Roman"/>
                <w:bCs/>
                <w:color w:val="auto"/>
                <w:kern w:val="2"/>
                <w:sz w:val="24"/>
                <w:szCs w:val="20"/>
                <w:lang w:val="en-US" w:eastAsia="zh-CN" w:bidi="ar-SA"/>
              </w:rPr>
            </w:pPr>
            <w:r>
              <w:rPr>
                <w:rFonts w:hint="eastAsia" w:ascii="Times New Roman" w:hAnsi="Times New Roman" w:eastAsia="宋体" w:cs="Times New Roman"/>
                <w:bCs/>
                <w:color w:val="auto"/>
                <w:kern w:val="2"/>
                <w:sz w:val="24"/>
                <w:szCs w:val="20"/>
                <w:lang w:val="en-US" w:eastAsia="zh-CN" w:bidi="ar-SA"/>
              </w:rPr>
              <w:t>第一部分 商务评审（30分）</w:t>
            </w:r>
          </w:p>
        </w:tc>
        <w:tc>
          <w:tcPr>
            <w:tcW w:w="1080" w:type="dxa"/>
            <w:tcBorders>
              <w:top w:val="single" w:color="000000" w:sz="4" w:space="0"/>
              <w:left w:val="single" w:color="000000" w:sz="4" w:space="0"/>
              <w:bottom w:val="single" w:color="000000" w:sz="4" w:space="0"/>
              <w:right w:val="single" w:color="000000" w:sz="4" w:space="0"/>
            </w:tcBorders>
            <w:vAlign w:val="center"/>
          </w:tcPr>
          <w:p w14:paraId="07297868">
            <w:pPr>
              <w:pStyle w:val="103"/>
              <w:widowControl w:val="0"/>
              <w:snapToGrid w:val="0"/>
              <w:spacing w:beforeLines="0" w:beforeAutospacing="0" w:afterLines="0" w:afterAutospacing="0" w:line="360" w:lineRule="auto"/>
              <w:jc w:val="center"/>
              <w:rPr>
                <w:rFonts w:hint="eastAsia" w:ascii="Times New Roman" w:hAnsi="Times New Roman" w:eastAsia="宋体" w:cs="Times New Roman"/>
                <w:bCs/>
                <w:color w:val="auto"/>
                <w:kern w:val="2"/>
                <w:sz w:val="24"/>
                <w:szCs w:val="20"/>
                <w:lang w:val="en-US" w:eastAsia="zh-CN" w:bidi="ar-SA"/>
              </w:rPr>
            </w:pPr>
            <w:r>
              <w:rPr>
                <w:rFonts w:hint="eastAsia" w:ascii="Times New Roman" w:hAnsi="Times New Roman" w:eastAsia="宋体" w:cs="Times New Roman"/>
                <w:bCs/>
                <w:color w:val="auto"/>
                <w:kern w:val="2"/>
                <w:sz w:val="24"/>
                <w:szCs w:val="20"/>
                <w:lang w:val="en-US" w:eastAsia="zh-CN" w:bidi="ar-SA"/>
              </w:rPr>
              <w:t>分值</w:t>
            </w:r>
          </w:p>
        </w:tc>
      </w:tr>
      <w:tr w14:paraId="77F20228">
        <w:tblPrEx>
          <w:tblCellMar>
            <w:top w:w="0" w:type="dxa"/>
            <w:left w:w="108" w:type="dxa"/>
            <w:bottom w:w="0" w:type="dxa"/>
            <w:right w:w="108" w:type="dxa"/>
          </w:tblCellMar>
        </w:tblPrEx>
        <w:trPr>
          <w:jc w:val="center"/>
        </w:trPr>
        <w:tc>
          <w:tcPr>
            <w:tcW w:w="507" w:type="dxa"/>
            <w:tcBorders>
              <w:top w:val="single" w:color="000000" w:sz="4" w:space="0"/>
              <w:left w:val="single" w:color="000000" w:sz="4" w:space="0"/>
              <w:bottom w:val="single" w:color="000000" w:sz="4" w:space="0"/>
              <w:right w:val="single" w:color="000000" w:sz="4" w:space="0"/>
            </w:tcBorders>
            <w:vAlign w:val="center"/>
          </w:tcPr>
          <w:p w14:paraId="4E2A26F0">
            <w:pPr>
              <w:pStyle w:val="103"/>
              <w:widowControl w:val="0"/>
              <w:snapToGrid w:val="0"/>
              <w:spacing w:beforeLines="0" w:beforeAutospacing="0" w:afterLines="0" w:afterAutospacing="0"/>
              <w:jc w:val="center"/>
              <w:rPr>
                <w:rFonts w:hint="eastAsia" w:ascii="Times New Roman" w:hAnsi="Times New Roman" w:eastAsia="宋体" w:cs="Times New Roman"/>
                <w:bCs/>
                <w:color w:val="auto"/>
                <w:kern w:val="2"/>
                <w:sz w:val="24"/>
                <w:szCs w:val="20"/>
                <w:lang w:val="ja-JP" w:eastAsia="zh-CN" w:bidi="ar-SA"/>
              </w:rPr>
            </w:pPr>
            <w:r>
              <w:rPr>
                <w:rFonts w:hint="eastAsia" w:ascii="Times New Roman" w:hAnsi="Times New Roman" w:eastAsia="宋体" w:cs="Times New Roman"/>
                <w:bCs/>
                <w:color w:val="auto"/>
                <w:kern w:val="2"/>
                <w:sz w:val="24"/>
                <w:szCs w:val="20"/>
                <w:lang w:val="en-US" w:eastAsia="zh-CN" w:bidi="ar-SA"/>
              </w:rPr>
              <w:t>1</w:t>
            </w:r>
          </w:p>
        </w:tc>
        <w:tc>
          <w:tcPr>
            <w:tcW w:w="1655" w:type="dxa"/>
            <w:tcBorders>
              <w:top w:val="single" w:color="000000" w:sz="4" w:space="0"/>
              <w:left w:val="single" w:color="000000" w:sz="4" w:space="0"/>
              <w:bottom w:val="single" w:color="000000" w:sz="4" w:space="0"/>
              <w:right w:val="single" w:color="000000" w:sz="4" w:space="0"/>
            </w:tcBorders>
            <w:vAlign w:val="center"/>
          </w:tcPr>
          <w:p w14:paraId="465E1ADF">
            <w:pPr>
              <w:pStyle w:val="103"/>
              <w:widowControl w:val="0"/>
              <w:snapToGrid w:val="0"/>
              <w:spacing w:beforeLines="0" w:beforeAutospacing="0" w:afterLines="0" w:afterAutospacing="0"/>
              <w:jc w:val="center"/>
              <w:rPr>
                <w:rFonts w:hint="eastAsia" w:ascii="Times New Roman" w:hAnsi="Times New Roman" w:eastAsia="宋体" w:cs="Times New Roman"/>
                <w:bCs/>
                <w:color w:val="auto"/>
                <w:kern w:val="2"/>
                <w:sz w:val="24"/>
                <w:szCs w:val="20"/>
                <w:lang w:val="ja-JP" w:eastAsia="zh-CN" w:bidi="ar-SA"/>
              </w:rPr>
            </w:pPr>
            <w:r>
              <w:rPr>
                <w:rFonts w:hint="eastAsia" w:ascii="Times New Roman" w:hAnsi="Times New Roman" w:eastAsia="宋体" w:cs="Times New Roman"/>
                <w:bCs/>
                <w:color w:val="auto"/>
                <w:kern w:val="2"/>
                <w:sz w:val="24"/>
                <w:szCs w:val="20"/>
                <w:lang w:val="en-US" w:eastAsia="zh-CN" w:bidi="ar-SA"/>
              </w:rPr>
              <w:t>供应商业绩</w:t>
            </w:r>
          </w:p>
        </w:tc>
        <w:tc>
          <w:tcPr>
            <w:tcW w:w="7017" w:type="dxa"/>
            <w:tcBorders>
              <w:top w:val="single" w:color="000000" w:sz="4" w:space="0"/>
              <w:left w:val="single" w:color="000000" w:sz="4" w:space="0"/>
              <w:bottom w:val="single" w:color="000000" w:sz="4" w:space="0"/>
              <w:right w:val="single" w:color="000000" w:sz="4" w:space="0"/>
            </w:tcBorders>
            <w:vAlign w:val="center"/>
          </w:tcPr>
          <w:p w14:paraId="55E64133">
            <w:pPr>
              <w:pStyle w:val="103"/>
              <w:widowControl w:val="0"/>
              <w:snapToGrid w:val="0"/>
              <w:spacing w:beforeLines="0" w:beforeAutospacing="0" w:afterLines="0" w:afterAutospacing="0"/>
              <w:jc w:val="left"/>
              <w:rPr>
                <w:rFonts w:hint="eastAsia" w:ascii="Times New Roman" w:hAnsi="Times New Roman" w:eastAsia="宋体" w:cs="Times New Roman"/>
                <w:bCs/>
                <w:color w:val="auto"/>
                <w:kern w:val="2"/>
                <w:sz w:val="24"/>
                <w:szCs w:val="20"/>
                <w:lang w:val="en-US" w:eastAsia="zh-CN" w:bidi="ar-SA"/>
              </w:rPr>
            </w:pPr>
            <w:r>
              <w:rPr>
                <w:rFonts w:hint="eastAsia" w:ascii="Times New Roman" w:hAnsi="Times New Roman" w:eastAsia="宋体" w:cs="Times New Roman"/>
                <w:bCs/>
                <w:color w:val="auto"/>
                <w:kern w:val="2"/>
                <w:sz w:val="24"/>
                <w:szCs w:val="20"/>
                <w:lang w:val="en-US" w:eastAsia="zh-CN" w:bidi="ar-SA"/>
              </w:rPr>
              <w:t>供应商需提供2022年1月1日后签订合同并已履行至少1年的时间的同类型成功案例，每提供一项案例得5分，最高得15分。</w:t>
            </w:r>
          </w:p>
          <w:p w14:paraId="59D86B41">
            <w:pPr>
              <w:pStyle w:val="103"/>
              <w:widowControl w:val="0"/>
              <w:snapToGrid w:val="0"/>
              <w:spacing w:beforeLines="0" w:beforeAutospacing="0" w:afterLines="0" w:afterAutospacing="0"/>
              <w:jc w:val="left"/>
              <w:rPr>
                <w:rFonts w:hint="eastAsia" w:ascii="Times New Roman" w:hAnsi="Times New Roman" w:eastAsia="宋体" w:cs="Times New Roman"/>
                <w:bCs/>
                <w:color w:val="auto"/>
                <w:kern w:val="2"/>
                <w:sz w:val="24"/>
                <w:szCs w:val="20"/>
                <w:lang w:val="en-US" w:eastAsia="zh-CN" w:bidi="ar-SA"/>
              </w:rPr>
            </w:pPr>
            <w:r>
              <w:rPr>
                <w:rFonts w:hint="eastAsia" w:ascii="Times New Roman" w:hAnsi="Times New Roman" w:eastAsia="宋体" w:cs="Times New Roman"/>
                <w:bCs/>
                <w:color w:val="auto"/>
                <w:kern w:val="2"/>
                <w:sz w:val="24"/>
                <w:szCs w:val="20"/>
                <w:lang w:val="en-US" w:eastAsia="zh-CN" w:bidi="ar-SA"/>
              </w:rPr>
              <w:t>类似项目业绩须提供有效的相关证明资料并加盖公章，具体要求如下：</w:t>
            </w:r>
          </w:p>
          <w:p w14:paraId="63573112">
            <w:pPr>
              <w:pStyle w:val="103"/>
              <w:widowControl w:val="0"/>
              <w:snapToGrid w:val="0"/>
              <w:spacing w:beforeLines="0" w:beforeAutospacing="0" w:afterLines="0" w:afterAutospacing="0"/>
              <w:jc w:val="left"/>
              <w:rPr>
                <w:rFonts w:hint="eastAsia" w:ascii="Times New Roman" w:hAnsi="Times New Roman" w:eastAsia="宋体" w:cs="Times New Roman"/>
                <w:bCs/>
                <w:color w:val="auto"/>
                <w:kern w:val="2"/>
                <w:sz w:val="24"/>
                <w:szCs w:val="20"/>
                <w:lang w:val="en-US" w:eastAsia="zh-CN" w:bidi="ar-SA"/>
              </w:rPr>
            </w:pPr>
            <w:r>
              <w:rPr>
                <w:rFonts w:hint="eastAsia" w:ascii="Times New Roman" w:hAnsi="Times New Roman" w:eastAsia="宋体" w:cs="Times New Roman"/>
                <w:bCs/>
                <w:color w:val="auto"/>
                <w:kern w:val="2"/>
                <w:sz w:val="24"/>
                <w:szCs w:val="20"/>
                <w:lang w:val="en-US" w:eastAsia="zh-CN" w:bidi="ar-SA"/>
              </w:rPr>
              <w:t>(1)合同复印件。包括合同金额、合同签订日期、买卖双方名称及盖章。</w:t>
            </w:r>
          </w:p>
          <w:p w14:paraId="7085011C">
            <w:pPr>
              <w:pStyle w:val="103"/>
              <w:widowControl w:val="0"/>
              <w:snapToGrid w:val="0"/>
              <w:spacing w:beforeLines="0" w:beforeAutospacing="0" w:afterLines="0" w:afterAutospacing="0"/>
              <w:jc w:val="left"/>
              <w:rPr>
                <w:rFonts w:hint="eastAsia" w:ascii="Times New Roman" w:hAnsi="Times New Roman" w:eastAsia="宋体" w:cs="Times New Roman"/>
                <w:bCs/>
                <w:color w:val="auto"/>
                <w:kern w:val="2"/>
                <w:sz w:val="24"/>
                <w:szCs w:val="20"/>
                <w:lang w:val="en-US" w:eastAsia="zh-CN" w:bidi="ar-SA"/>
              </w:rPr>
            </w:pPr>
            <w:r>
              <w:rPr>
                <w:rFonts w:hint="eastAsia" w:ascii="Times New Roman" w:hAnsi="Times New Roman" w:eastAsia="宋体" w:cs="Times New Roman"/>
                <w:bCs/>
                <w:color w:val="auto"/>
                <w:kern w:val="2"/>
                <w:sz w:val="24"/>
                <w:szCs w:val="20"/>
                <w:lang w:val="en-US" w:eastAsia="zh-CN" w:bidi="ar-SA"/>
              </w:rPr>
              <w:t>(2)验收报告或成功履行合同的相关证明材料复印件。</w:t>
            </w:r>
          </w:p>
          <w:p w14:paraId="75783632">
            <w:pPr>
              <w:pStyle w:val="103"/>
              <w:widowControl w:val="0"/>
              <w:snapToGrid w:val="0"/>
              <w:spacing w:beforeLines="0" w:beforeAutospacing="0" w:afterLines="0" w:afterAutospacing="0"/>
              <w:jc w:val="left"/>
              <w:rPr>
                <w:rFonts w:hint="eastAsia" w:ascii="Times New Roman" w:hAnsi="Times New Roman" w:eastAsia="宋体" w:cs="Times New Roman"/>
                <w:bCs/>
                <w:color w:val="auto"/>
                <w:kern w:val="2"/>
                <w:sz w:val="24"/>
                <w:szCs w:val="20"/>
                <w:lang w:val="en-US" w:eastAsia="zh-CN" w:bidi="ar-SA"/>
              </w:rPr>
            </w:pPr>
            <w:r>
              <w:rPr>
                <w:rFonts w:hint="eastAsia" w:ascii="Times New Roman" w:hAnsi="Times New Roman" w:eastAsia="宋体" w:cs="Times New Roman"/>
                <w:bCs/>
                <w:color w:val="auto"/>
                <w:kern w:val="2"/>
                <w:sz w:val="24"/>
                <w:szCs w:val="20"/>
                <w:lang w:val="en-US" w:eastAsia="zh-CN" w:bidi="ar-SA"/>
              </w:rPr>
              <w:t>(3)上述合同服务期限内至少1个月的服务方开具的发票凭证复印件。</w:t>
            </w:r>
          </w:p>
          <w:p w14:paraId="27F3BD4B">
            <w:pPr>
              <w:pStyle w:val="104"/>
              <w:widowControl w:val="0"/>
              <w:spacing w:beforeLines="0" w:beforeAutospacing="0" w:afterLines="0" w:afterAutospacing="0"/>
              <w:jc w:val="left"/>
              <w:rPr>
                <w:rFonts w:hint="eastAsia" w:ascii="Times New Roman" w:hAnsi="Times New Roman" w:eastAsia="宋体" w:cs="Times New Roman"/>
                <w:bCs/>
                <w:color w:val="auto"/>
                <w:kern w:val="2"/>
                <w:sz w:val="24"/>
                <w:szCs w:val="20"/>
                <w:lang w:val="ja-JP" w:eastAsia="ja-JP" w:bidi="ar-SA"/>
              </w:rPr>
            </w:pPr>
            <w:r>
              <w:rPr>
                <w:rFonts w:hint="eastAsia" w:ascii="Times New Roman" w:hAnsi="Times New Roman" w:eastAsia="宋体" w:cs="Times New Roman"/>
                <w:bCs/>
                <w:color w:val="auto"/>
                <w:kern w:val="2"/>
                <w:sz w:val="24"/>
                <w:szCs w:val="20"/>
                <w:lang w:val="en-US" w:eastAsia="zh-CN" w:bidi="ar-SA"/>
              </w:rPr>
              <w:t>每项业绩须具备（1）、（2）或（1）、（3）项所有内容才可认定得分。（所有合同内容不得涂黑或遮挡，否则不予认定。）</w:t>
            </w:r>
          </w:p>
        </w:tc>
        <w:tc>
          <w:tcPr>
            <w:tcW w:w="1080" w:type="dxa"/>
            <w:tcBorders>
              <w:top w:val="single" w:color="000000" w:sz="4" w:space="0"/>
              <w:left w:val="single" w:color="000000" w:sz="4" w:space="0"/>
              <w:bottom w:val="single" w:color="000000" w:sz="4" w:space="0"/>
              <w:right w:val="single" w:color="000000" w:sz="4" w:space="0"/>
            </w:tcBorders>
            <w:vAlign w:val="center"/>
          </w:tcPr>
          <w:p w14:paraId="1FDDB248">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hint="eastAsia" w:ascii="Times New Roman" w:hAnsi="Times New Roman" w:eastAsia="宋体" w:cs="Times New Roman"/>
                <w:bCs/>
                <w:color w:val="auto"/>
                <w:kern w:val="2"/>
                <w:sz w:val="24"/>
                <w:szCs w:val="20"/>
                <w:lang w:val="en-US" w:eastAsia="zh-CN" w:bidi="ar-SA"/>
              </w:rPr>
            </w:pPr>
            <w:r>
              <w:rPr>
                <w:rFonts w:hint="eastAsia" w:ascii="Times New Roman" w:hAnsi="Times New Roman" w:eastAsia="宋体" w:cs="Times New Roman"/>
                <w:color w:val="auto"/>
                <w:kern w:val="2"/>
                <w:sz w:val="24"/>
                <w:szCs w:val="20"/>
                <w:lang w:val="en-US" w:eastAsia="zh-CN" w:bidi="ar-SA"/>
              </w:rPr>
              <w:t>15分</w:t>
            </w:r>
          </w:p>
        </w:tc>
      </w:tr>
      <w:tr w14:paraId="50F25CCE">
        <w:tblPrEx>
          <w:tblCellMar>
            <w:top w:w="0" w:type="dxa"/>
            <w:left w:w="108" w:type="dxa"/>
            <w:bottom w:w="0" w:type="dxa"/>
            <w:right w:w="108" w:type="dxa"/>
          </w:tblCellMar>
        </w:tblPrEx>
        <w:trPr>
          <w:jc w:val="center"/>
        </w:trPr>
        <w:tc>
          <w:tcPr>
            <w:tcW w:w="507" w:type="dxa"/>
            <w:tcBorders>
              <w:top w:val="single" w:color="000000" w:sz="4" w:space="0"/>
              <w:left w:val="single" w:color="000000" w:sz="4" w:space="0"/>
              <w:bottom w:val="single" w:color="000000" w:sz="4" w:space="0"/>
              <w:right w:val="single" w:color="000000" w:sz="4" w:space="0"/>
            </w:tcBorders>
            <w:vAlign w:val="center"/>
          </w:tcPr>
          <w:p w14:paraId="4BF13C9D">
            <w:pPr>
              <w:pStyle w:val="103"/>
              <w:widowControl w:val="0"/>
              <w:snapToGrid w:val="0"/>
              <w:spacing w:beforeLines="0" w:beforeAutospacing="0" w:afterLines="0" w:afterAutospacing="0"/>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2</w:t>
            </w:r>
          </w:p>
        </w:tc>
        <w:tc>
          <w:tcPr>
            <w:tcW w:w="1655" w:type="dxa"/>
            <w:tcBorders>
              <w:top w:val="single" w:color="000000" w:sz="4" w:space="0"/>
              <w:left w:val="single" w:color="000000" w:sz="4" w:space="0"/>
              <w:bottom w:val="single" w:color="000000" w:sz="4" w:space="0"/>
              <w:right w:val="single" w:color="000000" w:sz="4" w:space="0"/>
            </w:tcBorders>
            <w:vAlign w:val="center"/>
          </w:tcPr>
          <w:p w14:paraId="63D26CDC">
            <w:pPr>
              <w:pStyle w:val="103"/>
              <w:widowControl w:val="0"/>
              <w:snapToGrid w:val="0"/>
              <w:spacing w:beforeLines="0" w:beforeAutospacing="0" w:afterLines="0" w:afterAutospacing="0"/>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供应商认证评价</w:t>
            </w:r>
          </w:p>
        </w:tc>
        <w:tc>
          <w:tcPr>
            <w:tcW w:w="7017" w:type="dxa"/>
            <w:tcBorders>
              <w:top w:val="single" w:color="000000" w:sz="4" w:space="0"/>
              <w:left w:val="single" w:color="000000" w:sz="4" w:space="0"/>
              <w:bottom w:val="single" w:color="000000" w:sz="4" w:space="0"/>
              <w:right w:val="single" w:color="000000" w:sz="4" w:space="0"/>
            </w:tcBorders>
            <w:vAlign w:val="center"/>
          </w:tcPr>
          <w:p w14:paraId="3B940077">
            <w:pPr>
              <w:pStyle w:val="103"/>
              <w:widowControl w:val="0"/>
              <w:snapToGrid w:val="0"/>
              <w:spacing w:beforeLines="0" w:beforeAutospacing="0" w:afterLines="0" w:afterAutospacing="0"/>
              <w:jc w:val="left"/>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供应商应具备GB/T19001系列/IS09001系列质量管理体系认证、GB/T28001系列/OHSAS18001系列/GB/T45001 系列/ISO45001系列职业健康安全管理体系认证、GB/T24001系列/ISO14001系列环境管理体系认证，提供相关证明文件复印件（加盖单位公章）。每提供一个体系认证材料得1分，最多得3分。不提供得0分。</w:t>
            </w:r>
          </w:p>
        </w:tc>
        <w:tc>
          <w:tcPr>
            <w:tcW w:w="1080" w:type="dxa"/>
            <w:tcBorders>
              <w:top w:val="single" w:color="000000" w:sz="4" w:space="0"/>
              <w:left w:val="single" w:color="000000" w:sz="4" w:space="0"/>
              <w:bottom w:val="single" w:color="000000" w:sz="4" w:space="0"/>
              <w:right w:val="single" w:color="000000" w:sz="4" w:space="0"/>
            </w:tcBorders>
            <w:vAlign w:val="center"/>
          </w:tcPr>
          <w:p w14:paraId="62B036A0">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3分</w:t>
            </w:r>
          </w:p>
        </w:tc>
      </w:tr>
      <w:tr w14:paraId="2035C14F">
        <w:tblPrEx>
          <w:tblCellMar>
            <w:top w:w="0" w:type="dxa"/>
            <w:left w:w="108" w:type="dxa"/>
            <w:bottom w:w="0" w:type="dxa"/>
            <w:right w:w="108" w:type="dxa"/>
          </w:tblCellMar>
        </w:tblPrEx>
        <w:trPr>
          <w:jc w:val="center"/>
        </w:trPr>
        <w:tc>
          <w:tcPr>
            <w:tcW w:w="507" w:type="dxa"/>
            <w:vMerge w:val="restart"/>
            <w:tcBorders>
              <w:top w:val="single" w:color="000000" w:sz="4" w:space="0"/>
              <w:left w:val="single" w:color="000000" w:sz="4" w:space="0"/>
              <w:bottom w:val="single" w:color="000000" w:sz="4" w:space="0"/>
              <w:right w:val="single" w:color="000000" w:sz="4" w:space="0"/>
            </w:tcBorders>
            <w:vAlign w:val="center"/>
          </w:tcPr>
          <w:p w14:paraId="6B190D35">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3</w:t>
            </w:r>
          </w:p>
        </w:tc>
        <w:tc>
          <w:tcPr>
            <w:tcW w:w="1655" w:type="dxa"/>
            <w:vMerge w:val="restart"/>
            <w:tcBorders>
              <w:top w:val="single" w:color="000000" w:sz="4" w:space="0"/>
              <w:left w:val="single" w:color="000000" w:sz="4" w:space="0"/>
              <w:bottom w:val="single" w:color="000000" w:sz="4" w:space="0"/>
              <w:right w:val="single" w:color="000000" w:sz="4" w:space="0"/>
            </w:tcBorders>
            <w:vAlign w:val="center"/>
          </w:tcPr>
          <w:p w14:paraId="502A23E1">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派驻服务人员评价</w:t>
            </w:r>
          </w:p>
        </w:tc>
        <w:tc>
          <w:tcPr>
            <w:tcW w:w="7017" w:type="dxa"/>
            <w:tcBorders>
              <w:top w:val="single" w:color="000000" w:sz="4" w:space="0"/>
              <w:left w:val="single" w:color="000000" w:sz="4" w:space="0"/>
              <w:bottom w:val="single" w:color="000000" w:sz="4" w:space="0"/>
              <w:right w:val="single" w:color="000000" w:sz="4" w:space="0"/>
            </w:tcBorders>
            <w:vAlign w:val="center"/>
          </w:tcPr>
          <w:p w14:paraId="281C44EB">
            <w:pPr>
              <w:pStyle w:val="103"/>
              <w:keepNext w:val="0"/>
              <w:keepLines w:val="0"/>
              <w:widowControl w:val="0"/>
              <w:kinsoku/>
              <w:overflowPunct/>
              <w:autoSpaceDE w:val="0"/>
              <w:autoSpaceDN w:val="0"/>
              <w:bidi w:val="0"/>
              <w:snapToGrid w:val="0"/>
              <w:spacing w:beforeLines="0" w:beforeAutospacing="0" w:afterLines="0" w:afterAutospacing="0" w:line="240" w:lineRule="auto"/>
              <w:jc w:val="both"/>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承诺全部保安人员均满足项目需求书人员岗位要求且身体健康并提供承诺函，满足得3分，其他0分。</w:t>
            </w:r>
          </w:p>
        </w:tc>
        <w:tc>
          <w:tcPr>
            <w:tcW w:w="1080" w:type="dxa"/>
            <w:tcBorders>
              <w:top w:val="single" w:color="000000" w:sz="4" w:space="0"/>
              <w:left w:val="single" w:color="000000" w:sz="4" w:space="0"/>
              <w:bottom w:val="single" w:color="000000" w:sz="4" w:space="0"/>
              <w:right w:val="single" w:color="000000" w:sz="4" w:space="0"/>
            </w:tcBorders>
            <w:vAlign w:val="center"/>
          </w:tcPr>
          <w:p w14:paraId="00DB149B">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2分</w:t>
            </w:r>
          </w:p>
        </w:tc>
      </w:tr>
      <w:tr w14:paraId="1BA854FF">
        <w:tblPrEx>
          <w:tblCellMar>
            <w:top w:w="0" w:type="dxa"/>
            <w:left w:w="108" w:type="dxa"/>
            <w:bottom w:w="0" w:type="dxa"/>
            <w:right w:w="108" w:type="dxa"/>
          </w:tblCellMar>
        </w:tblPrEx>
        <w:trPr>
          <w:jc w:val="center"/>
        </w:trPr>
        <w:tc>
          <w:tcPr>
            <w:tcW w:w="507" w:type="dxa"/>
            <w:vMerge w:val="continue"/>
            <w:tcBorders>
              <w:top w:val="single" w:color="000000" w:sz="4" w:space="0"/>
              <w:left w:val="single" w:color="000000" w:sz="4" w:space="0"/>
              <w:bottom w:val="single" w:color="000000" w:sz="4" w:space="0"/>
              <w:right w:val="single" w:color="000000" w:sz="4" w:space="0"/>
            </w:tcBorders>
            <w:vAlign w:val="center"/>
          </w:tcPr>
          <w:p w14:paraId="3EC20405">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p>
        </w:tc>
        <w:tc>
          <w:tcPr>
            <w:tcW w:w="1655" w:type="dxa"/>
            <w:vMerge w:val="continue"/>
            <w:tcBorders>
              <w:top w:val="single" w:color="000000" w:sz="4" w:space="0"/>
              <w:left w:val="single" w:color="000000" w:sz="4" w:space="0"/>
              <w:bottom w:val="single" w:color="000000" w:sz="4" w:space="0"/>
              <w:right w:val="single" w:color="000000" w:sz="4" w:space="0"/>
            </w:tcBorders>
            <w:vAlign w:val="center"/>
          </w:tcPr>
          <w:p w14:paraId="50E77E72">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p>
        </w:tc>
        <w:tc>
          <w:tcPr>
            <w:tcW w:w="7017" w:type="dxa"/>
            <w:tcBorders>
              <w:top w:val="single" w:color="000000" w:sz="4" w:space="0"/>
              <w:left w:val="single" w:color="000000" w:sz="4" w:space="0"/>
              <w:bottom w:val="single" w:color="000000" w:sz="4" w:space="0"/>
              <w:right w:val="single" w:color="000000" w:sz="4" w:space="0"/>
            </w:tcBorders>
            <w:vAlign w:val="center"/>
          </w:tcPr>
          <w:p w14:paraId="5EC34BDC">
            <w:pPr>
              <w:pStyle w:val="103"/>
              <w:keepNext w:val="0"/>
              <w:keepLines w:val="0"/>
              <w:widowControl w:val="0"/>
              <w:kinsoku/>
              <w:overflowPunct/>
              <w:autoSpaceDE w:val="0"/>
              <w:autoSpaceDN w:val="0"/>
              <w:bidi w:val="0"/>
              <w:snapToGrid w:val="0"/>
              <w:spacing w:beforeLines="0" w:beforeAutospacing="0" w:afterLines="0" w:afterAutospacing="0" w:line="240" w:lineRule="auto"/>
              <w:jc w:val="both"/>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承诺全部保安人员均无犯罪记录并提供“无犯罪证明”承诺书，满足得2分，其他0分。</w:t>
            </w:r>
          </w:p>
        </w:tc>
        <w:tc>
          <w:tcPr>
            <w:tcW w:w="1080" w:type="dxa"/>
            <w:tcBorders>
              <w:top w:val="single" w:color="000000" w:sz="4" w:space="0"/>
              <w:left w:val="single" w:color="000000" w:sz="4" w:space="0"/>
              <w:bottom w:val="single" w:color="000000" w:sz="4" w:space="0"/>
              <w:right w:val="single" w:color="000000" w:sz="4" w:space="0"/>
            </w:tcBorders>
            <w:vAlign w:val="center"/>
          </w:tcPr>
          <w:p w14:paraId="60BE180D">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2分</w:t>
            </w:r>
          </w:p>
        </w:tc>
      </w:tr>
      <w:tr w14:paraId="0E10D7A7">
        <w:tblPrEx>
          <w:tblCellMar>
            <w:top w:w="0" w:type="dxa"/>
            <w:left w:w="108" w:type="dxa"/>
            <w:bottom w:w="0" w:type="dxa"/>
            <w:right w:w="108" w:type="dxa"/>
          </w:tblCellMar>
        </w:tblPrEx>
        <w:trPr>
          <w:jc w:val="center"/>
        </w:trPr>
        <w:tc>
          <w:tcPr>
            <w:tcW w:w="507" w:type="dxa"/>
            <w:vMerge w:val="continue"/>
            <w:tcBorders>
              <w:top w:val="single" w:color="000000" w:sz="4" w:space="0"/>
              <w:left w:val="single" w:color="000000" w:sz="4" w:space="0"/>
              <w:bottom w:val="single" w:color="000000" w:sz="4" w:space="0"/>
              <w:right w:val="single" w:color="000000" w:sz="4" w:space="0"/>
            </w:tcBorders>
            <w:vAlign w:val="center"/>
          </w:tcPr>
          <w:p w14:paraId="300FEEE8">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p>
        </w:tc>
        <w:tc>
          <w:tcPr>
            <w:tcW w:w="1655" w:type="dxa"/>
            <w:vMerge w:val="continue"/>
            <w:tcBorders>
              <w:top w:val="single" w:color="000000" w:sz="4" w:space="0"/>
              <w:left w:val="single" w:color="000000" w:sz="4" w:space="0"/>
              <w:bottom w:val="single" w:color="000000" w:sz="4" w:space="0"/>
              <w:right w:val="single" w:color="000000" w:sz="4" w:space="0"/>
            </w:tcBorders>
            <w:vAlign w:val="center"/>
          </w:tcPr>
          <w:p w14:paraId="4878BEBD">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p>
        </w:tc>
        <w:tc>
          <w:tcPr>
            <w:tcW w:w="7017" w:type="dxa"/>
            <w:tcBorders>
              <w:top w:val="single" w:color="000000" w:sz="4" w:space="0"/>
              <w:left w:val="single" w:color="000000" w:sz="4" w:space="0"/>
              <w:bottom w:val="single" w:color="000000" w:sz="4" w:space="0"/>
              <w:right w:val="single" w:color="000000" w:sz="4" w:space="0"/>
            </w:tcBorders>
            <w:vAlign w:val="center"/>
          </w:tcPr>
          <w:p w14:paraId="06C0F470">
            <w:pPr>
              <w:pStyle w:val="103"/>
              <w:keepNext w:val="0"/>
              <w:keepLines w:val="0"/>
              <w:widowControl w:val="0"/>
              <w:kinsoku/>
              <w:overflowPunct/>
              <w:autoSpaceDE w:val="0"/>
              <w:autoSpaceDN w:val="0"/>
              <w:bidi w:val="0"/>
              <w:snapToGrid w:val="0"/>
              <w:spacing w:beforeLines="0" w:beforeAutospacing="0" w:afterLines="0" w:afterAutospacing="0" w:line="240" w:lineRule="auto"/>
              <w:jc w:val="both"/>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保安班长，20～45岁，需提供公安部门核发的保安员证书扫描件并加盖公章，提供得3分，未提供或其他得0分。</w:t>
            </w:r>
          </w:p>
        </w:tc>
        <w:tc>
          <w:tcPr>
            <w:tcW w:w="1080" w:type="dxa"/>
            <w:tcBorders>
              <w:top w:val="single" w:color="000000" w:sz="4" w:space="0"/>
              <w:left w:val="single" w:color="000000" w:sz="4" w:space="0"/>
              <w:bottom w:val="single" w:color="000000" w:sz="4" w:space="0"/>
              <w:right w:val="single" w:color="000000" w:sz="4" w:space="0"/>
            </w:tcBorders>
            <w:vAlign w:val="center"/>
          </w:tcPr>
          <w:p w14:paraId="36811624">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3分</w:t>
            </w:r>
          </w:p>
        </w:tc>
      </w:tr>
      <w:tr w14:paraId="2449145C">
        <w:tblPrEx>
          <w:tblCellMar>
            <w:top w:w="0" w:type="dxa"/>
            <w:left w:w="108" w:type="dxa"/>
            <w:bottom w:w="0" w:type="dxa"/>
            <w:right w:w="108" w:type="dxa"/>
          </w:tblCellMar>
        </w:tblPrEx>
        <w:trPr>
          <w:jc w:val="center"/>
        </w:trPr>
        <w:tc>
          <w:tcPr>
            <w:tcW w:w="507" w:type="dxa"/>
            <w:vMerge w:val="continue"/>
            <w:tcBorders>
              <w:top w:val="single" w:color="000000" w:sz="4" w:space="0"/>
              <w:left w:val="single" w:color="000000" w:sz="4" w:space="0"/>
              <w:bottom w:val="single" w:color="000000" w:sz="4" w:space="0"/>
              <w:right w:val="single" w:color="000000" w:sz="4" w:space="0"/>
            </w:tcBorders>
            <w:vAlign w:val="center"/>
          </w:tcPr>
          <w:p w14:paraId="58DE6DD5">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p>
        </w:tc>
        <w:tc>
          <w:tcPr>
            <w:tcW w:w="1655" w:type="dxa"/>
            <w:vMerge w:val="continue"/>
            <w:tcBorders>
              <w:top w:val="single" w:color="000000" w:sz="4" w:space="0"/>
              <w:left w:val="single" w:color="000000" w:sz="4" w:space="0"/>
              <w:bottom w:val="single" w:color="000000" w:sz="4" w:space="0"/>
              <w:right w:val="single" w:color="000000" w:sz="4" w:space="0"/>
            </w:tcBorders>
            <w:vAlign w:val="center"/>
          </w:tcPr>
          <w:p w14:paraId="4A013E9E">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p>
        </w:tc>
        <w:tc>
          <w:tcPr>
            <w:tcW w:w="7017" w:type="dxa"/>
            <w:tcBorders>
              <w:top w:val="single" w:color="000000" w:sz="4" w:space="0"/>
              <w:left w:val="single" w:color="000000" w:sz="4" w:space="0"/>
              <w:bottom w:val="single" w:color="000000" w:sz="4" w:space="0"/>
              <w:right w:val="single" w:color="000000" w:sz="4" w:space="0"/>
            </w:tcBorders>
            <w:vAlign w:val="center"/>
          </w:tcPr>
          <w:p w14:paraId="0017339A">
            <w:pPr>
              <w:pStyle w:val="103"/>
              <w:keepNext w:val="0"/>
              <w:keepLines w:val="0"/>
              <w:widowControl w:val="0"/>
              <w:kinsoku/>
              <w:overflowPunct/>
              <w:autoSpaceDE w:val="0"/>
              <w:autoSpaceDN w:val="0"/>
              <w:bidi w:val="0"/>
              <w:snapToGrid w:val="0"/>
              <w:spacing w:beforeLines="0" w:beforeAutospacing="0" w:afterLines="0" w:afterAutospacing="0" w:line="240" w:lineRule="auto"/>
              <w:jc w:val="both"/>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巡逻员，20～45岁，需提供全部人员公安部门核发的保安员证书扫描件并加盖公章，全部提供得5分，未提供或其他得0分。</w:t>
            </w:r>
          </w:p>
        </w:tc>
        <w:tc>
          <w:tcPr>
            <w:tcW w:w="1080" w:type="dxa"/>
            <w:tcBorders>
              <w:top w:val="single" w:color="000000" w:sz="4" w:space="0"/>
              <w:left w:val="single" w:color="000000" w:sz="4" w:space="0"/>
              <w:bottom w:val="single" w:color="000000" w:sz="4" w:space="0"/>
              <w:right w:val="single" w:color="000000" w:sz="4" w:space="0"/>
            </w:tcBorders>
            <w:vAlign w:val="center"/>
          </w:tcPr>
          <w:p w14:paraId="3D829C33">
            <w:pPr>
              <w:pStyle w:val="103"/>
              <w:keepNext w:val="0"/>
              <w:keepLines w:val="0"/>
              <w:widowControl w:val="0"/>
              <w:kinsoku/>
              <w:overflowPunct/>
              <w:autoSpaceDE w:val="0"/>
              <w:autoSpaceDN w:val="0"/>
              <w:bidi w:val="0"/>
              <w:snapToGrid w:val="0"/>
              <w:spacing w:beforeLines="0" w:beforeAutospacing="0" w:afterLines="0" w:afterAutospacing="0" w:line="240" w:lineRule="auto"/>
              <w:jc w:val="center"/>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5分</w:t>
            </w:r>
          </w:p>
        </w:tc>
      </w:tr>
      <w:tr w14:paraId="18BFEBF9">
        <w:tblPrEx>
          <w:tblCellMar>
            <w:top w:w="0" w:type="dxa"/>
            <w:left w:w="108" w:type="dxa"/>
            <w:bottom w:w="0" w:type="dxa"/>
            <w:right w:w="108" w:type="dxa"/>
          </w:tblCellMar>
        </w:tblPrEx>
        <w:trPr>
          <w:jc w:val="center"/>
        </w:trPr>
        <w:tc>
          <w:tcPr>
            <w:tcW w:w="9179" w:type="dxa"/>
            <w:gridSpan w:val="3"/>
            <w:tcBorders>
              <w:top w:val="single" w:color="000000" w:sz="4" w:space="0"/>
              <w:left w:val="single" w:color="000000" w:sz="4" w:space="0"/>
              <w:bottom w:val="single" w:color="000000" w:sz="4" w:space="0"/>
              <w:right w:val="single" w:color="000000" w:sz="4" w:space="0"/>
            </w:tcBorders>
            <w:vAlign w:val="center"/>
          </w:tcPr>
          <w:p w14:paraId="1E998552">
            <w:pPr>
              <w:pStyle w:val="103"/>
              <w:widowControl w:val="0"/>
              <w:snapToGrid w:val="0"/>
              <w:spacing w:beforeLines="0" w:beforeAutospacing="0" w:afterLines="0" w:afterAutospacing="0" w:line="360"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第二部分 技术评审（60分）</w:t>
            </w:r>
          </w:p>
        </w:tc>
        <w:tc>
          <w:tcPr>
            <w:tcW w:w="1080" w:type="dxa"/>
            <w:tcBorders>
              <w:top w:val="single" w:color="000000" w:sz="4" w:space="0"/>
              <w:left w:val="single" w:color="000000" w:sz="4" w:space="0"/>
              <w:bottom w:val="single" w:color="000000" w:sz="4" w:space="0"/>
              <w:right w:val="single" w:color="000000" w:sz="4" w:space="0"/>
            </w:tcBorders>
            <w:vAlign w:val="center"/>
          </w:tcPr>
          <w:p w14:paraId="763C1B86">
            <w:pPr>
              <w:pStyle w:val="103"/>
              <w:widowControl w:val="0"/>
              <w:snapToGrid w:val="0"/>
              <w:spacing w:beforeLines="0" w:beforeAutospacing="0" w:afterLines="0" w:afterAutospacing="0" w:line="360"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分值</w:t>
            </w:r>
          </w:p>
        </w:tc>
      </w:tr>
      <w:tr w14:paraId="72BBA082">
        <w:tblPrEx>
          <w:tblCellMar>
            <w:top w:w="0" w:type="dxa"/>
            <w:left w:w="108" w:type="dxa"/>
            <w:bottom w:w="0" w:type="dxa"/>
            <w:right w:w="108" w:type="dxa"/>
          </w:tblCellMar>
        </w:tblPrEx>
        <w:trPr>
          <w:trHeight w:val="599" w:hRule="atLeast"/>
          <w:jc w:val="center"/>
        </w:trPr>
        <w:tc>
          <w:tcPr>
            <w:tcW w:w="507" w:type="dxa"/>
            <w:tcBorders>
              <w:top w:val="single" w:color="000000" w:sz="4" w:space="0"/>
              <w:left w:val="single" w:color="000000" w:sz="4" w:space="0"/>
              <w:bottom w:val="single" w:color="000000" w:sz="4" w:space="0"/>
              <w:right w:val="single" w:color="000000" w:sz="4" w:space="0"/>
            </w:tcBorders>
            <w:vAlign w:val="center"/>
          </w:tcPr>
          <w:p w14:paraId="3D856C7F">
            <w:pPr>
              <w:pStyle w:val="35"/>
              <w:widowControl w:val="0"/>
              <w:spacing w:beforeLines="0" w:beforeAutospacing="0" w:afterLines="0" w:afterAutospacing="0" w:line="288"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1</w:t>
            </w:r>
          </w:p>
        </w:tc>
        <w:tc>
          <w:tcPr>
            <w:tcW w:w="1655" w:type="dxa"/>
            <w:tcBorders>
              <w:top w:val="single" w:color="000000" w:sz="4" w:space="0"/>
              <w:left w:val="single" w:color="000000" w:sz="4" w:space="0"/>
              <w:bottom w:val="single" w:color="000000" w:sz="4" w:space="0"/>
              <w:right w:val="single" w:color="000000" w:sz="4" w:space="0"/>
            </w:tcBorders>
            <w:vAlign w:val="center"/>
          </w:tcPr>
          <w:p w14:paraId="507B5B9F">
            <w:pPr>
              <w:pStyle w:val="35"/>
              <w:widowControl w:val="0"/>
              <w:spacing w:beforeLines="0" w:beforeAutospacing="0" w:afterLines="0" w:afterAutospacing="0" w:line="288"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服务方案评价</w:t>
            </w:r>
          </w:p>
        </w:tc>
        <w:tc>
          <w:tcPr>
            <w:tcW w:w="7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450ED">
            <w:pPr>
              <w:pStyle w:val="103"/>
              <w:keepNext w:val="0"/>
              <w:keepLines w:val="0"/>
              <w:widowControl w:val="0"/>
              <w:kinsoku/>
              <w:overflowPunct/>
              <w:autoSpaceDE w:val="0"/>
              <w:autoSpaceDN w:val="0"/>
              <w:bidi w:val="0"/>
              <w:snapToGrid w:val="0"/>
              <w:spacing w:beforeLines="0" w:beforeAutospacing="0" w:afterLines="0" w:afterAutospacing="0" w:line="240" w:lineRule="auto"/>
              <w:jc w:val="both"/>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zh-CN" w:eastAsia="zh-CN" w:bidi="ar-SA"/>
              </w:rPr>
              <w:t>供应商从总体设想、服务定位、</w:t>
            </w:r>
            <w:r>
              <w:rPr>
                <w:rFonts w:ascii="Times New Roman" w:hAnsi="Times New Roman" w:eastAsia="宋体" w:cs="Times New Roman"/>
                <w:color w:val="auto"/>
                <w:kern w:val="2"/>
                <w:sz w:val="24"/>
                <w:szCs w:val="20"/>
                <w:lang w:val="en-US" w:eastAsia="zh-CN" w:bidi="ar-SA"/>
              </w:rPr>
              <w:t>服务</w:t>
            </w:r>
            <w:r>
              <w:rPr>
                <w:rFonts w:ascii="Times New Roman" w:hAnsi="Times New Roman" w:eastAsia="宋体" w:cs="Times New Roman"/>
                <w:color w:val="auto"/>
                <w:kern w:val="2"/>
                <w:sz w:val="24"/>
                <w:szCs w:val="20"/>
                <w:lang w:val="zh-CN" w:eastAsia="zh-CN" w:bidi="ar-SA"/>
              </w:rPr>
              <w:t>目标、管理模式、工作计划、秩序维护、安检服务服务方案等进行说明和描述。</w:t>
            </w:r>
          </w:p>
          <w:p w14:paraId="44A2F0F1">
            <w:pPr>
              <w:pStyle w:val="103"/>
              <w:keepNext w:val="0"/>
              <w:keepLines w:val="0"/>
              <w:widowControl w:val="0"/>
              <w:kinsoku/>
              <w:overflowPunct/>
              <w:autoSpaceDE w:val="0"/>
              <w:autoSpaceDN w:val="0"/>
              <w:bidi w:val="0"/>
              <w:snapToGrid w:val="0"/>
              <w:spacing w:beforeLines="0" w:beforeAutospacing="0" w:afterLines="0" w:afterAutospacing="0" w:line="240" w:lineRule="auto"/>
              <w:jc w:val="both"/>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en-US" w:eastAsia="zh-CN" w:bidi="ar-SA"/>
              </w:rPr>
              <w:t>服务</w:t>
            </w:r>
            <w:r>
              <w:rPr>
                <w:rFonts w:ascii="Times New Roman" w:hAnsi="Times New Roman" w:eastAsia="宋体" w:cs="Times New Roman"/>
                <w:color w:val="auto"/>
                <w:kern w:val="2"/>
                <w:sz w:val="24"/>
                <w:szCs w:val="20"/>
                <w:lang w:val="zh-CN" w:eastAsia="zh-CN" w:bidi="ar-SA"/>
              </w:rPr>
              <w:t>方案考虑全面，不漏项，专业性、系统性强，操作可行：</w:t>
            </w:r>
            <w:r>
              <w:rPr>
                <w:rFonts w:ascii="Times New Roman" w:hAnsi="Times New Roman" w:eastAsia="宋体" w:cs="Times New Roman"/>
                <w:color w:val="auto"/>
                <w:kern w:val="2"/>
                <w:sz w:val="24"/>
                <w:szCs w:val="20"/>
                <w:lang w:val="en-US" w:eastAsia="zh-CN" w:bidi="ar-SA"/>
              </w:rPr>
              <w:t>10</w:t>
            </w:r>
            <w:r>
              <w:rPr>
                <w:rFonts w:ascii="Times New Roman" w:hAnsi="Times New Roman" w:eastAsia="宋体" w:cs="Times New Roman"/>
                <w:color w:val="auto"/>
                <w:kern w:val="2"/>
                <w:sz w:val="24"/>
                <w:szCs w:val="20"/>
                <w:lang w:val="zh-CN" w:eastAsia="zh-CN" w:bidi="ar-SA"/>
              </w:rPr>
              <w:t>分；</w:t>
            </w:r>
          </w:p>
          <w:p w14:paraId="40F5FD71">
            <w:pPr>
              <w:pStyle w:val="103"/>
              <w:keepNext w:val="0"/>
              <w:keepLines w:val="0"/>
              <w:widowControl w:val="0"/>
              <w:kinsoku/>
              <w:overflowPunct/>
              <w:autoSpaceDE w:val="0"/>
              <w:autoSpaceDN w:val="0"/>
              <w:bidi w:val="0"/>
              <w:snapToGrid w:val="0"/>
              <w:spacing w:beforeLines="0" w:beforeAutospacing="0" w:afterLines="0" w:afterAutospacing="0" w:line="240" w:lineRule="auto"/>
              <w:jc w:val="both"/>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文件要求，但存在1处瑕疵：</w:t>
            </w:r>
            <w:r>
              <w:rPr>
                <w:rFonts w:ascii="Times New Roman" w:hAnsi="Times New Roman" w:eastAsia="宋体" w:cs="Times New Roman"/>
                <w:color w:val="auto"/>
                <w:kern w:val="2"/>
                <w:sz w:val="24"/>
                <w:szCs w:val="20"/>
                <w:lang w:val="en-US" w:eastAsia="zh-CN" w:bidi="ar-SA"/>
              </w:rPr>
              <w:t>7</w:t>
            </w:r>
            <w:r>
              <w:rPr>
                <w:rFonts w:ascii="Times New Roman" w:hAnsi="Times New Roman" w:eastAsia="宋体" w:cs="Times New Roman"/>
                <w:color w:val="auto"/>
                <w:kern w:val="2"/>
                <w:sz w:val="24"/>
                <w:szCs w:val="20"/>
                <w:lang w:val="zh-CN" w:eastAsia="zh-CN" w:bidi="ar-SA"/>
              </w:rPr>
              <w:t>分；</w:t>
            </w:r>
          </w:p>
          <w:p w14:paraId="20D73E3D">
            <w:pPr>
              <w:pStyle w:val="103"/>
              <w:keepNext w:val="0"/>
              <w:keepLines w:val="0"/>
              <w:widowControl w:val="0"/>
              <w:kinsoku/>
              <w:overflowPunct/>
              <w:autoSpaceDE w:val="0"/>
              <w:autoSpaceDN w:val="0"/>
              <w:bidi w:val="0"/>
              <w:snapToGrid w:val="0"/>
              <w:spacing w:beforeLines="0" w:beforeAutospacing="0" w:afterLines="0" w:afterAutospacing="0" w:line="240" w:lineRule="auto"/>
              <w:jc w:val="both"/>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文件要求，但存在2处瑕疵：</w:t>
            </w:r>
            <w:r>
              <w:rPr>
                <w:rFonts w:ascii="Times New Roman" w:hAnsi="Times New Roman" w:eastAsia="宋体" w:cs="Times New Roman"/>
                <w:color w:val="auto"/>
                <w:kern w:val="2"/>
                <w:sz w:val="24"/>
                <w:szCs w:val="20"/>
                <w:lang w:val="en-US" w:eastAsia="zh-CN" w:bidi="ar-SA"/>
              </w:rPr>
              <w:t>3</w:t>
            </w:r>
            <w:r>
              <w:rPr>
                <w:rFonts w:ascii="Times New Roman" w:hAnsi="Times New Roman" w:eastAsia="宋体" w:cs="Times New Roman"/>
                <w:color w:val="auto"/>
                <w:kern w:val="2"/>
                <w:sz w:val="24"/>
                <w:szCs w:val="20"/>
                <w:lang w:val="zh-CN" w:eastAsia="zh-CN" w:bidi="ar-SA"/>
              </w:rPr>
              <w:t>分；</w:t>
            </w:r>
          </w:p>
          <w:p w14:paraId="33E5189C">
            <w:pPr>
              <w:pStyle w:val="103"/>
              <w:keepNext w:val="0"/>
              <w:keepLines w:val="0"/>
              <w:widowControl w:val="0"/>
              <w:kinsoku/>
              <w:overflowPunct/>
              <w:autoSpaceDE w:val="0"/>
              <w:autoSpaceDN w:val="0"/>
              <w:bidi w:val="0"/>
              <w:snapToGrid w:val="0"/>
              <w:spacing w:beforeLines="0" w:beforeAutospacing="0" w:afterLines="0" w:afterAutospacing="0" w:line="240" w:lineRule="auto"/>
              <w:jc w:val="both"/>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其他：0分</w:t>
            </w:r>
          </w:p>
          <w:p w14:paraId="14AFA237">
            <w:pPr>
              <w:pStyle w:val="103"/>
              <w:keepNext w:val="0"/>
              <w:keepLines w:val="0"/>
              <w:widowControl w:val="0"/>
              <w:kinsoku/>
              <w:overflowPunct/>
              <w:autoSpaceDE w:val="0"/>
              <w:autoSpaceDN w:val="0"/>
              <w:bidi w:val="0"/>
              <w:snapToGrid w:val="0"/>
              <w:spacing w:beforeLines="0" w:beforeAutospacing="0" w:afterLines="0" w:afterAutospacing="0" w:line="240" w:lineRule="auto"/>
              <w:jc w:val="both"/>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zh-CN"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0" w:type="dxa"/>
            <w:tcBorders>
              <w:top w:val="single" w:color="000000" w:sz="4" w:space="0"/>
              <w:left w:val="single" w:color="000000" w:sz="4" w:space="0"/>
              <w:bottom w:val="single" w:color="000000" w:sz="4" w:space="0"/>
              <w:right w:val="single" w:color="000000" w:sz="4" w:space="0"/>
            </w:tcBorders>
            <w:vAlign w:val="center"/>
          </w:tcPr>
          <w:p w14:paraId="2D70AEA6">
            <w:pPr>
              <w:pStyle w:val="103"/>
              <w:widowControl w:val="0"/>
              <w:snapToGrid w:val="0"/>
              <w:spacing w:beforeLines="0" w:beforeAutospacing="0" w:afterLines="0" w:afterAutospacing="0"/>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10分</w:t>
            </w:r>
          </w:p>
        </w:tc>
      </w:tr>
      <w:tr w14:paraId="6A8969C3">
        <w:tblPrEx>
          <w:tblCellMar>
            <w:top w:w="0" w:type="dxa"/>
            <w:left w:w="108" w:type="dxa"/>
            <w:bottom w:w="0" w:type="dxa"/>
            <w:right w:w="108" w:type="dxa"/>
          </w:tblCellMar>
        </w:tblPrEx>
        <w:trPr>
          <w:trHeight w:val="599" w:hRule="atLeast"/>
          <w:jc w:val="center"/>
        </w:trPr>
        <w:tc>
          <w:tcPr>
            <w:tcW w:w="507" w:type="dxa"/>
            <w:tcBorders>
              <w:top w:val="single" w:color="000000" w:sz="4" w:space="0"/>
              <w:left w:val="single" w:color="000000" w:sz="4" w:space="0"/>
              <w:bottom w:val="single" w:color="000000" w:sz="4" w:space="0"/>
              <w:right w:val="single" w:color="000000" w:sz="4" w:space="0"/>
            </w:tcBorders>
            <w:vAlign w:val="center"/>
          </w:tcPr>
          <w:p w14:paraId="5C47DC6C">
            <w:pPr>
              <w:pStyle w:val="35"/>
              <w:widowControl w:val="0"/>
              <w:spacing w:beforeLines="0" w:beforeAutospacing="0" w:afterLines="0" w:afterAutospacing="0" w:line="288"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2</w:t>
            </w:r>
          </w:p>
        </w:tc>
        <w:tc>
          <w:tcPr>
            <w:tcW w:w="1655" w:type="dxa"/>
            <w:tcBorders>
              <w:top w:val="single" w:color="000000" w:sz="4" w:space="0"/>
              <w:left w:val="single" w:color="000000" w:sz="4" w:space="0"/>
              <w:bottom w:val="single" w:color="000000" w:sz="4" w:space="0"/>
              <w:right w:val="single" w:color="000000" w:sz="4" w:space="0"/>
            </w:tcBorders>
            <w:vAlign w:val="center"/>
          </w:tcPr>
          <w:p w14:paraId="4BF62DB8">
            <w:pPr>
              <w:pStyle w:val="103"/>
              <w:widowControl w:val="0"/>
              <w:snapToGrid w:val="0"/>
              <w:spacing w:beforeLines="0" w:beforeAutospacing="0" w:afterLines="0" w:afterAutospacing="0" w:line="360"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人员、岗位配置评价</w:t>
            </w:r>
          </w:p>
        </w:tc>
        <w:tc>
          <w:tcPr>
            <w:tcW w:w="7017" w:type="dxa"/>
            <w:tcBorders>
              <w:top w:val="single" w:color="000000" w:sz="4" w:space="0"/>
              <w:left w:val="single" w:color="000000" w:sz="4" w:space="0"/>
              <w:bottom w:val="single" w:color="000000" w:sz="4" w:space="0"/>
              <w:right w:val="single" w:color="000000" w:sz="4" w:space="0"/>
            </w:tcBorders>
            <w:vAlign w:val="center"/>
          </w:tcPr>
          <w:p w14:paraId="3F7B3A72">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供应商从组织机构设置、岗位配备、职责划分、人员配备情况等进行说明和描述。</w:t>
            </w:r>
          </w:p>
          <w:p w14:paraId="70716127">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人员配备齐全，岗位设置合理，完全满足项目要求：</w:t>
            </w:r>
            <w:r>
              <w:rPr>
                <w:rFonts w:ascii="Times New Roman" w:hAnsi="Times New Roman" w:eastAsia="宋体" w:cs="Times New Roman"/>
                <w:color w:val="auto"/>
                <w:kern w:val="2"/>
                <w:sz w:val="24"/>
                <w:szCs w:val="20"/>
                <w:lang w:val="en-US" w:eastAsia="zh-CN" w:bidi="ar-SA"/>
              </w:rPr>
              <w:t>10</w:t>
            </w:r>
            <w:r>
              <w:rPr>
                <w:rFonts w:ascii="Times New Roman" w:hAnsi="Times New Roman" w:eastAsia="宋体" w:cs="Times New Roman"/>
                <w:color w:val="auto"/>
                <w:kern w:val="2"/>
                <w:sz w:val="24"/>
                <w:szCs w:val="20"/>
                <w:lang w:val="zh-CN" w:eastAsia="zh-CN" w:bidi="ar-SA"/>
              </w:rPr>
              <w:t>分；</w:t>
            </w:r>
          </w:p>
          <w:p w14:paraId="3CC01988">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文件要求，但存在1处瑕疵：</w:t>
            </w:r>
            <w:r>
              <w:rPr>
                <w:rFonts w:ascii="Times New Roman" w:hAnsi="Times New Roman" w:eastAsia="宋体" w:cs="Times New Roman"/>
                <w:color w:val="auto"/>
                <w:kern w:val="2"/>
                <w:sz w:val="24"/>
                <w:szCs w:val="20"/>
                <w:lang w:val="en-US" w:eastAsia="zh-CN" w:bidi="ar-SA"/>
              </w:rPr>
              <w:t>7</w:t>
            </w:r>
            <w:r>
              <w:rPr>
                <w:rFonts w:ascii="Times New Roman" w:hAnsi="Times New Roman" w:eastAsia="宋体" w:cs="Times New Roman"/>
                <w:color w:val="auto"/>
                <w:kern w:val="2"/>
                <w:sz w:val="24"/>
                <w:szCs w:val="20"/>
                <w:lang w:val="zh-CN" w:eastAsia="zh-CN" w:bidi="ar-SA"/>
              </w:rPr>
              <w:t>分；</w:t>
            </w:r>
          </w:p>
          <w:p w14:paraId="01C1189A">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文件要求，但存在2处瑕疵：</w:t>
            </w:r>
            <w:r>
              <w:rPr>
                <w:rFonts w:ascii="Times New Roman" w:hAnsi="Times New Roman" w:eastAsia="宋体" w:cs="Times New Roman"/>
                <w:color w:val="auto"/>
                <w:kern w:val="2"/>
                <w:sz w:val="24"/>
                <w:szCs w:val="20"/>
                <w:lang w:val="en-US" w:eastAsia="zh-CN" w:bidi="ar-SA"/>
              </w:rPr>
              <w:t>3</w:t>
            </w:r>
            <w:r>
              <w:rPr>
                <w:rFonts w:ascii="Times New Roman" w:hAnsi="Times New Roman" w:eastAsia="宋体" w:cs="Times New Roman"/>
                <w:color w:val="auto"/>
                <w:kern w:val="2"/>
                <w:sz w:val="24"/>
                <w:szCs w:val="20"/>
                <w:lang w:val="zh-CN" w:eastAsia="zh-CN" w:bidi="ar-SA"/>
              </w:rPr>
              <w:t>分；</w:t>
            </w:r>
          </w:p>
          <w:p w14:paraId="13FDA76C">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其他：0分</w:t>
            </w:r>
          </w:p>
          <w:p w14:paraId="1DE9E900">
            <w:pPr>
              <w:pStyle w:val="104"/>
              <w:widowControl w:val="0"/>
              <w:spacing w:beforeLines="0" w:beforeAutospacing="0" w:afterLines="0" w:afterAutospacing="0"/>
              <w:jc w:val="left"/>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zh-CN"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0" w:type="dxa"/>
            <w:tcBorders>
              <w:top w:val="single" w:color="000000" w:sz="4" w:space="0"/>
              <w:left w:val="single" w:color="000000" w:sz="4" w:space="0"/>
              <w:bottom w:val="single" w:color="000000" w:sz="4" w:space="0"/>
              <w:right w:val="single" w:color="000000" w:sz="4" w:space="0"/>
            </w:tcBorders>
            <w:vAlign w:val="center"/>
          </w:tcPr>
          <w:p w14:paraId="55A9EA98">
            <w:pPr>
              <w:pStyle w:val="103"/>
              <w:widowControl w:val="0"/>
              <w:snapToGrid w:val="0"/>
              <w:spacing w:beforeLines="0" w:beforeAutospacing="0" w:afterLines="0" w:afterAutospacing="0"/>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10分</w:t>
            </w:r>
          </w:p>
        </w:tc>
      </w:tr>
      <w:tr w14:paraId="20CFF5E1">
        <w:tblPrEx>
          <w:tblCellMar>
            <w:top w:w="0" w:type="dxa"/>
            <w:left w:w="108" w:type="dxa"/>
            <w:bottom w:w="0" w:type="dxa"/>
            <w:right w:w="108" w:type="dxa"/>
          </w:tblCellMar>
        </w:tblPrEx>
        <w:trPr>
          <w:trHeight w:val="599" w:hRule="atLeast"/>
          <w:jc w:val="center"/>
        </w:trPr>
        <w:tc>
          <w:tcPr>
            <w:tcW w:w="507" w:type="dxa"/>
            <w:tcBorders>
              <w:top w:val="single" w:color="000000" w:sz="4" w:space="0"/>
              <w:left w:val="single" w:color="000000" w:sz="4" w:space="0"/>
              <w:bottom w:val="single" w:color="000000" w:sz="4" w:space="0"/>
              <w:right w:val="single" w:color="000000" w:sz="4" w:space="0"/>
            </w:tcBorders>
            <w:vAlign w:val="center"/>
          </w:tcPr>
          <w:p w14:paraId="6386F7D4">
            <w:pPr>
              <w:pStyle w:val="35"/>
              <w:widowControl w:val="0"/>
              <w:spacing w:beforeLines="0" w:beforeAutospacing="0" w:afterLines="0" w:afterAutospacing="0" w:line="288"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3</w:t>
            </w:r>
          </w:p>
        </w:tc>
        <w:tc>
          <w:tcPr>
            <w:tcW w:w="1655" w:type="dxa"/>
            <w:tcBorders>
              <w:top w:val="single" w:color="000000" w:sz="4" w:space="0"/>
              <w:left w:val="single" w:color="000000" w:sz="4" w:space="0"/>
              <w:bottom w:val="single" w:color="000000" w:sz="4" w:space="0"/>
              <w:right w:val="single" w:color="000000" w:sz="4" w:space="0"/>
            </w:tcBorders>
            <w:vAlign w:val="center"/>
          </w:tcPr>
          <w:p w14:paraId="7BD82262">
            <w:pPr>
              <w:pStyle w:val="103"/>
              <w:widowControl w:val="0"/>
              <w:snapToGrid w:val="0"/>
              <w:spacing w:beforeLines="0" w:beforeAutospacing="0" w:afterLines="0" w:afterAutospacing="0" w:line="360"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zh-CN" w:eastAsia="zh-CN" w:bidi="ar-SA"/>
              </w:rPr>
              <w:t>综合管理规章制度评价</w:t>
            </w:r>
          </w:p>
        </w:tc>
        <w:tc>
          <w:tcPr>
            <w:tcW w:w="7017" w:type="dxa"/>
            <w:tcBorders>
              <w:top w:val="single" w:color="000000" w:sz="4" w:space="0"/>
              <w:left w:val="single" w:color="000000" w:sz="4" w:space="0"/>
              <w:bottom w:val="single" w:color="000000" w:sz="4" w:space="0"/>
              <w:right w:val="single" w:color="000000" w:sz="4" w:space="0"/>
            </w:tcBorders>
            <w:vAlign w:val="center"/>
          </w:tcPr>
          <w:p w14:paraId="39F5C287">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en-US" w:eastAsia="zh-CN" w:bidi="ar-SA"/>
              </w:rPr>
              <w:t>供应商具有健全的内部管理制度应包含但不限于：（1）财务制度（2）人员保密制度（3）奖惩制度（4）档案管理制度（内部培训制度）等</w:t>
            </w:r>
          </w:p>
          <w:p w14:paraId="7CAC346C">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综合管理规章制度齐全合理、切实可行：</w:t>
            </w:r>
            <w:r>
              <w:rPr>
                <w:rFonts w:ascii="Times New Roman" w:hAnsi="Times New Roman" w:eastAsia="宋体" w:cs="Times New Roman"/>
                <w:color w:val="auto"/>
                <w:kern w:val="2"/>
                <w:sz w:val="24"/>
                <w:szCs w:val="20"/>
                <w:lang w:val="en-US" w:eastAsia="zh-CN" w:bidi="ar-SA"/>
              </w:rPr>
              <w:t>10</w:t>
            </w:r>
            <w:r>
              <w:rPr>
                <w:rFonts w:ascii="Times New Roman" w:hAnsi="Times New Roman" w:eastAsia="宋体" w:cs="Times New Roman"/>
                <w:color w:val="auto"/>
                <w:kern w:val="2"/>
                <w:sz w:val="24"/>
                <w:szCs w:val="20"/>
                <w:lang w:val="zh-CN" w:eastAsia="zh-CN" w:bidi="ar-SA"/>
              </w:rPr>
              <w:t>分；</w:t>
            </w:r>
          </w:p>
          <w:p w14:paraId="5FDF9111">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文件要求，但存在1处瑕疵：</w:t>
            </w:r>
            <w:r>
              <w:rPr>
                <w:rFonts w:ascii="Times New Roman" w:hAnsi="Times New Roman" w:eastAsia="宋体" w:cs="Times New Roman"/>
                <w:color w:val="auto"/>
                <w:kern w:val="2"/>
                <w:sz w:val="24"/>
                <w:szCs w:val="20"/>
                <w:lang w:val="en-US" w:eastAsia="zh-CN" w:bidi="ar-SA"/>
              </w:rPr>
              <w:t>7</w:t>
            </w:r>
            <w:r>
              <w:rPr>
                <w:rFonts w:ascii="Times New Roman" w:hAnsi="Times New Roman" w:eastAsia="宋体" w:cs="Times New Roman"/>
                <w:color w:val="auto"/>
                <w:kern w:val="2"/>
                <w:sz w:val="24"/>
                <w:szCs w:val="20"/>
                <w:lang w:val="zh-CN" w:eastAsia="zh-CN" w:bidi="ar-SA"/>
              </w:rPr>
              <w:t>分；</w:t>
            </w:r>
          </w:p>
          <w:p w14:paraId="40173B26">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文件要求，但存在2处瑕疵：</w:t>
            </w:r>
            <w:r>
              <w:rPr>
                <w:rFonts w:ascii="Times New Roman" w:hAnsi="Times New Roman" w:eastAsia="宋体" w:cs="Times New Roman"/>
                <w:color w:val="auto"/>
                <w:kern w:val="2"/>
                <w:sz w:val="24"/>
                <w:szCs w:val="20"/>
                <w:lang w:val="en-US" w:eastAsia="zh-CN" w:bidi="ar-SA"/>
              </w:rPr>
              <w:t>3</w:t>
            </w:r>
            <w:r>
              <w:rPr>
                <w:rFonts w:ascii="Times New Roman" w:hAnsi="Times New Roman" w:eastAsia="宋体" w:cs="Times New Roman"/>
                <w:color w:val="auto"/>
                <w:kern w:val="2"/>
                <w:sz w:val="24"/>
                <w:szCs w:val="20"/>
                <w:lang w:val="zh-CN" w:eastAsia="zh-CN" w:bidi="ar-SA"/>
              </w:rPr>
              <w:t>分；</w:t>
            </w:r>
          </w:p>
          <w:p w14:paraId="35E39E19">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其他：0分</w:t>
            </w:r>
          </w:p>
          <w:p w14:paraId="014DDCAD">
            <w:pPr>
              <w:pStyle w:val="104"/>
              <w:widowControl w:val="0"/>
              <w:spacing w:beforeLines="0" w:beforeAutospacing="0" w:afterLines="0" w:afterAutospacing="0"/>
              <w:jc w:val="left"/>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zh-CN"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0" w:type="dxa"/>
            <w:tcBorders>
              <w:top w:val="single" w:color="000000" w:sz="4" w:space="0"/>
              <w:left w:val="single" w:color="000000" w:sz="4" w:space="0"/>
              <w:bottom w:val="single" w:color="000000" w:sz="4" w:space="0"/>
              <w:right w:val="single" w:color="000000" w:sz="4" w:space="0"/>
            </w:tcBorders>
            <w:vAlign w:val="center"/>
          </w:tcPr>
          <w:p w14:paraId="680756D9">
            <w:pPr>
              <w:pStyle w:val="103"/>
              <w:widowControl w:val="0"/>
              <w:snapToGrid w:val="0"/>
              <w:spacing w:beforeLines="0" w:beforeAutospacing="0" w:afterLines="0" w:afterAutospacing="0"/>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10分</w:t>
            </w:r>
          </w:p>
        </w:tc>
      </w:tr>
      <w:tr w14:paraId="07B84510">
        <w:tblPrEx>
          <w:tblCellMar>
            <w:top w:w="0" w:type="dxa"/>
            <w:left w:w="108" w:type="dxa"/>
            <w:bottom w:w="0" w:type="dxa"/>
            <w:right w:w="108" w:type="dxa"/>
          </w:tblCellMar>
        </w:tblPrEx>
        <w:trPr>
          <w:trHeight w:val="599" w:hRule="atLeast"/>
          <w:jc w:val="center"/>
        </w:trPr>
        <w:tc>
          <w:tcPr>
            <w:tcW w:w="507" w:type="dxa"/>
            <w:tcBorders>
              <w:top w:val="single" w:color="000000" w:sz="4" w:space="0"/>
              <w:left w:val="single" w:color="000000" w:sz="4" w:space="0"/>
              <w:bottom w:val="single" w:color="000000" w:sz="4" w:space="0"/>
              <w:right w:val="single" w:color="000000" w:sz="4" w:space="0"/>
            </w:tcBorders>
            <w:vAlign w:val="center"/>
          </w:tcPr>
          <w:p w14:paraId="47003AF7">
            <w:pPr>
              <w:pStyle w:val="35"/>
              <w:widowControl w:val="0"/>
              <w:spacing w:beforeLines="0" w:beforeAutospacing="0" w:afterLines="0" w:afterAutospacing="0" w:line="288"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4</w:t>
            </w:r>
          </w:p>
        </w:tc>
        <w:tc>
          <w:tcPr>
            <w:tcW w:w="1655" w:type="dxa"/>
            <w:tcBorders>
              <w:top w:val="single" w:color="000000" w:sz="4" w:space="0"/>
              <w:left w:val="single" w:color="000000" w:sz="4" w:space="0"/>
              <w:bottom w:val="single" w:color="000000" w:sz="4" w:space="0"/>
              <w:right w:val="single" w:color="000000" w:sz="4" w:space="0"/>
            </w:tcBorders>
            <w:vAlign w:val="center"/>
          </w:tcPr>
          <w:p w14:paraId="59E32EA4">
            <w:pPr>
              <w:pStyle w:val="103"/>
              <w:widowControl w:val="0"/>
              <w:snapToGrid w:val="0"/>
              <w:spacing w:beforeLines="0" w:beforeAutospacing="0" w:afterLines="0" w:afterAutospacing="0" w:line="360"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人员培训方案</w:t>
            </w:r>
          </w:p>
        </w:tc>
        <w:tc>
          <w:tcPr>
            <w:tcW w:w="7017" w:type="dxa"/>
            <w:tcBorders>
              <w:top w:val="single" w:color="000000" w:sz="4" w:space="0"/>
              <w:left w:val="single" w:color="000000" w:sz="4" w:space="0"/>
              <w:bottom w:val="single" w:color="000000" w:sz="4" w:space="0"/>
              <w:right w:val="single" w:color="000000" w:sz="4" w:space="0"/>
            </w:tcBorders>
            <w:vAlign w:val="center"/>
          </w:tcPr>
          <w:p w14:paraId="649E203F">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供应商提供人员培训方案包括培训计划、方式、目标及言行规范、仪容仪表、公众形象等全项内容。</w:t>
            </w:r>
          </w:p>
          <w:p w14:paraId="0011537C">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培训方案</w:t>
            </w:r>
            <w:r>
              <w:rPr>
                <w:rFonts w:ascii="Times New Roman" w:hAnsi="Times New Roman" w:eastAsia="宋体" w:cs="Times New Roman"/>
                <w:color w:val="auto"/>
                <w:kern w:val="2"/>
                <w:sz w:val="24"/>
                <w:szCs w:val="20"/>
                <w:lang w:val="zh-CN" w:eastAsia="zh-CN" w:bidi="ar-SA"/>
              </w:rPr>
              <w:t>齐全合理、切实可行</w:t>
            </w:r>
            <w:r>
              <w:rPr>
                <w:rFonts w:ascii="Times New Roman" w:hAnsi="Times New Roman" w:eastAsia="宋体" w:cs="Times New Roman"/>
                <w:color w:val="auto"/>
                <w:kern w:val="2"/>
                <w:sz w:val="24"/>
                <w:szCs w:val="20"/>
                <w:lang w:val="en-US" w:eastAsia="zh-CN" w:bidi="ar-SA"/>
              </w:rPr>
              <w:t>：10分</w:t>
            </w:r>
          </w:p>
          <w:p w14:paraId="540D2B78">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文件要求，但存在1处瑕疵：</w:t>
            </w:r>
            <w:r>
              <w:rPr>
                <w:rFonts w:ascii="Times New Roman" w:hAnsi="Times New Roman" w:eastAsia="宋体" w:cs="Times New Roman"/>
                <w:color w:val="auto"/>
                <w:kern w:val="2"/>
                <w:sz w:val="24"/>
                <w:szCs w:val="20"/>
                <w:lang w:val="en-US" w:eastAsia="zh-CN" w:bidi="ar-SA"/>
              </w:rPr>
              <w:t>7</w:t>
            </w:r>
            <w:r>
              <w:rPr>
                <w:rFonts w:ascii="Times New Roman" w:hAnsi="Times New Roman" w:eastAsia="宋体" w:cs="Times New Roman"/>
                <w:color w:val="auto"/>
                <w:kern w:val="2"/>
                <w:sz w:val="24"/>
                <w:szCs w:val="20"/>
                <w:lang w:val="zh-CN" w:eastAsia="zh-CN" w:bidi="ar-SA"/>
              </w:rPr>
              <w:t>分；</w:t>
            </w:r>
          </w:p>
          <w:p w14:paraId="7547A825">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文件要求，但存在2处瑕疵：</w:t>
            </w:r>
            <w:r>
              <w:rPr>
                <w:rFonts w:ascii="Times New Roman" w:hAnsi="Times New Roman" w:eastAsia="宋体" w:cs="Times New Roman"/>
                <w:color w:val="auto"/>
                <w:kern w:val="2"/>
                <w:sz w:val="24"/>
                <w:szCs w:val="20"/>
                <w:lang w:val="en-US" w:eastAsia="zh-CN" w:bidi="ar-SA"/>
              </w:rPr>
              <w:t>3</w:t>
            </w:r>
            <w:r>
              <w:rPr>
                <w:rFonts w:ascii="Times New Roman" w:hAnsi="Times New Roman" w:eastAsia="宋体" w:cs="Times New Roman"/>
                <w:color w:val="auto"/>
                <w:kern w:val="2"/>
                <w:sz w:val="24"/>
                <w:szCs w:val="20"/>
                <w:lang w:val="zh-CN" w:eastAsia="zh-CN" w:bidi="ar-SA"/>
              </w:rPr>
              <w:t>分；</w:t>
            </w:r>
          </w:p>
          <w:p w14:paraId="247309D7">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其他：0分</w:t>
            </w:r>
          </w:p>
          <w:p w14:paraId="03ECDB11">
            <w:pPr>
              <w:pStyle w:val="104"/>
              <w:widowControl w:val="0"/>
              <w:spacing w:beforeLines="0" w:beforeAutospacing="0" w:afterLines="0" w:afterAutospacing="0"/>
              <w:jc w:val="left"/>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zh-CN"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0" w:type="dxa"/>
            <w:tcBorders>
              <w:top w:val="single" w:color="000000" w:sz="4" w:space="0"/>
              <w:left w:val="single" w:color="000000" w:sz="4" w:space="0"/>
              <w:bottom w:val="single" w:color="000000" w:sz="4" w:space="0"/>
              <w:right w:val="single" w:color="000000" w:sz="4" w:space="0"/>
            </w:tcBorders>
            <w:vAlign w:val="center"/>
          </w:tcPr>
          <w:p w14:paraId="36A7A3CC">
            <w:pPr>
              <w:pStyle w:val="103"/>
              <w:widowControl w:val="0"/>
              <w:snapToGrid w:val="0"/>
              <w:spacing w:beforeLines="0" w:beforeAutospacing="0" w:afterLines="0" w:afterAutospacing="0"/>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10分</w:t>
            </w:r>
          </w:p>
        </w:tc>
      </w:tr>
      <w:tr w14:paraId="4B612071">
        <w:tblPrEx>
          <w:tblCellMar>
            <w:top w:w="0" w:type="dxa"/>
            <w:left w:w="108" w:type="dxa"/>
            <w:bottom w:w="0" w:type="dxa"/>
            <w:right w:w="108" w:type="dxa"/>
          </w:tblCellMar>
        </w:tblPrEx>
        <w:trPr>
          <w:trHeight w:val="599" w:hRule="atLeast"/>
          <w:jc w:val="center"/>
        </w:trPr>
        <w:tc>
          <w:tcPr>
            <w:tcW w:w="507" w:type="dxa"/>
            <w:tcBorders>
              <w:top w:val="single" w:color="000000" w:sz="4" w:space="0"/>
              <w:left w:val="single" w:color="000000" w:sz="4" w:space="0"/>
              <w:bottom w:val="single" w:color="000000" w:sz="4" w:space="0"/>
              <w:right w:val="single" w:color="000000" w:sz="4" w:space="0"/>
            </w:tcBorders>
            <w:vAlign w:val="center"/>
          </w:tcPr>
          <w:p w14:paraId="0815353E">
            <w:pPr>
              <w:pStyle w:val="35"/>
              <w:widowControl w:val="0"/>
              <w:spacing w:beforeLines="0" w:beforeAutospacing="0" w:afterLines="0" w:afterAutospacing="0" w:line="288"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5</w:t>
            </w:r>
          </w:p>
        </w:tc>
        <w:tc>
          <w:tcPr>
            <w:tcW w:w="1655" w:type="dxa"/>
            <w:tcBorders>
              <w:top w:val="single" w:color="000000" w:sz="4" w:space="0"/>
              <w:left w:val="single" w:color="000000" w:sz="4" w:space="0"/>
              <w:bottom w:val="single" w:color="000000" w:sz="4" w:space="0"/>
              <w:right w:val="single" w:color="000000" w:sz="4" w:space="0"/>
            </w:tcBorders>
            <w:vAlign w:val="center"/>
          </w:tcPr>
          <w:p w14:paraId="010839A6">
            <w:pPr>
              <w:pStyle w:val="103"/>
              <w:widowControl w:val="0"/>
              <w:snapToGrid w:val="0"/>
              <w:spacing w:beforeLines="0" w:beforeAutospacing="0" w:afterLines="0" w:afterAutospacing="0" w:line="360"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人员稳定性方案评价</w:t>
            </w:r>
          </w:p>
        </w:tc>
        <w:tc>
          <w:tcPr>
            <w:tcW w:w="7017" w:type="dxa"/>
            <w:tcBorders>
              <w:top w:val="single" w:color="000000" w:sz="4" w:space="0"/>
              <w:left w:val="single" w:color="000000" w:sz="4" w:space="0"/>
              <w:bottom w:val="single" w:color="000000" w:sz="4" w:space="0"/>
              <w:right w:val="single" w:color="000000" w:sz="4" w:space="0"/>
            </w:tcBorders>
            <w:vAlign w:val="center"/>
          </w:tcPr>
          <w:p w14:paraId="3CED421D">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供应商提供服务期内保证人员稳定性的措施，保证更换人员不得低于采购需求，且应经采购人同意的措施。</w:t>
            </w:r>
          </w:p>
          <w:p w14:paraId="6314255A">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方案详细完整，针对性、可行性强，能保障服务队伍稳定：8分</w:t>
            </w:r>
          </w:p>
          <w:p w14:paraId="26AA7511">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文件要求，但存在1处瑕疵：</w:t>
            </w:r>
            <w:r>
              <w:rPr>
                <w:rFonts w:ascii="Times New Roman" w:hAnsi="Times New Roman" w:eastAsia="宋体" w:cs="Times New Roman"/>
                <w:color w:val="auto"/>
                <w:kern w:val="2"/>
                <w:sz w:val="24"/>
                <w:szCs w:val="20"/>
                <w:lang w:val="en-US" w:eastAsia="zh-CN" w:bidi="ar-SA"/>
              </w:rPr>
              <w:t>5</w:t>
            </w:r>
            <w:r>
              <w:rPr>
                <w:rFonts w:ascii="Times New Roman" w:hAnsi="Times New Roman" w:eastAsia="宋体" w:cs="Times New Roman"/>
                <w:color w:val="auto"/>
                <w:kern w:val="2"/>
                <w:sz w:val="24"/>
                <w:szCs w:val="20"/>
                <w:lang w:val="zh-CN" w:eastAsia="zh-CN" w:bidi="ar-SA"/>
              </w:rPr>
              <w:t>分；</w:t>
            </w:r>
          </w:p>
          <w:p w14:paraId="79862168">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文件要求，但存在2处瑕疵：</w:t>
            </w:r>
            <w:r>
              <w:rPr>
                <w:rFonts w:ascii="Times New Roman" w:hAnsi="Times New Roman" w:eastAsia="宋体" w:cs="Times New Roman"/>
                <w:color w:val="auto"/>
                <w:kern w:val="2"/>
                <w:sz w:val="24"/>
                <w:szCs w:val="20"/>
                <w:lang w:val="en-US" w:eastAsia="zh-CN" w:bidi="ar-SA"/>
              </w:rPr>
              <w:t>2</w:t>
            </w:r>
            <w:r>
              <w:rPr>
                <w:rFonts w:ascii="Times New Roman" w:hAnsi="Times New Roman" w:eastAsia="宋体" w:cs="Times New Roman"/>
                <w:color w:val="auto"/>
                <w:kern w:val="2"/>
                <w:sz w:val="24"/>
                <w:szCs w:val="20"/>
                <w:lang w:val="zh-CN" w:eastAsia="zh-CN" w:bidi="ar-SA"/>
              </w:rPr>
              <w:t>分；</w:t>
            </w:r>
          </w:p>
          <w:p w14:paraId="4B475EAE">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其他：0分</w:t>
            </w:r>
          </w:p>
          <w:p w14:paraId="18798A69">
            <w:pPr>
              <w:pStyle w:val="104"/>
              <w:widowControl w:val="0"/>
              <w:spacing w:beforeLines="0" w:beforeAutospacing="0" w:afterLines="0" w:afterAutospacing="0"/>
              <w:jc w:val="left"/>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zh-CN"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0" w:type="dxa"/>
            <w:tcBorders>
              <w:top w:val="single" w:color="000000" w:sz="4" w:space="0"/>
              <w:left w:val="single" w:color="000000" w:sz="4" w:space="0"/>
              <w:bottom w:val="single" w:color="000000" w:sz="4" w:space="0"/>
              <w:right w:val="single" w:color="000000" w:sz="4" w:space="0"/>
            </w:tcBorders>
            <w:vAlign w:val="center"/>
          </w:tcPr>
          <w:p w14:paraId="2172D685">
            <w:pPr>
              <w:pStyle w:val="103"/>
              <w:widowControl w:val="0"/>
              <w:snapToGrid w:val="0"/>
              <w:spacing w:beforeLines="0" w:beforeAutospacing="0" w:afterLines="0" w:afterAutospacing="0"/>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8分</w:t>
            </w:r>
          </w:p>
        </w:tc>
      </w:tr>
      <w:tr w14:paraId="5FD74AE7">
        <w:tblPrEx>
          <w:tblCellMar>
            <w:top w:w="0" w:type="dxa"/>
            <w:left w:w="108" w:type="dxa"/>
            <w:bottom w:w="0" w:type="dxa"/>
            <w:right w:w="108" w:type="dxa"/>
          </w:tblCellMar>
        </w:tblPrEx>
        <w:trPr>
          <w:jc w:val="center"/>
        </w:trPr>
        <w:tc>
          <w:tcPr>
            <w:tcW w:w="507" w:type="dxa"/>
            <w:tcBorders>
              <w:top w:val="single" w:color="000000" w:sz="4" w:space="0"/>
              <w:left w:val="single" w:color="000000" w:sz="4" w:space="0"/>
              <w:bottom w:val="single" w:color="000000" w:sz="4" w:space="0"/>
              <w:right w:val="single" w:color="000000" w:sz="4" w:space="0"/>
            </w:tcBorders>
            <w:vAlign w:val="center"/>
          </w:tcPr>
          <w:p w14:paraId="2D0FD082">
            <w:pPr>
              <w:pStyle w:val="35"/>
              <w:widowControl w:val="0"/>
              <w:spacing w:beforeLines="0" w:beforeAutospacing="0" w:afterLines="0" w:afterAutospacing="0" w:line="288"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6</w:t>
            </w:r>
          </w:p>
        </w:tc>
        <w:tc>
          <w:tcPr>
            <w:tcW w:w="1655" w:type="dxa"/>
            <w:tcBorders>
              <w:top w:val="single" w:color="000000" w:sz="4" w:space="0"/>
              <w:left w:val="single" w:color="000000" w:sz="4" w:space="0"/>
              <w:bottom w:val="single" w:color="000000" w:sz="4" w:space="0"/>
              <w:right w:val="single" w:color="000000" w:sz="4" w:space="0"/>
            </w:tcBorders>
            <w:vAlign w:val="center"/>
          </w:tcPr>
          <w:p w14:paraId="0B58C6B0">
            <w:pPr>
              <w:pStyle w:val="103"/>
              <w:widowControl w:val="0"/>
              <w:snapToGrid w:val="0"/>
              <w:spacing w:beforeLines="0" w:beforeAutospacing="0" w:afterLines="0" w:afterAutospacing="0" w:line="360" w:lineRule="auto"/>
              <w:jc w:val="center"/>
              <w:rPr>
                <w:rFonts w:ascii="Times New Roman" w:hAnsi="Times New Roman" w:eastAsia="宋体" w:cs="Times New Roman"/>
                <w:color w:val="auto"/>
                <w:kern w:val="2"/>
                <w:sz w:val="24"/>
                <w:szCs w:val="20"/>
                <w:lang w:val="zh-CN" w:eastAsia="ja-JP" w:bidi="ar-SA"/>
              </w:rPr>
            </w:pPr>
            <w:r>
              <w:rPr>
                <w:rFonts w:ascii="Times New Roman" w:hAnsi="Times New Roman" w:eastAsia="宋体" w:cs="Times New Roman"/>
                <w:color w:val="auto"/>
                <w:kern w:val="2"/>
                <w:sz w:val="24"/>
                <w:szCs w:val="20"/>
                <w:lang w:val="en-US" w:eastAsia="zh-CN" w:bidi="ar-SA"/>
              </w:rPr>
              <w:t>紧急预案</w:t>
            </w:r>
          </w:p>
        </w:tc>
        <w:tc>
          <w:tcPr>
            <w:tcW w:w="7017" w:type="dxa"/>
            <w:tcBorders>
              <w:top w:val="single" w:color="000000" w:sz="4" w:space="0"/>
              <w:left w:val="single" w:color="000000" w:sz="4" w:space="0"/>
              <w:bottom w:val="single" w:color="000000" w:sz="4" w:space="0"/>
              <w:right w:val="single" w:color="000000" w:sz="4" w:space="0"/>
            </w:tcBorders>
            <w:vAlign w:val="center"/>
          </w:tcPr>
          <w:p w14:paraId="683FE714">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供应商提供当出现不可预知紧急情况时（如遇重大活动、停水停电、极端天气、爆炸、拥挤踩踏事件、盗抢事件、恐怖活动等），如何保证服务正常运转的措施，临时增配人员设备、现有人员岗位职责临时增加、与相关政府部门协调配合等措施。</w:t>
            </w:r>
          </w:p>
          <w:p w14:paraId="75C12FC3">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紧急预案实用，突发事件应急保障措施合理，切实可行：8分</w:t>
            </w:r>
          </w:p>
          <w:p w14:paraId="6F040023">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文件要求，但存在1处瑕疵：</w:t>
            </w:r>
            <w:r>
              <w:rPr>
                <w:rFonts w:ascii="Times New Roman" w:hAnsi="Times New Roman" w:eastAsia="宋体" w:cs="Times New Roman"/>
                <w:color w:val="auto"/>
                <w:kern w:val="2"/>
                <w:sz w:val="24"/>
                <w:szCs w:val="20"/>
                <w:lang w:val="en-US" w:eastAsia="zh-CN" w:bidi="ar-SA"/>
              </w:rPr>
              <w:t>5</w:t>
            </w:r>
            <w:r>
              <w:rPr>
                <w:rFonts w:ascii="Times New Roman" w:hAnsi="Times New Roman" w:eastAsia="宋体" w:cs="Times New Roman"/>
                <w:color w:val="auto"/>
                <w:kern w:val="2"/>
                <w:sz w:val="24"/>
                <w:szCs w:val="20"/>
                <w:lang w:val="zh-CN" w:eastAsia="zh-CN" w:bidi="ar-SA"/>
              </w:rPr>
              <w:t>分；</w:t>
            </w:r>
          </w:p>
          <w:p w14:paraId="20E079ED">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文件要求，但存在2处瑕疵：</w:t>
            </w:r>
            <w:r>
              <w:rPr>
                <w:rFonts w:ascii="Times New Roman" w:hAnsi="Times New Roman" w:eastAsia="宋体" w:cs="Times New Roman"/>
                <w:color w:val="auto"/>
                <w:kern w:val="2"/>
                <w:sz w:val="24"/>
                <w:szCs w:val="20"/>
                <w:lang w:val="en-US" w:eastAsia="zh-CN" w:bidi="ar-SA"/>
              </w:rPr>
              <w:t>2</w:t>
            </w:r>
            <w:r>
              <w:rPr>
                <w:rFonts w:ascii="Times New Roman" w:hAnsi="Times New Roman" w:eastAsia="宋体" w:cs="Times New Roman"/>
                <w:color w:val="auto"/>
                <w:kern w:val="2"/>
                <w:sz w:val="24"/>
                <w:szCs w:val="20"/>
                <w:lang w:val="zh-CN" w:eastAsia="zh-CN" w:bidi="ar-SA"/>
              </w:rPr>
              <w:t>分；</w:t>
            </w:r>
          </w:p>
          <w:p w14:paraId="702D0E22">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其他：0分</w:t>
            </w:r>
          </w:p>
          <w:p w14:paraId="55EF414C">
            <w:pPr>
              <w:pStyle w:val="104"/>
              <w:widowControl w:val="0"/>
              <w:spacing w:beforeLines="0" w:beforeAutospacing="0" w:afterLines="0" w:afterAutospacing="0"/>
              <w:jc w:val="left"/>
              <w:rPr>
                <w:rFonts w:ascii="Times New Roman" w:hAnsi="Times New Roman" w:eastAsia="宋体" w:cs="Times New Roman"/>
                <w:color w:val="auto"/>
                <w:kern w:val="2"/>
                <w:sz w:val="24"/>
                <w:szCs w:val="20"/>
                <w:lang w:val="zh-CN" w:eastAsia="ja-JP" w:bidi="ar-SA"/>
              </w:rPr>
            </w:pPr>
            <w:r>
              <w:rPr>
                <w:rFonts w:ascii="Times New Roman" w:hAnsi="Times New Roman" w:eastAsia="宋体" w:cs="Times New Roman"/>
                <w:color w:val="auto"/>
                <w:kern w:val="2"/>
                <w:sz w:val="24"/>
                <w:szCs w:val="20"/>
                <w:lang w:val="zh-CN"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0" w:type="dxa"/>
            <w:tcBorders>
              <w:top w:val="single" w:color="000000" w:sz="4" w:space="0"/>
              <w:left w:val="single" w:color="000000" w:sz="4" w:space="0"/>
              <w:bottom w:val="single" w:color="000000" w:sz="4" w:space="0"/>
              <w:right w:val="single" w:color="000000" w:sz="4" w:space="0"/>
            </w:tcBorders>
            <w:vAlign w:val="center"/>
          </w:tcPr>
          <w:p w14:paraId="53B9EE3E">
            <w:pPr>
              <w:pStyle w:val="103"/>
              <w:widowControl w:val="0"/>
              <w:snapToGrid w:val="0"/>
              <w:spacing w:beforeLines="0" w:beforeAutospacing="0" w:afterLines="0" w:afterAutospacing="0"/>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8分</w:t>
            </w:r>
          </w:p>
        </w:tc>
      </w:tr>
      <w:tr w14:paraId="02E1E4B8">
        <w:tblPrEx>
          <w:tblCellMar>
            <w:top w:w="0" w:type="dxa"/>
            <w:left w:w="108" w:type="dxa"/>
            <w:bottom w:w="0" w:type="dxa"/>
            <w:right w:w="108" w:type="dxa"/>
          </w:tblCellMar>
        </w:tblPrEx>
        <w:trPr>
          <w:jc w:val="center"/>
        </w:trPr>
        <w:tc>
          <w:tcPr>
            <w:tcW w:w="507" w:type="dxa"/>
            <w:tcBorders>
              <w:top w:val="single" w:color="000000" w:sz="4" w:space="0"/>
              <w:left w:val="single" w:color="000000" w:sz="4" w:space="0"/>
              <w:bottom w:val="single" w:color="000000" w:sz="4" w:space="0"/>
              <w:right w:val="single" w:color="000000" w:sz="4" w:space="0"/>
            </w:tcBorders>
            <w:vAlign w:val="center"/>
          </w:tcPr>
          <w:p w14:paraId="5C61839E">
            <w:pPr>
              <w:pStyle w:val="103"/>
              <w:keepNext w:val="0"/>
              <w:keepLines w:val="0"/>
              <w:widowControl w:val="0"/>
              <w:kinsoku/>
              <w:overflowPunct/>
              <w:autoSpaceDE w:val="0"/>
              <w:autoSpaceDN w:val="0"/>
              <w:bidi w:val="0"/>
              <w:snapToGrid w:val="0"/>
              <w:spacing w:beforeLines="0" w:beforeAutospacing="0" w:afterLines="0" w:afterAutospacing="0" w:line="360" w:lineRule="auto"/>
              <w:jc w:val="center"/>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7</w:t>
            </w:r>
          </w:p>
        </w:tc>
        <w:tc>
          <w:tcPr>
            <w:tcW w:w="1655" w:type="dxa"/>
            <w:tcBorders>
              <w:top w:val="single" w:color="000000" w:sz="4" w:space="0"/>
              <w:left w:val="single" w:color="000000" w:sz="4" w:space="0"/>
              <w:bottom w:val="single" w:color="000000" w:sz="4" w:space="0"/>
              <w:right w:val="single" w:color="000000" w:sz="4" w:space="0"/>
            </w:tcBorders>
            <w:vAlign w:val="center"/>
          </w:tcPr>
          <w:p w14:paraId="4D9A4717">
            <w:pPr>
              <w:pStyle w:val="103"/>
              <w:widowControl w:val="0"/>
              <w:snapToGrid w:val="0"/>
              <w:spacing w:beforeLines="0" w:beforeAutospacing="0" w:afterLines="0" w:afterAutospacing="0" w:line="360"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投诉流程、满意度调查制度</w:t>
            </w:r>
          </w:p>
        </w:tc>
        <w:tc>
          <w:tcPr>
            <w:tcW w:w="7017" w:type="dxa"/>
            <w:tcBorders>
              <w:top w:val="single" w:color="000000" w:sz="4" w:space="0"/>
              <w:left w:val="single" w:color="000000" w:sz="4" w:space="0"/>
              <w:bottom w:val="single" w:color="000000" w:sz="4" w:space="0"/>
              <w:right w:val="single" w:color="000000" w:sz="4" w:space="0"/>
            </w:tcBorders>
            <w:vAlign w:val="center"/>
          </w:tcPr>
          <w:p w14:paraId="3E7E7E38">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供应商提供投诉流程、满意度调查相关方案。</w:t>
            </w:r>
          </w:p>
          <w:p w14:paraId="232EBBB5">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投诉流程、满意度调查制度健全、可行，有专人定期与采购人</w:t>
            </w:r>
          </w:p>
          <w:p w14:paraId="18C69AF4">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沟通，沟通方案详细、可行性强：4分</w:t>
            </w:r>
          </w:p>
          <w:p w14:paraId="1A77AF14">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文件要求，但存在1处瑕疵：</w:t>
            </w:r>
            <w:r>
              <w:rPr>
                <w:rFonts w:ascii="Times New Roman" w:hAnsi="Times New Roman" w:eastAsia="宋体" w:cs="Times New Roman"/>
                <w:color w:val="auto"/>
                <w:kern w:val="2"/>
                <w:sz w:val="24"/>
                <w:szCs w:val="20"/>
                <w:lang w:val="en-US" w:eastAsia="zh-CN" w:bidi="ar-SA"/>
              </w:rPr>
              <w:t>2</w:t>
            </w:r>
            <w:r>
              <w:rPr>
                <w:rFonts w:ascii="Times New Roman" w:hAnsi="Times New Roman" w:eastAsia="宋体" w:cs="Times New Roman"/>
                <w:color w:val="auto"/>
                <w:kern w:val="2"/>
                <w:sz w:val="24"/>
                <w:szCs w:val="20"/>
                <w:lang w:val="zh-CN" w:eastAsia="zh-CN" w:bidi="ar-SA"/>
              </w:rPr>
              <w:t>分；</w:t>
            </w:r>
          </w:p>
          <w:p w14:paraId="2EC9C1AB">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满足</w:t>
            </w:r>
            <w:r>
              <w:rPr>
                <w:rFonts w:ascii="Times New Roman" w:hAnsi="Times New Roman" w:eastAsia="宋体" w:cs="Times New Roman"/>
                <w:color w:val="auto"/>
                <w:kern w:val="2"/>
                <w:sz w:val="24"/>
                <w:szCs w:val="20"/>
                <w:lang w:val="en-US" w:eastAsia="zh-CN" w:bidi="ar-SA"/>
              </w:rPr>
              <w:t>磋商</w:t>
            </w:r>
            <w:r>
              <w:rPr>
                <w:rFonts w:ascii="Times New Roman" w:hAnsi="Times New Roman" w:eastAsia="宋体" w:cs="Times New Roman"/>
                <w:color w:val="auto"/>
                <w:kern w:val="2"/>
                <w:sz w:val="24"/>
                <w:szCs w:val="20"/>
                <w:lang w:val="zh-CN" w:eastAsia="zh-CN" w:bidi="ar-SA"/>
              </w:rPr>
              <w:t>文件要求，但存在2处瑕疵：</w:t>
            </w:r>
            <w:r>
              <w:rPr>
                <w:rFonts w:ascii="Times New Roman" w:hAnsi="Times New Roman" w:eastAsia="宋体" w:cs="Times New Roman"/>
                <w:color w:val="auto"/>
                <w:kern w:val="2"/>
                <w:sz w:val="24"/>
                <w:szCs w:val="20"/>
                <w:lang w:val="en-US" w:eastAsia="zh-CN" w:bidi="ar-SA"/>
              </w:rPr>
              <w:t>1</w:t>
            </w:r>
            <w:r>
              <w:rPr>
                <w:rFonts w:ascii="Times New Roman" w:hAnsi="Times New Roman" w:eastAsia="宋体" w:cs="Times New Roman"/>
                <w:color w:val="auto"/>
                <w:kern w:val="2"/>
                <w:sz w:val="24"/>
                <w:szCs w:val="20"/>
                <w:lang w:val="zh-CN" w:eastAsia="zh-CN" w:bidi="ar-SA"/>
              </w:rPr>
              <w:t>分；</w:t>
            </w:r>
          </w:p>
          <w:p w14:paraId="6C080C14">
            <w:pPr>
              <w:pStyle w:val="103"/>
              <w:keepNext w:val="0"/>
              <w:keepLines w:val="0"/>
              <w:widowControl w:val="0"/>
              <w:kinsoku/>
              <w:overflowPunct/>
              <w:autoSpaceDE w:val="0"/>
              <w:autoSpaceDN w:val="0"/>
              <w:bidi w:val="0"/>
              <w:snapToGrid w:val="0"/>
              <w:spacing w:beforeLines="0" w:beforeAutospacing="0" w:afterLines="0" w:afterAutospacing="0" w:line="240" w:lineRule="auto"/>
              <w:jc w:val="left"/>
              <w:textAlignment w:val="auto"/>
              <w:rPr>
                <w:rFonts w:ascii="Times New Roman" w:hAnsi="Times New Roman" w:eastAsia="宋体" w:cs="Times New Roman"/>
                <w:color w:val="auto"/>
                <w:kern w:val="2"/>
                <w:sz w:val="24"/>
                <w:szCs w:val="20"/>
                <w:lang w:val="zh-CN" w:eastAsia="zh-CN" w:bidi="ar-SA"/>
              </w:rPr>
            </w:pPr>
            <w:r>
              <w:rPr>
                <w:rFonts w:ascii="Times New Roman" w:hAnsi="Times New Roman" w:eastAsia="宋体" w:cs="Times New Roman"/>
                <w:color w:val="auto"/>
                <w:kern w:val="2"/>
                <w:sz w:val="24"/>
                <w:szCs w:val="20"/>
                <w:lang w:val="zh-CN" w:eastAsia="zh-CN" w:bidi="ar-SA"/>
              </w:rPr>
              <w:t>其他：0分</w:t>
            </w:r>
          </w:p>
          <w:p w14:paraId="2B623114">
            <w:pPr>
              <w:pStyle w:val="104"/>
              <w:widowControl w:val="0"/>
              <w:spacing w:beforeLines="0" w:beforeAutospacing="0" w:afterLines="0" w:afterAutospacing="0"/>
              <w:jc w:val="left"/>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zh-CN" w:eastAsia="zh-CN" w:bidi="ar-SA"/>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0" w:type="dxa"/>
            <w:tcBorders>
              <w:top w:val="single" w:color="000000" w:sz="4" w:space="0"/>
              <w:left w:val="single" w:color="000000" w:sz="4" w:space="0"/>
              <w:bottom w:val="single" w:color="000000" w:sz="4" w:space="0"/>
              <w:right w:val="single" w:color="000000" w:sz="4" w:space="0"/>
            </w:tcBorders>
            <w:vAlign w:val="center"/>
          </w:tcPr>
          <w:p w14:paraId="1D4C3B1E">
            <w:pPr>
              <w:pStyle w:val="103"/>
              <w:keepNext w:val="0"/>
              <w:keepLines w:val="0"/>
              <w:widowControl w:val="0"/>
              <w:kinsoku/>
              <w:overflowPunct/>
              <w:autoSpaceDE w:val="0"/>
              <w:autoSpaceDN w:val="0"/>
              <w:bidi w:val="0"/>
              <w:snapToGrid w:val="0"/>
              <w:spacing w:beforeLines="0" w:beforeAutospacing="0" w:afterLines="0" w:afterAutospacing="0" w:line="360" w:lineRule="auto"/>
              <w:jc w:val="center"/>
              <w:textAlignment w:val="auto"/>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4分</w:t>
            </w:r>
          </w:p>
        </w:tc>
      </w:tr>
      <w:tr w14:paraId="58CC69AB">
        <w:tblPrEx>
          <w:tblCellMar>
            <w:top w:w="0" w:type="dxa"/>
            <w:left w:w="108" w:type="dxa"/>
            <w:bottom w:w="0" w:type="dxa"/>
            <w:right w:w="108" w:type="dxa"/>
          </w:tblCellMar>
        </w:tblPrEx>
        <w:trPr>
          <w:jc w:val="center"/>
        </w:trPr>
        <w:tc>
          <w:tcPr>
            <w:tcW w:w="9179" w:type="dxa"/>
            <w:gridSpan w:val="3"/>
            <w:tcBorders>
              <w:top w:val="single" w:color="000000" w:sz="4" w:space="0"/>
              <w:left w:val="single" w:color="000000" w:sz="4" w:space="0"/>
              <w:bottom w:val="single" w:color="000000" w:sz="4" w:space="0"/>
              <w:right w:val="single" w:color="000000" w:sz="4" w:space="0"/>
            </w:tcBorders>
            <w:vAlign w:val="center"/>
          </w:tcPr>
          <w:p w14:paraId="604963A9">
            <w:pPr>
              <w:pStyle w:val="103"/>
              <w:widowControl w:val="0"/>
              <w:snapToGrid w:val="0"/>
              <w:spacing w:beforeLines="0" w:beforeAutospacing="0" w:afterLines="0" w:afterAutospacing="0" w:line="360"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合计</w:t>
            </w:r>
          </w:p>
        </w:tc>
        <w:tc>
          <w:tcPr>
            <w:tcW w:w="1080" w:type="dxa"/>
            <w:tcBorders>
              <w:top w:val="single" w:color="000000" w:sz="4" w:space="0"/>
              <w:left w:val="single" w:color="000000" w:sz="4" w:space="0"/>
              <w:bottom w:val="single" w:color="000000" w:sz="4" w:space="0"/>
              <w:right w:val="single" w:color="000000" w:sz="4" w:space="0"/>
            </w:tcBorders>
            <w:vAlign w:val="center"/>
          </w:tcPr>
          <w:p w14:paraId="14E56BD4">
            <w:pPr>
              <w:pStyle w:val="103"/>
              <w:widowControl w:val="0"/>
              <w:snapToGrid w:val="0"/>
              <w:spacing w:beforeLines="0" w:beforeAutospacing="0" w:afterLines="0" w:afterAutospacing="0" w:line="360" w:lineRule="auto"/>
              <w:jc w:val="center"/>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90分</w:t>
            </w:r>
          </w:p>
        </w:tc>
      </w:tr>
    </w:tbl>
    <w:p w14:paraId="2BFAC529">
      <w:pPr>
        <w:pStyle w:val="103"/>
        <w:keepNext w:val="0"/>
        <w:keepLines w:val="0"/>
        <w:pageBreakBefore w:val="0"/>
        <w:widowControl w:val="0"/>
        <w:kinsoku/>
        <w:overflowPunct/>
        <w:autoSpaceDE w:val="0"/>
        <w:autoSpaceDN w:val="0"/>
        <w:bidi w:val="0"/>
        <w:snapToGrid/>
        <w:spacing w:line="360" w:lineRule="auto"/>
        <w:textAlignment w:val="auto"/>
        <w:rPr>
          <w:rFonts w:ascii="Times New Roman" w:hAnsi="Times New Roman" w:eastAsia="宋体" w:cs="Times New Roman"/>
          <w:color w:val="auto"/>
          <w:kern w:val="2"/>
          <w:sz w:val="24"/>
          <w:szCs w:val="20"/>
          <w:lang w:val="en-US" w:eastAsia="zh-CN" w:bidi="ar-SA"/>
        </w:rPr>
      </w:pPr>
    </w:p>
    <w:p w14:paraId="60A38A09">
      <w:pPr>
        <w:pStyle w:val="103"/>
        <w:tabs>
          <w:tab w:val="left" w:pos="9693"/>
        </w:tabs>
        <w:spacing w:line="360" w:lineRule="auto"/>
        <w:jc w:val="both"/>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商务标评审（10 分）</w:t>
      </w:r>
    </w:p>
    <w:p w14:paraId="38C80FE7">
      <w:pPr>
        <w:pStyle w:val="103"/>
        <w:tabs>
          <w:tab w:val="left" w:pos="9693"/>
        </w:tabs>
        <w:spacing w:line="360" w:lineRule="auto"/>
        <w:jc w:val="both"/>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商务标评审即报价评审，具体公式如下：</w:t>
      </w:r>
    </w:p>
    <w:p w14:paraId="22180DA2">
      <w:pPr>
        <w:pStyle w:val="103"/>
        <w:tabs>
          <w:tab w:val="left" w:pos="9693"/>
        </w:tabs>
        <w:spacing w:line="360" w:lineRule="auto"/>
        <w:jc w:val="both"/>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各供应商报价得分=（评审基准价/磋商报价）×10（小数点后保留二位，第三位小数4舍5入）。评审基准价：通过第一阶段磋商的供应商中最终报价最低的为评审基准价。</w:t>
      </w:r>
    </w:p>
    <w:p w14:paraId="31AEDD5A">
      <w:pPr>
        <w:pStyle w:val="103"/>
        <w:tabs>
          <w:tab w:val="left" w:pos="9693"/>
        </w:tabs>
        <w:spacing w:line="360" w:lineRule="auto"/>
        <w:jc w:val="both"/>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磋商报价：通过第一阶段磋商的供应商的最终报价。</w:t>
      </w:r>
    </w:p>
    <w:p w14:paraId="1BA6DDE8">
      <w:pPr>
        <w:pStyle w:val="103"/>
        <w:tabs>
          <w:tab w:val="left" w:pos="9693"/>
        </w:tabs>
        <w:spacing w:line="360" w:lineRule="auto"/>
        <w:jc w:val="both"/>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有效评标价计算：涉及政策功能投标企业：有效评标价=总投标报价</w:t>
      </w:r>
    </w:p>
    <w:p w14:paraId="07697E15">
      <w:pPr>
        <w:pStyle w:val="103"/>
        <w:tabs>
          <w:tab w:val="left" w:pos="9693"/>
        </w:tabs>
        <w:spacing w:line="360" w:lineRule="auto"/>
        <w:jc w:val="both"/>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供应商综合得分</w:t>
      </w:r>
    </w:p>
    <w:p w14:paraId="15A6CCBE">
      <w:pPr>
        <w:pStyle w:val="103"/>
        <w:tabs>
          <w:tab w:val="left" w:pos="9693"/>
        </w:tabs>
        <w:spacing w:line="360" w:lineRule="auto"/>
        <w:jc w:val="both"/>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供应商综合得分=技术标得分+商务标得分</w:t>
      </w:r>
    </w:p>
    <w:p w14:paraId="2CE77C64">
      <w:pPr>
        <w:pStyle w:val="103"/>
        <w:tabs>
          <w:tab w:val="left" w:pos="9693"/>
        </w:tabs>
        <w:spacing w:line="360" w:lineRule="auto"/>
        <w:jc w:val="both"/>
        <w:rPr>
          <w:rFonts w:ascii="Times New Roman" w:hAnsi="Times New Roman" w:eastAsia="宋体" w:cs="Times New Roman"/>
          <w:color w:val="auto"/>
          <w:kern w:val="2"/>
          <w:sz w:val="24"/>
          <w:szCs w:val="20"/>
          <w:lang w:val="en-US" w:eastAsia="zh-CN" w:bidi="ar-SA"/>
        </w:rPr>
      </w:pPr>
      <w:r>
        <w:rPr>
          <w:rFonts w:ascii="Times New Roman" w:hAnsi="Times New Roman" w:eastAsia="宋体" w:cs="Times New Roman"/>
          <w:color w:val="auto"/>
          <w:kern w:val="2"/>
          <w:sz w:val="24"/>
          <w:szCs w:val="20"/>
          <w:lang w:val="en-US" w:eastAsia="zh-CN" w:bidi="ar-SA"/>
        </w:rPr>
        <w:t>得分分值计算保留两位小数。</w:t>
      </w:r>
    </w:p>
    <w:p w14:paraId="62295B2C">
      <w:pPr>
        <w:pStyle w:val="103"/>
        <w:keepNext w:val="0"/>
        <w:keepLines w:val="0"/>
        <w:pageBreakBefore w:val="0"/>
        <w:widowControl w:val="0"/>
        <w:kinsoku/>
        <w:overflowPunct/>
        <w:autoSpaceDE w:val="0"/>
        <w:autoSpaceDN w:val="0"/>
        <w:bidi w:val="0"/>
        <w:snapToGrid/>
        <w:spacing w:line="360" w:lineRule="auto"/>
        <w:textAlignment w:val="auto"/>
        <w:rPr>
          <w:color w:val="auto"/>
        </w:rPr>
      </w:pPr>
      <w:r>
        <w:rPr>
          <w:rFonts w:ascii="Times New Roman" w:hAnsi="Times New Roman" w:eastAsia="宋体" w:cs="Times New Roman"/>
          <w:color w:val="auto"/>
          <w:kern w:val="2"/>
          <w:sz w:val="24"/>
          <w:szCs w:val="20"/>
          <w:lang w:val="en-US" w:eastAsia="zh-CN" w:bidi="ar-SA"/>
        </w:rPr>
        <w:br w:type="page"/>
      </w:r>
    </w:p>
    <w:p w14:paraId="11E1B9B1">
      <w:pPr>
        <w:spacing w:line="360" w:lineRule="auto"/>
        <w:ind w:firstLine="480" w:firstLineChars="200"/>
        <w:outlineLvl w:val="0"/>
        <w:rPr>
          <w:sz w:val="24"/>
        </w:rPr>
      </w:pPr>
      <w:r>
        <w:rPr>
          <w:sz w:val="24"/>
        </w:rPr>
        <w:t>四、投标文件内容要求</w:t>
      </w:r>
    </w:p>
    <w:p w14:paraId="7E4E77A6">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35"/>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6F26877B">
      <w:pPr>
        <w:spacing w:line="360" w:lineRule="auto"/>
        <w:ind w:firstLine="480" w:firstLineChars="200"/>
        <w:outlineLvl w:val="0"/>
        <w:rPr>
          <w:rFonts w:hint="eastAsia"/>
          <w:sz w:val="24"/>
        </w:rPr>
      </w:pPr>
      <w:r>
        <w:rPr>
          <w:rFonts w:hint="eastAsia"/>
          <w:sz w:val="24"/>
          <w:lang w:eastAsia="zh-CN"/>
        </w:rPr>
        <w:t>五、</w:t>
      </w:r>
      <w:r>
        <w:rPr>
          <w:rFonts w:hint="eastAsia"/>
          <w:sz w:val="24"/>
        </w:rPr>
        <w:t>项目需求书：</w:t>
      </w:r>
    </w:p>
    <w:p w14:paraId="2E2F6F9E">
      <w:pPr>
        <w:spacing w:line="360" w:lineRule="auto"/>
        <w:ind w:firstLine="480" w:firstLineChars="200"/>
        <w:outlineLvl w:val="0"/>
        <w:rPr>
          <w:sz w:val="24"/>
        </w:rPr>
      </w:pPr>
      <w:r>
        <w:rPr>
          <w:rFonts w:hint="eastAsia"/>
          <w:sz w:val="24"/>
        </w:rPr>
        <w:t>本项目属于</w:t>
      </w:r>
      <w:r>
        <w:rPr>
          <w:rFonts w:hint="eastAsia"/>
          <w:sz w:val="24"/>
          <w:lang w:val="en-US" w:eastAsia="zh-CN"/>
        </w:rPr>
        <w:t>保安服务</w:t>
      </w:r>
      <w:r>
        <w:rPr>
          <w:rFonts w:hint="eastAsia"/>
          <w:sz w:val="24"/>
        </w:rPr>
        <w:t>行业。</w:t>
      </w:r>
    </w:p>
    <w:p w14:paraId="51F27148">
      <w:pPr>
        <w:pStyle w:val="104"/>
        <w:spacing w:line="360" w:lineRule="auto"/>
        <w:ind w:firstLine="482" w:firstLineChars="200"/>
        <w:rPr>
          <w:rFonts w:ascii="黑体" w:hAnsi="黑体" w:eastAsia="黑体" w:cs="黑体"/>
          <w:color w:val="auto"/>
          <w:sz w:val="24"/>
          <w:szCs w:val="24"/>
          <w:lang w:eastAsia="zh-CN"/>
        </w:rPr>
      </w:pPr>
      <w:r>
        <w:rPr>
          <w:rFonts w:ascii="黑体" w:hAnsi="黑体" w:eastAsia="黑体" w:cs="黑体"/>
          <w:b/>
          <w:bCs/>
          <w:color w:val="auto"/>
          <w:sz w:val="24"/>
          <w:szCs w:val="24"/>
          <w:lang w:val="en-US" w:eastAsia="zh-CN"/>
        </w:rPr>
        <w:t>一</w:t>
      </w:r>
      <w:r>
        <w:rPr>
          <w:rFonts w:ascii="黑体" w:hAnsi="黑体" w:eastAsia="黑体" w:cs="黑体"/>
          <w:b/>
          <w:bCs/>
          <w:color w:val="auto"/>
          <w:sz w:val="24"/>
          <w:szCs w:val="24"/>
          <w:lang w:eastAsia="zh-CN"/>
        </w:rPr>
        <w:t>、实质性技术需求</w:t>
      </w:r>
      <w:r>
        <w:rPr>
          <w:rFonts w:ascii="黑体" w:hAnsi="黑体" w:eastAsia="黑体" w:cs="黑体"/>
          <w:color w:val="auto"/>
          <w:sz w:val="24"/>
          <w:szCs w:val="24"/>
          <w:lang w:eastAsia="zh-CN"/>
        </w:rPr>
        <w:t>：</w:t>
      </w:r>
    </w:p>
    <w:p w14:paraId="23BD721A">
      <w:pPr>
        <w:pStyle w:val="104"/>
        <w:spacing w:line="360" w:lineRule="auto"/>
        <w:ind w:firstLine="482" w:firstLineChars="200"/>
        <w:rPr>
          <w:rFonts w:ascii="黑体" w:hAnsi="黑体" w:eastAsia="黑体" w:cs="黑体"/>
          <w:b w:val="0"/>
          <w:bCs w:val="0"/>
          <w:color w:val="auto"/>
          <w:sz w:val="24"/>
          <w:szCs w:val="24"/>
          <w:lang w:eastAsia="zh-CN"/>
        </w:rPr>
      </w:pPr>
      <w:r>
        <w:rPr>
          <w:rFonts w:ascii="黑体" w:hAnsi="黑体" w:eastAsia="黑体" w:cs="黑体"/>
          <w:b/>
          <w:bCs/>
          <w:color w:val="auto"/>
          <w:sz w:val="24"/>
          <w:szCs w:val="24"/>
          <w:lang w:eastAsia="zh-CN"/>
        </w:rPr>
        <w:t>✮</w:t>
      </w:r>
      <w:r>
        <w:rPr>
          <w:rFonts w:ascii="黑体" w:hAnsi="黑体" w:eastAsia="黑体" w:cs="黑体"/>
          <w:color w:val="auto"/>
          <w:sz w:val="24"/>
          <w:szCs w:val="24"/>
          <w:lang w:val="en-US" w:eastAsia="zh-CN"/>
        </w:rPr>
        <w:t>1、</w:t>
      </w:r>
      <w:r>
        <w:rPr>
          <w:rFonts w:ascii="黑体" w:hAnsi="黑体" w:eastAsia="黑体" w:cs="黑体"/>
          <w:color w:val="auto"/>
          <w:sz w:val="24"/>
          <w:szCs w:val="24"/>
          <w:lang w:eastAsia="zh-CN"/>
        </w:rPr>
        <w:t>提供拟派驻的</w:t>
      </w:r>
      <w:r>
        <w:rPr>
          <w:rFonts w:ascii="黑体" w:hAnsi="黑体" w:eastAsia="黑体" w:cs="黑体"/>
          <w:color w:val="auto"/>
          <w:sz w:val="24"/>
          <w:szCs w:val="24"/>
          <w:lang w:val="en-US" w:eastAsia="zh-CN"/>
        </w:rPr>
        <w:t>保安队长须</w:t>
      </w:r>
      <w:r>
        <w:rPr>
          <w:rFonts w:ascii="黑体" w:hAnsi="黑体" w:eastAsia="黑体" w:cs="黑体"/>
          <w:color w:val="auto"/>
          <w:sz w:val="24"/>
          <w:szCs w:val="24"/>
          <w:lang w:eastAsia="zh-CN"/>
        </w:rPr>
        <w:t>具备大专（或以上）学历</w:t>
      </w:r>
      <w:r>
        <w:rPr>
          <w:rFonts w:ascii="黑体" w:hAnsi="黑体" w:eastAsia="黑体" w:cs="黑体"/>
          <w:color w:val="auto"/>
          <w:sz w:val="24"/>
          <w:szCs w:val="24"/>
          <w:lang w:val="en-US" w:eastAsia="zh-CN"/>
        </w:rPr>
        <w:t>并提供学历证书</w:t>
      </w:r>
      <w:r>
        <w:rPr>
          <w:rFonts w:ascii="黑体" w:hAnsi="黑体" w:eastAsia="黑体" w:cs="黑体"/>
          <w:color w:val="auto"/>
          <w:sz w:val="24"/>
          <w:szCs w:val="24"/>
          <w:lang w:eastAsia="zh-CN"/>
        </w:rPr>
        <w:t>，具有3年以上保安管理工作经验</w:t>
      </w:r>
      <w:r>
        <w:rPr>
          <w:rFonts w:ascii="黑体" w:hAnsi="黑体" w:eastAsia="黑体" w:cs="黑体"/>
          <w:color w:val="auto"/>
          <w:sz w:val="24"/>
          <w:szCs w:val="24"/>
          <w:lang w:val="en-US" w:eastAsia="zh-CN"/>
        </w:rPr>
        <w:t>并提供证明材料</w:t>
      </w:r>
      <w:r>
        <w:rPr>
          <w:rFonts w:ascii="黑体" w:hAnsi="黑体" w:eastAsia="黑体" w:cs="黑体"/>
          <w:color w:val="auto"/>
          <w:sz w:val="24"/>
          <w:szCs w:val="24"/>
          <w:lang w:eastAsia="zh-CN"/>
        </w:rPr>
        <w:t>，须</w:t>
      </w:r>
      <w:r>
        <w:rPr>
          <w:rFonts w:ascii="黑体" w:hAnsi="黑体" w:eastAsia="黑体" w:cs="黑体"/>
          <w:color w:val="auto"/>
          <w:sz w:val="24"/>
          <w:szCs w:val="24"/>
          <w:lang w:val="en-US" w:eastAsia="zh-CN"/>
        </w:rPr>
        <w:t>提供</w:t>
      </w:r>
      <w:r>
        <w:rPr>
          <w:rFonts w:ascii="黑体" w:hAnsi="黑体" w:eastAsia="黑体" w:cs="黑体"/>
          <w:color w:val="auto"/>
          <w:sz w:val="24"/>
          <w:szCs w:val="24"/>
          <w:lang w:eastAsia="zh-CN"/>
        </w:rPr>
        <w:t>《职业资格证书（保安师）》（国家职业资格二级）证书，</w:t>
      </w:r>
      <w:r>
        <w:rPr>
          <w:rFonts w:ascii="黑体" w:hAnsi="黑体" w:eastAsia="黑体" w:cs="黑体"/>
          <w:color w:val="auto"/>
          <w:sz w:val="24"/>
          <w:szCs w:val="24"/>
          <w:lang w:val="en-US" w:eastAsia="zh-CN"/>
        </w:rPr>
        <w:t>以上</w:t>
      </w:r>
      <w:r>
        <w:rPr>
          <w:rFonts w:ascii="黑体" w:hAnsi="黑体" w:eastAsia="黑体" w:cs="黑体"/>
          <w:color w:val="auto"/>
          <w:sz w:val="24"/>
          <w:szCs w:val="24"/>
          <w:lang w:eastAsia="zh-CN"/>
        </w:rPr>
        <w:t>证书</w:t>
      </w:r>
      <w:r>
        <w:rPr>
          <w:rFonts w:ascii="黑体" w:hAnsi="黑体" w:eastAsia="黑体" w:cs="黑体"/>
          <w:color w:val="auto"/>
          <w:sz w:val="24"/>
          <w:szCs w:val="24"/>
          <w:lang w:val="en-US" w:eastAsia="zh-CN"/>
        </w:rPr>
        <w:t>及证</w:t>
      </w:r>
      <w:r>
        <w:rPr>
          <w:rFonts w:ascii="黑体" w:hAnsi="黑体" w:eastAsia="黑体" w:cs="黑体"/>
          <w:b w:val="0"/>
          <w:bCs w:val="0"/>
          <w:color w:val="auto"/>
          <w:sz w:val="24"/>
          <w:szCs w:val="24"/>
          <w:lang w:val="en-US" w:eastAsia="zh-CN"/>
        </w:rPr>
        <w:t>明材料须提供</w:t>
      </w:r>
      <w:r>
        <w:rPr>
          <w:rFonts w:ascii="黑体" w:hAnsi="黑体" w:eastAsia="黑体" w:cs="黑体"/>
          <w:b w:val="0"/>
          <w:bCs w:val="0"/>
          <w:color w:val="auto"/>
          <w:sz w:val="24"/>
          <w:szCs w:val="24"/>
          <w:lang w:eastAsia="zh-CN"/>
        </w:rPr>
        <w:t>加盖公章的复印件。</w:t>
      </w:r>
    </w:p>
    <w:p w14:paraId="172B18F6">
      <w:pPr>
        <w:pStyle w:val="104"/>
        <w:spacing w:line="360" w:lineRule="auto"/>
        <w:ind w:firstLine="482" w:firstLineChars="200"/>
        <w:rPr>
          <w:rFonts w:ascii="黑体" w:hAnsi="黑体" w:eastAsia="黑体" w:cs="黑体"/>
          <w:b w:val="0"/>
          <w:bCs w:val="0"/>
          <w:color w:val="auto"/>
          <w:sz w:val="24"/>
          <w:szCs w:val="24"/>
          <w:lang w:eastAsia="zh-CN"/>
        </w:rPr>
      </w:pPr>
      <w:r>
        <w:rPr>
          <w:rFonts w:ascii="黑体" w:hAnsi="黑体" w:eastAsia="黑体" w:cs="黑体"/>
          <w:b/>
          <w:bCs/>
          <w:color w:val="auto"/>
          <w:sz w:val="24"/>
          <w:szCs w:val="24"/>
          <w:lang w:eastAsia="zh-CN"/>
        </w:rPr>
        <w:t>✮</w:t>
      </w:r>
      <w:r>
        <w:rPr>
          <w:rFonts w:ascii="黑体" w:hAnsi="黑体" w:eastAsia="黑体" w:cs="黑体"/>
          <w:b w:val="0"/>
          <w:bCs w:val="0"/>
          <w:color w:val="auto"/>
          <w:sz w:val="24"/>
          <w:szCs w:val="24"/>
          <w:lang w:val="en-US" w:eastAsia="zh-CN"/>
        </w:rPr>
        <w:t>2、</w:t>
      </w:r>
      <w:r>
        <w:rPr>
          <w:rFonts w:ascii="黑体" w:hAnsi="黑体" w:eastAsia="黑体" w:cs="黑体"/>
          <w:b w:val="0"/>
          <w:bCs w:val="0"/>
          <w:color w:val="auto"/>
          <w:sz w:val="24"/>
          <w:szCs w:val="24"/>
          <w:lang w:eastAsia="zh-CN"/>
        </w:rPr>
        <w:t>供应商须承诺所提供的服务、人员、设备等均符合相关国家强制性规定，并提供承诺书。</w:t>
      </w:r>
    </w:p>
    <w:p w14:paraId="6954F12E">
      <w:pPr>
        <w:pStyle w:val="103"/>
        <w:spacing w:line="360" w:lineRule="auto"/>
        <w:ind w:left="422" w:leftChars="201"/>
        <w:jc w:val="left"/>
        <w:rPr>
          <w:rFonts w:ascii="黑体" w:hAnsi="黑体" w:eastAsia="黑体" w:cs="黑体"/>
          <w:b/>
          <w:color w:val="auto"/>
          <w:sz w:val="24"/>
          <w:szCs w:val="24"/>
        </w:rPr>
      </w:pPr>
      <w:r>
        <w:rPr>
          <w:rFonts w:ascii="黑体" w:hAnsi="黑体" w:eastAsia="黑体" w:cs="黑体"/>
          <w:b/>
          <w:color w:val="auto"/>
          <w:sz w:val="24"/>
          <w:szCs w:val="24"/>
          <w:lang w:val="en-US" w:eastAsia="zh-CN"/>
        </w:rPr>
        <w:t>二</w:t>
      </w:r>
      <w:r>
        <w:rPr>
          <w:rFonts w:ascii="黑体" w:hAnsi="黑体" w:eastAsia="黑体" w:cs="黑体"/>
          <w:b/>
          <w:color w:val="auto"/>
          <w:sz w:val="24"/>
          <w:szCs w:val="24"/>
        </w:rPr>
        <w:t>、一般技术需求</w:t>
      </w:r>
    </w:p>
    <w:p w14:paraId="715048C7">
      <w:pPr>
        <w:pStyle w:val="103"/>
        <w:numPr>
          <w:ilvl w:val="0"/>
          <w:numId w:val="2"/>
        </w:numPr>
        <w:spacing w:line="360" w:lineRule="auto"/>
        <w:jc w:val="left"/>
        <w:rPr>
          <w:rFonts w:ascii="黑体" w:hAnsi="黑体" w:eastAsia="黑体" w:cs="黑体"/>
          <w:b/>
          <w:color w:val="auto"/>
          <w:sz w:val="24"/>
          <w:szCs w:val="24"/>
        </w:rPr>
      </w:pPr>
      <w:r>
        <w:rPr>
          <w:rFonts w:ascii="黑体" w:hAnsi="黑体" w:eastAsia="黑体" w:cs="黑体"/>
          <w:b/>
          <w:color w:val="auto"/>
          <w:sz w:val="24"/>
          <w:szCs w:val="24"/>
        </w:rPr>
        <w:t>项目概况</w:t>
      </w:r>
    </w:p>
    <w:p w14:paraId="6B297F06">
      <w:pPr>
        <w:pStyle w:val="103"/>
        <w:spacing w:line="360" w:lineRule="auto"/>
        <w:ind w:firstLine="480" w:firstLineChars="200"/>
        <w:jc w:val="left"/>
        <w:rPr>
          <w:rFonts w:ascii="黑体" w:hAnsi="黑体" w:eastAsia="黑体" w:cs="黑体"/>
          <w:color w:val="auto"/>
          <w:sz w:val="24"/>
          <w:szCs w:val="24"/>
          <w:lang w:val="en-US" w:eastAsia="zh-CN"/>
        </w:rPr>
      </w:pPr>
      <w:r>
        <w:rPr>
          <w:rFonts w:ascii="黑体" w:hAnsi="黑体" w:eastAsia="黑体" w:cs="黑体"/>
          <w:color w:val="auto"/>
          <w:sz w:val="24"/>
          <w:szCs w:val="24"/>
          <w:lang w:eastAsia="zh-CN"/>
        </w:rPr>
        <w:t>天津市西青区人民政府李七庄街道办事处</w:t>
      </w:r>
      <w:r>
        <w:rPr>
          <w:rFonts w:ascii="黑体" w:hAnsi="黑体" w:eastAsia="黑体" w:cs="黑体"/>
          <w:color w:val="auto"/>
          <w:sz w:val="24"/>
          <w:szCs w:val="24"/>
        </w:rPr>
        <w:t>位于天津市西青区李七庄街秀川路10号</w:t>
      </w:r>
      <w:r>
        <w:rPr>
          <w:rFonts w:ascii="黑体" w:hAnsi="黑体" w:eastAsia="黑体" w:cs="黑体"/>
          <w:color w:val="auto"/>
          <w:sz w:val="24"/>
          <w:szCs w:val="24"/>
          <w:lang w:eastAsia="zh-CN"/>
        </w:rPr>
        <w:t>。本项目旨在负责天津市西青区人民政府李七庄街道办事处的公共秩序维护工作，负责区域内各出入口安保值守及园内的安保巡查等工作。</w:t>
      </w:r>
    </w:p>
    <w:p w14:paraId="0764A389">
      <w:pPr>
        <w:pStyle w:val="103"/>
        <w:spacing w:line="360" w:lineRule="auto"/>
        <w:ind w:firstLine="482" w:firstLineChars="200"/>
        <w:jc w:val="left"/>
        <w:rPr>
          <w:rFonts w:ascii="黑体" w:hAnsi="黑体" w:eastAsia="黑体" w:cs="黑体"/>
          <w:color w:val="auto"/>
          <w:kern w:val="0"/>
          <w:sz w:val="24"/>
          <w:szCs w:val="24"/>
          <w:lang w:val="en-US" w:eastAsia="zh-CN"/>
        </w:rPr>
      </w:pPr>
      <w:r>
        <w:rPr>
          <w:rFonts w:ascii="黑体" w:hAnsi="黑体" w:eastAsia="黑体" w:cs="黑体"/>
          <w:b/>
          <w:color w:val="auto"/>
          <w:sz w:val="24"/>
          <w:szCs w:val="24"/>
        </w:rPr>
        <w:t>（二）服务内容</w:t>
      </w:r>
      <w:r>
        <w:rPr>
          <w:rFonts w:ascii="黑体" w:hAnsi="黑体" w:eastAsia="黑体" w:cs="黑体"/>
          <w:b/>
          <w:color w:val="auto"/>
          <w:sz w:val="24"/>
          <w:szCs w:val="24"/>
          <w:lang w:eastAsia="zh-CN"/>
        </w:rPr>
        <w:t>：</w:t>
      </w:r>
      <w:r>
        <w:rPr>
          <w:rFonts w:ascii="黑体" w:hAnsi="黑体" w:eastAsia="黑体" w:cs="黑体"/>
          <w:color w:val="auto"/>
          <w:kern w:val="0"/>
          <w:sz w:val="24"/>
          <w:szCs w:val="24"/>
          <w:lang w:val="en-US" w:eastAsia="zh-CN"/>
        </w:rPr>
        <w:t>安保巡查及秩序维护服务</w:t>
      </w:r>
    </w:p>
    <w:p w14:paraId="414BBEE1">
      <w:pPr>
        <w:pStyle w:val="103"/>
        <w:spacing w:line="360" w:lineRule="auto"/>
        <w:ind w:firstLine="482" w:firstLineChars="200"/>
        <w:rPr>
          <w:rFonts w:ascii="黑体" w:hAnsi="黑体" w:eastAsia="黑体" w:cs="黑体"/>
          <w:b/>
          <w:color w:val="auto"/>
          <w:kern w:val="0"/>
          <w:sz w:val="24"/>
          <w:szCs w:val="24"/>
        </w:rPr>
      </w:pPr>
      <w:r>
        <w:rPr>
          <w:rFonts w:ascii="黑体" w:hAnsi="黑体" w:eastAsia="黑体" w:cs="黑体"/>
          <w:b/>
          <w:color w:val="auto"/>
          <w:sz w:val="24"/>
          <w:szCs w:val="24"/>
          <w:lang w:eastAsia="zh-CN"/>
        </w:rPr>
        <w:t>（</w:t>
      </w:r>
      <w:r>
        <w:rPr>
          <w:rFonts w:ascii="黑体" w:hAnsi="黑体" w:eastAsia="黑体" w:cs="黑体"/>
          <w:b/>
          <w:color w:val="auto"/>
          <w:sz w:val="24"/>
          <w:szCs w:val="24"/>
          <w:lang w:val="en-US" w:eastAsia="zh-CN"/>
        </w:rPr>
        <w:t>三）</w:t>
      </w:r>
      <w:r>
        <w:rPr>
          <w:rFonts w:ascii="黑体" w:hAnsi="黑体" w:eastAsia="黑体" w:cs="黑体"/>
          <w:b/>
          <w:color w:val="auto"/>
          <w:kern w:val="0"/>
          <w:sz w:val="24"/>
          <w:szCs w:val="24"/>
        </w:rPr>
        <w:t xml:space="preserve">投入人员岗位及每个岗位的需要人数 </w:t>
      </w:r>
    </w:p>
    <w:tbl>
      <w:tblPr>
        <w:tblStyle w:val="16"/>
        <w:tblW w:w="9520" w:type="dxa"/>
        <w:jc w:val="center"/>
        <w:tblLayout w:type="fixed"/>
        <w:tblCellMar>
          <w:top w:w="0" w:type="dxa"/>
          <w:left w:w="108" w:type="dxa"/>
          <w:bottom w:w="0" w:type="dxa"/>
          <w:right w:w="108" w:type="dxa"/>
        </w:tblCellMar>
      </w:tblPr>
      <w:tblGrid>
        <w:gridCol w:w="690"/>
        <w:gridCol w:w="1154"/>
        <w:gridCol w:w="850"/>
        <w:gridCol w:w="3258"/>
        <w:gridCol w:w="1134"/>
        <w:gridCol w:w="2433"/>
      </w:tblGrid>
      <w:tr w14:paraId="397A398C">
        <w:tblPrEx>
          <w:tblCellMar>
            <w:top w:w="0" w:type="dxa"/>
            <w:left w:w="108" w:type="dxa"/>
            <w:bottom w:w="0" w:type="dxa"/>
            <w:right w:w="108" w:type="dxa"/>
          </w:tblCellMar>
        </w:tblPrEx>
        <w:trPr>
          <w:jc w:val="center"/>
        </w:trPr>
        <w:tc>
          <w:tcPr>
            <w:tcW w:w="690" w:type="dxa"/>
            <w:tcBorders>
              <w:top w:val="single" w:color="000000" w:sz="4" w:space="0"/>
              <w:left w:val="single" w:color="000000" w:sz="4" w:space="0"/>
              <w:bottom w:val="single" w:color="000000" w:sz="4" w:space="0"/>
              <w:right w:val="single" w:color="000000" w:sz="4" w:space="0"/>
            </w:tcBorders>
            <w:vAlign w:val="center"/>
          </w:tcPr>
          <w:p w14:paraId="1A9D55D6">
            <w:pPr>
              <w:pStyle w:val="103"/>
              <w:widowControl w:val="0"/>
              <w:spacing w:beforeLines="0" w:beforeAutospacing="0" w:afterLines="0" w:afterAutospacing="0" w:line="360" w:lineRule="auto"/>
              <w:jc w:val="center"/>
              <w:rPr>
                <w:rFonts w:ascii="黑体" w:hAnsi="黑体" w:eastAsia="黑体" w:cs="黑体"/>
                <w:b/>
                <w:color w:val="auto"/>
                <w:sz w:val="24"/>
                <w:szCs w:val="24"/>
              </w:rPr>
            </w:pPr>
            <w:r>
              <w:rPr>
                <w:rFonts w:ascii="黑体" w:hAnsi="黑体" w:eastAsia="黑体" w:cs="黑体"/>
                <w:b/>
                <w:color w:val="auto"/>
                <w:kern w:val="0"/>
                <w:sz w:val="24"/>
                <w:szCs w:val="24"/>
              </w:rPr>
              <w:t>序号</w:t>
            </w:r>
          </w:p>
        </w:tc>
        <w:tc>
          <w:tcPr>
            <w:tcW w:w="1154" w:type="dxa"/>
            <w:tcBorders>
              <w:top w:val="single" w:color="000000" w:sz="4" w:space="0"/>
              <w:left w:val="single" w:color="000000" w:sz="4" w:space="0"/>
              <w:bottom w:val="single" w:color="000000" w:sz="4" w:space="0"/>
              <w:right w:val="single" w:color="000000" w:sz="4" w:space="0"/>
            </w:tcBorders>
            <w:vAlign w:val="center"/>
          </w:tcPr>
          <w:p w14:paraId="4C57BCA5">
            <w:pPr>
              <w:pStyle w:val="103"/>
              <w:widowControl w:val="0"/>
              <w:spacing w:beforeLines="0" w:beforeAutospacing="0" w:afterLines="0" w:afterAutospacing="0" w:line="360" w:lineRule="auto"/>
              <w:jc w:val="center"/>
              <w:rPr>
                <w:rFonts w:ascii="黑体" w:hAnsi="黑体" w:eastAsia="黑体" w:cs="黑体"/>
                <w:b/>
                <w:color w:val="auto"/>
                <w:sz w:val="24"/>
                <w:szCs w:val="24"/>
              </w:rPr>
            </w:pPr>
            <w:r>
              <w:rPr>
                <w:rFonts w:ascii="黑体" w:hAnsi="黑体" w:eastAsia="黑体" w:cs="黑体"/>
                <w:b/>
                <w:color w:val="auto"/>
                <w:kern w:val="0"/>
                <w:sz w:val="24"/>
                <w:szCs w:val="24"/>
              </w:rPr>
              <w:t>岗位名称</w:t>
            </w:r>
          </w:p>
        </w:tc>
        <w:tc>
          <w:tcPr>
            <w:tcW w:w="850" w:type="dxa"/>
            <w:tcBorders>
              <w:top w:val="single" w:color="000000" w:sz="4" w:space="0"/>
              <w:left w:val="single" w:color="000000" w:sz="4" w:space="0"/>
              <w:bottom w:val="single" w:color="000000" w:sz="4" w:space="0"/>
              <w:right w:val="single" w:color="000000" w:sz="4" w:space="0"/>
            </w:tcBorders>
            <w:vAlign w:val="center"/>
          </w:tcPr>
          <w:p w14:paraId="40FFC25E">
            <w:pPr>
              <w:pStyle w:val="103"/>
              <w:widowControl w:val="0"/>
              <w:spacing w:beforeLines="0" w:beforeAutospacing="0" w:afterLines="0" w:afterAutospacing="0" w:line="360" w:lineRule="auto"/>
              <w:jc w:val="center"/>
              <w:rPr>
                <w:rFonts w:ascii="黑体" w:hAnsi="黑体" w:eastAsia="黑体" w:cs="黑体"/>
                <w:b/>
                <w:color w:val="auto"/>
                <w:sz w:val="24"/>
                <w:szCs w:val="24"/>
              </w:rPr>
            </w:pPr>
            <w:r>
              <w:rPr>
                <w:rFonts w:ascii="黑体" w:hAnsi="黑体" w:eastAsia="黑体" w:cs="黑体"/>
                <w:b/>
                <w:color w:val="auto"/>
                <w:kern w:val="0"/>
                <w:sz w:val="24"/>
                <w:szCs w:val="24"/>
              </w:rPr>
              <w:t>人数</w:t>
            </w:r>
          </w:p>
        </w:tc>
        <w:tc>
          <w:tcPr>
            <w:tcW w:w="3258" w:type="dxa"/>
            <w:tcBorders>
              <w:top w:val="single" w:color="000000" w:sz="4" w:space="0"/>
              <w:left w:val="single" w:color="000000" w:sz="4" w:space="0"/>
              <w:bottom w:val="single" w:color="000000" w:sz="4" w:space="0"/>
              <w:right w:val="single" w:color="000000" w:sz="4" w:space="0"/>
            </w:tcBorders>
            <w:vAlign w:val="center"/>
          </w:tcPr>
          <w:p w14:paraId="50869275">
            <w:pPr>
              <w:pStyle w:val="103"/>
              <w:widowControl w:val="0"/>
              <w:spacing w:beforeLines="0" w:beforeAutospacing="0" w:afterLines="0" w:afterAutospacing="0" w:line="360" w:lineRule="auto"/>
              <w:jc w:val="center"/>
              <w:rPr>
                <w:rFonts w:ascii="黑体" w:hAnsi="黑体" w:eastAsia="黑体" w:cs="黑体"/>
                <w:b/>
                <w:color w:val="auto"/>
                <w:sz w:val="24"/>
                <w:szCs w:val="24"/>
              </w:rPr>
            </w:pPr>
            <w:r>
              <w:rPr>
                <w:rFonts w:ascii="黑体" w:hAnsi="黑体" w:eastAsia="黑体" w:cs="黑体"/>
                <w:b/>
                <w:color w:val="auto"/>
                <w:kern w:val="0"/>
                <w:sz w:val="24"/>
                <w:szCs w:val="24"/>
              </w:rPr>
              <w:t>要求</w:t>
            </w:r>
          </w:p>
        </w:tc>
        <w:tc>
          <w:tcPr>
            <w:tcW w:w="1134" w:type="dxa"/>
            <w:tcBorders>
              <w:top w:val="single" w:color="000000" w:sz="4" w:space="0"/>
              <w:left w:val="single" w:color="000000" w:sz="4" w:space="0"/>
              <w:bottom w:val="single" w:color="000000" w:sz="4" w:space="0"/>
              <w:right w:val="single" w:color="000000" w:sz="4" w:space="0"/>
            </w:tcBorders>
            <w:vAlign w:val="center"/>
          </w:tcPr>
          <w:p w14:paraId="2B483D3E">
            <w:pPr>
              <w:pStyle w:val="103"/>
              <w:widowControl w:val="0"/>
              <w:spacing w:beforeLines="0" w:beforeAutospacing="0" w:afterLines="0" w:afterAutospacing="0" w:line="360" w:lineRule="auto"/>
              <w:jc w:val="center"/>
              <w:rPr>
                <w:rFonts w:ascii="黑体" w:hAnsi="黑体" w:eastAsia="黑体" w:cs="黑体"/>
                <w:b/>
                <w:color w:val="auto"/>
                <w:sz w:val="24"/>
                <w:szCs w:val="24"/>
              </w:rPr>
            </w:pPr>
            <w:r>
              <w:rPr>
                <w:rFonts w:ascii="黑体" w:hAnsi="黑体" w:eastAsia="黑体" w:cs="黑体"/>
                <w:b/>
                <w:color w:val="auto"/>
                <w:kern w:val="0"/>
                <w:sz w:val="24"/>
                <w:szCs w:val="24"/>
              </w:rPr>
              <w:t>是否接受退休人员</w:t>
            </w:r>
          </w:p>
        </w:tc>
        <w:tc>
          <w:tcPr>
            <w:tcW w:w="2433" w:type="dxa"/>
            <w:tcBorders>
              <w:top w:val="single" w:color="000000" w:sz="4" w:space="0"/>
              <w:left w:val="single" w:color="000000" w:sz="4" w:space="0"/>
              <w:bottom w:val="single" w:color="000000" w:sz="4" w:space="0"/>
              <w:right w:val="single" w:color="000000" w:sz="4" w:space="0"/>
            </w:tcBorders>
            <w:vAlign w:val="center"/>
          </w:tcPr>
          <w:p w14:paraId="3B65C077">
            <w:pPr>
              <w:pStyle w:val="103"/>
              <w:widowControl w:val="0"/>
              <w:spacing w:beforeLines="0" w:beforeAutospacing="0" w:afterLines="0" w:afterAutospacing="0" w:line="360" w:lineRule="auto"/>
              <w:jc w:val="center"/>
              <w:rPr>
                <w:rFonts w:ascii="黑体" w:hAnsi="黑体" w:eastAsia="黑体" w:cs="黑体"/>
                <w:b/>
                <w:color w:val="auto"/>
                <w:sz w:val="24"/>
                <w:szCs w:val="24"/>
              </w:rPr>
            </w:pPr>
            <w:r>
              <w:rPr>
                <w:rFonts w:ascii="黑体" w:hAnsi="黑体" w:eastAsia="黑体" w:cs="黑体"/>
                <w:b/>
                <w:color w:val="auto"/>
                <w:kern w:val="0"/>
                <w:sz w:val="24"/>
                <w:szCs w:val="24"/>
              </w:rPr>
              <w:t>工作时间</w:t>
            </w:r>
          </w:p>
        </w:tc>
      </w:tr>
      <w:tr w14:paraId="6EB5070B">
        <w:tblPrEx>
          <w:tblCellMar>
            <w:top w:w="0" w:type="dxa"/>
            <w:left w:w="108" w:type="dxa"/>
            <w:bottom w:w="0" w:type="dxa"/>
            <w:right w:w="108" w:type="dxa"/>
          </w:tblCellMar>
        </w:tblPrEx>
        <w:trPr>
          <w:jc w:val="center"/>
        </w:trPr>
        <w:tc>
          <w:tcPr>
            <w:tcW w:w="690" w:type="dxa"/>
            <w:tcBorders>
              <w:top w:val="single" w:color="000000" w:sz="4" w:space="0"/>
              <w:left w:val="single" w:color="000000" w:sz="4" w:space="0"/>
              <w:bottom w:val="single" w:color="000000" w:sz="4" w:space="0"/>
              <w:right w:val="single" w:color="000000" w:sz="4" w:space="0"/>
            </w:tcBorders>
            <w:vAlign w:val="center"/>
          </w:tcPr>
          <w:p w14:paraId="098B4F8C">
            <w:pPr>
              <w:pStyle w:val="103"/>
              <w:widowControl w:val="0"/>
              <w:spacing w:beforeLines="0" w:beforeAutospacing="0" w:afterLines="0" w:afterAutospacing="0" w:line="360" w:lineRule="auto"/>
              <w:jc w:val="center"/>
              <w:rPr>
                <w:rFonts w:ascii="黑体" w:hAnsi="黑体" w:eastAsia="黑体" w:cs="黑体"/>
                <w:color w:val="auto"/>
                <w:sz w:val="24"/>
                <w:szCs w:val="24"/>
              </w:rPr>
            </w:pPr>
            <w:r>
              <w:rPr>
                <w:rFonts w:ascii="黑体" w:hAnsi="黑体" w:eastAsia="黑体" w:cs="黑体"/>
                <w:color w:val="auto"/>
                <w:kern w:val="0"/>
                <w:sz w:val="24"/>
                <w:szCs w:val="24"/>
              </w:rPr>
              <w:t>1</w:t>
            </w:r>
          </w:p>
        </w:tc>
        <w:tc>
          <w:tcPr>
            <w:tcW w:w="1154" w:type="dxa"/>
            <w:tcBorders>
              <w:top w:val="single" w:color="000000" w:sz="4" w:space="0"/>
              <w:left w:val="single" w:color="000000" w:sz="4" w:space="0"/>
              <w:bottom w:val="single" w:color="000000" w:sz="4" w:space="0"/>
              <w:right w:val="single" w:color="000000" w:sz="4" w:space="0"/>
            </w:tcBorders>
            <w:vAlign w:val="center"/>
          </w:tcPr>
          <w:p w14:paraId="03C22244">
            <w:pPr>
              <w:pStyle w:val="103"/>
              <w:widowControl w:val="0"/>
              <w:spacing w:beforeLines="0" w:beforeAutospacing="0" w:afterLines="0" w:afterAutospacing="0" w:line="360" w:lineRule="auto"/>
              <w:jc w:val="left"/>
              <w:rPr>
                <w:rFonts w:ascii="黑体" w:hAnsi="黑体" w:eastAsia="黑体" w:cs="黑体"/>
                <w:color w:val="auto"/>
                <w:sz w:val="24"/>
                <w:szCs w:val="24"/>
              </w:rPr>
            </w:pPr>
            <w:r>
              <w:rPr>
                <w:rFonts w:ascii="黑体" w:hAnsi="黑体" w:eastAsia="黑体" w:cs="黑体"/>
                <w:color w:val="auto"/>
                <w:kern w:val="0"/>
                <w:sz w:val="24"/>
                <w:szCs w:val="24"/>
              </w:rPr>
              <w:t>保安队长</w:t>
            </w:r>
          </w:p>
        </w:tc>
        <w:tc>
          <w:tcPr>
            <w:tcW w:w="850" w:type="dxa"/>
            <w:tcBorders>
              <w:top w:val="single" w:color="000000" w:sz="4" w:space="0"/>
              <w:left w:val="single" w:color="000000" w:sz="4" w:space="0"/>
              <w:bottom w:val="single" w:color="000000" w:sz="4" w:space="0"/>
              <w:right w:val="single" w:color="000000" w:sz="4" w:space="0"/>
            </w:tcBorders>
            <w:vAlign w:val="center"/>
          </w:tcPr>
          <w:p w14:paraId="537EFEF9">
            <w:pPr>
              <w:pStyle w:val="103"/>
              <w:widowControl w:val="0"/>
              <w:spacing w:beforeLines="0" w:beforeAutospacing="0" w:afterLines="0" w:afterAutospacing="0" w:line="360" w:lineRule="auto"/>
              <w:jc w:val="left"/>
              <w:rPr>
                <w:rFonts w:ascii="黑体" w:hAnsi="黑体" w:eastAsia="黑体" w:cs="黑体"/>
                <w:color w:val="auto"/>
                <w:sz w:val="24"/>
                <w:szCs w:val="24"/>
              </w:rPr>
            </w:pPr>
            <w:r>
              <w:rPr>
                <w:rFonts w:ascii="黑体" w:hAnsi="黑体" w:eastAsia="黑体" w:cs="黑体"/>
                <w:color w:val="auto"/>
                <w:kern w:val="0"/>
                <w:sz w:val="24"/>
                <w:szCs w:val="24"/>
              </w:rPr>
              <w:t>1名</w:t>
            </w:r>
          </w:p>
        </w:tc>
        <w:tc>
          <w:tcPr>
            <w:tcW w:w="3258" w:type="dxa"/>
            <w:tcBorders>
              <w:top w:val="single" w:color="000000" w:sz="4" w:space="0"/>
              <w:left w:val="single" w:color="000000" w:sz="4" w:space="0"/>
              <w:bottom w:val="single" w:color="000000" w:sz="4" w:space="0"/>
              <w:right w:val="single" w:color="000000" w:sz="4" w:space="0"/>
            </w:tcBorders>
            <w:vAlign w:val="center"/>
          </w:tcPr>
          <w:p w14:paraId="70455799">
            <w:pPr>
              <w:pStyle w:val="103"/>
              <w:widowControl w:val="0"/>
              <w:autoSpaceDN w:val="0"/>
              <w:spacing w:beforeLines="0" w:beforeAutospacing="0" w:afterLines="0" w:afterAutospacing="0" w:line="360" w:lineRule="auto"/>
              <w:jc w:val="left"/>
              <w:rPr>
                <w:rFonts w:ascii="黑体" w:hAnsi="黑体" w:eastAsia="黑体" w:cs="黑体"/>
                <w:bCs/>
                <w:color w:val="auto"/>
                <w:sz w:val="24"/>
                <w:szCs w:val="24"/>
                <w:lang w:eastAsia="zh-CN"/>
              </w:rPr>
            </w:pPr>
            <w:r>
              <w:rPr>
                <w:rFonts w:ascii="黑体" w:hAnsi="黑体" w:eastAsia="黑体" w:cs="黑体"/>
                <w:b/>
                <w:bCs/>
                <w:color w:val="auto"/>
                <w:kern w:val="0"/>
                <w:sz w:val="24"/>
                <w:szCs w:val="24"/>
                <w:lang w:eastAsia="zh-CN"/>
              </w:rPr>
              <w:t>✮</w:t>
            </w:r>
            <w:r>
              <w:rPr>
                <w:rFonts w:ascii="黑体" w:hAnsi="黑体" w:eastAsia="黑体" w:cs="黑体"/>
                <w:b w:val="0"/>
                <w:bCs w:val="0"/>
                <w:color w:val="auto"/>
                <w:kern w:val="0"/>
                <w:sz w:val="24"/>
                <w:szCs w:val="24"/>
                <w:lang w:val="en-US" w:eastAsia="zh-CN"/>
              </w:rPr>
              <w:t>55</w:t>
            </w:r>
            <w:r>
              <w:rPr>
                <w:rFonts w:ascii="黑体" w:hAnsi="黑体" w:eastAsia="黑体" w:cs="黑体"/>
                <w:b w:val="0"/>
                <w:bCs w:val="0"/>
                <w:color w:val="auto"/>
                <w:kern w:val="0"/>
                <w:sz w:val="24"/>
                <w:szCs w:val="24"/>
                <w:lang w:eastAsia="zh-CN"/>
              </w:rPr>
              <w:t>岁</w:t>
            </w:r>
            <w:r>
              <w:rPr>
                <w:rFonts w:ascii="黑体" w:hAnsi="黑体" w:eastAsia="黑体" w:cs="黑体"/>
                <w:b w:val="0"/>
                <w:bCs w:val="0"/>
                <w:color w:val="auto"/>
                <w:kern w:val="0"/>
                <w:sz w:val="24"/>
                <w:szCs w:val="24"/>
                <w:lang w:val="en-US" w:eastAsia="zh-CN"/>
              </w:rPr>
              <w:t>以下</w:t>
            </w:r>
            <w:r>
              <w:rPr>
                <w:rFonts w:ascii="黑体" w:hAnsi="黑体" w:eastAsia="黑体" w:cs="黑体"/>
                <w:b w:val="0"/>
                <w:bCs w:val="0"/>
                <w:color w:val="auto"/>
                <w:kern w:val="0"/>
                <w:sz w:val="24"/>
                <w:szCs w:val="24"/>
                <w:lang w:eastAsia="zh-CN"/>
              </w:rPr>
              <w:t>，男性，五官端正，身体健康，身高1.70米以上，</w:t>
            </w:r>
            <w:r>
              <w:rPr>
                <w:rFonts w:ascii="黑体" w:hAnsi="黑体" w:eastAsia="黑体" w:cs="黑体"/>
                <w:bCs/>
                <w:color w:val="auto"/>
                <w:kern w:val="0"/>
                <w:sz w:val="24"/>
                <w:szCs w:val="24"/>
                <w:lang w:val="en-US" w:eastAsia="zh-CN"/>
              </w:rPr>
              <w:t>须</w:t>
            </w:r>
            <w:r>
              <w:rPr>
                <w:rFonts w:ascii="黑体" w:hAnsi="黑体" w:eastAsia="黑体" w:cs="黑体"/>
                <w:bCs/>
                <w:color w:val="auto"/>
                <w:kern w:val="0"/>
                <w:sz w:val="24"/>
                <w:szCs w:val="24"/>
              </w:rPr>
              <w:t>具备大专（或以上）学历，具有3年以上保安管理工作经验，须持《职业资格证书（保安师）》（国家职业资格二级）证书上岗</w:t>
            </w:r>
          </w:p>
        </w:tc>
        <w:tc>
          <w:tcPr>
            <w:tcW w:w="1134" w:type="dxa"/>
            <w:tcBorders>
              <w:top w:val="single" w:color="000000" w:sz="4" w:space="0"/>
              <w:left w:val="single" w:color="000000" w:sz="4" w:space="0"/>
              <w:bottom w:val="single" w:color="000000" w:sz="4" w:space="0"/>
              <w:right w:val="single" w:color="000000" w:sz="4" w:space="0"/>
            </w:tcBorders>
            <w:vAlign w:val="center"/>
          </w:tcPr>
          <w:p w14:paraId="6B4B9CED">
            <w:pPr>
              <w:pStyle w:val="103"/>
              <w:widowControl w:val="0"/>
              <w:spacing w:beforeLines="0" w:beforeAutospacing="0" w:afterLines="0" w:afterAutospacing="0" w:line="360" w:lineRule="auto"/>
              <w:jc w:val="center"/>
              <w:rPr>
                <w:rFonts w:ascii="黑体" w:hAnsi="黑体" w:eastAsia="黑体" w:cs="黑体"/>
                <w:color w:val="auto"/>
                <w:sz w:val="24"/>
                <w:szCs w:val="24"/>
              </w:rPr>
            </w:pPr>
            <w:r>
              <w:rPr>
                <w:rFonts w:ascii="黑体" w:hAnsi="黑体" w:eastAsia="黑体" w:cs="黑体"/>
                <w:color w:val="auto"/>
                <w:kern w:val="0"/>
                <w:sz w:val="24"/>
                <w:szCs w:val="24"/>
              </w:rPr>
              <w:t>否</w:t>
            </w:r>
          </w:p>
        </w:tc>
        <w:tc>
          <w:tcPr>
            <w:tcW w:w="2433" w:type="dxa"/>
            <w:tcBorders>
              <w:top w:val="single" w:color="000000" w:sz="4" w:space="0"/>
              <w:left w:val="single" w:color="000000" w:sz="4" w:space="0"/>
              <w:bottom w:val="single" w:color="000000" w:sz="4" w:space="0"/>
              <w:right w:val="single" w:color="000000" w:sz="4" w:space="0"/>
            </w:tcBorders>
            <w:vAlign w:val="center"/>
          </w:tcPr>
          <w:p w14:paraId="14F3E99C">
            <w:pPr>
              <w:pStyle w:val="103"/>
              <w:widowControl w:val="0"/>
              <w:spacing w:beforeLines="0" w:beforeAutospacing="0" w:afterLines="0" w:afterAutospacing="0" w:line="360" w:lineRule="auto"/>
              <w:jc w:val="center"/>
              <w:rPr>
                <w:rFonts w:ascii="黑体" w:hAnsi="黑体" w:eastAsia="黑体" w:cs="黑体"/>
                <w:color w:val="auto"/>
                <w:sz w:val="24"/>
                <w:szCs w:val="24"/>
              </w:rPr>
            </w:pPr>
            <w:r>
              <w:rPr>
                <w:rFonts w:ascii="黑体" w:hAnsi="黑体" w:eastAsia="黑体" w:cs="黑体"/>
                <w:color w:val="auto"/>
                <w:kern w:val="0"/>
                <w:sz w:val="24"/>
                <w:szCs w:val="24"/>
              </w:rPr>
              <w:t>8小时，每周5天工作日。</w:t>
            </w:r>
          </w:p>
        </w:tc>
      </w:tr>
      <w:tr w14:paraId="71CA507B">
        <w:tblPrEx>
          <w:tblCellMar>
            <w:top w:w="0" w:type="dxa"/>
            <w:left w:w="108" w:type="dxa"/>
            <w:bottom w:w="0" w:type="dxa"/>
            <w:right w:w="108" w:type="dxa"/>
          </w:tblCellMar>
        </w:tblPrEx>
        <w:trPr>
          <w:jc w:val="center"/>
        </w:trPr>
        <w:tc>
          <w:tcPr>
            <w:tcW w:w="690" w:type="dxa"/>
            <w:tcBorders>
              <w:top w:val="single" w:color="000000" w:sz="4" w:space="0"/>
              <w:left w:val="single" w:color="000000" w:sz="4" w:space="0"/>
              <w:bottom w:val="single" w:color="000000" w:sz="4" w:space="0"/>
              <w:right w:val="single" w:color="000000" w:sz="4" w:space="0"/>
            </w:tcBorders>
            <w:vAlign w:val="center"/>
          </w:tcPr>
          <w:p w14:paraId="1E652FE3">
            <w:pPr>
              <w:pStyle w:val="103"/>
              <w:widowControl w:val="0"/>
              <w:spacing w:beforeLines="0" w:beforeAutospacing="0" w:afterLines="0" w:afterAutospacing="0" w:line="360" w:lineRule="auto"/>
              <w:jc w:val="center"/>
              <w:rPr>
                <w:rFonts w:ascii="黑体" w:hAnsi="黑体" w:eastAsia="黑体" w:cs="黑体"/>
                <w:color w:val="auto"/>
                <w:sz w:val="24"/>
                <w:szCs w:val="24"/>
              </w:rPr>
            </w:pPr>
            <w:r>
              <w:rPr>
                <w:rFonts w:ascii="黑体" w:hAnsi="黑体" w:eastAsia="黑体" w:cs="黑体"/>
                <w:color w:val="auto"/>
                <w:kern w:val="0"/>
                <w:sz w:val="24"/>
                <w:szCs w:val="24"/>
              </w:rPr>
              <w:t>2</w:t>
            </w:r>
          </w:p>
        </w:tc>
        <w:tc>
          <w:tcPr>
            <w:tcW w:w="1154" w:type="dxa"/>
            <w:tcBorders>
              <w:top w:val="single" w:color="000000" w:sz="4" w:space="0"/>
              <w:left w:val="single" w:color="000000" w:sz="4" w:space="0"/>
              <w:bottom w:val="single" w:color="000000" w:sz="4" w:space="0"/>
              <w:right w:val="single" w:color="000000" w:sz="4" w:space="0"/>
            </w:tcBorders>
            <w:vAlign w:val="center"/>
          </w:tcPr>
          <w:p w14:paraId="46A8B202">
            <w:pPr>
              <w:pStyle w:val="103"/>
              <w:widowControl w:val="0"/>
              <w:spacing w:beforeLines="0" w:beforeAutospacing="0" w:afterLines="0" w:afterAutospacing="0" w:line="360" w:lineRule="auto"/>
              <w:jc w:val="left"/>
              <w:rPr>
                <w:rFonts w:ascii="黑体" w:hAnsi="黑体" w:eastAsia="黑体" w:cs="黑体"/>
                <w:color w:val="auto"/>
                <w:sz w:val="24"/>
                <w:szCs w:val="24"/>
              </w:rPr>
            </w:pPr>
            <w:r>
              <w:rPr>
                <w:rFonts w:ascii="黑体" w:hAnsi="黑体" w:eastAsia="黑体" w:cs="黑体"/>
                <w:color w:val="auto"/>
                <w:kern w:val="0"/>
                <w:sz w:val="24"/>
                <w:szCs w:val="24"/>
              </w:rPr>
              <w:t>保安班长</w:t>
            </w:r>
          </w:p>
        </w:tc>
        <w:tc>
          <w:tcPr>
            <w:tcW w:w="850" w:type="dxa"/>
            <w:tcBorders>
              <w:top w:val="single" w:color="000000" w:sz="4" w:space="0"/>
              <w:left w:val="single" w:color="000000" w:sz="4" w:space="0"/>
              <w:bottom w:val="single" w:color="000000" w:sz="4" w:space="0"/>
              <w:right w:val="single" w:color="000000" w:sz="4" w:space="0"/>
            </w:tcBorders>
            <w:vAlign w:val="center"/>
          </w:tcPr>
          <w:p w14:paraId="660CECCC">
            <w:pPr>
              <w:pStyle w:val="103"/>
              <w:widowControl w:val="0"/>
              <w:spacing w:beforeLines="0" w:beforeAutospacing="0" w:afterLines="0" w:afterAutospacing="0" w:line="360" w:lineRule="auto"/>
              <w:jc w:val="left"/>
              <w:rPr>
                <w:rFonts w:ascii="黑体" w:hAnsi="黑体" w:eastAsia="黑体" w:cs="黑体"/>
                <w:color w:val="auto"/>
                <w:sz w:val="24"/>
                <w:szCs w:val="24"/>
              </w:rPr>
            </w:pPr>
            <w:r>
              <w:rPr>
                <w:rFonts w:ascii="黑体" w:hAnsi="黑体" w:eastAsia="黑体" w:cs="黑体"/>
                <w:color w:val="auto"/>
                <w:kern w:val="0"/>
                <w:sz w:val="24"/>
                <w:szCs w:val="24"/>
              </w:rPr>
              <w:t>2名</w:t>
            </w:r>
          </w:p>
        </w:tc>
        <w:tc>
          <w:tcPr>
            <w:tcW w:w="3258" w:type="dxa"/>
            <w:tcBorders>
              <w:top w:val="single" w:color="000000" w:sz="4" w:space="0"/>
              <w:left w:val="single" w:color="000000" w:sz="4" w:space="0"/>
              <w:bottom w:val="single" w:color="000000" w:sz="4" w:space="0"/>
              <w:right w:val="single" w:color="000000" w:sz="4" w:space="0"/>
            </w:tcBorders>
            <w:vAlign w:val="center"/>
          </w:tcPr>
          <w:p w14:paraId="6BAE8B34">
            <w:pPr>
              <w:pStyle w:val="103"/>
              <w:widowControl w:val="0"/>
              <w:autoSpaceDN w:val="0"/>
              <w:spacing w:beforeLines="0" w:beforeAutospacing="0" w:afterLines="0" w:afterAutospacing="0" w:line="360" w:lineRule="auto"/>
              <w:jc w:val="left"/>
              <w:rPr>
                <w:rFonts w:ascii="黑体" w:hAnsi="黑体" w:eastAsia="黑体" w:cs="黑体"/>
                <w:bCs/>
                <w:color w:val="auto"/>
                <w:sz w:val="24"/>
                <w:szCs w:val="24"/>
                <w:lang w:eastAsia="zh-CN"/>
              </w:rPr>
            </w:pPr>
            <w:r>
              <w:rPr>
                <w:rFonts w:ascii="黑体" w:hAnsi="黑体" w:eastAsia="黑体" w:cs="黑体"/>
                <w:color w:val="auto"/>
                <w:kern w:val="0"/>
                <w:sz w:val="24"/>
                <w:szCs w:val="24"/>
              </w:rPr>
              <w:t>20～45岁，男性，五官端正，身体健康，身高1.70米以上，初中以上（含初中）文化程度。持有公安部门核发的保安员证书</w:t>
            </w:r>
          </w:p>
        </w:tc>
        <w:tc>
          <w:tcPr>
            <w:tcW w:w="1134" w:type="dxa"/>
            <w:tcBorders>
              <w:top w:val="single" w:color="000000" w:sz="4" w:space="0"/>
              <w:left w:val="single" w:color="000000" w:sz="4" w:space="0"/>
              <w:bottom w:val="single" w:color="000000" w:sz="4" w:space="0"/>
              <w:right w:val="single" w:color="000000" w:sz="4" w:space="0"/>
            </w:tcBorders>
            <w:vAlign w:val="center"/>
          </w:tcPr>
          <w:p w14:paraId="6B6490D1">
            <w:pPr>
              <w:pStyle w:val="103"/>
              <w:widowControl w:val="0"/>
              <w:spacing w:beforeLines="0" w:beforeAutospacing="0" w:afterLines="0" w:afterAutospacing="0" w:line="360" w:lineRule="auto"/>
              <w:jc w:val="center"/>
              <w:rPr>
                <w:rFonts w:ascii="黑体" w:hAnsi="黑体" w:eastAsia="黑体" w:cs="黑体"/>
                <w:color w:val="auto"/>
                <w:sz w:val="24"/>
                <w:szCs w:val="24"/>
              </w:rPr>
            </w:pPr>
            <w:r>
              <w:rPr>
                <w:rFonts w:ascii="黑体" w:hAnsi="黑体" w:eastAsia="黑体" w:cs="黑体"/>
                <w:color w:val="auto"/>
                <w:kern w:val="0"/>
                <w:sz w:val="24"/>
                <w:szCs w:val="24"/>
              </w:rPr>
              <w:t>否</w:t>
            </w:r>
          </w:p>
        </w:tc>
        <w:tc>
          <w:tcPr>
            <w:tcW w:w="2433" w:type="dxa"/>
            <w:tcBorders>
              <w:top w:val="single" w:color="000000" w:sz="4" w:space="0"/>
              <w:left w:val="single" w:color="000000" w:sz="4" w:space="0"/>
              <w:bottom w:val="single" w:color="000000" w:sz="4" w:space="0"/>
              <w:right w:val="single" w:color="000000" w:sz="4" w:space="0"/>
            </w:tcBorders>
            <w:vAlign w:val="center"/>
          </w:tcPr>
          <w:p w14:paraId="74D77E65">
            <w:pPr>
              <w:pStyle w:val="103"/>
              <w:widowControl w:val="0"/>
              <w:spacing w:beforeLines="0" w:beforeAutospacing="0" w:afterLines="0" w:afterAutospacing="0" w:line="360" w:lineRule="auto"/>
              <w:jc w:val="center"/>
              <w:rPr>
                <w:rFonts w:ascii="黑体" w:hAnsi="黑体" w:eastAsia="黑体" w:cs="黑体"/>
                <w:color w:val="auto"/>
                <w:sz w:val="24"/>
                <w:szCs w:val="24"/>
              </w:rPr>
            </w:pPr>
            <w:r>
              <w:rPr>
                <w:rFonts w:ascii="黑体" w:hAnsi="黑体" w:eastAsia="黑体" w:cs="黑体"/>
                <w:color w:val="auto"/>
                <w:kern w:val="0"/>
                <w:sz w:val="24"/>
                <w:szCs w:val="24"/>
              </w:rPr>
              <w:t>8小时，每周5天工作日。</w:t>
            </w:r>
          </w:p>
        </w:tc>
      </w:tr>
      <w:tr w14:paraId="16867A0C">
        <w:tblPrEx>
          <w:tblCellMar>
            <w:top w:w="0" w:type="dxa"/>
            <w:left w:w="108" w:type="dxa"/>
            <w:bottom w:w="0" w:type="dxa"/>
            <w:right w:w="108" w:type="dxa"/>
          </w:tblCellMar>
        </w:tblPrEx>
        <w:trPr>
          <w:jc w:val="center"/>
        </w:trPr>
        <w:tc>
          <w:tcPr>
            <w:tcW w:w="690" w:type="dxa"/>
            <w:tcBorders>
              <w:top w:val="single" w:color="000000" w:sz="4" w:space="0"/>
              <w:left w:val="single" w:color="000000" w:sz="4" w:space="0"/>
              <w:bottom w:val="single" w:color="000000" w:sz="4" w:space="0"/>
              <w:right w:val="single" w:color="000000" w:sz="4" w:space="0"/>
            </w:tcBorders>
            <w:vAlign w:val="center"/>
          </w:tcPr>
          <w:p w14:paraId="209CD31E">
            <w:pPr>
              <w:pStyle w:val="103"/>
              <w:widowControl w:val="0"/>
              <w:spacing w:beforeLines="0" w:beforeAutospacing="0" w:afterLines="0" w:afterAutospacing="0" w:line="360" w:lineRule="auto"/>
              <w:jc w:val="center"/>
              <w:rPr>
                <w:rFonts w:ascii="黑体" w:hAnsi="黑体" w:eastAsia="黑体" w:cs="黑体"/>
                <w:color w:val="auto"/>
                <w:sz w:val="24"/>
                <w:szCs w:val="24"/>
              </w:rPr>
            </w:pPr>
            <w:r>
              <w:rPr>
                <w:rFonts w:ascii="黑体" w:hAnsi="黑体" w:eastAsia="黑体" w:cs="黑体"/>
                <w:color w:val="auto"/>
                <w:kern w:val="0"/>
                <w:sz w:val="24"/>
                <w:szCs w:val="24"/>
              </w:rPr>
              <w:t>3</w:t>
            </w:r>
          </w:p>
        </w:tc>
        <w:tc>
          <w:tcPr>
            <w:tcW w:w="1154" w:type="dxa"/>
            <w:tcBorders>
              <w:top w:val="single" w:color="000000" w:sz="4" w:space="0"/>
              <w:left w:val="single" w:color="000000" w:sz="4" w:space="0"/>
              <w:bottom w:val="single" w:color="000000" w:sz="4" w:space="0"/>
              <w:right w:val="single" w:color="000000" w:sz="4" w:space="0"/>
            </w:tcBorders>
            <w:vAlign w:val="center"/>
          </w:tcPr>
          <w:p w14:paraId="541C2AE3">
            <w:pPr>
              <w:pStyle w:val="103"/>
              <w:widowControl w:val="0"/>
              <w:spacing w:beforeLines="0" w:beforeAutospacing="0" w:afterLines="0" w:afterAutospacing="0" w:line="360" w:lineRule="auto"/>
              <w:jc w:val="left"/>
              <w:rPr>
                <w:rFonts w:ascii="黑体" w:hAnsi="黑体" w:eastAsia="黑体" w:cs="黑体"/>
                <w:color w:val="auto"/>
                <w:sz w:val="24"/>
                <w:szCs w:val="24"/>
              </w:rPr>
            </w:pPr>
            <w:r>
              <w:rPr>
                <w:rFonts w:ascii="黑体" w:hAnsi="黑体" w:eastAsia="黑体" w:cs="黑体"/>
                <w:color w:val="auto"/>
                <w:kern w:val="0"/>
                <w:sz w:val="24"/>
                <w:szCs w:val="24"/>
              </w:rPr>
              <w:t>巡逻员</w:t>
            </w:r>
          </w:p>
        </w:tc>
        <w:tc>
          <w:tcPr>
            <w:tcW w:w="850" w:type="dxa"/>
            <w:tcBorders>
              <w:top w:val="single" w:color="000000" w:sz="4" w:space="0"/>
              <w:left w:val="single" w:color="000000" w:sz="4" w:space="0"/>
              <w:bottom w:val="single" w:color="000000" w:sz="4" w:space="0"/>
              <w:right w:val="single" w:color="000000" w:sz="4" w:space="0"/>
            </w:tcBorders>
            <w:vAlign w:val="center"/>
          </w:tcPr>
          <w:p w14:paraId="74B8D8AC">
            <w:pPr>
              <w:pStyle w:val="103"/>
              <w:widowControl w:val="0"/>
              <w:spacing w:beforeLines="0" w:beforeAutospacing="0" w:afterLines="0" w:afterAutospacing="0" w:line="360" w:lineRule="auto"/>
              <w:jc w:val="left"/>
              <w:rPr>
                <w:rFonts w:ascii="黑体" w:hAnsi="黑体" w:eastAsia="黑体" w:cs="黑体"/>
                <w:color w:val="auto"/>
                <w:sz w:val="24"/>
                <w:szCs w:val="24"/>
              </w:rPr>
            </w:pPr>
            <w:r>
              <w:rPr>
                <w:rFonts w:ascii="黑体" w:hAnsi="黑体" w:eastAsia="黑体" w:cs="黑体"/>
                <w:color w:val="auto"/>
                <w:kern w:val="0"/>
                <w:sz w:val="24"/>
                <w:szCs w:val="24"/>
                <w:lang w:val="en-US" w:eastAsia="zh-CN"/>
              </w:rPr>
              <w:t>21</w:t>
            </w:r>
            <w:r>
              <w:rPr>
                <w:rFonts w:ascii="黑体" w:hAnsi="黑体" w:eastAsia="黑体" w:cs="黑体"/>
                <w:color w:val="auto"/>
                <w:kern w:val="0"/>
                <w:sz w:val="24"/>
                <w:szCs w:val="24"/>
              </w:rPr>
              <w:t>名</w:t>
            </w:r>
          </w:p>
        </w:tc>
        <w:tc>
          <w:tcPr>
            <w:tcW w:w="3258" w:type="dxa"/>
            <w:tcBorders>
              <w:top w:val="single" w:color="000000" w:sz="4" w:space="0"/>
              <w:left w:val="single" w:color="000000" w:sz="4" w:space="0"/>
              <w:bottom w:val="single" w:color="000000" w:sz="4" w:space="0"/>
              <w:right w:val="single" w:color="000000" w:sz="4" w:space="0"/>
            </w:tcBorders>
            <w:vAlign w:val="center"/>
          </w:tcPr>
          <w:p w14:paraId="4E5D58CC">
            <w:pPr>
              <w:pStyle w:val="103"/>
              <w:widowControl w:val="0"/>
              <w:autoSpaceDN w:val="0"/>
              <w:spacing w:beforeLines="0" w:beforeAutospacing="0" w:afterLines="0" w:afterAutospacing="0" w:line="360" w:lineRule="auto"/>
              <w:jc w:val="left"/>
              <w:rPr>
                <w:rFonts w:ascii="黑体" w:hAnsi="黑体" w:eastAsia="黑体" w:cs="黑体"/>
                <w:color w:val="auto"/>
                <w:sz w:val="24"/>
                <w:szCs w:val="24"/>
                <w:lang w:eastAsia="zh-CN"/>
              </w:rPr>
            </w:pPr>
            <w:r>
              <w:rPr>
                <w:rFonts w:ascii="黑体" w:hAnsi="黑体" w:eastAsia="黑体" w:cs="黑体"/>
                <w:color w:val="auto"/>
                <w:kern w:val="0"/>
                <w:sz w:val="24"/>
                <w:szCs w:val="24"/>
              </w:rPr>
              <w:t>20～45岁，男性，五官端正，身体健康，身高1.70米以上，初中以上（含初中）文化程度。持有公安部门核发的保安员证书</w:t>
            </w:r>
          </w:p>
        </w:tc>
        <w:tc>
          <w:tcPr>
            <w:tcW w:w="1134" w:type="dxa"/>
            <w:tcBorders>
              <w:top w:val="single" w:color="000000" w:sz="4" w:space="0"/>
              <w:left w:val="single" w:color="000000" w:sz="4" w:space="0"/>
              <w:bottom w:val="single" w:color="000000" w:sz="4" w:space="0"/>
              <w:right w:val="single" w:color="000000" w:sz="4" w:space="0"/>
            </w:tcBorders>
            <w:vAlign w:val="center"/>
          </w:tcPr>
          <w:p w14:paraId="1A027DFE">
            <w:pPr>
              <w:pStyle w:val="103"/>
              <w:widowControl w:val="0"/>
              <w:spacing w:beforeLines="0" w:beforeAutospacing="0" w:afterLines="0" w:afterAutospacing="0" w:line="360" w:lineRule="auto"/>
              <w:jc w:val="center"/>
              <w:rPr>
                <w:rFonts w:ascii="黑体" w:hAnsi="黑体" w:eastAsia="黑体" w:cs="黑体"/>
                <w:color w:val="auto"/>
                <w:sz w:val="24"/>
                <w:szCs w:val="24"/>
              </w:rPr>
            </w:pPr>
            <w:r>
              <w:rPr>
                <w:rFonts w:ascii="黑体" w:hAnsi="黑体" w:eastAsia="黑体" w:cs="黑体"/>
                <w:color w:val="auto"/>
                <w:kern w:val="0"/>
                <w:sz w:val="24"/>
                <w:szCs w:val="24"/>
              </w:rPr>
              <w:t>否</w:t>
            </w:r>
          </w:p>
        </w:tc>
        <w:tc>
          <w:tcPr>
            <w:tcW w:w="2433" w:type="dxa"/>
            <w:tcBorders>
              <w:top w:val="single" w:color="000000" w:sz="4" w:space="0"/>
              <w:left w:val="single" w:color="000000" w:sz="4" w:space="0"/>
              <w:bottom w:val="single" w:color="000000" w:sz="4" w:space="0"/>
              <w:right w:val="single" w:color="000000" w:sz="4" w:space="0"/>
            </w:tcBorders>
            <w:vAlign w:val="center"/>
          </w:tcPr>
          <w:p w14:paraId="2374100E">
            <w:pPr>
              <w:pStyle w:val="103"/>
              <w:widowControl w:val="0"/>
              <w:spacing w:beforeLines="0" w:beforeAutospacing="0" w:afterLines="0" w:afterAutospacing="0" w:line="360" w:lineRule="auto"/>
              <w:jc w:val="left"/>
              <w:rPr>
                <w:rFonts w:ascii="黑体" w:hAnsi="黑体" w:eastAsia="黑体" w:cs="黑体"/>
                <w:color w:val="auto"/>
                <w:sz w:val="24"/>
                <w:szCs w:val="24"/>
              </w:rPr>
            </w:pPr>
            <w:r>
              <w:rPr>
                <w:rFonts w:ascii="黑体" w:hAnsi="黑体" w:eastAsia="黑体" w:cs="黑体"/>
                <w:color w:val="auto"/>
                <w:kern w:val="0"/>
                <w:sz w:val="24"/>
                <w:szCs w:val="24"/>
              </w:rPr>
              <w:t>8小时，每周5天工作日。</w:t>
            </w:r>
          </w:p>
        </w:tc>
      </w:tr>
      <w:tr w14:paraId="534CB8E9">
        <w:tblPrEx>
          <w:tblCellMar>
            <w:top w:w="0" w:type="dxa"/>
            <w:left w:w="108" w:type="dxa"/>
            <w:bottom w:w="0" w:type="dxa"/>
            <w:right w:w="108" w:type="dxa"/>
          </w:tblCellMar>
        </w:tblPrEx>
        <w:trPr>
          <w:jc w:val="center"/>
        </w:trPr>
        <w:tc>
          <w:tcPr>
            <w:tcW w:w="1844" w:type="dxa"/>
            <w:gridSpan w:val="2"/>
            <w:tcBorders>
              <w:top w:val="single" w:color="000000" w:sz="4" w:space="0"/>
              <w:left w:val="single" w:color="000000" w:sz="4" w:space="0"/>
              <w:bottom w:val="single" w:color="000000" w:sz="4" w:space="0"/>
              <w:right w:val="single" w:color="000000" w:sz="4" w:space="0"/>
            </w:tcBorders>
            <w:vAlign w:val="center"/>
          </w:tcPr>
          <w:p w14:paraId="7CBDE1F7">
            <w:pPr>
              <w:pStyle w:val="103"/>
              <w:widowControl w:val="0"/>
              <w:spacing w:beforeLines="0" w:beforeAutospacing="0" w:afterLines="0" w:afterAutospacing="0" w:line="360" w:lineRule="auto"/>
              <w:jc w:val="center"/>
              <w:rPr>
                <w:rFonts w:ascii="黑体" w:hAnsi="黑体" w:eastAsia="黑体" w:cs="黑体"/>
                <w:color w:val="auto"/>
                <w:sz w:val="24"/>
                <w:szCs w:val="24"/>
              </w:rPr>
            </w:pPr>
            <w:r>
              <w:rPr>
                <w:rFonts w:ascii="黑体" w:hAnsi="黑体" w:eastAsia="黑体" w:cs="黑体"/>
                <w:color w:val="auto"/>
                <w:kern w:val="0"/>
                <w:sz w:val="24"/>
                <w:szCs w:val="24"/>
              </w:rPr>
              <w:t>合计人数</w:t>
            </w:r>
          </w:p>
        </w:tc>
        <w:tc>
          <w:tcPr>
            <w:tcW w:w="7675" w:type="dxa"/>
            <w:gridSpan w:val="4"/>
            <w:tcBorders>
              <w:top w:val="single" w:color="000000" w:sz="4" w:space="0"/>
              <w:left w:val="single" w:color="000000" w:sz="4" w:space="0"/>
              <w:bottom w:val="single" w:color="000000" w:sz="4" w:space="0"/>
              <w:right w:val="single" w:color="000000" w:sz="4" w:space="0"/>
            </w:tcBorders>
            <w:vAlign w:val="center"/>
          </w:tcPr>
          <w:p w14:paraId="718F1AB5">
            <w:pPr>
              <w:pStyle w:val="103"/>
              <w:widowControl w:val="0"/>
              <w:spacing w:beforeLines="0" w:beforeAutospacing="0" w:afterLines="0" w:afterAutospacing="0" w:line="360" w:lineRule="auto"/>
              <w:jc w:val="center"/>
              <w:rPr>
                <w:rFonts w:ascii="黑体" w:hAnsi="黑体" w:eastAsia="黑体" w:cs="黑体"/>
                <w:color w:val="auto"/>
                <w:sz w:val="24"/>
                <w:szCs w:val="24"/>
              </w:rPr>
            </w:pPr>
            <w:r>
              <w:rPr>
                <w:rFonts w:ascii="黑体" w:hAnsi="黑体" w:eastAsia="黑体" w:cs="黑体"/>
                <w:color w:val="auto"/>
                <w:kern w:val="0"/>
                <w:sz w:val="24"/>
                <w:szCs w:val="24"/>
              </w:rPr>
              <w:t>2</w:t>
            </w:r>
            <w:r>
              <w:rPr>
                <w:rFonts w:ascii="黑体" w:hAnsi="黑体" w:eastAsia="黑体" w:cs="黑体"/>
                <w:color w:val="auto"/>
                <w:kern w:val="0"/>
                <w:sz w:val="24"/>
                <w:szCs w:val="24"/>
                <w:lang w:val="en-US" w:eastAsia="zh-CN"/>
              </w:rPr>
              <w:t>4</w:t>
            </w:r>
            <w:r>
              <w:rPr>
                <w:rFonts w:ascii="黑体" w:hAnsi="黑体" w:eastAsia="黑体" w:cs="黑体"/>
                <w:color w:val="auto"/>
                <w:kern w:val="0"/>
                <w:sz w:val="24"/>
                <w:szCs w:val="24"/>
              </w:rPr>
              <w:t>人</w:t>
            </w:r>
          </w:p>
        </w:tc>
      </w:tr>
    </w:tbl>
    <w:p w14:paraId="5F2D2535">
      <w:pPr>
        <w:pStyle w:val="104"/>
        <w:rPr>
          <w:color w:val="auto"/>
        </w:rPr>
      </w:pPr>
    </w:p>
    <w:p w14:paraId="0504C172">
      <w:pPr>
        <w:pStyle w:val="103"/>
        <w:spacing w:line="360" w:lineRule="auto"/>
        <w:ind w:firstLine="482" w:firstLineChars="200"/>
        <w:jc w:val="left"/>
        <w:rPr>
          <w:rFonts w:ascii="黑体" w:hAnsi="黑体" w:eastAsia="黑体" w:cs="黑体"/>
          <w:b/>
          <w:color w:val="auto"/>
          <w:sz w:val="24"/>
          <w:szCs w:val="24"/>
        </w:rPr>
      </w:pPr>
      <w:r>
        <w:rPr>
          <w:rFonts w:ascii="黑体" w:hAnsi="黑体" w:eastAsia="黑体" w:cs="黑体"/>
          <w:b/>
          <w:color w:val="auto"/>
          <w:sz w:val="24"/>
          <w:szCs w:val="24"/>
          <w:lang w:eastAsia="zh-CN"/>
        </w:rPr>
        <w:t>（</w:t>
      </w:r>
      <w:r>
        <w:rPr>
          <w:rFonts w:ascii="黑体" w:hAnsi="黑体" w:eastAsia="黑体" w:cs="黑体"/>
          <w:b/>
          <w:color w:val="auto"/>
          <w:sz w:val="24"/>
          <w:szCs w:val="24"/>
          <w:lang w:val="en-US" w:eastAsia="zh-CN"/>
        </w:rPr>
        <w:t>四）</w:t>
      </w:r>
      <w:r>
        <w:rPr>
          <w:rFonts w:ascii="黑体" w:hAnsi="黑体" w:eastAsia="黑体" w:cs="黑体"/>
          <w:b/>
          <w:color w:val="auto"/>
          <w:sz w:val="24"/>
          <w:szCs w:val="24"/>
        </w:rPr>
        <w:t>人员要求</w:t>
      </w:r>
    </w:p>
    <w:p w14:paraId="44C757EF">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rPr>
      </w:pPr>
      <w:r>
        <w:rPr>
          <w:rFonts w:ascii="黑体" w:hAnsi="黑体" w:eastAsia="黑体" w:cs="黑体"/>
          <w:b w:val="0"/>
          <w:bCs/>
          <w:color w:val="auto"/>
          <w:sz w:val="24"/>
          <w:szCs w:val="24"/>
        </w:rPr>
        <w:t>1</w:t>
      </w:r>
      <w:r>
        <w:rPr>
          <w:rFonts w:ascii="黑体" w:hAnsi="黑体" w:eastAsia="黑体" w:cs="黑体"/>
          <w:b w:val="0"/>
          <w:bCs/>
          <w:color w:val="auto"/>
          <w:sz w:val="24"/>
          <w:szCs w:val="24"/>
          <w:lang w:eastAsia="zh-CN"/>
        </w:rPr>
        <w:t>、</w:t>
      </w:r>
      <w:r>
        <w:rPr>
          <w:rFonts w:ascii="黑体" w:hAnsi="黑体" w:eastAsia="黑体" w:cs="黑体"/>
          <w:b w:val="0"/>
          <w:bCs/>
          <w:color w:val="auto"/>
          <w:sz w:val="24"/>
          <w:szCs w:val="24"/>
        </w:rPr>
        <w:t>身高1.70米以上（含1.70米），身体健康的男性公民。</w:t>
      </w:r>
    </w:p>
    <w:p w14:paraId="247581D0">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rPr>
      </w:pPr>
      <w:r>
        <w:rPr>
          <w:rFonts w:ascii="黑体" w:hAnsi="黑体" w:eastAsia="黑体" w:cs="黑体"/>
          <w:b w:val="0"/>
          <w:bCs/>
          <w:color w:val="auto"/>
          <w:sz w:val="24"/>
          <w:szCs w:val="24"/>
        </w:rPr>
        <w:t>2</w:t>
      </w:r>
      <w:r>
        <w:rPr>
          <w:rFonts w:ascii="黑体" w:hAnsi="黑体" w:eastAsia="黑体" w:cs="黑体"/>
          <w:b w:val="0"/>
          <w:bCs/>
          <w:color w:val="auto"/>
          <w:sz w:val="24"/>
          <w:szCs w:val="24"/>
          <w:lang w:eastAsia="zh-CN"/>
        </w:rPr>
        <w:t>、</w:t>
      </w:r>
      <w:r>
        <w:rPr>
          <w:rFonts w:ascii="黑体" w:hAnsi="黑体" w:eastAsia="黑体" w:cs="黑体"/>
          <w:b w:val="0"/>
          <w:bCs/>
          <w:color w:val="auto"/>
          <w:sz w:val="24"/>
          <w:szCs w:val="24"/>
        </w:rPr>
        <w:t>保安服务人员应符合行业标准的要求，培训达标后持证上岗。</w:t>
      </w:r>
    </w:p>
    <w:p w14:paraId="327B004D">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rPr>
      </w:pPr>
      <w:r>
        <w:rPr>
          <w:rFonts w:ascii="黑体" w:hAnsi="黑体" w:eastAsia="黑体" w:cs="黑体"/>
          <w:b w:val="0"/>
          <w:bCs/>
          <w:color w:val="auto"/>
          <w:sz w:val="24"/>
          <w:szCs w:val="24"/>
        </w:rPr>
        <w:t>3</w:t>
      </w:r>
      <w:r>
        <w:rPr>
          <w:rFonts w:ascii="黑体" w:hAnsi="黑体" w:eastAsia="黑体" w:cs="黑体"/>
          <w:b w:val="0"/>
          <w:bCs/>
          <w:color w:val="auto"/>
          <w:sz w:val="24"/>
          <w:szCs w:val="24"/>
          <w:lang w:eastAsia="zh-CN"/>
        </w:rPr>
        <w:t>、</w:t>
      </w:r>
      <w:r>
        <w:rPr>
          <w:rFonts w:ascii="黑体" w:hAnsi="黑体" w:eastAsia="黑体" w:cs="黑体"/>
          <w:b w:val="0"/>
          <w:bCs/>
          <w:color w:val="auto"/>
          <w:sz w:val="24"/>
          <w:szCs w:val="24"/>
        </w:rPr>
        <w:t>无政治历史问题、品行端正、思想作风正派、无违法犯罪记录。</w:t>
      </w:r>
    </w:p>
    <w:p w14:paraId="22D3C503">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lang w:eastAsia="zh-CN"/>
        </w:rPr>
      </w:pPr>
      <w:r>
        <w:rPr>
          <w:rFonts w:ascii="黑体" w:hAnsi="黑体" w:eastAsia="黑体" w:cs="黑体"/>
          <w:b w:val="0"/>
          <w:bCs/>
          <w:color w:val="auto"/>
          <w:sz w:val="24"/>
          <w:szCs w:val="24"/>
          <w:lang w:eastAsia="zh-CN"/>
        </w:rPr>
        <w:t>4、遵纪守法观念强，自觉遵守甲、乙双方制定的各项规章制度。</w:t>
      </w:r>
    </w:p>
    <w:p w14:paraId="77CF1F9C">
      <w:pPr>
        <w:pStyle w:val="103"/>
        <w:spacing w:line="360" w:lineRule="auto"/>
        <w:ind w:firstLine="482" w:firstLineChars="200"/>
        <w:jc w:val="left"/>
        <w:rPr>
          <w:rFonts w:ascii="黑体" w:hAnsi="黑体" w:eastAsia="黑体" w:cs="黑体"/>
          <w:b w:val="0"/>
          <w:bCs/>
          <w:color w:val="auto"/>
          <w:sz w:val="24"/>
          <w:szCs w:val="24"/>
          <w:lang w:val="en-US" w:eastAsia="zh-CN"/>
        </w:rPr>
      </w:pPr>
      <w:r>
        <w:rPr>
          <w:rFonts w:ascii="黑体" w:hAnsi="黑体" w:eastAsia="黑体" w:cs="黑体"/>
          <w:b/>
          <w:bCs w:val="0"/>
          <w:color w:val="auto"/>
          <w:sz w:val="24"/>
          <w:szCs w:val="24"/>
          <w:lang w:eastAsia="zh-CN"/>
        </w:rPr>
        <w:t>（</w:t>
      </w:r>
      <w:r>
        <w:rPr>
          <w:rFonts w:ascii="黑体" w:hAnsi="黑体" w:eastAsia="黑体" w:cs="黑体"/>
          <w:b/>
          <w:bCs w:val="0"/>
          <w:color w:val="auto"/>
          <w:sz w:val="24"/>
          <w:szCs w:val="24"/>
          <w:lang w:val="en-US" w:eastAsia="zh-CN"/>
        </w:rPr>
        <w:t>五）服务范围及工作职责</w:t>
      </w:r>
    </w:p>
    <w:p w14:paraId="1EB84C38">
      <w:pPr>
        <w:pStyle w:val="103"/>
        <w:spacing w:line="360" w:lineRule="auto"/>
        <w:ind w:firstLine="480" w:firstLineChars="200"/>
        <w:jc w:val="left"/>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1、工作范围：保安人员派驻西青区李七庄街管辖派出所，协助派出所警员进行出警、巡逻、办案等辅助工作。</w:t>
      </w:r>
    </w:p>
    <w:p w14:paraId="6D44527C">
      <w:pPr>
        <w:pStyle w:val="103"/>
        <w:spacing w:line="360" w:lineRule="auto"/>
        <w:ind w:firstLine="480" w:firstLineChars="200"/>
        <w:jc w:val="left"/>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2、工作职责：</w:t>
      </w:r>
    </w:p>
    <w:p w14:paraId="4EE5FB2B">
      <w:pPr>
        <w:pStyle w:val="103"/>
        <w:spacing w:line="360" w:lineRule="auto"/>
        <w:ind w:firstLine="480" w:firstLineChars="200"/>
        <w:jc w:val="left"/>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2.1、保安人员必须按照规定参加政治、业务学习培训，不断提高政治、业务素质，服从领导、听从指挥。</w:t>
      </w:r>
    </w:p>
    <w:p w14:paraId="636CD5AC">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2.2、在公安民警的带领下开展治安检查、治安巡逻、设卡守候、抓捕犯罪嫌疑人、稳控重点人等治安防范工作，预防制止各类违法犯罪活动。</w:t>
      </w:r>
    </w:p>
    <w:p w14:paraId="719A01DC">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2.3、协助公安派出所做好实有人口管理工作。协助检查和督促流动人口申报、登记、办证；协助检查和督促房屋出租户按规定出租房屋，按规定管理租住人员；协助和督促用工单位管理外来人务工人员。</w:t>
      </w:r>
    </w:p>
    <w:p w14:paraId="064FE573">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2.4、协助公安派出所进行法制和安全宣传教育，发动辖区单位和群众开展防盗、防破坏、防火、防治安灾害事故的“四防”等安全防范工作。</w:t>
      </w:r>
    </w:p>
    <w:p w14:paraId="325FEA15">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2.5、协助公安派出所维持大型现场秩序、协助盘查、堵控违法犯罪嫌疑的人员和物品。</w:t>
      </w:r>
    </w:p>
    <w:p w14:paraId="439B6248">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2.6、协助公安派出所维护社会治安秩序，参加抢险救灾工作，应对突发事件，保护公私财产安全和人民群众的人身安全。</w:t>
      </w:r>
    </w:p>
    <w:p w14:paraId="54DA7A93">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2.7、及时制服现行的违法犯罪嫌疑人并扭送公安机关处理；发现刑事、治安案件和治安灾害事故，立即组织保护现场，并迅速报告公安机关。</w:t>
      </w:r>
    </w:p>
    <w:p w14:paraId="27343CA8">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2.8、及时向公安机关反映社情民意、敌社情动态和可能造成危害社会治安的民间纠纷及闹事苗头，并协助做好管控、教育、疏导、化解工作。</w:t>
      </w:r>
    </w:p>
    <w:p w14:paraId="0959AC85">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2.9、深入群众之中，倾听群众意见，了解群众疾苦，尽力帮助群众排忧解难，切实做好群众工作。</w:t>
      </w:r>
    </w:p>
    <w:p w14:paraId="34FBE962">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2.10、接待群众热情周到，主动帮助群众解决求助事宜。</w:t>
      </w:r>
    </w:p>
    <w:p w14:paraId="0556F8B3">
      <w:pPr>
        <w:pStyle w:val="103"/>
        <w:keepNext w:val="0"/>
        <w:keepLines w:val="0"/>
        <w:pageBreakBefore w:val="0"/>
        <w:widowControl w:val="0"/>
        <w:kinsoku/>
        <w:overflowPunct/>
        <w:autoSpaceDE w:val="0"/>
        <w:autoSpaceDN w:val="0"/>
        <w:bidi w:val="0"/>
        <w:snapToGrid w:val="0"/>
        <w:spacing w:line="360" w:lineRule="auto"/>
        <w:ind w:firstLine="480" w:firstLineChars="200"/>
        <w:textAlignment w:val="auto"/>
        <w:rPr>
          <w:rFonts w:ascii="黑体" w:hAnsi="黑体" w:eastAsia="黑体" w:cs="黑体"/>
          <w:b w:val="0"/>
          <w:bCs/>
          <w:color w:val="auto"/>
          <w:sz w:val="24"/>
          <w:szCs w:val="24"/>
          <w:lang w:val="en-US" w:eastAsia="zh-CN"/>
        </w:rPr>
      </w:pPr>
      <w:r>
        <w:rPr>
          <w:rFonts w:ascii="黑体" w:hAnsi="黑体" w:eastAsia="黑体" w:cs="黑体"/>
          <w:b w:val="0"/>
          <w:bCs/>
          <w:color w:val="auto"/>
          <w:sz w:val="24"/>
          <w:szCs w:val="24"/>
          <w:lang w:val="en-US" w:eastAsia="zh-CN"/>
        </w:rPr>
        <w:t>2.11、完成公安机关布置的其它非法情辅助任务。</w:t>
      </w:r>
    </w:p>
    <w:p w14:paraId="7B1B0AF7">
      <w:pPr>
        <w:pStyle w:val="103"/>
        <w:keepNext w:val="0"/>
        <w:keepLines w:val="0"/>
        <w:pageBreakBefore w:val="0"/>
        <w:widowControl w:val="0"/>
        <w:kinsoku/>
        <w:overflowPunct/>
        <w:autoSpaceDE w:val="0"/>
        <w:autoSpaceDN w:val="0"/>
        <w:bidi w:val="0"/>
        <w:spacing w:line="360" w:lineRule="auto"/>
        <w:ind w:firstLine="482" w:firstLineChars="200"/>
        <w:textAlignment w:val="auto"/>
        <w:rPr>
          <w:rFonts w:ascii="黑体" w:hAnsi="黑体" w:eastAsia="黑体" w:cs="黑体"/>
          <w:b/>
          <w:color w:val="auto"/>
          <w:sz w:val="24"/>
          <w:szCs w:val="24"/>
        </w:rPr>
      </w:pPr>
      <w:r>
        <w:rPr>
          <w:rFonts w:ascii="黑体" w:hAnsi="黑体" w:eastAsia="黑体" w:cs="黑体"/>
          <w:b/>
          <w:color w:val="auto"/>
          <w:sz w:val="24"/>
          <w:szCs w:val="24"/>
          <w:lang w:eastAsia="zh-CN"/>
        </w:rPr>
        <w:t>（</w:t>
      </w:r>
      <w:r>
        <w:rPr>
          <w:rFonts w:ascii="黑体" w:hAnsi="黑体" w:eastAsia="黑体" w:cs="黑体"/>
          <w:b/>
          <w:color w:val="auto"/>
          <w:sz w:val="24"/>
          <w:szCs w:val="24"/>
          <w:lang w:val="en-US" w:eastAsia="zh-CN"/>
        </w:rPr>
        <w:t>六）</w:t>
      </w:r>
      <w:r>
        <w:rPr>
          <w:rFonts w:ascii="黑体" w:hAnsi="黑体" w:eastAsia="黑体" w:cs="黑体"/>
          <w:b/>
          <w:color w:val="auto"/>
          <w:sz w:val="24"/>
          <w:szCs w:val="24"/>
        </w:rPr>
        <w:t>项目管理要求</w:t>
      </w:r>
    </w:p>
    <w:p w14:paraId="75ADEB02">
      <w:pPr>
        <w:pStyle w:val="103"/>
        <w:keepNext w:val="0"/>
        <w:keepLines w:val="0"/>
        <w:pageBreakBefore w:val="0"/>
        <w:widowControl w:val="0"/>
        <w:numPr>
          <w:ilvl w:val="0"/>
          <w:numId w:val="0"/>
        </w:numPr>
        <w:kinsoku/>
        <w:overflowPunct/>
        <w:autoSpaceDE w:val="0"/>
        <w:autoSpaceDN w:val="0"/>
        <w:bidi w:val="0"/>
        <w:spacing w:line="360" w:lineRule="auto"/>
        <w:ind w:firstLine="480" w:firstLineChars="200"/>
        <w:textAlignment w:val="auto"/>
        <w:rPr>
          <w:rFonts w:ascii="黑体" w:hAnsi="黑体" w:eastAsia="黑体" w:cs="黑体"/>
          <w:color w:val="auto"/>
          <w:sz w:val="24"/>
          <w:szCs w:val="24"/>
        </w:rPr>
      </w:pPr>
      <w:r>
        <w:rPr>
          <w:rFonts w:ascii="黑体" w:hAnsi="黑体" w:eastAsia="黑体" w:cs="黑体"/>
          <w:color w:val="auto"/>
          <w:sz w:val="24"/>
          <w:szCs w:val="24"/>
        </w:rPr>
        <w:t>1、</w:t>
      </w:r>
      <w:r>
        <w:rPr>
          <w:rFonts w:ascii="黑体" w:hAnsi="黑体" w:eastAsia="黑体" w:cs="黑体"/>
          <w:color w:val="auto"/>
          <w:sz w:val="24"/>
          <w:szCs w:val="24"/>
          <w:lang w:val="en-US" w:eastAsia="zh-CN"/>
        </w:rPr>
        <w:t>供应商</w:t>
      </w:r>
      <w:r>
        <w:rPr>
          <w:rFonts w:ascii="黑体" w:hAnsi="黑体" w:eastAsia="黑体" w:cs="黑体"/>
          <w:color w:val="auto"/>
          <w:sz w:val="24"/>
          <w:szCs w:val="24"/>
        </w:rPr>
        <w:t>应根据</w:t>
      </w:r>
      <w:r>
        <w:rPr>
          <w:rFonts w:ascii="黑体" w:hAnsi="黑体" w:eastAsia="黑体" w:cs="黑体"/>
          <w:color w:val="auto"/>
          <w:sz w:val="24"/>
          <w:szCs w:val="24"/>
          <w:lang w:val="en-US" w:eastAsia="zh-CN"/>
        </w:rPr>
        <w:t>文件</w:t>
      </w:r>
      <w:r>
        <w:rPr>
          <w:rFonts w:ascii="黑体" w:hAnsi="黑体" w:eastAsia="黑体" w:cs="黑体"/>
          <w:color w:val="auto"/>
          <w:sz w:val="24"/>
          <w:szCs w:val="24"/>
        </w:rPr>
        <w:t>要求，在对</w:t>
      </w:r>
      <w:r>
        <w:rPr>
          <w:rFonts w:ascii="黑体" w:hAnsi="黑体" w:eastAsia="黑体" w:cs="黑体"/>
          <w:color w:val="auto"/>
          <w:sz w:val="24"/>
          <w:szCs w:val="24"/>
          <w:lang w:val="en-US" w:eastAsia="zh-CN"/>
        </w:rPr>
        <w:t>服务区域</w:t>
      </w:r>
      <w:r>
        <w:rPr>
          <w:rFonts w:ascii="黑体" w:hAnsi="黑体" w:eastAsia="黑体" w:cs="黑体"/>
          <w:color w:val="auto"/>
          <w:sz w:val="24"/>
          <w:szCs w:val="24"/>
        </w:rPr>
        <w:t>环境全面了解的情况下编制科学合理、切实可行的组织实施计划以及具体的保障措施、工作等程序。</w:t>
      </w:r>
      <w:r>
        <w:rPr>
          <w:rFonts w:ascii="黑体" w:hAnsi="黑体" w:eastAsia="黑体" w:cs="黑体"/>
          <w:color w:val="auto"/>
          <w:sz w:val="24"/>
          <w:szCs w:val="24"/>
          <w:lang w:val="en-US" w:eastAsia="zh-CN"/>
        </w:rPr>
        <w:t>供应商</w:t>
      </w:r>
      <w:r>
        <w:rPr>
          <w:rFonts w:ascii="黑体" w:hAnsi="黑体" w:eastAsia="黑体" w:cs="黑体"/>
          <w:color w:val="auto"/>
          <w:sz w:val="24"/>
          <w:szCs w:val="24"/>
        </w:rPr>
        <w:t>须依照现代企业制度，以合理的服务流程和服务人数、优良的服务质量、科学的物业养护、稳定的服务队伍、优惠的价格来制订详细的服务方案，充分体现自身的实力，发挥自身优势，提供全方位、一体化的专业服务保障，保证</w:t>
      </w:r>
      <w:r>
        <w:rPr>
          <w:rFonts w:ascii="黑体" w:hAnsi="黑体" w:eastAsia="黑体" w:cs="黑体"/>
          <w:color w:val="auto"/>
          <w:sz w:val="24"/>
          <w:szCs w:val="24"/>
          <w:lang w:val="en-US" w:eastAsia="zh-CN"/>
        </w:rPr>
        <w:t>服务区域内政府</w:t>
      </w:r>
      <w:r>
        <w:rPr>
          <w:rFonts w:ascii="黑体" w:hAnsi="黑体" w:eastAsia="黑体" w:cs="黑体"/>
          <w:color w:val="auto"/>
          <w:sz w:val="24"/>
          <w:szCs w:val="24"/>
        </w:rPr>
        <w:t>工作正常进行，各项重大活动顺利完成。</w:t>
      </w:r>
    </w:p>
    <w:p w14:paraId="7163D4EF">
      <w:pPr>
        <w:pStyle w:val="103"/>
        <w:keepNext w:val="0"/>
        <w:keepLines w:val="0"/>
        <w:pageBreakBefore w:val="0"/>
        <w:widowControl w:val="0"/>
        <w:numPr>
          <w:ilvl w:val="0"/>
          <w:numId w:val="0"/>
        </w:numPr>
        <w:kinsoku/>
        <w:overflowPunct/>
        <w:autoSpaceDE w:val="0"/>
        <w:autoSpaceDN w:val="0"/>
        <w:bidi w:val="0"/>
        <w:spacing w:line="360" w:lineRule="auto"/>
        <w:ind w:firstLine="480" w:firstLineChars="200"/>
        <w:textAlignment w:val="auto"/>
        <w:rPr>
          <w:rFonts w:ascii="黑体" w:hAnsi="黑体" w:eastAsia="黑体" w:cs="黑体"/>
          <w:color w:val="auto"/>
          <w:sz w:val="24"/>
          <w:szCs w:val="24"/>
          <w:lang w:val="en-US" w:eastAsia="zh-CN"/>
        </w:rPr>
      </w:pPr>
      <w:r>
        <w:rPr>
          <w:rFonts w:ascii="黑体" w:hAnsi="黑体" w:eastAsia="黑体" w:cs="黑体"/>
          <w:color w:val="auto"/>
          <w:sz w:val="24"/>
          <w:szCs w:val="24"/>
        </w:rPr>
        <w:t>2、中标供应商应制订详细的培训计划，对员工进行岗位培训、日常培训和文明礼仪培训，确保每个员工培训合格上岗</w:t>
      </w:r>
      <w:r>
        <w:rPr>
          <w:rFonts w:ascii="黑体" w:hAnsi="黑体" w:eastAsia="黑体" w:cs="黑体"/>
          <w:color w:val="auto"/>
          <w:sz w:val="24"/>
          <w:szCs w:val="24"/>
          <w:lang w:eastAsia="zh-CN"/>
        </w:rPr>
        <w:t>，</w:t>
      </w:r>
      <w:r>
        <w:rPr>
          <w:rFonts w:ascii="黑体" w:hAnsi="黑体" w:eastAsia="黑体" w:cs="黑体"/>
          <w:color w:val="auto"/>
          <w:sz w:val="24"/>
          <w:szCs w:val="24"/>
        </w:rPr>
        <w:t>切实改进</w:t>
      </w:r>
      <w:r>
        <w:rPr>
          <w:rFonts w:ascii="黑体" w:hAnsi="黑体" w:eastAsia="黑体" w:cs="黑体"/>
          <w:color w:val="auto"/>
          <w:sz w:val="24"/>
          <w:szCs w:val="24"/>
          <w:lang w:val="en-US" w:eastAsia="zh-CN"/>
        </w:rPr>
        <w:t>员工</w:t>
      </w:r>
      <w:r>
        <w:rPr>
          <w:rFonts w:ascii="黑体" w:hAnsi="黑体" w:eastAsia="黑体" w:cs="黑体"/>
          <w:color w:val="auto"/>
          <w:sz w:val="24"/>
          <w:szCs w:val="24"/>
        </w:rPr>
        <w:t>的思想工作作风，提高办事效率和服务质量，提升</w:t>
      </w:r>
      <w:r>
        <w:rPr>
          <w:rFonts w:ascii="黑体" w:hAnsi="黑体" w:eastAsia="黑体" w:cs="黑体"/>
          <w:color w:val="auto"/>
          <w:sz w:val="24"/>
          <w:szCs w:val="24"/>
          <w:lang w:val="en-US" w:eastAsia="zh-CN"/>
        </w:rPr>
        <w:t>服务</w:t>
      </w:r>
      <w:r>
        <w:rPr>
          <w:rFonts w:ascii="黑体" w:hAnsi="黑体" w:eastAsia="黑体" w:cs="黑体"/>
          <w:color w:val="auto"/>
          <w:sz w:val="24"/>
          <w:szCs w:val="24"/>
        </w:rPr>
        <w:t>满意度。</w:t>
      </w:r>
    </w:p>
    <w:p w14:paraId="46F9EE3B">
      <w:pPr>
        <w:pStyle w:val="103"/>
        <w:keepNext w:val="0"/>
        <w:keepLines w:val="0"/>
        <w:pageBreakBefore w:val="0"/>
        <w:widowControl w:val="0"/>
        <w:numPr>
          <w:ilvl w:val="0"/>
          <w:numId w:val="0"/>
        </w:numPr>
        <w:kinsoku/>
        <w:overflowPunct/>
        <w:autoSpaceDE w:val="0"/>
        <w:autoSpaceDN w:val="0"/>
        <w:bidi w:val="0"/>
        <w:spacing w:line="360" w:lineRule="auto"/>
        <w:ind w:firstLine="480" w:firstLineChars="200"/>
        <w:textAlignment w:val="auto"/>
        <w:rPr>
          <w:rFonts w:ascii="黑体" w:hAnsi="黑体" w:eastAsia="黑体" w:cs="黑体"/>
          <w:color w:val="auto"/>
          <w:sz w:val="24"/>
          <w:szCs w:val="24"/>
        </w:rPr>
      </w:pPr>
      <w:r>
        <w:rPr>
          <w:rFonts w:ascii="黑体" w:hAnsi="黑体" w:eastAsia="黑体" w:cs="黑体"/>
          <w:color w:val="auto"/>
          <w:sz w:val="24"/>
          <w:szCs w:val="24"/>
        </w:rPr>
        <w:t xml:space="preserve">3、中标供应商应为本项目承包区域内各项服务工作配备足够人员，所聘人员必须符合劳动部门有关用工规定，并经中标供应商相关专业考核合格后持证上岗，采购人有权对此进行审核并提出整改意见。  </w:t>
      </w:r>
    </w:p>
    <w:p w14:paraId="0CB0F4B4">
      <w:pPr>
        <w:pStyle w:val="103"/>
        <w:keepNext w:val="0"/>
        <w:keepLines w:val="0"/>
        <w:pageBreakBefore w:val="0"/>
        <w:widowControl w:val="0"/>
        <w:numPr>
          <w:ilvl w:val="0"/>
          <w:numId w:val="0"/>
        </w:numPr>
        <w:kinsoku/>
        <w:overflowPunct/>
        <w:autoSpaceDE w:val="0"/>
        <w:autoSpaceDN w:val="0"/>
        <w:bidi w:val="0"/>
        <w:spacing w:line="360" w:lineRule="auto"/>
        <w:ind w:firstLine="480" w:firstLineChars="200"/>
        <w:textAlignment w:val="auto"/>
        <w:rPr>
          <w:rFonts w:ascii="黑体" w:hAnsi="黑体" w:eastAsia="黑体" w:cs="黑体"/>
          <w:color w:val="auto"/>
          <w:sz w:val="24"/>
          <w:szCs w:val="24"/>
        </w:rPr>
      </w:pPr>
      <w:r>
        <w:rPr>
          <w:rFonts w:ascii="黑体" w:hAnsi="黑体" w:eastAsia="黑体" w:cs="黑体"/>
          <w:color w:val="auto"/>
          <w:sz w:val="24"/>
          <w:szCs w:val="24"/>
        </w:rPr>
        <w:t>4、中标供应商必须严格按劳动法用工，因违反劳动法用工所引发的劳动纠纷由中标供应商承担完全责任。</w:t>
      </w:r>
    </w:p>
    <w:p w14:paraId="1A2917B6">
      <w:pPr>
        <w:pStyle w:val="103"/>
        <w:keepNext w:val="0"/>
        <w:keepLines w:val="0"/>
        <w:pageBreakBefore w:val="0"/>
        <w:widowControl w:val="0"/>
        <w:numPr>
          <w:ilvl w:val="0"/>
          <w:numId w:val="0"/>
        </w:numPr>
        <w:kinsoku/>
        <w:overflowPunct/>
        <w:autoSpaceDE w:val="0"/>
        <w:autoSpaceDN w:val="0"/>
        <w:bidi w:val="0"/>
        <w:spacing w:line="360" w:lineRule="auto"/>
        <w:ind w:firstLine="480" w:firstLineChars="200"/>
        <w:textAlignment w:val="auto"/>
        <w:rPr>
          <w:rFonts w:ascii="黑体" w:hAnsi="黑体" w:eastAsia="黑体" w:cs="黑体"/>
          <w:color w:val="auto"/>
          <w:sz w:val="24"/>
          <w:szCs w:val="24"/>
        </w:rPr>
      </w:pPr>
      <w:r>
        <w:rPr>
          <w:rFonts w:ascii="黑体" w:hAnsi="黑体" w:eastAsia="黑体" w:cs="黑体"/>
          <w:color w:val="auto"/>
          <w:sz w:val="24"/>
          <w:szCs w:val="24"/>
        </w:rPr>
        <w:t>5、中标供应商员工服装应统一、整洁，挂牌上岗，便于管理。工作服费用由中标供应商承担。</w:t>
      </w:r>
    </w:p>
    <w:p w14:paraId="520F93D5">
      <w:pPr>
        <w:pStyle w:val="103"/>
        <w:keepNext w:val="0"/>
        <w:keepLines w:val="0"/>
        <w:pageBreakBefore w:val="0"/>
        <w:widowControl w:val="0"/>
        <w:numPr>
          <w:ilvl w:val="0"/>
          <w:numId w:val="0"/>
        </w:numPr>
        <w:kinsoku/>
        <w:overflowPunct/>
        <w:autoSpaceDE w:val="0"/>
        <w:autoSpaceDN w:val="0"/>
        <w:bidi w:val="0"/>
        <w:spacing w:line="360" w:lineRule="auto"/>
        <w:ind w:firstLine="480" w:firstLineChars="200"/>
        <w:textAlignment w:val="auto"/>
        <w:rPr>
          <w:rFonts w:ascii="黑体" w:hAnsi="黑体" w:eastAsia="黑体" w:cs="黑体"/>
          <w:color w:val="auto"/>
          <w:sz w:val="24"/>
          <w:szCs w:val="24"/>
        </w:rPr>
      </w:pPr>
      <w:r>
        <w:rPr>
          <w:rFonts w:ascii="黑体" w:hAnsi="黑体" w:eastAsia="黑体" w:cs="黑体"/>
          <w:color w:val="auto"/>
          <w:sz w:val="24"/>
          <w:szCs w:val="24"/>
        </w:rPr>
        <w:t>6、采购人免费提供中标供应商存放工具、换衣、休息及办公场所。</w:t>
      </w:r>
    </w:p>
    <w:p w14:paraId="31FBB191">
      <w:pPr>
        <w:pStyle w:val="103"/>
        <w:keepNext w:val="0"/>
        <w:keepLines w:val="0"/>
        <w:pageBreakBefore w:val="0"/>
        <w:widowControl w:val="0"/>
        <w:numPr>
          <w:ilvl w:val="0"/>
          <w:numId w:val="0"/>
        </w:numPr>
        <w:kinsoku/>
        <w:overflowPunct/>
        <w:autoSpaceDE w:val="0"/>
        <w:autoSpaceDN w:val="0"/>
        <w:bidi w:val="0"/>
        <w:spacing w:line="360" w:lineRule="auto"/>
        <w:ind w:firstLine="480" w:firstLineChars="200"/>
        <w:textAlignment w:val="auto"/>
        <w:rPr>
          <w:rFonts w:ascii="黑体" w:hAnsi="黑体" w:eastAsia="黑体" w:cs="黑体"/>
          <w:color w:val="auto"/>
          <w:sz w:val="24"/>
          <w:szCs w:val="24"/>
        </w:rPr>
      </w:pPr>
      <w:r>
        <w:rPr>
          <w:rFonts w:ascii="黑体" w:hAnsi="黑体" w:eastAsia="黑体" w:cs="黑体"/>
          <w:color w:val="auto"/>
          <w:sz w:val="24"/>
          <w:szCs w:val="24"/>
        </w:rPr>
        <w:t>7、遇突发事件或安全检查时，中标供应商必须配合有关部门执行任务，并指定专职人员协助工作，直至完成。</w:t>
      </w:r>
    </w:p>
    <w:p w14:paraId="4DCDBA8A">
      <w:pPr>
        <w:pStyle w:val="103"/>
        <w:keepNext w:val="0"/>
        <w:keepLines w:val="0"/>
        <w:pageBreakBefore w:val="0"/>
        <w:widowControl w:val="0"/>
        <w:numPr>
          <w:ilvl w:val="0"/>
          <w:numId w:val="0"/>
        </w:numPr>
        <w:kinsoku/>
        <w:overflowPunct/>
        <w:autoSpaceDE w:val="0"/>
        <w:autoSpaceDN w:val="0"/>
        <w:bidi w:val="0"/>
        <w:spacing w:line="360" w:lineRule="auto"/>
        <w:ind w:firstLine="480" w:firstLineChars="200"/>
        <w:textAlignment w:val="auto"/>
        <w:rPr>
          <w:rFonts w:ascii="黑体" w:hAnsi="黑体" w:eastAsia="黑体" w:cs="黑体"/>
          <w:color w:val="auto"/>
          <w:sz w:val="24"/>
          <w:szCs w:val="24"/>
        </w:rPr>
      </w:pPr>
      <w:r>
        <w:rPr>
          <w:rFonts w:ascii="黑体" w:hAnsi="黑体" w:eastAsia="黑体" w:cs="黑体"/>
          <w:color w:val="auto"/>
          <w:sz w:val="24"/>
          <w:szCs w:val="24"/>
        </w:rPr>
        <w:t>8、中标供应商不以任何形式转租、转让、抵押承包区域，在承包区域只从事采购人认可的服务工作。在承包期间，中标供应商的任何股份配置变动应通知采购人。未经采购人书面批准，任何占有支配地位的股份转让者将视为中标供应商出租、转让的行为。</w:t>
      </w:r>
    </w:p>
    <w:p w14:paraId="135F19A6">
      <w:pPr>
        <w:pStyle w:val="103"/>
        <w:keepNext w:val="0"/>
        <w:keepLines w:val="0"/>
        <w:pageBreakBefore w:val="0"/>
        <w:widowControl w:val="0"/>
        <w:numPr>
          <w:ilvl w:val="0"/>
          <w:numId w:val="0"/>
        </w:numPr>
        <w:kinsoku/>
        <w:overflowPunct/>
        <w:autoSpaceDE w:val="0"/>
        <w:autoSpaceDN w:val="0"/>
        <w:bidi w:val="0"/>
        <w:spacing w:line="360" w:lineRule="auto"/>
        <w:ind w:firstLine="480" w:firstLineChars="200"/>
        <w:textAlignment w:val="auto"/>
        <w:rPr>
          <w:rFonts w:ascii="黑体" w:hAnsi="黑体" w:eastAsia="黑体" w:cs="黑体"/>
          <w:color w:val="auto"/>
          <w:sz w:val="24"/>
          <w:szCs w:val="24"/>
        </w:rPr>
      </w:pPr>
      <w:r>
        <w:rPr>
          <w:rFonts w:ascii="黑体" w:hAnsi="黑体" w:eastAsia="黑体" w:cs="黑体"/>
          <w:color w:val="auto"/>
          <w:sz w:val="24"/>
          <w:szCs w:val="24"/>
          <w:lang w:val="en-US" w:eastAsia="zh-CN"/>
        </w:rPr>
        <w:t>9</w:t>
      </w:r>
      <w:r>
        <w:rPr>
          <w:rFonts w:ascii="黑体" w:hAnsi="黑体" w:eastAsia="黑体" w:cs="黑体"/>
          <w:color w:val="auto"/>
          <w:sz w:val="24"/>
          <w:szCs w:val="24"/>
        </w:rPr>
        <w:t>、本项目</w:t>
      </w:r>
      <w:r>
        <w:rPr>
          <w:rFonts w:ascii="黑体" w:hAnsi="黑体" w:eastAsia="黑体" w:cs="黑体"/>
          <w:color w:val="auto"/>
          <w:sz w:val="24"/>
          <w:szCs w:val="24"/>
          <w:lang w:val="en-US" w:eastAsia="zh-CN"/>
        </w:rPr>
        <w:t>安保巡查及</w:t>
      </w:r>
      <w:r>
        <w:rPr>
          <w:rFonts w:ascii="黑体" w:hAnsi="黑体" w:eastAsia="黑体" w:cs="黑体"/>
          <w:color w:val="auto"/>
          <w:sz w:val="24"/>
          <w:szCs w:val="24"/>
        </w:rPr>
        <w:t>秩序维护服务中的工具由中标供应商负责提供。</w:t>
      </w:r>
    </w:p>
    <w:p w14:paraId="7E92A301">
      <w:pPr>
        <w:pStyle w:val="104"/>
        <w:spacing w:line="360" w:lineRule="auto"/>
        <w:ind w:firstLine="480" w:firstLineChars="200"/>
        <w:rPr>
          <w:rFonts w:ascii="黑体" w:hAnsi="黑体" w:eastAsia="黑体" w:cs="黑体"/>
          <w:color w:val="auto"/>
          <w:sz w:val="24"/>
          <w:szCs w:val="24"/>
          <w:lang w:val="en-US" w:eastAsia="zh-CN"/>
        </w:rPr>
      </w:pPr>
      <w:r>
        <w:rPr>
          <w:rFonts w:ascii="黑体" w:hAnsi="黑体" w:eastAsia="黑体" w:cs="黑体"/>
          <w:color w:val="auto"/>
          <w:sz w:val="24"/>
          <w:szCs w:val="24"/>
          <w:lang w:val="en-US" w:eastAsia="zh-CN"/>
        </w:rPr>
        <w:t>10、考核制度：</w:t>
      </w:r>
    </w:p>
    <w:p w14:paraId="70EE55CC">
      <w:pPr>
        <w:pStyle w:val="103"/>
        <w:tabs>
          <w:tab w:val="left" w:pos="9693"/>
        </w:tabs>
        <w:spacing w:line="360" w:lineRule="auto"/>
        <w:ind w:firstLine="480" w:firstLineChars="200"/>
        <w:jc w:val="both"/>
        <w:rPr>
          <w:rFonts w:ascii="黑体" w:hAnsi="黑体" w:eastAsia="黑体" w:cs="黑体"/>
          <w:color w:val="auto"/>
          <w:sz w:val="24"/>
          <w:szCs w:val="24"/>
          <w:lang w:val="en-US" w:eastAsia="zh-CN"/>
        </w:rPr>
      </w:pPr>
      <w:r>
        <w:rPr>
          <w:rFonts w:ascii="黑体" w:hAnsi="黑体" w:eastAsia="黑体" w:cs="黑体"/>
          <w:color w:val="auto"/>
          <w:sz w:val="24"/>
          <w:szCs w:val="24"/>
          <w:lang w:val="en-US" w:eastAsia="zh-CN"/>
        </w:rPr>
        <w:t>采购人按照定点巡查、随机督查相结合的方式进行工作检查，检查中发现的问题将通过对讲机、微信群、公告等方式派遣整改任务，并对任务处理全过程实施监督考核。</w:t>
      </w:r>
    </w:p>
    <w:p w14:paraId="776884A9">
      <w:pPr>
        <w:pStyle w:val="103"/>
        <w:tabs>
          <w:tab w:val="left" w:pos="9693"/>
        </w:tabs>
        <w:spacing w:line="360" w:lineRule="auto"/>
        <w:ind w:firstLine="480" w:firstLineChars="200"/>
        <w:jc w:val="both"/>
        <w:rPr>
          <w:rFonts w:ascii="黑体" w:hAnsi="黑体" w:eastAsia="黑体" w:cs="黑体"/>
          <w:color w:val="auto"/>
          <w:sz w:val="24"/>
          <w:szCs w:val="24"/>
          <w:lang w:val="en-US" w:eastAsia="zh-CN"/>
        </w:rPr>
      </w:pPr>
      <w:r>
        <w:rPr>
          <w:rFonts w:ascii="黑体" w:hAnsi="黑体" w:eastAsia="黑体" w:cs="黑体"/>
          <w:color w:val="auto"/>
          <w:sz w:val="24"/>
          <w:szCs w:val="24"/>
          <w:lang w:val="en-US" w:eastAsia="zh-CN"/>
        </w:rPr>
        <w:t>考核计分标准</w:t>
      </w:r>
    </w:p>
    <w:p w14:paraId="01D19E62">
      <w:pPr>
        <w:pStyle w:val="103"/>
        <w:tabs>
          <w:tab w:val="left" w:pos="9693"/>
        </w:tabs>
        <w:spacing w:line="360" w:lineRule="auto"/>
        <w:ind w:firstLine="480" w:firstLineChars="200"/>
        <w:jc w:val="both"/>
        <w:rPr>
          <w:rFonts w:ascii="黑体" w:hAnsi="黑体" w:eastAsia="黑体" w:cs="黑体"/>
          <w:color w:val="auto"/>
          <w:sz w:val="24"/>
          <w:szCs w:val="24"/>
          <w:lang w:val="en-US" w:eastAsia="zh-CN"/>
        </w:rPr>
      </w:pPr>
      <w:r>
        <w:rPr>
          <w:rFonts w:ascii="黑体" w:hAnsi="黑体" w:eastAsia="黑体" w:cs="黑体"/>
          <w:color w:val="auto"/>
          <w:sz w:val="24"/>
          <w:szCs w:val="24"/>
          <w:lang w:val="en-US" w:eastAsia="zh-CN"/>
        </w:rPr>
        <w:t>（1）检查考核记分标准，依据《考核评分细则》（详见后附）执行。</w:t>
      </w:r>
    </w:p>
    <w:p w14:paraId="08EA194C">
      <w:pPr>
        <w:pStyle w:val="103"/>
        <w:tabs>
          <w:tab w:val="left" w:pos="9693"/>
        </w:tabs>
        <w:spacing w:line="360" w:lineRule="auto"/>
        <w:ind w:firstLine="480" w:firstLineChars="200"/>
        <w:jc w:val="both"/>
        <w:rPr>
          <w:rFonts w:ascii="黑体" w:hAnsi="黑体" w:eastAsia="黑体" w:cs="黑体"/>
          <w:color w:val="auto"/>
          <w:sz w:val="24"/>
          <w:szCs w:val="24"/>
          <w:lang w:val="en-US" w:eastAsia="zh-CN"/>
        </w:rPr>
      </w:pPr>
      <w:r>
        <w:rPr>
          <w:rFonts w:ascii="黑体" w:hAnsi="黑体" w:eastAsia="黑体" w:cs="黑体"/>
          <w:color w:val="auto"/>
          <w:sz w:val="24"/>
          <w:szCs w:val="24"/>
          <w:lang w:val="en-US" w:eastAsia="zh-CN"/>
        </w:rPr>
        <w:t>（2）每扣1分，将扣除当季度服务费用1000元。</w:t>
      </w:r>
    </w:p>
    <w:p w14:paraId="1697B883">
      <w:pPr>
        <w:pStyle w:val="103"/>
        <w:keepNext w:val="0"/>
        <w:keepLines w:val="0"/>
        <w:pageBreakBefore w:val="0"/>
        <w:widowControl w:val="0"/>
        <w:numPr>
          <w:ilvl w:val="0"/>
          <w:numId w:val="0"/>
        </w:numPr>
        <w:kinsoku/>
        <w:overflowPunct/>
        <w:autoSpaceDE w:val="0"/>
        <w:autoSpaceDN w:val="0"/>
        <w:bidi w:val="0"/>
        <w:spacing w:line="360" w:lineRule="auto"/>
        <w:ind w:firstLine="480" w:firstLineChars="200"/>
        <w:textAlignment w:val="auto"/>
        <w:rPr>
          <w:color w:val="auto"/>
          <w:lang w:val="en-US" w:eastAsia="zh-CN"/>
        </w:rPr>
      </w:pPr>
      <w:r>
        <w:rPr>
          <w:rFonts w:ascii="黑体" w:hAnsi="黑体" w:eastAsia="黑体" w:cs="黑体"/>
          <w:color w:val="auto"/>
          <w:sz w:val="24"/>
          <w:szCs w:val="24"/>
          <w:lang w:val="en-US" w:eastAsia="zh-CN"/>
        </w:rPr>
        <w:t>（3）采购人将依据检查考核结果进行服务费结算，实际结算费用将扣除日常考核所扣金额。</w:t>
      </w:r>
    </w:p>
    <w:p w14:paraId="73780BB3">
      <w:pPr>
        <w:pStyle w:val="103"/>
        <w:keepNext w:val="0"/>
        <w:keepLines w:val="0"/>
        <w:pageBreakBefore w:val="0"/>
        <w:widowControl w:val="0"/>
        <w:kinsoku/>
        <w:overflowPunct/>
        <w:autoSpaceDE w:val="0"/>
        <w:autoSpaceDN w:val="0"/>
        <w:bidi w:val="0"/>
        <w:spacing w:line="360" w:lineRule="auto"/>
        <w:ind w:firstLine="482" w:firstLineChars="200"/>
        <w:textAlignment w:val="auto"/>
        <w:rPr>
          <w:rFonts w:ascii="黑体" w:hAnsi="黑体" w:eastAsia="黑体" w:cs="黑体"/>
          <w:b/>
          <w:color w:val="auto"/>
          <w:sz w:val="24"/>
          <w:szCs w:val="24"/>
        </w:rPr>
      </w:pPr>
      <w:r>
        <w:rPr>
          <w:rFonts w:ascii="黑体" w:hAnsi="黑体" w:eastAsia="黑体" w:cs="黑体"/>
          <w:b/>
          <w:color w:val="auto"/>
          <w:sz w:val="24"/>
          <w:szCs w:val="24"/>
          <w:lang w:eastAsia="zh-CN"/>
        </w:rPr>
        <w:t>（</w:t>
      </w:r>
      <w:r>
        <w:rPr>
          <w:rFonts w:ascii="黑体" w:hAnsi="黑体" w:eastAsia="黑体" w:cs="黑体"/>
          <w:b/>
          <w:color w:val="auto"/>
          <w:sz w:val="24"/>
          <w:szCs w:val="24"/>
          <w:lang w:val="en-US" w:eastAsia="zh-CN"/>
        </w:rPr>
        <w:t>七）</w:t>
      </w:r>
      <w:r>
        <w:rPr>
          <w:rFonts w:ascii="黑体" w:hAnsi="黑体" w:eastAsia="黑体" w:cs="黑体"/>
          <w:b/>
          <w:color w:val="auto"/>
          <w:sz w:val="24"/>
          <w:szCs w:val="24"/>
        </w:rPr>
        <w:t xml:space="preserve">其他 </w:t>
      </w:r>
    </w:p>
    <w:p w14:paraId="13FE48E2">
      <w:pPr>
        <w:pStyle w:val="103"/>
        <w:keepNext w:val="0"/>
        <w:keepLines w:val="0"/>
        <w:pageBreakBefore w:val="0"/>
        <w:widowControl w:val="0"/>
        <w:kinsoku/>
        <w:overflowPunct/>
        <w:autoSpaceDE w:val="0"/>
        <w:autoSpaceDN w:val="0"/>
        <w:bidi w:val="0"/>
        <w:spacing w:line="360" w:lineRule="auto"/>
        <w:ind w:firstLine="480" w:firstLineChars="200"/>
        <w:textAlignment w:val="auto"/>
        <w:rPr>
          <w:rFonts w:ascii="黑体" w:hAnsi="黑体" w:eastAsia="黑体" w:cs="黑体"/>
          <w:b w:val="0"/>
          <w:bCs/>
          <w:color w:val="auto"/>
          <w:sz w:val="24"/>
          <w:szCs w:val="24"/>
        </w:rPr>
      </w:pPr>
      <w:r>
        <w:rPr>
          <w:rFonts w:ascii="黑体" w:hAnsi="黑体" w:eastAsia="黑体" w:cs="黑体"/>
          <w:b w:val="0"/>
          <w:bCs/>
          <w:color w:val="auto"/>
          <w:sz w:val="24"/>
          <w:szCs w:val="24"/>
        </w:rPr>
        <w:t>1、服务期：自签订合同之日起</w:t>
      </w:r>
      <w:r>
        <w:rPr>
          <w:rFonts w:ascii="黑体" w:hAnsi="黑体" w:eastAsia="黑体" w:cs="黑体"/>
          <w:b w:val="0"/>
          <w:bCs/>
          <w:color w:val="auto"/>
          <w:sz w:val="24"/>
          <w:szCs w:val="24"/>
          <w:lang w:val="en-US" w:eastAsia="zh-CN"/>
        </w:rPr>
        <w:t>3</w:t>
      </w:r>
      <w:r>
        <w:rPr>
          <w:rFonts w:ascii="黑体" w:hAnsi="黑体" w:eastAsia="黑体" w:cs="黑体"/>
          <w:b w:val="0"/>
          <w:bCs/>
          <w:color w:val="auto"/>
          <w:sz w:val="24"/>
          <w:szCs w:val="24"/>
        </w:rPr>
        <w:t>年。（特殊情况以合同为准）。</w:t>
      </w:r>
    </w:p>
    <w:p w14:paraId="3072069B">
      <w:pPr>
        <w:pStyle w:val="103"/>
        <w:keepNext w:val="0"/>
        <w:keepLines w:val="0"/>
        <w:pageBreakBefore w:val="0"/>
        <w:widowControl w:val="0"/>
        <w:kinsoku/>
        <w:overflowPunct/>
        <w:autoSpaceDE w:val="0"/>
        <w:autoSpaceDN w:val="0"/>
        <w:bidi w:val="0"/>
        <w:spacing w:line="360" w:lineRule="auto"/>
        <w:ind w:firstLine="480" w:firstLineChars="200"/>
        <w:textAlignment w:val="auto"/>
        <w:rPr>
          <w:rFonts w:ascii="黑体" w:hAnsi="黑体" w:eastAsia="黑体" w:cs="黑体"/>
          <w:b w:val="0"/>
          <w:bCs/>
          <w:color w:val="auto"/>
          <w:sz w:val="24"/>
          <w:szCs w:val="24"/>
        </w:rPr>
      </w:pPr>
      <w:r>
        <w:rPr>
          <w:rFonts w:ascii="黑体" w:hAnsi="黑体" w:eastAsia="黑体" w:cs="黑体"/>
          <w:b w:val="0"/>
          <w:bCs/>
          <w:color w:val="auto"/>
          <w:sz w:val="24"/>
          <w:szCs w:val="24"/>
        </w:rPr>
        <w:t>2、服务地点：</w:t>
      </w:r>
      <w:r>
        <w:rPr>
          <w:rFonts w:ascii="黑体" w:hAnsi="黑体" w:eastAsia="黑体" w:cs="黑体"/>
          <w:color w:val="auto"/>
          <w:sz w:val="24"/>
          <w:szCs w:val="24"/>
          <w:lang w:val="en-US" w:eastAsia="zh-CN"/>
        </w:rPr>
        <w:t>天津市西青区李七庄街秀川路10号。</w:t>
      </w:r>
    </w:p>
    <w:p w14:paraId="4D1611BE">
      <w:pPr>
        <w:pStyle w:val="103"/>
        <w:keepNext w:val="0"/>
        <w:keepLines w:val="0"/>
        <w:pageBreakBefore w:val="0"/>
        <w:widowControl w:val="0"/>
        <w:kinsoku/>
        <w:overflowPunct/>
        <w:autoSpaceDE w:val="0"/>
        <w:autoSpaceDN w:val="0"/>
        <w:bidi w:val="0"/>
        <w:spacing w:line="360" w:lineRule="auto"/>
        <w:ind w:firstLine="480" w:firstLineChars="200"/>
        <w:textAlignment w:val="auto"/>
        <w:rPr>
          <w:rFonts w:ascii="黑体" w:hAnsi="黑体" w:eastAsia="黑体" w:cs="黑体"/>
          <w:color w:val="auto"/>
          <w:sz w:val="24"/>
          <w:szCs w:val="24"/>
          <w:lang w:val="ja-JP" w:eastAsia="zh-CN" w:bidi="ja-JP"/>
        </w:rPr>
      </w:pPr>
      <w:r>
        <w:rPr>
          <w:rFonts w:ascii="黑体" w:hAnsi="黑体" w:eastAsia="黑体" w:cs="黑体"/>
          <w:b w:val="0"/>
          <w:bCs/>
          <w:color w:val="auto"/>
          <w:sz w:val="24"/>
          <w:szCs w:val="24"/>
        </w:rPr>
        <w:t>3、服务费支付方式：</w:t>
      </w:r>
      <w:r>
        <w:rPr>
          <w:rFonts w:ascii="黑体" w:hAnsi="黑体" w:eastAsia="黑体" w:cs="黑体"/>
          <w:color w:val="auto"/>
          <w:sz w:val="24"/>
          <w:szCs w:val="24"/>
          <w:lang w:val="ja-JP" w:eastAsia="zh-CN" w:bidi="ja-JP"/>
        </w:rPr>
        <w:t>按季度支付，</w:t>
      </w:r>
      <w:r>
        <w:rPr>
          <w:rFonts w:ascii="黑体" w:hAnsi="黑体" w:eastAsia="黑体" w:cs="黑体"/>
          <w:color w:val="auto"/>
          <w:sz w:val="24"/>
          <w:szCs w:val="24"/>
          <w:lang w:val="en-US" w:eastAsia="zh-CN" w:bidi="ja-JP"/>
        </w:rPr>
        <w:t>依据</w:t>
      </w:r>
      <w:r>
        <w:rPr>
          <w:rFonts w:ascii="黑体" w:hAnsi="黑体" w:eastAsia="黑体" w:cs="黑体"/>
          <w:color w:val="auto"/>
          <w:sz w:val="24"/>
          <w:szCs w:val="24"/>
          <w:lang w:val="ja-JP" w:eastAsia="zh-CN" w:bidi="ja-JP"/>
        </w:rPr>
        <w:t>考核</w:t>
      </w:r>
      <w:r>
        <w:rPr>
          <w:rFonts w:ascii="黑体" w:hAnsi="黑体" w:eastAsia="黑体" w:cs="黑体"/>
          <w:color w:val="auto"/>
          <w:sz w:val="24"/>
          <w:szCs w:val="24"/>
          <w:lang w:val="en-US" w:eastAsia="zh-CN" w:bidi="ja-JP"/>
        </w:rPr>
        <w:t>结果</w:t>
      </w:r>
      <w:r>
        <w:rPr>
          <w:rFonts w:ascii="黑体" w:hAnsi="黑体" w:eastAsia="黑体" w:cs="黑体"/>
          <w:color w:val="auto"/>
          <w:sz w:val="24"/>
          <w:szCs w:val="24"/>
          <w:lang w:val="ja-JP" w:eastAsia="zh-CN" w:bidi="ja-JP"/>
        </w:rPr>
        <w:t>，每季度首月15日前支付上一季度服务费，</w:t>
      </w:r>
      <w:r>
        <w:rPr>
          <w:rFonts w:ascii="黑体" w:hAnsi="黑体" w:eastAsia="黑体" w:cs="黑体"/>
          <w:color w:val="auto"/>
          <w:sz w:val="24"/>
          <w:szCs w:val="24"/>
          <w:lang w:val="en-US" w:eastAsia="zh-CN" w:bidi="ja-JP"/>
        </w:rPr>
        <w:t>据实结算</w:t>
      </w:r>
      <w:r>
        <w:rPr>
          <w:rFonts w:ascii="黑体" w:hAnsi="黑体" w:eastAsia="黑体" w:cs="黑体"/>
          <w:color w:val="auto"/>
          <w:sz w:val="24"/>
          <w:szCs w:val="24"/>
          <w:lang w:val="ja-JP" w:eastAsia="zh-CN" w:bidi="ja-JP"/>
        </w:rPr>
        <w:t>（特殊情况以合同为准）。</w:t>
      </w:r>
    </w:p>
    <w:p w14:paraId="0BDD9F5E">
      <w:pPr>
        <w:pStyle w:val="103"/>
        <w:keepNext w:val="0"/>
        <w:keepLines w:val="0"/>
        <w:pageBreakBefore w:val="0"/>
        <w:widowControl w:val="0"/>
        <w:kinsoku/>
        <w:overflowPunct/>
        <w:autoSpaceDE w:val="0"/>
        <w:autoSpaceDN w:val="0"/>
        <w:bidi w:val="0"/>
        <w:spacing w:line="360" w:lineRule="auto"/>
        <w:ind w:firstLine="480" w:firstLineChars="200"/>
        <w:textAlignment w:val="auto"/>
        <w:rPr>
          <w:rFonts w:ascii="黑体" w:hAnsi="黑体" w:eastAsia="黑体" w:cs="黑体"/>
          <w:b w:val="0"/>
          <w:bCs/>
          <w:color w:val="auto"/>
          <w:sz w:val="24"/>
          <w:szCs w:val="24"/>
          <w:lang w:val="en-US"/>
        </w:rPr>
      </w:pPr>
      <w:r>
        <w:rPr>
          <w:rFonts w:ascii="黑体" w:hAnsi="黑体" w:eastAsia="黑体" w:cs="黑体"/>
          <w:b w:val="0"/>
          <w:bCs/>
          <w:color w:val="auto"/>
          <w:sz w:val="24"/>
          <w:szCs w:val="24"/>
          <w:lang w:val="en-US" w:eastAsia="zh-CN"/>
        </w:rPr>
        <w:t>4、</w:t>
      </w:r>
      <w:r>
        <w:rPr>
          <w:rFonts w:ascii="黑体" w:hAnsi="黑体" w:eastAsia="黑体" w:cs="黑体"/>
          <w:b w:val="0"/>
          <w:bCs/>
          <w:color w:val="auto"/>
          <w:sz w:val="24"/>
          <w:szCs w:val="24"/>
          <w:lang w:val="en-US"/>
        </w:rPr>
        <w:t>采购人在实际运做中按照岗位需求有权随时增加或减少保安人员，</w:t>
      </w:r>
      <w:r>
        <w:rPr>
          <w:rFonts w:ascii="黑体" w:hAnsi="黑体" w:eastAsia="黑体" w:cs="黑体"/>
          <w:b w:val="0"/>
          <w:bCs/>
          <w:color w:val="auto"/>
          <w:sz w:val="24"/>
          <w:szCs w:val="24"/>
          <w:lang w:val="en-US" w:eastAsia="zh-CN"/>
        </w:rPr>
        <w:t>供应商</w:t>
      </w:r>
      <w:r>
        <w:rPr>
          <w:rFonts w:ascii="黑体" w:hAnsi="黑体" w:eastAsia="黑体" w:cs="黑体"/>
          <w:b w:val="0"/>
          <w:bCs/>
          <w:color w:val="auto"/>
          <w:sz w:val="24"/>
          <w:szCs w:val="24"/>
          <w:lang w:val="en-US"/>
        </w:rPr>
        <w:t>应按照采购人不同时期的不同需求提供现场服务人员。服务人员发生变化时需双方书面确认，服务费用按照实际发生结算。</w:t>
      </w:r>
    </w:p>
    <w:p w14:paraId="22986036">
      <w:pPr>
        <w:pStyle w:val="103"/>
        <w:keepNext w:val="0"/>
        <w:keepLines w:val="0"/>
        <w:pageBreakBefore w:val="0"/>
        <w:widowControl w:val="0"/>
        <w:kinsoku/>
        <w:overflowPunct/>
        <w:autoSpaceDE w:val="0"/>
        <w:autoSpaceDN w:val="0"/>
        <w:bidi w:val="0"/>
        <w:snapToGrid w:val="0"/>
        <w:spacing w:line="360" w:lineRule="auto"/>
        <w:textAlignment w:val="auto"/>
        <w:rPr>
          <w:rFonts w:ascii="黑体" w:hAnsi="黑体" w:eastAsia="黑体" w:cs="黑体"/>
          <w:b/>
          <w:bCs/>
          <w:color w:val="auto"/>
          <w:kern w:val="2"/>
          <w:sz w:val="24"/>
          <w:szCs w:val="22"/>
          <w:lang w:val="en-US" w:eastAsia="zh-CN" w:bidi="ar-SA"/>
        </w:rPr>
      </w:pPr>
    </w:p>
    <w:p w14:paraId="6F0D7FAB">
      <w:pPr>
        <w:pStyle w:val="103"/>
        <w:keepNext w:val="0"/>
        <w:keepLines w:val="0"/>
        <w:pageBreakBefore w:val="0"/>
        <w:widowControl w:val="0"/>
        <w:kinsoku/>
        <w:overflowPunct/>
        <w:autoSpaceDE w:val="0"/>
        <w:autoSpaceDN w:val="0"/>
        <w:bidi w:val="0"/>
        <w:snapToGrid w:val="0"/>
        <w:spacing w:line="360" w:lineRule="auto"/>
        <w:textAlignment w:val="auto"/>
        <w:rPr>
          <w:rFonts w:ascii="黑体" w:hAnsi="黑体" w:eastAsia="黑体" w:cs="黑体"/>
          <w:b/>
          <w:bCs/>
          <w:color w:val="auto"/>
          <w:kern w:val="2"/>
          <w:sz w:val="24"/>
          <w:szCs w:val="22"/>
          <w:lang w:val="en-US" w:eastAsia="zh-CN" w:bidi="ar-SA"/>
        </w:rPr>
      </w:pPr>
      <w:r>
        <w:rPr>
          <w:rFonts w:ascii="黑体" w:hAnsi="黑体" w:eastAsia="黑体" w:cs="黑体"/>
          <w:b/>
          <w:bCs/>
          <w:color w:val="auto"/>
          <w:kern w:val="2"/>
          <w:sz w:val="24"/>
          <w:szCs w:val="22"/>
          <w:lang w:val="en-US" w:eastAsia="zh-CN" w:bidi="ar-SA"/>
        </w:rPr>
        <w:t>注：实质性技术条款（加注“★”号条款）不得出现负偏离，发生负偏离即做无效标处理。“★”号条款应提供相关材料证明，否则视为负偏离。非“★”号条款应答内容不满足需求书中所述要求即为负偏离。</w:t>
      </w:r>
    </w:p>
    <w:p w14:paraId="361E85FC">
      <w:pPr>
        <w:pStyle w:val="11"/>
        <w:keepNext w:val="0"/>
        <w:keepLines w:val="0"/>
        <w:pageBreakBefore w:val="0"/>
        <w:widowControl w:val="0"/>
        <w:kinsoku/>
        <w:wordWrap/>
        <w:overflowPunct/>
        <w:topLinePunct w:val="0"/>
        <w:bidi w:val="0"/>
        <w:adjustRightInd/>
        <w:snapToGrid/>
        <w:spacing w:before="0" w:after="0" w:line="360" w:lineRule="auto"/>
        <w:jc w:val="both"/>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E1C435C">
      <w:pPr>
        <w:pStyle w:val="11"/>
        <w:jc w:val="center"/>
        <w:rPr>
          <w:rFonts w:ascii="Times New Roman" w:hAnsi="Times New Roman"/>
        </w:rPr>
      </w:pPr>
      <w:r>
        <w:rPr>
          <w:rFonts w:ascii="Times New Roman" w:hAnsi="Times New Roman"/>
        </w:rPr>
        <w:t>第三部分  供应商须知</w:t>
      </w:r>
      <w:bookmarkEnd w:id="1"/>
    </w:p>
    <w:p w14:paraId="7DF66864">
      <w:pPr>
        <w:pStyle w:val="35"/>
        <w:spacing w:line="360" w:lineRule="auto"/>
        <w:jc w:val="center"/>
        <w:rPr>
          <w:rFonts w:ascii="Times New Roman" w:hAnsi="Times New Roman" w:eastAsia="宋体" w:cs="Times New Roman"/>
          <w:color w:val="auto"/>
        </w:rPr>
      </w:pPr>
      <w:bookmarkStart w:id="4" w:name="_Toc411426751"/>
    </w:p>
    <w:p w14:paraId="4417B6DA">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35"/>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35"/>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A4C664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70BF376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6"/>
      <w:bookmarkStart w:id="6" w:name="OLE_LINK5"/>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87CE37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22C6485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3FD27D1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35"/>
        <w:spacing w:line="360" w:lineRule="auto"/>
        <w:ind w:firstLine="480" w:firstLineChars="200"/>
        <w:jc w:val="both"/>
        <w:rPr>
          <w:rFonts w:ascii="Times New Roman" w:hAnsi="Times New Roman" w:eastAsia="宋体" w:cs="Times New Roman"/>
          <w:color w:val="auto"/>
        </w:rPr>
      </w:pPr>
    </w:p>
    <w:p w14:paraId="3E5C3425">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35"/>
        <w:spacing w:line="360" w:lineRule="auto"/>
        <w:ind w:firstLine="480" w:firstLineChars="200"/>
        <w:jc w:val="both"/>
        <w:rPr>
          <w:rFonts w:ascii="Times New Roman" w:hAnsi="Times New Roman" w:eastAsia="宋体" w:cs="Times New Roman"/>
          <w:color w:val="auto"/>
        </w:rPr>
      </w:pPr>
    </w:p>
    <w:p w14:paraId="7B138597">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35"/>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35"/>
        <w:spacing w:line="360" w:lineRule="auto"/>
        <w:jc w:val="center"/>
        <w:rPr>
          <w:rFonts w:ascii="Times New Roman" w:hAnsi="Times New Roman" w:eastAsia="宋体" w:cs="Times New Roman"/>
          <w:color w:val="auto"/>
        </w:rPr>
      </w:pPr>
    </w:p>
    <w:p w14:paraId="780E6F6E">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35"/>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35"/>
        <w:spacing w:line="360" w:lineRule="auto"/>
        <w:ind w:firstLine="480" w:firstLineChars="200"/>
        <w:jc w:val="both"/>
        <w:rPr>
          <w:rFonts w:ascii="Times New Roman" w:hAnsi="Times New Roman" w:eastAsia="宋体" w:cs="Times New Roman"/>
          <w:color w:val="auto"/>
        </w:rPr>
      </w:pPr>
    </w:p>
    <w:p w14:paraId="74C6E41B">
      <w:pPr>
        <w:pStyle w:val="3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3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3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3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3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35"/>
        <w:spacing w:line="360" w:lineRule="auto"/>
        <w:ind w:firstLine="480" w:firstLineChars="200"/>
        <w:jc w:val="both"/>
        <w:rPr>
          <w:rFonts w:ascii="Times New Roman" w:hAnsi="Times New Roman" w:eastAsia="宋体" w:cs="Times New Roman"/>
          <w:color w:val="auto"/>
        </w:rPr>
      </w:pPr>
    </w:p>
    <w:p w14:paraId="2094E161">
      <w:pPr>
        <w:pStyle w:val="3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27DCF3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3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35"/>
        <w:spacing w:line="360" w:lineRule="auto"/>
        <w:ind w:firstLine="480" w:firstLineChars="200"/>
        <w:jc w:val="both"/>
        <w:rPr>
          <w:rFonts w:ascii="Times New Roman" w:hAnsi="Times New Roman" w:eastAsia="宋体" w:cs="Times New Roman"/>
          <w:color w:val="auto"/>
        </w:rPr>
      </w:pPr>
    </w:p>
    <w:p w14:paraId="14B7D13C">
      <w:pPr>
        <w:pStyle w:val="35"/>
        <w:snapToGrid w:val="0"/>
        <w:spacing w:line="360" w:lineRule="auto"/>
        <w:ind w:firstLine="480" w:firstLineChars="200"/>
        <w:jc w:val="both"/>
        <w:rPr>
          <w:rFonts w:ascii="Times New Roman" w:hAnsi="Times New Roman" w:eastAsia="宋体" w:cs="Times New Roman"/>
          <w:color w:val="auto"/>
        </w:rPr>
      </w:pPr>
    </w:p>
    <w:p w14:paraId="0FEA1676">
      <w:pPr>
        <w:pStyle w:val="35"/>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4"/>
    </w:p>
    <w:p w14:paraId="43936374">
      <w:pPr>
        <w:tabs>
          <w:tab w:val="left" w:pos="412"/>
          <w:tab w:val="left" w:pos="618"/>
        </w:tabs>
        <w:spacing w:line="520" w:lineRule="exact"/>
        <w:jc w:val="center"/>
        <w:rPr>
          <w:b/>
          <w:bCs/>
          <w:sz w:val="24"/>
          <w:szCs w:val="24"/>
        </w:rPr>
      </w:pPr>
      <w:r>
        <w:rPr>
          <w:b/>
          <w:bCs/>
          <w:sz w:val="24"/>
          <w:szCs w:val="24"/>
        </w:rPr>
        <w:t>合同一般条款</w:t>
      </w:r>
    </w:p>
    <w:p w14:paraId="5B611AD1">
      <w:pPr>
        <w:tabs>
          <w:tab w:val="left" w:pos="412"/>
          <w:tab w:val="left" w:pos="618"/>
        </w:tabs>
        <w:spacing w:line="520" w:lineRule="exact"/>
        <w:jc w:val="center"/>
        <w:rPr>
          <w:b/>
          <w:bCs/>
          <w:sz w:val="24"/>
          <w:szCs w:val="24"/>
        </w:rPr>
      </w:pP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widowControl w:val="0"/>
        <w:numPr>
          <w:ilvl w:val="0"/>
          <w:numId w:val="3"/>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0A163048">
      <w:pPr>
        <w:widowControl w:val="0"/>
        <w:numPr>
          <w:ilvl w:val="0"/>
          <w:numId w:val="3"/>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472D87DD">
      <w:pPr>
        <w:pStyle w:val="3"/>
        <w:jc w:val="center"/>
      </w:pPr>
      <w:bookmarkStart w:id="7" w:name="_Toc411426753"/>
      <w:r>
        <w:t>第五部分  响应文件格式</w:t>
      </w:r>
      <w:bookmarkEnd w:id="7"/>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r w14:paraId="52366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AF7788">
            <w:pPr>
              <w:widowControl/>
              <w:snapToGrid w:val="0"/>
              <w:jc w:val="center"/>
              <w:rPr>
                <w:kern w:val="0"/>
                <w:sz w:val="24"/>
                <w:szCs w:val="21"/>
              </w:rPr>
            </w:pPr>
          </w:p>
        </w:tc>
        <w:tc>
          <w:tcPr>
            <w:tcW w:w="4394" w:type="dxa"/>
            <w:shd w:val="clear" w:color="auto" w:fill="auto"/>
            <w:vAlign w:val="center"/>
          </w:tcPr>
          <w:p w14:paraId="432C9A03">
            <w:pPr>
              <w:widowControl/>
              <w:snapToGrid w:val="0"/>
              <w:jc w:val="center"/>
              <w:rPr>
                <w:kern w:val="0"/>
                <w:sz w:val="24"/>
                <w:szCs w:val="21"/>
              </w:rPr>
            </w:pPr>
          </w:p>
        </w:tc>
        <w:tc>
          <w:tcPr>
            <w:tcW w:w="2438" w:type="dxa"/>
            <w:shd w:val="clear" w:color="auto" w:fill="auto"/>
            <w:vAlign w:val="center"/>
          </w:tcPr>
          <w:p w14:paraId="299768EC">
            <w:pPr>
              <w:widowControl/>
              <w:snapToGrid w:val="0"/>
              <w:jc w:val="center"/>
              <w:rPr>
                <w:kern w:val="0"/>
                <w:sz w:val="24"/>
                <w:szCs w:val="21"/>
              </w:rPr>
            </w:pPr>
          </w:p>
        </w:tc>
        <w:tc>
          <w:tcPr>
            <w:tcW w:w="1289" w:type="dxa"/>
            <w:shd w:val="clear" w:color="auto" w:fill="auto"/>
            <w:vAlign w:val="center"/>
          </w:tcPr>
          <w:p w14:paraId="334D7ACB">
            <w:pPr>
              <w:widowControl/>
              <w:snapToGrid w:val="0"/>
              <w:jc w:val="center"/>
              <w:rPr>
                <w:kern w:val="0"/>
                <w:sz w:val="24"/>
                <w:szCs w:val="21"/>
              </w:rPr>
            </w:pPr>
          </w:p>
        </w:tc>
        <w:tc>
          <w:tcPr>
            <w:tcW w:w="843" w:type="dxa"/>
            <w:shd w:val="clear" w:color="auto" w:fill="auto"/>
            <w:vAlign w:val="center"/>
          </w:tcPr>
          <w:p w14:paraId="59A24C67">
            <w:pPr>
              <w:widowControl/>
              <w:snapToGrid w:val="0"/>
              <w:jc w:val="center"/>
              <w:rPr>
                <w:kern w:val="0"/>
                <w:sz w:val="24"/>
                <w:szCs w:val="21"/>
              </w:rPr>
            </w:pPr>
          </w:p>
        </w:tc>
      </w:tr>
      <w:tr w14:paraId="78767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734CA6">
            <w:pPr>
              <w:widowControl/>
              <w:snapToGrid w:val="0"/>
              <w:jc w:val="center"/>
              <w:rPr>
                <w:kern w:val="0"/>
                <w:sz w:val="24"/>
                <w:szCs w:val="21"/>
              </w:rPr>
            </w:pPr>
          </w:p>
        </w:tc>
        <w:tc>
          <w:tcPr>
            <w:tcW w:w="4394" w:type="dxa"/>
            <w:shd w:val="clear" w:color="auto" w:fill="auto"/>
            <w:vAlign w:val="center"/>
          </w:tcPr>
          <w:p w14:paraId="42F232C8">
            <w:pPr>
              <w:widowControl/>
              <w:snapToGrid w:val="0"/>
              <w:jc w:val="center"/>
              <w:rPr>
                <w:kern w:val="0"/>
                <w:sz w:val="24"/>
                <w:szCs w:val="21"/>
              </w:rPr>
            </w:pPr>
          </w:p>
        </w:tc>
        <w:tc>
          <w:tcPr>
            <w:tcW w:w="2438" w:type="dxa"/>
            <w:shd w:val="clear" w:color="auto" w:fill="auto"/>
            <w:vAlign w:val="center"/>
          </w:tcPr>
          <w:p w14:paraId="0BD435D2">
            <w:pPr>
              <w:widowControl/>
              <w:snapToGrid w:val="0"/>
              <w:jc w:val="center"/>
              <w:rPr>
                <w:kern w:val="0"/>
                <w:sz w:val="24"/>
                <w:szCs w:val="21"/>
              </w:rPr>
            </w:pPr>
          </w:p>
        </w:tc>
        <w:tc>
          <w:tcPr>
            <w:tcW w:w="1289" w:type="dxa"/>
            <w:shd w:val="clear" w:color="auto" w:fill="auto"/>
            <w:vAlign w:val="center"/>
          </w:tcPr>
          <w:p w14:paraId="0FB0E673">
            <w:pPr>
              <w:widowControl/>
              <w:snapToGrid w:val="0"/>
              <w:jc w:val="center"/>
              <w:rPr>
                <w:kern w:val="0"/>
                <w:sz w:val="24"/>
                <w:szCs w:val="21"/>
              </w:rPr>
            </w:pPr>
          </w:p>
        </w:tc>
        <w:tc>
          <w:tcPr>
            <w:tcW w:w="843" w:type="dxa"/>
            <w:shd w:val="clear" w:color="auto" w:fill="auto"/>
            <w:vAlign w:val="center"/>
          </w:tcPr>
          <w:p w14:paraId="5F836A99">
            <w:pPr>
              <w:widowControl/>
              <w:snapToGrid w:val="0"/>
              <w:jc w:val="center"/>
              <w:rPr>
                <w:kern w:val="0"/>
                <w:sz w:val="24"/>
                <w:szCs w:val="21"/>
              </w:rPr>
            </w:pPr>
          </w:p>
        </w:tc>
      </w:tr>
      <w:tr w14:paraId="2A237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FD4A69">
            <w:pPr>
              <w:widowControl/>
              <w:snapToGrid w:val="0"/>
              <w:jc w:val="center"/>
              <w:rPr>
                <w:kern w:val="0"/>
                <w:sz w:val="24"/>
                <w:szCs w:val="21"/>
              </w:rPr>
            </w:pPr>
          </w:p>
        </w:tc>
        <w:tc>
          <w:tcPr>
            <w:tcW w:w="4394" w:type="dxa"/>
            <w:shd w:val="clear" w:color="auto" w:fill="auto"/>
            <w:vAlign w:val="center"/>
          </w:tcPr>
          <w:p w14:paraId="5A07787E">
            <w:pPr>
              <w:widowControl/>
              <w:snapToGrid w:val="0"/>
              <w:jc w:val="center"/>
              <w:rPr>
                <w:kern w:val="0"/>
                <w:sz w:val="24"/>
                <w:szCs w:val="21"/>
              </w:rPr>
            </w:pPr>
          </w:p>
        </w:tc>
        <w:tc>
          <w:tcPr>
            <w:tcW w:w="2438" w:type="dxa"/>
            <w:shd w:val="clear" w:color="auto" w:fill="auto"/>
            <w:vAlign w:val="center"/>
          </w:tcPr>
          <w:p w14:paraId="628921D1">
            <w:pPr>
              <w:widowControl/>
              <w:snapToGrid w:val="0"/>
              <w:jc w:val="center"/>
              <w:rPr>
                <w:kern w:val="0"/>
                <w:sz w:val="24"/>
                <w:szCs w:val="21"/>
              </w:rPr>
            </w:pPr>
          </w:p>
        </w:tc>
        <w:tc>
          <w:tcPr>
            <w:tcW w:w="1289" w:type="dxa"/>
            <w:shd w:val="clear" w:color="auto" w:fill="auto"/>
            <w:vAlign w:val="center"/>
          </w:tcPr>
          <w:p w14:paraId="027A81F5">
            <w:pPr>
              <w:widowControl/>
              <w:snapToGrid w:val="0"/>
              <w:jc w:val="center"/>
              <w:rPr>
                <w:kern w:val="0"/>
                <w:sz w:val="24"/>
                <w:szCs w:val="21"/>
              </w:rPr>
            </w:pPr>
          </w:p>
        </w:tc>
        <w:tc>
          <w:tcPr>
            <w:tcW w:w="843" w:type="dxa"/>
            <w:shd w:val="clear" w:color="auto" w:fill="auto"/>
            <w:vAlign w:val="center"/>
          </w:tcPr>
          <w:p w14:paraId="097D27C4">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从事物业管理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6C8E3E45">
      <w:pPr>
        <w:spacing w:line="360" w:lineRule="auto"/>
        <w:ind w:right="84" w:firstLine="241" w:firstLineChars="100"/>
        <w:rPr>
          <w:b/>
          <w:sz w:val="24"/>
          <w:szCs w:val="24"/>
        </w:rPr>
      </w:pPr>
      <w:r>
        <w:rPr>
          <w:b/>
          <w:sz w:val="24"/>
          <w:szCs w:val="24"/>
        </w:rPr>
        <w:t>注：</w:t>
      </w:r>
    </w:p>
    <w:p w14:paraId="43825EA2">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r>
        <w:rPr>
          <w:sz w:val="24"/>
        </w:rPr>
        <w:br w:type="page"/>
      </w: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43"/>
        <w:tabs>
          <w:tab w:val="left" w:pos="360"/>
        </w:tabs>
        <w:spacing w:line="360" w:lineRule="auto"/>
        <w:ind w:firstLine="480"/>
        <w:rPr>
          <w:sz w:val="24"/>
          <w:lang w:eastAsia="zh-CN"/>
        </w:rPr>
      </w:pPr>
    </w:p>
    <w:p w14:paraId="28B93B00">
      <w:pPr>
        <w:pStyle w:val="43"/>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43"/>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43"/>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43"/>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43"/>
        <w:tabs>
          <w:tab w:val="left" w:pos="360"/>
        </w:tabs>
        <w:spacing w:line="360" w:lineRule="auto"/>
        <w:ind w:firstLine="480"/>
        <w:rPr>
          <w:sz w:val="24"/>
          <w:lang w:eastAsia="zh-CN"/>
        </w:rPr>
      </w:pPr>
    </w:p>
    <w:p w14:paraId="74BBB443">
      <w:pPr>
        <w:pStyle w:val="43"/>
        <w:spacing w:line="360" w:lineRule="auto"/>
        <w:ind w:firstLine="0" w:firstLineChars="0"/>
        <w:jc w:val="center"/>
        <w:rPr>
          <w:b/>
          <w:sz w:val="24"/>
          <w:lang w:eastAsia="zh-CN"/>
        </w:rPr>
      </w:pPr>
    </w:p>
    <w:p w14:paraId="0925E9A6">
      <w:pPr>
        <w:pStyle w:val="43"/>
        <w:spacing w:line="360" w:lineRule="auto"/>
        <w:ind w:firstLine="0" w:firstLineChars="0"/>
        <w:jc w:val="center"/>
        <w:rPr>
          <w:b/>
          <w:sz w:val="24"/>
          <w:lang w:eastAsia="zh-CN"/>
        </w:rPr>
      </w:pPr>
    </w:p>
    <w:p w14:paraId="5BD39334">
      <w:pPr>
        <w:pStyle w:val="43"/>
        <w:spacing w:line="360" w:lineRule="auto"/>
        <w:ind w:firstLine="0" w:firstLineChars="0"/>
        <w:jc w:val="center"/>
        <w:rPr>
          <w:b/>
          <w:sz w:val="24"/>
          <w:lang w:eastAsia="zh-CN"/>
        </w:rPr>
      </w:pPr>
      <w:r>
        <w:rPr>
          <w:rFonts w:hint="eastAsia"/>
          <w:b/>
          <w:sz w:val="24"/>
          <w:lang w:eastAsia="zh-CN"/>
        </w:rPr>
        <w:t>证明材料</w:t>
      </w:r>
    </w:p>
    <w:p w14:paraId="1AA43AD6">
      <w:pPr>
        <w:pStyle w:val="43"/>
        <w:tabs>
          <w:tab w:val="left" w:pos="360"/>
        </w:tabs>
        <w:spacing w:line="360" w:lineRule="auto"/>
        <w:ind w:firstLine="480"/>
        <w:rPr>
          <w:sz w:val="24"/>
          <w:lang w:eastAsia="zh-CN"/>
        </w:rPr>
      </w:pPr>
    </w:p>
    <w:p w14:paraId="1796B92B">
      <w:pPr>
        <w:pStyle w:val="43"/>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43"/>
        <w:tabs>
          <w:tab w:val="left" w:pos="360"/>
        </w:tabs>
        <w:spacing w:line="360" w:lineRule="auto"/>
        <w:ind w:firstLine="480"/>
        <w:rPr>
          <w:sz w:val="24"/>
          <w:lang w:eastAsia="zh-CN"/>
        </w:rPr>
      </w:pPr>
    </w:p>
    <w:p w14:paraId="2E381CD0">
      <w:pPr>
        <w:pStyle w:val="43"/>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00006FF" w:usb1="0000FCFF" w:usb2="00000001"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0124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1"/>
      <w:numFmt w:val="taiwaneseCountingThousand"/>
      <w:lvlText w:val="(%1)"/>
      <w:lvlJc w:val="left"/>
      <w:pPr>
        <w:tabs>
          <w:tab w:val="left" w:pos="0"/>
        </w:tabs>
        <w:ind w:left="1202" w:hanging="720"/>
      </w:pPr>
    </w:lvl>
    <w:lvl w:ilvl="1" w:tentative="0">
      <w:start w:val="1"/>
      <w:numFmt w:val="lowerLetter"/>
      <w:lvlText w:val="%2)"/>
      <w:lvlJc w:val="left"/>
      <w:pPr>
        <w:tabs>
          <w:tab w:val="left" w:pos="0"/>
        </w:tabs>
        <w:ind w:left="1322" w:hanging="420"/>
      </w:pPr>
    </w:lvl>
    <w:lvl w:ilvl="2" w:tentative="0">
      <w:start w:val="1"/>
      <w:numFmt w:val="lowerRoman"/>
      <w:lvlText w:val="%3."/>
      <w:lvlJc w:val="right"/>
      <w:pPr>
        <w:tabs>
          <w:tab w:val="left" w:pos="0"/>
        </w:tabs>
        <w:ind w:left="1742" w:hanging="420"/>
      </w:pPr>
    </w:lvl>
    <w:lvl w:ilvl="3" w:tentative="0">
      <w:start w:val="1"/>
      <w:numFmt w:val="decimal"/>
      <w:lvlText w:val="%4."/>
      <w:lvlJc w:val="left"/>
      <w:pPr>
        <w:tabs>
          <w:tab w:val="left" w:pos="0"/>
        </w:tabs>
        <w:ind w:left="2162" w:hanging="420"/>
      </w:pPr>
    </w:lvl>
    <w:lvl w:ilvl="4" w:tentative="0">
      <w:start w:val="1"/>
      <w:numFmt w:val="lowerLetter"/>
      <w:lvlText w:val="%5)"/>
      <w:lvlJc w:val="left"/>
      <w:pPr>
        <w:tabs>
          <w:tab w:val="left" w:pos="0"/>
        </w:tabs>
        <w:ind w:left="2582" w:hanging="420"/>
      </w:pPr>
    </w:lvl>
    <w:lvl w:ilvl="5" w:tentative="0">
      <w:start w:val="1"/>
      <w:numFmt w:val="lowerRoman"/>
      <w:lvlText w:val="%6."/>
      <w:lvlJc w:val="right"/>
      <w:pPr>
        <w:tabs>
          <w:tab w:val="left" w:pos="0"/>
        </w:tabs>
        <w:ind w:left="3002" w:hanging="420"/>
      </w:pPr>
    </w:lvl>
    <w:lvl w:ilvl="6" w:tentative="0">
      <w:start w:val="1"/>
      <w:numFmt w:val="decimal"/>
      <w:lvlText w:val="%7."/>
      <w:lvlJc w:val="left"/>
      <w:pPr>
        <w:tabs>
          <w:tab w:val="left" w:pos="0"/>
        </w:tabs>
        <w:ind w:left="3422" w:hanging="420"/>
      </w:pPr>
    </w:lvl>
    <w:lvl w:ilvl="7" w:tentative="0">
      <w:start w:val="1"/>
      <w:numFmt w:val="lowerLetter"/>
      <w:lvlText w:val="%8)"/>
      <w:lvlJc w:val="left"/>
      <w:pPr>
        <w:tabs>
          <w:tab w:val="left" w:pos="0"/>
        </w:tabs>
        <w:ind w:left="3842" w:hanging="420"/>
      </w:pPr>
    </w:lvl>
    <w:lvl w:ilvl="8" w:tentative="0">
      <w:start w:val="1"/>
      <w:numFmt w:val="lowerRoman"/>
      <w:lvlText w:val="%9."/>
      <w:lvlJc w:val="right"/>
      <w:pPr>
        <w:tabs>
          <w:tab w:val="left" w:pos="0"/>
        </w:tabs>
        <w:ind w:left="4262" w:hanging="420"/>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753ADB41"/>
    <w:multiLevelType w:val="singleLevel"/>
    <w:tmpl w:val="753ADB41"/>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7E13EC2"/>
    <w:rsid w:val="0812627D"/>
    <w:rsid w:val="0D2A5DC5"/>
    <w:rsid w:val="0E7476E7"/>
    <w:rsid w:val="0E8042DE"/>
    <w:rsid w:val="1030329B"/>
    <w:rsid w:val="12E93ABB"/>
    <w:rsid w:val="13D82E87"/>
    <w:rsid w:val="16C60AD4"/>
    <w:rsid w:val="18CF093C"/>
    <w:rsid w:val="1A4B194F"/>
    <w:rsid w:val="1A657C9B"/>
    <w:rsid w:val="1F006B10"/>
    <w:rsid w:val="26DD51A9"/>
    <w:rsid w:val="281B5C24"/>
    <w:rsid w:val="29A97AD5"/>
    <w:rsid w:val="2FA24013"/>
    <w:rsid w:val="31FF4D52"/>
    <w:rsid w:val="343070EC"/>
    <w:rsid w:val="34EE4299"/>
    <w:rsid w:val="350757C1"/>
    <w:rsid w:val="3E955F68"/>
    <w:rsid w:val="41AD7BE9"/>
    <w:rsid w:val="430D73BE"/>
    <w:rsid w:val="44134CD1"/>
    <w:rsid w:val="46AA65F3"/>
    <w:rsid w:val="4F3A122B"/>
    <w:rsid w:val="55B33581"/>
    <w:rsid w:val="59747B68"/>
    <w:rsid w:val="59DF6954"/>
    <w:rsid w:val="5AEC1FC0"/>
    <w:rsid w:val="64B0159A"/>
    <w:rsid w:val="73EE4979"/>
    <w:rsid w:val="7906070B"/>
    <w:rsid w:val="79E11D2C"/>
    <w:rsid w:val="7D142E45"/>
    <w:rsid w:val="7D9224A4"/>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30"/>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82"/>
    <w:qFormat/>
    <w:uiPriority w:val="0"/>
    <w:pPr>
      <w:spacing w:after="120"/>
    </w:pPr>
  </w:style>
  <w:style w:type="paragraph" w:styleId="4">
    <w:name w:val="Normal Indent"/>
    <w:basedOn w:val="1"/>
    <w:qFormat/>
    <w:uiPriority w:val="0"/>
    <w:pPr>
      <w:ind w:firstLine="420"/>
    </w:pPr>
  </w:style>
  <w:style w:type="paragraph" w:styleId="5">
    <w:name w:val="annotation text"/>
    <w:basedOn w:val="1"/>
    <w:link w:val="78"/>
    <w:semiHidden/>
    <w:unhideWhenUsed/>
    <w:qFormat/>
    <w:uiPriority w:val="99"/>
    <w:pPr>
      <w:jc w:val="left"/>
    </w:pPr>
  </w:style>
  <w:style w:type="paragraph" w:styleId="6">
    <w:name w:val="Body Text Indent 2"/>
    <w:basedOn w:val="1"/>
    <w:link w:val="38"/>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3"/>
    <w:qFormat/>
    <w:uiPriority w:val="99"/>
    <w:rPr>
      <w:sz w:val="18"/>
      <w:szCs w:val="18"/>
      <w:lang w:val="zh-CN" w:eastAsia="zh-CN"/>
    </w:rPr>
  </w:style>
  <w:style w:type="paragraph" w:styleId="8">
    <w:name w:val="footer"/>
    <w:basedOn w:val="1"/>
    <w:link w:val="32"/>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7"/>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9"/>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7"/>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5"/>
    <w:next w:val="5"/>
    <w:link w:val="79"/>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FollowedHyperlink"/>
    <w:basedOn w:val="18"/>
    <w:semiHidden/>
    <w:unhideWhenUsed/>
    <w:uiPriority w:val="99"/>
    <w:rPr>
      <w:rFonts w:hint="eastAsia" w:ascii="微软雅黑" w:hAnsi="微软雅黑" w:eastAsia="微软雅黑" w:cs="微软雅黑"/>
      <w:color w:val="428BCA"/>
      <w:u w:val="none"/>
    </w:rPr>
  </w:style>
  <w:style w:type="character" w:styleId="22">
    <w:name w:val="Emphasis"/>
    <w:qFormat/>
    <w:uiPriority w:val="20"/>
    <w:rPr>
      <w:i/>
      <w:iCs/>
    </w:rPr>
  </w:style>
  <w:style w:type="character" w:styleId="23">
    <w:name w:val="HTML Definition"/>
    <w:basedOn w:val="18"/>
    <w:semiHidden/>
    <w:unhideWhenUsed/>
    <w:uiPriority w:val="99"/>
    <w:rPr>
      <w:i/>
      <w:iCs/>
    </w:rPr>
  </w:style>
  <w:style w:type="character" w:styleId="24">
    <w:name w:val="Hyperlink"/>
    <w:qFormat/>
    <w:uiPriority w:val="0"/>
    <w:rPr>
      <w:rFonts w:hint="default" w:ascii="ˎ̥" w:hAnsi="ˎ̥"/>
      <w:color w:val="3E3E3E"/>
      <w:sz w:val="24"/>
      <w:szCs w:val="24"/>
      <w:u w:val="none"/>
    </w:rPr>
  </w:style>
  <w:style w:type="character" w:styleId="25">
    <w:name w:val="HTML Code"/>
    <w:basedOn w:val="18"/>
    <w:semiHidden/>
    <w:unhideWhenUsed/>
    <w:qFormat/>
    <w:uiPriority w:val="99"/>
    <w:rPr>
      <w:rFonts w:hint="default" w:ascii="Consolas" w:hAnsi="Consolas" w:eastAsia="Consolas" w:cs="Consolas"/>
      <w:color w:val="C7254E"/>
      <w:sz w:val="21"/>
      <w:szCs w:val="21"/>
      <w:shd w:val="clear" w:fill="F9F2F4"/>
    </w:rPr>
  </w:style>
  <w:style w:type="character" w:styleId="26">
    <w:name w:val="annotation reference"/>
    <w:basedOn w:val="18"/>
    <w:semiHidden/>
    <w:unhideWhenUsed/>
    <w:qFormat/>
    <w:uiPriority w:val="99"/>
    <w:rPr>
      <w:sz w:val="21"/>
      <w:szCs w:val="21"/>
    </w:rPr>
  </w:style>
  <w:style w:type="character" w:styleId="27">
    <w:name w:val="HTML Cite"/>
    <w:basedOn w:val="18"/>
    <w:semiHidden/>
    <w:unhideWhenUsed/>
    <w:uiPriority w:val="99"/>
  </w:style>
  <w:style w:type="character" w:styleId="28">
    <w:name w:val="HTML Keyboard"/>
    <w:basedOn w:val="18"/>
    <w:semiHidden/>
    <w:unhideWhenUsed/>
    <w:uiPriority w:val="99"/>
    <w:rPr>
      <w:rFonts w:ascii="Consolas" w:hAnsi="Consolas" w:eastAsia="Consolas" w:cs="Consolas"/>
      <w:sz w:val="21"/>
      <w:szCs w:val="21"/>
    </w:rPr>
  </w:style>
  <w:style w:type="character" w:styleId="29">
    <w:name w:val="HTML Sample"/>
    <w:basedOn w:val="18"/>
    <w:semiHidden/>
    <w:unhideWhenUsed/>
    <w:uiPriority w:val="99"/>
    <w:rPr>
      <w:rFonts w:hint="default" w:ascii="Consolas" w:hAnsi="Consolas" w:eastAsia="Consolas" w:cs="Consolas"/>
      <w:sz w:val="21"/>
      <w:szCs w:val="21"/>
    </w:rPr>
  </w:style>
  <w:style w:type="character" w:customStyle="1" w:styleId="30">
    <w:name w:val="标题 3 Char"/>
    <w:link w:val="3"/>
    <w:qFormat/>
    <w:uiPriority w:val="0"/>
    <w:rPr>
      <w:rFonts w:ascii="Times New Roman" w:hAnsi="Times New Roman" w:eastAsia="宋体" w:cs="Times New Roman"/>
      <w:b/>
      <w:bCs/>
      <w:sz w:val="32"/>
      <w:szCs w:val="32"/>
    </w:rPr>
  </w:style>
  <w:style w:type="character" w:customStyle="1" w:styleId="31">
    <w:name w:val="页眉 Char"/>
    <w:link w:val="9"/>
    <w:qFormat/>
    <w:uiPriority w:val="99"/>
    <w:rPr>
      <w:rFonts w:ascii="Times New Roman" w:hAnsi="Times New Roman" w:eastAsia="宋体" w:cs="Times New Roman"/>
      <w:sz w:val="18"/>
      <w:szCs w:val="18"/>
    </w:rPr>
  </w:style>
  <w:style w:type="character" w:customStyle="1" w:styleId="32">
    <w:name w:val="页脚 Char"/>
    <w:link w:val="8"/>
    <w:qFormat/>
    <w:uiPriority w:val="99"/>
    <w:rPr>
      <w:rFonts w:ascii="Times New Roman" w:hAnsi="Times New Roman" w:eastAsia="宋体" w:cs="Times New Roman"/>
      <w:sz w:val="18"/>
      <w:szCs w:val="18"/>
    </w:rPr>
  </w:style>
  <w:style w:type="character" w:customStyle="1" w:styleId="33">
    <w:name w:val="批注框文本 Char"/>
    <w:link w:val="7"/>
    <w:qFormat/>
    <w:uiPriority w:val="99"/>
    <w:rPr>
      <w:rFonts w:ascii="Times New Roman" w:hAnsi="Times New Roman"/>
      <w:kern w:val="2"/>
      <w:sz w:val="18"/>
      <w:szCs w:val="18"/>
    </w:rPr>
  </w:style>
  <w:style w:type="paragraph" w:customStyle="1" w:styleId="34">
    <w:name w:val="Char"/>
    <w:basedOn w:val="1"/>
    <w:qFormat/>
    <w:uiPriority w:val="0"/>
  </w:style>
  <w:style w:type="paragraph" w:customStyle="1" w:styleId="35">
    <w:name w:val="Default"/>
    <w:link w:val="80"/>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6">
    <w:name w:val="列出段落1"/>
    <w:basedOn w:val="1"/>
    <w:qFormat/>
    <w:uiPriority w:val="0"/>
    <w:pPr>
      <w:ind w:firstLine="420" w:firstLineChars="200"/>
    </w:pPr>
    <w:rPr>
      <w:rFonts w:ascii="Calibri" w:hAnsi="Calibri" w:cs="黑体"/>
      <w:szCs w:val="22"/>
    </w:rPr>
  </w:style>
  <w:style w:type="character" w:customStyle="1" w:styleId="37">
    <w:name w:val="副标题 Char"/>
    <w:link w:val="11"/>
    <w:qFormat/>
    <w:uiPriority w:val="11"/>
    <w:rPr>
      <w:rFonts w:ascii="Cambria" w:hAnsi="Cambria" w:cs="Times New Roman"/>
      <w:b/>
      <w:bCs/>
      <w:kern w:val="28"/>
      <w:sz w:val="32"/>
      <w:szCs w:val="32"/>
    </w:rPr>
  </w:style>
  <w:style w:type="character" w:customStyle="1" w:styleId="38">
    <w:name w:val="正文文本缩进 2 Char"/>
    <w:link w:val="6"/>
    <w:qFormat/>
    <w:uiPriority w:val="0"/>
    <w:rPr>
      <w:rFonts w:ascii="宋体" w:hAnsi="Times New Roman"/>
      <w:kern w:val="2"/>
      <w:sz w:val="28"/>
    </w:rPr>
  </w:style>
  <w:style w:type="character" w:customStyle="1" w:styleId="39">
    <w:name w:val="正文文本缩进 3 Char"/>
    <w:link w:val="12"/>
    <w:qFormat/>
    <w:uiPriority w:val="0"/>
    <w:rPr>
      <w:rFonts w:ascii="宋体" w:hAnsi="Times New Roman"/>
      <w:kern w:val="2"/>
      <w:sz w:val="24"/>
    </w:rPr>
  </w:style>
  <w:style w:type="paragraph" w:customStyle="1" w:styleId="40">
    <w:name w:val="Char1"/>
    <w:basedOn w:val="1"/>
    <w:autoRedefine/>
    <w:qFormat/>
    <w:uiPriority w:val="0"/>
    <w:pPr>
      <w:tabs>
        <w:tab w:val="left" w:pos="360"/>
      </w:tabs>
    </w:pPr>
    <w:rPr>
      <w:sz w:val="24"/>
      <w:szCs w:val="24"/>
    </w:rPr>
  </w:style>
  <w:style w:type="character" w:customStyle="1" w:styleId="41">
    <w:name w:val="control-label6"/>
    <w:qFormat/>
    <w:uiPriority w:val="0"/>
    <w:rPr>
      <w:rFonts w:hint="eastAsia" w:ascii="微软雅黑" w:hAnsi="微软雅黑" w:eastAsia="微软雅黑"/>
    </w:rPr>
  </w:style>
  <w:style w:type="character" w:customStyle="1" w:styleId="42">
    <w:name w:val="apple-converted-space"/>
    <w:qFormat/>
    <w:uiPriority w:val="0"/>
  </w:style>
  <w:style w:type="paragraph" w:styleId="43">
    <w:name w:val="List Paragraph"/>
    <w:basedOn w:val="1"/>
    <w:link w:val="44"/>
    <w:qFormat/>
    <w:uiPriority w:val="34"/>
    <w:pPr>
      <w:ind w:firstLine="420" w:firstLineChars="200"/>
    </w:pPr>
    <w:rPr>
      <w:szCs w:val="24"/>
      <w:lang w:val="zh-CN" w:eastAsia="zh-CN"/>
    </w:rPr>
  </w:style>
  <w:style w:type="character" w:customStyle="1" w:styleId="44">
    <w:name w:val="列出段落 Char"/>
    <w:link w:val="43"/>
    <w:qFormat/>
    <w:uiPriority w:val="34"/>
    <w:rPr>
      <w:rFonts w:ascii="Times New Roman" w:hAnsi="Times New Roman"/>
      <w:kern w:val="2"/>
      <w:sz w:val="21"/>
      <w:szCs w:val="24"/>
    </w:rPr>
  </w:style>
  <w:style w:type="paragraph" w:customStyle="1" w:styleId="45">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6">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7">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8">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9">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0">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1">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2">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3">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7">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8">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9">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0">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5">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6">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7">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8">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9">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0">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1">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2">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7">
    <w:name w:val="正文文本 2 Char"/>
    <w:basedOn w:val="18"/>
    <w:link w:val="13"/>
    <w:semiHidden/>
    <w:qFormat/>
    <w:uiPriority w:val="99"/>
    <w:rPr>
      <w:rFonts w:ascii="Times New Roman" w:hAnsi="Times New Roman"/>
      <w:kern w:val="2"/>
      <w:sz w:val="21"/>
    </w:rPr>
  </w:style>
  <w:style w:type="character" w:customStyle="1" w:styleId="78">
    <w:name w:val="批注文字 Char"/>
    <w:basedOn w:val="18"/>
    <w:link w:val="5"/>
    <w:semiHidden/>
    <w:qFormat/>
    <w:uiPriority w:val="99"/>
    <w:rPr>
      <w:rFonts w:ascii="Times New Roman" w:hAnsi="Times New Roman"/>
      <w:kern w:val="2"/>
      <w:sz w:val="21"/>
    </w:rPr>
  </w:style>
  <w:style w:type="character" w:customStyle="1" w:styleId="79">
    <w:name w:val="批注主题 Char"/>
    <w:basedOn w:val="78"/>
    <w:link w:val="15"/>
    <w:semiHidden/>
    <w:qFormat/>
    <w:uiPriority w:val="99"/>
    <w:rPr>
      <w:rFonts w:ascii="Times New Roman" w:hAnsi="Times New Roman"/>
      <w:b/>
      <w:bCs/>
      <w:kern w:val="2"/>
      <w:sz w:val="21"/>
    </w:rPr>
  </w:style>
  <w:style w:type="character" w:customStyle="1" w:styleId="80">
    <w:name w:val="Default Char"/>
    <w:link w:val="35"/>
    <w:qFormat/>
    <w:locked/>
    <w:uiPriority w:val="0"/>
    <w:rPr>
      <w:rFonts w:ascii="......." w:hAnsi="......." w:eastAsia="......." w:cs="......."/>
      <w:color w:val="000000"/>
      <w:sz w:val="24"/>
      <w:szCs w:val="24"/>
    </w:rPr>
  </w:style>
  <w:style w:type="character" w:customStyle="1" w:styleId="81">
    <w:name w:val="NormalCharacter"/>
    <w:qFormat/>
    <w:uiPriority w:val="0"/>
  </w:style>
  <w:style w:type="character" w:customStyle="1" w:styleId="82">
    <w:name w:val="正文文本 Char"/>
    <w:basedOn w:val="18"/>
    <w:link w:val="2"/>
    <w:qFormat/>
    <w:uiPriority w:val="0"/>
    <w:rPr>
      <w:rFonts w:ascii="Times New Roman" w:hAnsi="Times New Roman"/>
      <w:kern w:val="2"/>
      <w:sz w:val="21"/>
    </w:rPr>
  </w:style>
  <w:style w:type="character" w:customStyle="1" w:styleId="83">
    <w:name w:val="action"/>
    <w:basedOn w:val="18"/>
    <w:qFormat/>
    <w:uiPriority w:val="0"/>
    <w:rPr>
      <w:b/>
      <w:bCs/>
      <w:sz w:val="16"/>
      <w:szCs w:val="16"/>
      <w:shd w:val="clear" w:fill="FFFFFF"/>
    </w:rPr>
  </w:style>
  <w:style w:type="character" w:customStyle="1" w:styleId="84">
    <w:name w:val="filename"/>
    <w:basedOn w:val="18"/>
    <w:uiPriority w:val="0"/>
    <w:rPr>
      <w:color w:val="777777"/>
      <w:sz w:val="16"/>
      <w:szCs w:val="16"/>
    </w:rPr>
  </w:style>
  <w:style w:type="character" w:customStyle="1" w:styleId="85">
    <w:name w:val="hover2"/>
    <w:basedOn w:val="18"/>
    <w:uiPriority w:val="0"/>
    <w:rPr>
      <w:shd w:val="clear" w:fill="EEEEEE"/>
    </w:rPr>
  </w:style>
  <w:style w:type="character" w:customStyle="1" w:styleId="86">
    <w:name w:val="old"/>
    <w:basedOn w:val="18"/>
    <w:qFormat/>
    <w:uiPriority w:val="0"/>
    <w:rPr>
      <w:color w:val="999999"/>
    </w:rPr>
  </w:style>
  <w:style w:type="character" w:customStyle="1" w:styleId="87">
    <w:name w:val="hour_am"/>
    <w:basedOn w:val="18"/>
    <w:qFormat/>
    <w:uiPriority w:val="0"/>
  </w:style>
  <w:style w:type="character" w:customStyle="1" w:styleId="88">
    <w:name w:val="hour_pm"/>
    <w:basedOn w:val="18"/>
    <w:uiPriority w:val="0"/>
  </w:style>
  <w:style w:type="character" w:customStyle="1" w:styleId="89">
    <w:name w:val="checked"/>
    <w:basedOn w:val="18"/>
    <w:uiPriority w:val="0"/>
  </w:style>
  <w:style w:type="character" w:customStyle="1" w:styleId="90">
    <w:name w:val="checked1"/>
    <w:basedOn w:val="18"/>
    <w:uiPriority w:val="0"/>
  </w:style>
  <w:style w:type="character" w:customStyle="1" w:styleId="91">
    <w:name w:val="l-btn-text"/>
    <w:basedOn w:val="18"/>
    <w:uiPriority w:val="0"/>
  </w:style>
  <w:style w:type="character" w:customStyle="1" w:styleId="92">
    <w:name w:val="l-btn-text1"/>
    <w:basedOn w:val="18"/>
    <w:uiPriority w:val="0"/>
    <w:rPr>
      <w:sz w:val="18"/>
      <w:szCs w:val="18"/>
    </w:rPr>
  </w:style>
  <w:style w:type="character" w:customStyle="1" w:styleId="93">
    <w:name w:val="l-btn-icon-left"/>
    <w:basedOn w:val="18"/>
    <w:qFormat/>
    <w:uiPriority w:val="0"/>
  </w:style>
  <w:style w:type="character" w:customStyle="1" w:styleId="94">
    <w:name w:val="l-btn-left"/>
    <w:basedOn w:val="18"/>
    <w:qFormat/>
    <w:uiPriority w:val="0"/>
  </w:style>
  <w:style w:type="character" w:customStyle="1" w:styleId="95">
    <w:name w:val="l-btn-left1"/>
    <w:basedOn w:val="18"/>
    <w:uiPriority w:val="0"/>
  </w:style>
  <w:style w:type="character" w:customStyle="1" w:styleId="96">
    <w:name w:val="l-btn-left2"/>
    <w:basedOn w:val="18"/>
    <w:qFormat/>
    <w:uiPriority w:val="0"/>
  </w:style>
  <w:style w:type="character" w:customStyle="1" w:styleId="97">
    <w:name w:val="l-btn-empty"/>
    <w:basedOn w:val="18"/>
    <w:qFormat/>
    <w:uiPriority w:val="0"/>
  </w:style>
  <w:style w:type="character" w:customStyle="1" w:styleId="98">
    <w:name w:val="hover3"/>
    <w:basedOn w:val="18"/>
    <w:uiPriority w:val="0"/>
    <w:rPr>
      <w:shd w:val="clear" w:fill="EEEEEE"/>
    </w:rPr>
  </w:style>
  <w:style w:type="character" w:customStyle="1" w:styleId="99">
    <w:name w:val="l-btn-icon-right"/>
    <w:basedOn w:val="18"/>
    <w:uiPriority w:val="0"/>
  </w:style>
  <w:style w:type="paragraph" w:customStyle="1" w:styleId="100">
    <w:name w:val="_Style 99"/>
    <w:basedOn w:val="1"/>
    <w:next w:val="1"/>
    <w:qFormat/>
    <w:uiPriority w:val="0"/>
    <w:pPr>
      <w:pBdr>
        <w:bottom w:val="single" w:color="auto" w:sz="6" w:space="1"/>
      </w:pBdr>
      <w:jc w:val="center"/>
    </w:pPr>
    <w:rPr>
      <w:rFonts w:ascii="Arial" w:eastAsia="宋体"/>
      <w:vanish/>
      <w:sz w:val="16"/>
    </w:rPr>
  </w:style>
  <w:style w:type="paragraph" w:customStyle="1" w:styleId="101">
    <w:name w:val="_Style 100"/>
    <w:basedOn w:val="1"/>
    <w:next w:val="1"/>
    <w:uiPriority w:val="0"/>
    <w:pPr>
      <w:pBdr>
        <w:top w:val="single" w:color="auto" w:sz="6" w:space="1"/>
      </w:pBdr>
      <w:jc w:val="center"/>
    </w:pPr>
    <w:rPr>
      <w:rFonts w:ascii="Arial" w:eastAsia="宋体"/>
      <w:vanish/>
      <w:sz w:val="16"/>
    </w:rPr>
  </w:style>
  <w:style w:type="character" w:customStyle="1" w:styleId="102">
    <w:name w:val="control-label9"/>
    <w:basedOn w:val="18"/>
    <w:uiPriority w:val="0"/>
  </w:style>
  <w:style w:type="paragraph" w:customStyle="1" w:styleId="103">
    <w:name w:val="正文1"/>
    <w:next w:val="104"/>
    <w:qFormat/>
    <w:uiPriority w:val="1"/>
    <w:pPr>
      <w:widowControl w:val="0"/>
      <w:suppressAutoHyphens w:val="0"/>
      <w:bidi w:val="0"/>
      <w:spacing w:beforeLines="0" w:beforeAutospacing="0" w:afterLines="0" w:afterAutospacing="0"/>
      <w:jc w:val="left"/>
    </w:pPr>
    <w:rPr>
      <w:rFonts w:ascii="宋体" w:hAnsi="宋体" w:cs="宋体" w:eastAsiaTheme="minorEastAsia"/>
      <w:color w:val="auto"/>
      <w:kern w:val="0"/>
      <w:sz w:val="22"/>
      <w:szCs w:val="22"/>
      <w:lang w:val="ja-JP" w:eastAsia="ja-JP" w:bidi="ja-JP"/>
    </w:rPr>
  </w:style>
  <w:style w:type="paragraph" w:customStyle="1" w:styleId="104">
    <w:name w:val="正文文本1"/>
    <w:basedOn w:val="103"/>
    <w:next w:val="103"/>
    <w:qFormat/>
    <w:uiPriority w:val="1"/>
    <w:rPr>
      <w:sz w:val="24"/>
      <w:szCs w:val="24"/>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62</Pages>
  <Words>21847</Words>
  <Characters>23220</Characters>
  <Lines>246</Lines>
  <Paragraphs>69</Paragraphs>
  <TotalTime>0</TotalTime>
  <ScaleCrop>false</ScaleCrop>
  <LinksUpToDate>false</LinksUpToDate>
  <CharactersWithSpaces>23634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张颖颖</cp:lastModifiedBy>
  <cp:lastPrinted>2015-08-04T03:01:00Z</cp:lastPrinted>
  <dcterms:modified xsi:type="dcterms:W3CDTF">2025-07-07T08:11:44Z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eyJoZGlkIjoiMDc3YTNkNjY4NDM5NGVlOTc3ZmRiYTBkYTExNTkwYzUiLCJ1c2VySWQiOiIxMDcwMzM1ODgzIn0=</vt:lpwstr>
  </property>
  <property fmtid="{D5CDD505-2E9C-101B-9397-08002B2CF9AE}" pid="4" name="ICV">
    <vt:lpwstr>4541BFD854CD4549852A784102A73625_13</vt:lpwstr>
  </property>
</Properties>
</file>