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color w:val="auto"/>
          <w:sz w:val="84"/>
        </w:rPr>
      </w:pPr>
    </w:p>
    <w:p w14:paraId="2A52385D">
      <w:pPr>
        <w:ind w:right="105"/>
        <w:jc w:val="center"/>
        <w:rPr>
          <w:rFonts w:hint="eastAsia" w:ascii="宋体" w:hAnsi="宋体" w:eastAsia="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天津市西青区城市管理委员会2026-2027环卫作业车辆维修保养服务项目</w:t>
      </w: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eastAsia="宋体" w:cs="Times New Roman"/>
          <w:b/>
          <w:color w:val="auto"/>
          <w:spacing w:val="40"/>
          <w:w w:val="66"/>
          <w:sz w:val="60"/>
          <w:szCs w:val="60"/>
        </w:rPr>
        <w:t>招标文件</w:t>
      </w:r>
    </w:p>
    <w:p w14:paraId="35709FBC">
      <w:pPr>
        <w:ind w:right="105"/>
        <w:jc w:val="right"/>
        <w:rPr>
          <w:rFonts w:eastAsia="黑体"/>
          <w:b/>
          <w:color w:val="auto"/>
          <w:spacing w:val="40"/>
          <w:w w:val="66"/>
          <w:sz w:val="60"/>
          <w:szCs w:val="60"/>
        </w:rPr>
      </w:pPr>
    </w:p>
    <w:p w14:paraId="33832FC4">
      <w:pPr>
        <w:ind w:right="1025"/>
        <w:jc w:val="center"/>
        <w:rPr>
          <w:rFonts w:eastAsia="黑体"/>
          <w:b/>
          <w:color w:val="auto"/>
          <w:spacing w:val="40"/>
          <w:w w:val="66"/>
          <w:sz w:val="60"/>
          <w:szCs w:val="60"/>
        </w:rPr>
      </w:pPr>
    </w:p>
    <w:p w14:paraId="02CC041D">
      <w:pPr>
        <w:jc w:val="center"/>
        <w:rPr>
          <w:rFonts w:eastAsia="黑体"/>
          <w:b/>
          <w:color w:val="auto"/>
          <w:spacing w:val="40"/>
          <w:w w:val="66"/>
          <w:sz w:val="15"/>
          <w:szCs w:val="15"/>
        </w:rPr>
      </w:pPr>
      <w:r>
        <w:rPr>
          <w:rFonts w:eastAsia="黑体"/>
          <w:b/>
          <w:color w:val="auto"/>
          <w:spacing w:val="40"/>
          <w:w w:val="66"/>
          <w:sz w:val="56"/>
          <w:szCs w:val="56"/>
        </w:rPr>
        <w:t xml:space="preserve">            </w:t>
      </w:r>
    </w:p>
    <w:p w14:paraId="5BBE5144">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TJXQ-2025-D-0033</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1"/>
        <w:spacing w:line="360" w:lineRule="auto"/>
        <w:ind w:firstLine="480"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highlight w:val="none"/>
          <w:lang w:eastAsia="zh-CN"/>
        </w:rPr>
        <w:t>天津市西青区城市管理委员会</w:t>
      </w:r>
      <w:r>
        <w:rPr>
          <w:rFonts w:ascii="Times New Roman" w:hAnsi="Times New Roman" w:cs="Times New Roman" w:eastAsiaTheme="minorEastAsia"/>
          <w:color w:val="auto"/>
          <w:szCs w:val="32"/>
          <w:highlight w:val="none"/>
        </w:rPr>
        <w:t>委托，天津市</w:t>
      </w:r>
      <w:r>
        <w:rPr>
          <w:rFonts w:hint="eastAsia" w:ascii="Times New Roman" w:hAnsi="Times New Roman" w:cs="Times New Roman" w:eastAsiaTheme="minorEastAsia"/>
          <w:color w:val="auto"/>
          <w:szCs w:val="32"/>
          <w:highlight w:val="none"/>
        </w:rPr>
        <w:t>西青区</w:t>
      </w:r>
      <w:r>
        <w:rPr>
          <w:rFonts w:ascii="Times New Roman" w:hAnsi="Times New Roman" w:cs="Times New Roman" w:eastAsiaTheme="minorEastAsia"/>
          <w:color w:val="auto"/>
          <w:szCs w:val="32"/>
          <w:highlight w:val="none"/>
        </w:rPr>
        <w:t>政府采购中心将以公开招标方式，对</w:t>
      </w:r>
      <w:r>
        <w:rPr>
          <w:rFonts w:hint="eastAsia" w:ascii="Times New Roman" w:hAnsi="Times New Roman" w:cs="Times New Roman" w:eastAsiaTheme="minorEastAsia"/>
          <w:color w:val="auto"/>
          <w:szCs w:val="32"/>
          <w:highlight w:val="none"/>
          <w:lang w:eastAsia="zh-CN"/>
        </w:rPr>
        <w:t>天津市西青区城市管理委员会2026-2027环卫作业车辆维修保养服务项目</w:t>
      </w:r>
      <w:r>
        <w:rPr>
          <w:rFonts w:ascii="Times New Roman" w:hAnsi="Times New Roman" w:cs="Times New Roman" w:eastAsiaTheme="minorEastAsia"/>
          <w:color w:val="auto"/>
          <w:szCs w:val="32"/>
          <w:highlight w:val="none"/>
        </w:rPr>
        <w:t>实施政府采购。现欢迎合格的供应商参加投标。</w:t>
      </w:r>
    </w:p>
    <w:p w14:paraId="63FEC123">
      <w:pPr>
        <w:pStyle w:val="61"/>
        <w:spacing w:line="360" w:lineRule="auto"/>
        <w:ind w:firstLine="480"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6F019E53">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lang w:eastAsia="zh-CN"/>
        </w:rPr>
        <w:t>天津市西青区城市管理委员会2026-2027环卫作业车辆维修保养服务项目</w:t>
      </w:r>
      <w:r>
        <w:rPr>
          <w:rFonts w:ascii="Times New Roman" w:hAnsi="Times New Roman" w:eastAsia="宋体" w:cs="Times New Roman"/>
          <w:color w:val="auto"/>
          <w:highlight w:val="none"/>
        </w:rPr>
        <w:t xml:space="preserve">  </w:t>
      </w:r>
    </w:p>
    <w:p w14:paraId="2EE4879F">
      <w:pPr>
        <w:pStyle w:val="61"/>
        <w:spacing w:line="360" w:lineRule="auto"/>
        <w:ind w:firstLine="480"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（二）项目编号：</w:t>
      </w:r>
      <w:r>
        <w:rPr>
          <w:rFonts w:hint="eastAsia" w:ascii="Times New Roman" w:hAnsi="Times New Roman" w:eastAsia="宋体" w:cs="Times New Roman"/>
          <w:color w:val="auto"/>
          <w:highlight w:val="none"/>
          <w:lang w:eastAsia="zh-CN"/>
        </w:rPr>
        <w:t>TJXQ-2025-D-0033</w:t>
      </w:r>
    </w:p>
    <w:p w14:paraId="4D69BFE7">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50867837">
      <w:pPr>
        <w:pStyle w:val="61"/>
        <w:spacing w:line="360" w:lineRule="auto"/>
        <w:ind w:firstLine="480" w:firstLineChars="200"/>
        <w:jc w:val="both"/>
        <w:rPr>
          <w:rFonts w:hint="eastAsia" w:ascii="Times New Roman" w:hAnsi="Times New Roman" w:eastAsia="......." w:cs="Times New Roman"/>
          <w:color w:val="auto"/>
          <w:highlight w:val="none"/>
          <w:lang w:val="en-US" w:eastAsia="zh-CN"/>
        </w:rPr>
      </w:pPr>
      <w:r>
        <w:rPr>
          <w:rFonts w:hint="eastAsia" w:ascii="宋体" w:hAnsi="宋体"/>
          <w:color w:val="auto"/>
          <w:highlight w:val="none"/>
        </w:rPr>
        <w:t>采购明细项目：</w:t>
      </w:r>
      <w:r>
        <w:rPr>
          <w:rFonts w:hint="eastAsia" w:ascii="宋体" w:hAnsi="宋体"/>
          <w:color w:val="auto"/>
          <w:highlight w:val="none"/>
          <w:lang w:eastAsia="zh-CN"/>
        </w:rPr>
        <w:t>车辆维修保养</w:t>
      </w:r>
      <w:r>
        <w:rPr>
          <w:rFonts w:hint="eastAsia" w:ascii="宋体" w:hAnsi="宋体"/>
          <w:color w:val="auto"/>
          <w:highlight w:val="none"/>
          <w:lang w:val="en-US" w:eastAsia="zh-CN"/>
        </w:rPr>
        <w:t>1项</w:t>
      </w:r>
      <w:r>
        <w:rPr>
          <w:rFonts w:hint="eastAsia" w:ascii="宋体" w:hAnsi="宋体"/>
          <w:color w:val="auto"/>
          <w:highlight w:val="none"/>
          <w:shd w:val="clear" w:color="auto" w:fill="FFFFFF"/>
        </w:rPr>
        <w:t>，</w:t>
      </w:r>
      <w:r>
        <w:rPr>
          <w:rFonts w:hint="eastAsia" w:ascii="宋体" w:hAnsi="宋体"/>
          <w:color w:val="auto"/>
          <w:highlight w:val="none"/>
        </w:rPr>
        <w:t>技术要求详见附件</w:t>
      </w:r>
      <w:r>
        <w:rPr>
          <w:rFonts w:hint="eastAsia" w:ascii="宋体" w:hAnsi="宋体"/>
          <w:color w:val="auto"/>
          <w:highlight w:val="none"/>
          <w:lang w:val="en-US" w:eastAsia="zh-CN"/>
        </w:rPr>
        <w:tab/>
      </w:r>
      <w:r>
        <w:rPr>
          <w:rFonts w:hint="eastAsia" w:ascii="宋体" w:hAnsi="宋体"/>
          <w:color w:val="auto"/>
          <w:highlight w:val="none"/>
          <w:lang w:val="en-US" w:eastAsia="zh-CN"/>
        </w:rPr>
        <w:t>。</w:t>
      </w:r>
    </w:p>
    <w:p w14:paraId="4DC1DC03">
      <w:pPr>
        <w:pStyle w:val="61"/>
        <w:spacing w:line="360" w:lineRule="auto"/>
        <w:ind w:firstLine="480" w:firstLineChars="200"/>
        <w:jc w:val="both"/>
        <w:rPr>
          <w:rFonts w:ascii="Times New Roman" w:hAnsi="Times New Roman" w:cs="Times New Roman"/>
          <w:color w:val="auto"/>
          <w:highlight w:val="none"/>
        </w:rPr>
      </w:pPr>
      <w:r>
        <w:rPr>
          <w:rFonts w:ascii="Times New Roman" w:hAnsi="Times New Roman" w:cs="Times New Roman"/>
          <w:color w:val="auto"/>
          <w:highlight w:val="none"/>
        </w:rPr>
        <w:t>三、项目预算</w:t>
      </w:r>
    </w:p>
    <w:p w14:paraId="26733069">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kern w:val="2"/>
          <w:sz w:val="24"/>
          <w:szCs w:val="24"/>
          <w:highlight w:val="none"/>
          <w:lang w:val="en-US" w:eastAsia="zh-CN" w:bidi="ar-SA"/>
        </w:rPr>
      </w:pPr>
      <w:r>
        <w:rPr>
          <w:rFonts w:hint="eastAsia" w:ascii="宋体" w:hAnsi="宋体" w:eastAsia="......." w:cs="......."/>
          <w:color w:val="auto"/>
          <w:sz w:val="24"/>
          <w:szCs w:val="24"/>
          <w:highlight w:val="none"/>
          <w:lang w:val="en-US" w:eastAsia="zh-CN" w:bidi="ar-SA"/>
        </w:rPr>
        <w:t>427.04万元</w:t>
      </w:r>
      <w:r>
        <w:rPr>
          <w:rFonts w:hint="eastAsia" w:ascii="Times New Roman" w:hAnsi="Times New Roman" w:eastAsia="宋体" w:cs="Times New Roman"/>
          <w:color w:val="auto"/>
          <w:kern w:val="2"/>
          <w:sz w:val="24"/>
          <w:szCs w:val="24"/>
          <w:highlight w:val="none"/>
          <w:lang w:val="en-US" w:eastAsia="zh-CN" w:bidi="ar-SA"/>
        </w:rPr>
        <w:t>。</w:t>
      </w:r>
    </w:p>
    <w:p w14:paraId="452893A0">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注：每包投标报价不得超出该包的预算（最高限价），否则投标无效。</w:t>
      </w:r>
    </w:p>
    <w:p w14:paraId="7E324ED9">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w:t>
      </w:r>
      <w:r>
        <w:rPr>
          <w:rFonts w:ascii="Times New Roman" w:hAnsi="Times New Roman" w:cs="Times New Roman"/>
          <w:color w:val="auto"/>
          <w:highlight w:val="none"/>
        </w:rPr>
        <w:t>供应商资格要求（实质性要求）</w:t>
      </w:r>
    </w:p>
    <w:p w14:paraId="2FF6162D">
      <w:pPr>
        <w:tabs>
          <w:tab w:val="left" w:pos="210"/>
        </w:tabs>
        <w:autoSpaceDE w:val="0"/>
        <w:autoSpaceDN w:val="0"/>
        <w:adjustRightInd w:val="0"/>
        <w:spacing w:line="560" w:lineRule="exact"/>
        <w:ind w:firstLine="480"/>
        <w:rPr>
          <w:rFonts w:hint="eastAsia" w:ascii="宋体" w:hAnsi="宋体"/>
          <w:color w:val="auto"/>
          <w:sz w:val="24"/>
          <w:szCs w:val="24"/>
          <w:highlight w:val="none"/>
        </w:rPr>
      </w:pPr>
      <w:r>
        <w:rPr>
          <w:rFonts w:hint="eastAsia" w:ascii="宋体" w:hAnsi="宋体"/>
          <w:color w:val="auto"/>
          <w:sz w:val="24"/>
          <w:szCs w:val="24"/>
          <w:highlight w:val="none"/>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color w:val="auto"/>
          <w:sz w:val="24"/>
          <w:szCs w:val="24"/>
          <w:highlight w:val="none"/>
        </w:rPr>
      </w:pP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、本次招标不接受联合体投标。</w:t>
      </w:r>
    </w:p>
    <w:p w14:paraId="3F5A0AD3">
      <w:pPr>
        <w:tabs>
          <w:tab w:val="left" w:pos="900"/>
          <w:tab w:val="left" w:pos="7740"/>
        </w:tabs>
        <w:spacing w:line="5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w:t>
      </w:r>
      <w:r>
        <w:rPr>
          <w:rFonts w:ascii="宋体" w:hAnsi="宋体"/>
          <w:color w:val="auto"/>
          <w:sz w:val="24"/>
          <w:szCs w:val="24"/>
          <w:highlight w:val="none"/>
        </w:rPr>
        <w:t>提交</w:t>
      </w:r>
      <w:r>
        <w:rPr>
          <w:rFonts w:hint="eastAsia" w:ascii="宋体" w:hAnsi="宋体"/>
          <w:color w:val="auto"/>
          <w:sz w:val="24"/>
          <w:szCs w:val="24"/>
          <w:highlight w:val="none"/>
        </w:rPr>
        <w:t>投标</w:t>
      </w:r>
      <w:r>
        <w:rPr>
          <w:rFonts w:ascii="宋体" w:hAnsi="宋体"/>
          <w:color w:val="auto"/>
          <w:sz w:val="24"/>
          <w:szCs w:val="24"/>
          <w:highlight w:val="none"/>
        </w:rPr>
        <w:t>文件截止日前3年在经营活动中没有重大违法记录的书面声明（截至提交响应文件截止日成立不足3年的供应商可提供自成立以来无重大违法记录的书面声明）</w:t>
      </w:r>
      <w:r>
        <w:rPr>
          <w:rFonts w:hint="eastAsia" w:ascii="宋体" w:hAnsi="宋体"/>
          <w:color w:val="auto"/>
          <w:sz w:val="24"/>
          <w:szCs w:val="24"/>
          <w:highlight w:val="none"/>
        </w:rPr>
        <w:t>。</w:t>
      </w:r>
    </w:p>
    <w:p w14:paraId="3E49267C">
      <w:pPr>
        <w:tabs>
          <w:tab w:val="left" w:pos="900"/>
          <w:tab w:val="left" w:pos="7740"/>
        </w:tabs>
        <w:spacing w:line="560" w:lineRule="exact"/>
        <w:ind w:firstLine="480" w:firstLineChars="200"/>
        <w:rPr>
          <w:rFonts w:ascii="宋体" w:hAnsi="宋体"/>
          <w:color w:val="auto"/>
          <w:sz w:val="24"/>
          <w:szCs w:val="24"/>
          <w:highlight w:val="none"/>
        </w:rPr>
      </w:pPr>
      <w:r>
        <w:rPr>
          <w:rFonts w:hint="eastAsia" w:ascii="宋体" w:hAnsi="宋体"/>
          <w:color w:val="auto"/>
          <w:sz w:val="24"/>
          <w:szCs w:val="24"/>
          <w:highlight w:val="none"/>
          <w:lang w:val="en-US" w:eastAsia="zh-CN"/>
        </w:rPr>
        <w:t>4</w:t>
      </w:r>
      <w:r>
        <w:rPr>
          <w:rFonts w:ascii="宋体" w:hAnsi="宋体"/>
          <w:color w:val="auto"/>
          <w:sz w:val="24"/>
          <w:szCs w:val="24"/>
          <w:highlight w:val="none"/>
        </w:rPr>
        <w:t>. 财务状况报告等相关材料：</w:t>
      </w:r>
      <w:r>
        <w:rPr>
          <w:rFonts w:hint="eastAsia" w:ascii="宋体" w:hAnsi="宋体" w:eastAsia="宋体" w:cs="Times New Roman"/>
          <w:color w:val="auto"/>
          <w:sz w:val="24"/>
          <w:highlight w:val="none"/>
        </w:rPr>
        <w:t xml:space="preserve"> A.经第三方会计师事务所审计的</w:t>
      </w:r>
      <w:r>
        <w:rPr>
          <w:rFonts w:hint="eastAsia" w:ascii="宋体" w:hAnsi="宋体" w:eastAsia="宋体" w:cs="Times New Roman"/>
          <w:color w:val="auto"/>
          <w:sz w:val="24"/>
          <w:highlight w:val="none"/>
          <w:lang w:val="en-US" w:eastAsia="zh-CN"/>
        </w:rPr>
        <w:t>2023</w:t>
      </w:r>
      <w:r>
        <w:rPr>
          <w:rFonts w:hint="eastAsia" w:ascii="宋体" w:hAnsi="宋体" w:eastAsia="宋体" w:cs="Times New Roman"/>
          <w:color w:val="auto"/>
          <w:sz w:val="24"/>
          <w:highlight w:val="none"/>
        </w:rPr>
        <w:t>年度</w:t>
      </w:r>
      <w:r>
        <w:rPr>
          <w:rFonts w:hint="eastAsia" w:ascii="宋体" w:hAnsi="宋体" w:eastAsia="宋体" w:cs="Times New Roman"/>
          <w:color w:val="auto"/>
          <w:sz w:val="24"/>
          <w:highlight w:val="none"/>
          <w:lang w:eastAsia="zh-CN"/>
        </w:rPr>
        <w:t>或</w:t>
      </w:r>
      <w:r>
        <w:rPr>
          <w:rFonts w:hint="eastAsia" w:ascii="宋体" w:hAnsi="宋体" w:eastAsia="宋体" w:cs="Times New Roman"/>
          <w:color w:val="auto"/>
          <w:sz w:val="24"/>
          <w:highlight w:val="none"/>
          <w:lang w:val="en-US" w:eastAsia="zh-CN"/>
        </w:rPr>
        <w:t>2024年度的</w:t>
      </w:r>
      <w:r>
        <w:rPr>
          <w:rFonts w:hint="eastAsia" w:ascii="宋体" w:hAnsi="宋体" w:eastAsia="宋体" w:cs="Times New Roman"/>
          <w:color w:val="auto"/>
          <w:sz w:val="24"/>
          <w:highlight w:val="none"/>
        </w:rPr>
        <w:t>财务报告复印件。 B. 202</w:t>
      </w:r>
      <w:r>
        <w:rPr>
          <w:rFonts w:hint="eastAsia" w:ascii="宋体" w:hAnsi="宋体" w:eastAsia="宋体" w:cs="Times New Roman"/>
          <w:color w:val="auto"/>
          <w:sz w:val="24"/>
          <w:highlight w:val="none"/>
          <w:lang w:val="en-US" w:eastAsia="zh-CN"/>
        </w:rPr>
        <w:t>3</w:t>
      </w:r>
      <w:r>
        <w:rPr>
          <w:rFonts w:hint="eastAsia" w:ascii="宋体" w:hAnsi="宋体" w:eastAsia="宋体" w:cs="Times New Roman"/>
          <w:color w:val="auto"/>
          <w:sz w:val="24"/>
          <w:highlight w:val="none"/>
        </w:rPr>
        <w:t>年度至今银行出具的</w:t>
      </w:r>
      <w:r>
        <w:rPr>
          <w:rFonts w:hint="eastAsia" w:ascii="宋体" w:hAnsi="宋体" w:eastAsia="宋体" w:cs="Times New Roman"/>
          <w:color w:val="auto"/>
          <w:sz w:val="24"/>
          <w:highlight w:val="none"/>
          <w:lang w:eastAsia="zh-CN"/>
        </w:rPr>
        <w:t>至少一年的</w:t>
      </w:r>
      <w:r>
        <w:rPr>
          <w:rFonts w:hint="eastAsia" w:ascii="宋体" w:hAnsi="宋体" w:eastAsia="宋体" w:cs="Times New Roman"/>
          <w:color w:val="auto"/>
          <w:sz w:val="24"/>
          <w:highlight w:val="none"/>
        </w:rPr>
        <w:t>资信证明复印件。 注：A、B两项提供任意一项均可。</w:t>
      </w:r>
    </w:p>
    <w:p w14:paraId="2F6BF865">
      <w:pPr>
        <w:tabs>
          <w:tab w:val="left" w:pos="900"/>
          <w:tab w:val="left" w:pos="7740"/>
        </w:tabs>
        <w:spacing w:line="5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w:t>
      </w:r>
      <w:r>
        <w:rPr>
          <w:rFonts w:hint="eastAsia" w:ascii="宋体" w:hAnsi="宋体"/>
          <w:color w:val="auto"/>
          <w:sz w:val="24"/>
          <w:highlight w:val="none"/>
        </w:rPr>
        <w:t>202</w:t>
      </w:r>
      <w:r>
        <w:rPr>
          <w:rFonts w:hint="eastAsia" w:ascii="宋体" w:hAnsi="宋体"/>
          <w:color w:val="auto"/>
          <w:sz w:val="24"/>
          <w:highlight w:val="none"/>
          <w:lang w:val="en-US" w:eastAsia="zh-CN"/>
        </w:rPr>
        <w:t>4</w:t>
      </w:r>
      <w:r>
        <w:rPr>
          <w:rFonts w:hint="eastAsia" w:ascii="宋体" w:hAnsi="宋体"/>
          <w:color w:val="auto"/>
          <w:sz w:val="24"/>
          <w:highlight w:val="none"/>
        </w:rPr>
        <w:t>年度至今至少1个月的依法缴纳税收和社会保险费的相关证明材料复印件。（依法免税或不需要缴纳社会保障资金的供应商，应提供相应证明其依法免税或不需要缴纳社会保障资金的材料）</w:t>
      </w:r>
      <w:r>
        <w:rPr>
          <w:rFonts w:ascii="宋体" w:hAnsi="宋体"/>
          <w:color w:val="auto"/>
          <w:sz w:val="24"/>
          <w:szCs w:val="24"/>
          <w:highlight w:val="none"/>
        </w:rPr>
        <w:t>。</w:t>
      </w:r>
    </w:p>
    <w:p w14:paraId="7A3B6E84">
      <w:pPr>
        <w:tabs>
          <w:tab w:val="left" w:pos="210"/>
        </w:tabs>
        <w:autoSpaceDE w:val="0"/>
        <w:autoSpaceDN w:val="0"/>
        <w:adjustRightInd w:val="0"/>
        <w:spacing w:line="560" w:lineRule="exact"/>
        <w:ind w:firstLine="480"/>
        <w:rPr>
          <w:rFonts w:ascii="宋体" w:hAnsi="宋体" w:eastAsia="宋体" w:cs="Times New Roman"/>
          <w:color w:val="auto"/>
          <w:sz w:val="24"/>
          <w:szCs w:val="24"/>
          <w:highlight w:val="none"/>
        </w:rPr>
      </w:pP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w:t>
      </w:r>
      <w:r>
        <w:rPr>
          <w:rFonts w:hint="eastAsia" w:ascii="宋体" w:hAnsi="宋体" w:eastAsia="宋体" w:cs="Times New Roman"/>
          <w:color w:val="auto"/>
          <w:sz w:val="24"/>
          <w:szCs w:val="24"/>
          <w:highlight w:val="none"/>
        </w:rPr>
        <w:t>本项目仅限中、小微企业、监狱企业、残疾人福利性单位参与，投标人须提供《中小企业声明函》或《残疾人福利性单位声明函》或属于监狱企业的证明文件。</w:t>
      </w:r>
    </w:p>
    <w:p w14:paraId="734AB459">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178374F">
      <w:pPr>
        <w:autoSpaceDE w:val="0"/>
        <w:autoSpaceDN w:val="0"/>
        <w:adjustRightInd w:val="0"/>
        <w:spacing w:line="360" w:lineRule="auto"/>
        <w:ind w:firstLine="480" w:firstLineChars="200"/>
        <w:rPr>
          <w:rFonts w:ascii="Times New Roman" w:hAnsi="Times New Roman" w:eastAsia="宋体" w:cs="Times New Roman"/>
          <w:color w:val="auto"/>
          <w:sz w:val="24"/>
          <w:szCs w:val="24"/>
          <w:highlight w:val="none"/>
        </w:rPr>
      </w:pPr>
      <w:bookmarkStart w:id="1" w:name="_Toc412903615"/>
      <w:r>
        <w:rPr>
          <w:rFonts w:hint="eastAsia" w:ascii="Times New Roman" w:hAnsi="Times New Roman" w:eastAsia="宋体" w:cs="Times New Roman"/>
          <w:color w:val="auto"/>
          <w:sz w:val="24"/>
          <w:szCs w:val="24"/>
          <w:highlight w:val="none"/>
        </w:rPr>
        <w:t>（一）按照国家节能环保政策执行。</w:t>
      </w:r>
    </w:p>
    <w:p w14:paraId="5525A35D">
      <w:pPr>
        <w:tabs>
          <w:tab w:val="left" w:pos="900"/>
          <w:tab w:val="left" w:pos="7740"/>
        </w:tabs>
        <w:spacing w:line="56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（二）本项目仅限中、小微企业、监狱企业、残疾人福利性单位参与，投标人须提供《中小企业声明函》或《残疾人福利性单位声明函》或属于监狱企业的证明文件。</w:t>
      </w:r>
    </w:p>
    <w:p w14:paraId="46EE1676">
      <w:pPr>
        <w:tabs>
          <w:tab w:val="left" w:pos="900"/>
          <w:tab w:val="left" w:pos="7740"/>
        </w:tabs>
        <w:spacing w:line="560" w:lineRule="exact"/>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color w:val="auto"/>
          <w:sz w:val="24"/>
          <w:szCs w:val="24"/>
          <w:highlight w:val="none"/>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w:t>
      </w:r>
      <w:r>
        <w:rPr>
          <w:rFonts w:hint="eastAsia" w:ascii="宋体" w:hAnsi="宋体" w:eastAsia="宋体" w:cs="Times New Roman"/>
          <w:sz w:val="24"/>
          <w:szCs w:val="24"/>
        </w:rPr>
        <w:t>不符合《中华人民共和国政府采购法》第二十二条规定条件的供应商，拒绝参与政府采购活动，同时对信用信息查询记录和证据进行打印存档</w:t>
      </w:r>
      <w:r>
        <w:rPr>
          <w:rFonts w:ascii="宋体" w:hAnsi="宋体" w:eastAsia="宋体" w:cs="Times New Roman"/>
          <w:sz w:val="24"/>
          <w:szCs w:val="24"/>
        </w:rPr>
        <w:t>。</w:t>
      </w:r>
    </w:p>
    <w:p w14:paraId="2703933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C74E67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ascii="Times New Roman" w:hAnsi="Times New Roman" w:eastAsia="宋体" w:cs="Times New Roman"/>
          <w:color w:val="auto"/>
          <w:highlight w:val="none"/>
        </w:rPr>
        <w:t>，每</w:t>
      </w:r>
      <w:r>
        <w:rPr>
          <w:rFonts w:ascii="Times New Roman" w:hAnsi="Times New Roman" w:eastAsia="宋体" w:cs="Times New Roman"/>
          <w:color w:val="auto"/>
        </w:rPr>
        <w:t>日9:00至17:00（北京时间，法定节假日除外）。</w:t>
      </w:r>
    </w:p>
    <w:p w14:paraId="50353A1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5"/>
          <w:rFonts w:hint="eastAsia" w:ascii="Times New Roman" w:hAnsi="Times New Roman" w:eastAsia="宋体" w:cs="Times New Roman"/>
          <w:color w:val="auto"/>
        </w:rPr>
        <w:t>http://tjgpc.zwfwb.tj.gov.cn</w:t>
      </w:r>
      <w:r>
        <w:rPr>
          <w:rStyle w:val="55"/>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1"/>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highlight w:val="none"/>
        </w:rPr>
        <w:t>使</w:t>
      </w:r>
      <w:r>
        <w:rPr>
          <w:rFonts w:ascii="Times New Roman" w:hAnsi="Times New Roman" w:eastAsia="宋体" w:cs="Times New Roman"/>
          <w:color w:val="auto"/>
        </w:rPr>
        <w:t>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w:t>
      </w:r>
      <w:r>
        <w:rPr>
          <w:rFonts w:ascii="Times New Roman" w:hAnsi="Times New Roman" w:eastAsia="宋体" w:cs="Times New Roman"/>
          <w:color w:val="auto"/>
        </w:rPr>
        <w:t>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bookmarkStart w:id="4" w:name="_GoBack"/>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投</w:t>
      </w:r>
      <w:bookmarkEnd w:id="4"/>
      <w:r>
        <w:rPr>
          <w:rFonts w:hint="eastAsia" w:ascii="Times New Roman" w:hAnsi="Times New Roman" w:eastAsia="宋体" w:cs="Times New Roman"/>
          <w:color w:val="auto"/>
        </w:rPr>
        <w:t>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13B2137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834BD4">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022-27391646</w:t>
      </w:r>
    </w:p>
    <w:p w14:paraId="07E0CBFE">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天津市西青区城市管理委员会</w:t>
      </w:r>
    </w:p>
    <w:p w14:paraId="5AFE1875">
      <w:pPr>
        <w:pStyle w:val="61"/>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7C794267">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王鑫</w:t>
      </w:r>
    </w:p>
    <w:p w14:paraId="04277754">
      <w:pPr>
        <w:pStyle w:val="61"/>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 xml:space="preserve">（四）采购人联系电话： </w:t>
      </w:r>
      <w:r>
        <w:rPr>
          <w:rFonts w:hint="eastAsia" w:ascii="Times New Roman" w:hAnsi="Times New Roman" w:eastAsia="宋体" w:cs="Times New Roman"/>
          <w:color w:val="auto"/>
          <w:highlight w:val="none"/>
          <w:lang w:val="en-US" w:eastAsia="zh-CN"/>
        </w:rPr>
        <w:t>022-27391646</w:t>
      </w:r>
    </w:p>
    <w:p w14:paraId="7C31FCF7">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50E9A7">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9682F75">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天津市西青区城市管理委员会</w:t>
      </w:r>
    </w:p>
    <w:p w14:paraId="315280ED">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612FADF4">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王鑫</w:t>
      </w:r>
    </w:p>
    <w:p w14:paraId="35D18727">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022-27391646</w:t>
      </w:r>
    </w:p>
    <w:p w14:paraId="21050C4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（二）供应商对质疑答复不满意的，或者采购人、天津市</w:t>
      </w:r>
      <w:r>
        <w:rPr>
          <w:rFonts w:hint="eastAsia" w:ascii="Times New Roman" w:hAnsi="Times New Roman" w:eastAsia="宋体" w:cs="Times New Roman"/>
          <w:color w:val="auto"/>
        </w:rPr>
        <w:t>西青区政府采购中心未在规定期限内作出答复的，供应商可以在质疑答复期满后15个工作日内，向采购人同级财政部门提出投诉，逾期不予受理。</w:t>
      </w:r>
    </w:p>
    <w:p w14:paraId="2C80DBA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1"/>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1"/>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color w:val="auto"/>
          <w:sz w:val="24"/>
        </w:rPr>
      </w:pPr>
      <w:r>
        <w:rPr>
          <w:color w:val="auto"/>
          <w:sz w:val="24"/>
        </w:rPr>
        <w:t>（一）报价要求</w:t>
      </w:r>
    </w:p>
    <w:p w14:paraId="2833C85B">
      <w:pPr>
        <w:autoSpaceDE w:val="0"/>
        <w:autoSpaceDN w:val="0"/>
        <w:adjustRightInd w:val="0"/>
        <w:spacing w:line="360" w:lineRule="auto"/>
        <w:ind w:firstLine="480" w:firstLineChars="200"/>
        <w:rPr>
          <w:color w:val="auto"/>
          <w:sz w:val="24"/>
        </w:rPr>
      </w:pPr>
      <w:r>
        <w:rPr>
          <w:color w:val="auto"/>
          <w:sz w:val="24"/>
        </w:rPr>
        <w:t>1. 投标报价以人民币填列。</w:t>
      </w:r>
    </w:p>
    <w:p w14:paraId="29FE3E65">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43CE833D">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184431DC">
      <w:pPr>
        <w:autoSpaceDE w:val="0"/>
        <w:autoSpaceDN w:val="0"/>
        <w:adjustRightInd w:val="0"/>
        <w:spacing w:line="360" w:lineRule="auto"/>
        <w:ind w:firstLine="480" w:firstLineChars="200"/>
        <w:rPr>
          <w:color w:val="auto"/>
          <w:sz w:val="24"/>
        </w:rPr>
      </w:pPr>
      <w:r>
        <w:rPr>
          <w:color w:val="auto"/>
          <w:sz w:val="24"/>
        </w:rPr>
        <w:t>（二）服务要求</w:t>
      </w:r>
    </w:p>
    <w:p w14:paraId="338810DF">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4DC43A90">
      <w:pPr>
        <w:autoSpaceDE w:val="0"/>
        <w:autoSpaceDN w:val="0"/>
        <w:adjustRightInd w:val="0"/>
        <w:spacing w:line="360" w:lineRule="auto"/>
        <w:ind w:firstLine="480" w:firstLineChars="200"/>
        <w:rPr>
          <w:rFonts w:hint="eastAsia"/>
          <w:color w:val="auto"/>
          <w:sz w:val="24"/>
        </w:rPr>
      </w:pPr>
      <w:r>
        <w:rPr>
          <w:rFonts w:hint="eastAsia"/>
          <w:color w:val="auto"/>
          <w:sz w:val="24"/>
        </w:rPr>
        <w:t>2、中标后，中标供应商及其委派的服务人员须与采购人就数据信息安全等内容签署保密协议。</w:t>
      </w:r>
    </w:p>
    <w:p w14:paraId="48F4704B">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3、</w:t>
      </w:r>
      <w:r>
        <w:rPr>
          <w:rFonts w:hint="eastAsia" w:ascii="Times New Roman" w:hAnsi="Times New Roman" w:eastAsia="宋体" w:cs="Times New Roman"/>
          <w:color w:val="auto"/>
          <w:kern w:val="2"/>
          <w:sz w:val="24"/>
          <w:lang w:val="en-US" w:eastAsia="zh-CN" w:bidi="ar-SA"/>
        </w:rPr>
        <w:t>合同期内，如报价人开展新的优惠活动的，应向采购人提供不低于其他用户的优惠服务。</w:t>
      </w:r>
    </w:p>
    <w:p w14:paraId="000B35D7">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4、</w:t>
      </w:r>
      <w:r>
        <w:rPr>
          <w:rFonts w:hint="eastAsia" w:ascii="Times New Roman" w:hAnsi="Times New Roman" w:eastAsia="宋体" w:cs="Times New Roman"/>
          <w:color w:val="auto"/>
          <w:kern w:val="2"/>
          <w:sz w:val="24"/>
          <w:lang w:val="en-US" w:eastAsia="zh-CN" w:bidi="ar-SA"/>
        </w:rPr>
        <w:t>除采购人提出的各项要求外，供应商可根据自身条件，说明可提供的其他优惠或特色服务。</w:t>
      </w:r>
    </w:p>
    <w:p w14:paraId="184BFE46">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5、</w:t>
      </w:r>
      <w:r>
        <w:rPr>
          <w:rFonts w:hint="eastAsia" w:ascii="Times New Roman" w:hAnsi="Times New Roman" w:eastAsia="宋体" w:cs="Times New Roman"/>
          <w:color w:val="auto"/>
          <w:kern w:val="2"/>
          <w:sz w:val="24"/>
          <w:lang w:val="en-US" w:eastAsia="zh-CN" w:bidi="ar-SA"/>
        </w:rPr>
        <w:t>本项目在到期后进行财务决算或审计；承包企业须完全配合审计工作，提供采购人要求的财务、业务凭证。</w:t>
      </w:r>
    </w:p>
    <w:p w14:paraId="00D8CD9F">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6、</w:t>
      </w:r>
      <w:r>
        <w:rPr>
          <w:rFonts w:hint="eastAsia" w:ascii="Times New Roman" w:hAnsi="Times New Roman" w:eastAsia="宋体" w:cs="Times New Roman"/>
          <w:color w:val="auto"/>
          <w:kern w:val="2"/>
          <w:sz w:val="24"/>
          <w:lang w:val="en-US" w:eastAsia="zh-CN" w:bidi="ar-SA"/>
        </w:rPr>
        <w:t>供应商报价包含维修服务内或因维修服务所产生的一切费用。</w:t>
      </w:r>
    </w:p>
    <w:p w14:paraId="1ED4A6EC">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7、</w:t>
      </w:r>
      <w:r>
        <w:rPr>
          <w:rFonts w:hint="eastAsia" w:ascii="Times New Roman" w:hAnsi="Times New Roman" w:eastAsia="宋体" w:cs="Times New Roman"/>
          <w:color w:val="auto"/>
          <w:kern w:val="2"/>
          <w:sz w:val="24"/>
          <w:lang w:val="en-US" w:eastAsia="zh-CN" w:bidi="ar-SA"/>
        </w:rPr>
        <w:t>承包企业未按采购人要求进行维修服务的、或维修后未达到质保条件的，每发生一例扣除5000元合同款，累计5例采购人有权解除合同并拒绝支付任何费用。</w:t>
      </w:r>
    </w:p>
    <w:p w14:paraId="7C91D4D6">
      <w:pPr>
        <w:pStyle w:val="19"/>
        <w:ind w:firstLine="480" w:firstLineChars="200"/>
        <w:rPr>
          <w:rFonts w:hint="eastAsia" w:ascii="Times New Roman" w:hAnsi="Times New Roman" w:eastAsia="宋体" w:cs="Times New Roman"/>
          <w:color w:val="auto"/>
          <w:kern w:val="2"/>
          <w:sz w:val="24"/>
          <w:lang w:val="en-US" w:eastAsia="zh-CN" w:bidi="ar-SA"/>
        </w:rPr>
      </w:pPr>
      <w:r>
        <w:rPr>
          <w:rFonts w:hint="eastAsia" w:cs="Times New Roman"/>
          <w:color w:val="auto"/>
          <w:kern w:val="2"/>
          <w:sz w:val="24"/>
          <w:lang w:val="en-US" w:eastAsia="zh-CN" w:bidi="ar-SA"/>
        </w:rPr>
        <w:t>8、</w:t>
      </w:r>
      <w:r>
        <w:rPr>
          <w:rFonts w:hint="eastAsia" w:ascii="Times New Roman" w:hAnsi="Times New Roman" w:eastAsia="宋体" w:cs="Times New Roman"/>
          <w:color w:val="auto"/>
          <w:kern w:val="2"/>
          <w:sz w:val="24"/>
          <w:lang w:val="en-US" w:eastAsia="zh-CN" w:bidi="ar-SA"/>
        </w:rPr>
        <w:t>如采购人购置新车辆或报废旧车辆，则根据汽车数量同比例对合同总额进行增减（例 2026年6月份采购人购置一年新车，无论电车或油车，则本年合同额增加 合同额/157辆*0.5年 的金额，2027年合同额增加 合同额/157辆 的金额，具体以合同为准）</w:t>
      </w:r>
    </w:p>
    <w:p w14:paraId="0C5A0C12">
      <w:pPr>
        <w:autoSpaceDE w:val="0"/>
        <w:autoSpaceDN w:val="0"/>
        <w:adjustRightInd w:val="0"/>
        <w:spacing w:line="360" w:lineRule="auto"/>
        <w:ind w:firstLine="480" w:firstLineChars="200"/>
        <w:rPr>
          <w:color w:val="auto"/>
          <w:sz w:val="24"/>
        </w:rPr>
      </w:pPr>
      <w:r>
        <w:rPr>
          <w:color w:val="auto"/>
          <w:sz w:val="24"/>
        </w:rPr>
        <w:t>（三）时间、地点要求</w:t>
      </w:r>
    </w:p>
    <w:p w14:paraId="1C7B97B6">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2026年1月1日-2027年12月31日</w:t>
      </w:r>
      <w:r>
        <w:rPr>
          <w:color w:val="auto"/>
          <w:sz w:val="24"/>
        </w:rPr>
        <w:t>。</w:t>
      </w:r>
    </w:p>
    <w:p w14:paraId="6D5E9C8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eastAsia="zh-CN"/>
        </w:rPr>
        <w:t>天津市西青区城市管理委员会</w:t>
      </w:r>
      <w:r>
        <w:rPr>
          <w:color w:val="auto"/>
          <w:sz w:val="24"/>
        </w:rPr>
        <w:t>（特殊情况以合同为准）。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6C727CDA">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维修后次月支付相关维修费。</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92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
        <w:gridCol w:w="1490"/>
        <w:gridCol w:w="6382"/>
        <w:gridCol w:w="890"/>
      </w:tblGrid>
      <w:tr w14:paraId="5CE8F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8329" w:type="dxa"/>
            <w:gridSpan w:val="3"/>
            <w:noWrap w:val="0"/>
            <w:vAlign w:val="center"/>
          </w:tcPr>
          <w:p w14:paraId="5D91650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 xml:space="preserve"> 第一部分 价格（20分）</w:t>
            </w:r>
          </w:p>
        </w:tc>
        <w:tc>
          <w:tcPr>
            <w:tcW w:w="890" w:type="dxa"/>
            <w:noWrap w:val="0"/>
            <w:vAlign w:val="center"/>
          </w:tcPr>
          <w:p w14:paraId="262EB40B">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分值</w:t>
            </w:r>
          </w:p>
        </w:tc>
      </w:tr>
      <w:tr w14:paraId="43FC5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noWrap w:val="0"/>
            <w:vAlign w:val="center"/>
          </w:tcPr>
          <w:p w14:paraId="578A0C2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1</w:t>
            </w:r>
          </w:p>
        </w:tc>
        <w:tc>
          <w:tcPr>
            <w:tcW w:w="1490" w:type="dxa"/>
            <w:noWrap w:val="0"/>
            <w:vAlign w:val="center"/>
          </w:tcPr>
          <w:p w14:paraId="0FC4AB5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价格</w:t>
            </w:r>
          </w:p>
        </w:tc>
        <w:tc>
          <w:tcPr>
            <w:tcW w:w="6382" w:type="dxa"/>
            <w:noWrap w:val="0"/>
            <w:vAlign w:val="center"/>
          </w:tcPr>
          <w:p w14:paraId="5A40423A">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（1）投标报价超过采购预算的，投标无效，未超过采购预算的投标报价按以下公式进行计算：</w:t>
            </w:r>
          </w:p>
          <w:p w14:paraId="0BD2E59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（2）投标报价得分=（评标基准价/投标报价）×20。</w:t>
            </w:r>
          </w:p>
          <w:p w14:paraId="38A80B8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注：满足招标文件要求且投标报价最低的投标报价为评标基准价。</w:t>
            </w:r>
          </w:p>
        </w:tc>
        <w:tc>
          <w:tcPr>
            <w:tcW w:w="890" w:type="dxa"/>
            <w:noWrap w:val="0"/>
            <w:vAlign w:val="center"/>
          </w:tcPr>
          <w:p w14:paraId="6AE4575B">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20分</w:t>
            </w:r>
          </w:p>
        </w:tc>
      </w:tr>
      <w:tr w14:paraId="35BD5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329" w:type="dxa"/>
            <w:gridSpan w:val="3"/>
            <w:noWrap w:val="0"/>
            <w:vAlign w:val="bottom"/>
          </w:tcPr>
          <w:p w14:paraId="7CE3FF4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第二部分 客观分（40分）</w:t>
            </w:r>
          </w:p>
        </w:tc>
        <w:tc>
          <w:tcPr>
            <w:tcW w:w="890" w:type="dxa"/>
            <w:noWrap w:val="0"/>
            <w:vAlign w:val="center"/>
          </w:tcPr>
          <w:p w14:paraId="0CE807F5">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分值</w:t>
            </w:r>
          </w:p>
        </w:tc>
      </w:tr>
      <w:tr w14:paraId="7794F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7" w:type="dxa"/>
            <w:noWrap w:val="0"/>
            <w:vAlign w:val="center"/>
          </w:tcPr>
          <w:p w14:paraId="2B8735B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1</w:t>
            </w:r>
          </w:p>
        </w:tc>
        <w:tc>
          <w:tcPr>
            <w:tcW w:w="1490" w:type="dxa"/>
            <w:noWrap w:val="0"/>
            <w:vAlign w:val="center"/>
          </w:tcPr>
          <w:p w14:paraId="6A9017A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投标人业绩</w:t>
            </w:r>
          </w:p>
        </w:tc>
        <w:tc>
          <w:tcPr>
            <w:tcW w:w="6382" w:type="dxa"/>
            <w:noWrap w:val="0"/>
            <w:vAlign w:val="center"/>
          </w:tcPr>
          <w:p w14:paraId="66BDDF4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完全按照以下要求提供车辆维修保养且已完成的业绩，提供的证明材料均不得遮挡涂黑，否则不予认定加分。</w:t>
            </w:r>
          </w:p>
          <w:p w14:paraId="112935D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A. 合同原件复印件。包括合同金额、买卖双方名称及盖章、服务内容。</w:t>
            </w:r>
          </w:p>
          <w:p w14:paraId="7B4488D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B. 上述合同履行良好的相关证明材料原件复印件（加盖上述合同用户单位公章或上述合同用户印章）。</w:t>
            </w:r>
          </w:p>
          <w:p w14:paraId="23909C1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每个业绩2分，最高6分。</w:t>
            </w:r>
          </w:p>
        </w:tc>
        <w:tc>
          <w:tcPr>
            <w:tcW w:w="890" w:type="dxa"/>
            <w:noWrap w:val="0"/>
            <w:vAlign w:val="center"/>
          </w:tcPr>
          <w:p w14:paraId="2B033904">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6分</w:t>
            </w:r>
          </w:p>
        </w:tc>
      </w:tr>
      <w:tr w14:paraId="4D2C7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jc w:val="center"/>
        </w:trPr>
        <w:tc>
          <w:tcPr>
            <w:tcW w:w="457" w:type="dxa"/>
            <w:noWrap w:val="0"/>
            <w:vAlign w:val="center"/>
          </w:tcPr>
          <w:p w14:paraId="73F7A3BD">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2</w:t>
            </w:r>
          </w:p>
        </w:tc>
        <w:tc>
          <w:tcPr>
            <w:tcW w:w="1490" w:type="dxa"/>
            <w:noWrap w:val="0"/>
            <w:vAlign w:val="center"/>
          </w:tcPr>
          <w:p w14:paraId="193C9CD7">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拟投入的维修设备评价</w:t>
            </w:r>
          </w:p>
        </w:tc>
        <w:tc>
          <w:tcPr>
            <w:tcW w:w="6382" w:type="dxa"/>
            <w:noWrap w:val="0"/>
            <w:vAlign w:val="center"/>
          </w:tcPr>
          <w:p w14:paraId="39AA4A5D">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拟投入的举升机、烤漆房，大梁校正、四轮定位、扒带机、动平衡机，提供现场设备照片、设备购置发票或租赁协议扫描件并加盖供应商公章，提供一台设备得1分，最多得3分；</w:t>
            </w:r>
          </w:p>
        </w:tc>
        <w:tc>
          <w:tcPr>
            <w:tcW w:w="890" w:type="dxa"/>
            <w:noWrap w:val="0"/>
            <w:vAlign w:val="center"/>
          </w:tcPr>
          <w:p w14:paraId="6C9D5271">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3分</w:t>
            </w:r>
          </w:p>
        </w:tc>
      </w:tr>
      <w:tr w14:paraId="7C280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57" w:type="dxa"/>
            <w:noWrap w:val="0"/>
            <w:vAlign w:val="center"/>
          </w:tcPr>
          <w:p w14:paraId="6BEEE55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3</w:t>
            </w:r>
          </w:p>
        </w:tc>
        <w:tc>
          <w:tcPr>
            <w:tcW w:w="1490" w:type="dxa"/>
            <w:noWrap w:val="0"/>
            <w:vAlign w:val="center"/>
          </w:tcPr>
          <w:p w14:paraId="11FCA5AA">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投标人拟投入维修人员评价</w:t>
            </w:r>
          </w:p>
        </w:tc>
        <w:tc>
          <w:tcPr>
            <w:tcW w:w="6382" w:type="dxa"/>
            <w:noWrap w:val="0"/>
            <w:vAlign w:val="center"/>
          </w:tcPr>
          <w:p w14:paraId="63E9C446">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拟投入维修人员为投标单位正式员工，提供维修人员姓名及开标前至少1个月由投标单位或其分公司为其缴纳的社会保险证明扫描件并加盖供应商公章，否则不予认定加分。满足上述要求的，提供拟投入维修人员的《职业资格证书（汽车维修工）》扫描件并加盖供应商公章：</w:t>
            </w:r>
          </w:p>
          <w:p w14:paraId="20B0C5A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具备3名及3名以上中高级（中级及以上）汽修工：每个合格的证书扫描件得1分；</w:t>
            </w:r>
          </w:p>
        </w:tc>
        <w:tc>
          <w:tcPr>
            <w:tcW w:w="890" w:type="dxa"/>
            <w:noWrap w:val="0"/>
            <w:vAlign w:val="center"/>
          </w:tcPr>
          <w:p w14:paraId="624F7C62">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rPr>
              <w:t>3分</w:t>
            </w:r>
          </w:p>
        </w:tc>
      </w:tr>
      <w:tr w14:paraId="2BF68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57" w:type="dxa"/>
            <w:noWrap w:val="0"/>
            <w:vAlign w:val="center"/>
          </w:tcPr>
          <w:p w14:paraId="4CD774E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4</w:t>
            </w:r>
          </w:p>
        </w:tc>
        <w:tc>
          <w:tcPr>
            <w:tcW w:w="1490" w:type="dxa"/>
            <w:noWrap w:val="0"/>
            <w:vAlign w:val="center"/>
          </w:tcPr>
          <w:p w14:paraId="49B1363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投标人救援车辆评价</w:t>
            </w:r>
          </w:p>
        </w:tc>
        <w:tc>
          <w:tcPr>
            <w:tcW w:w="6382" w:type="dxa"/>
            <w:noWrap w:val="0"/>
            <w:vAlign w:val="center"/>
          </w:tcPr>
          <w:p w14:paraId="26CAC3E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自有车辆：提供机动车行驶证及机动车登记证书（至少包括：注册登记摘要登记信息栏、转移摘要登记信息栏、注册机动车登记信息栏）复印件（所有人应为投标单位）；</w:t>
            </w:r>
          </w:p>
          <w:p w14:paraId="6D95100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租赁车辆：提供机动车行驶证及机动车登记证书（至少包括：注册登记摘要登记信息栏、转移摘要登记信息栏、注册机动车登记信息栏）复印件和租赁合同或合作协议复印件；</w:t>
            </w:r>
          </w:p>
          <w:p w14:paraId="2424B1DF">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每提供1个合格的车辆证明材料得2分，最多6分。</w:t>
            </w:r>
          </w:p>
        </w:tc>
        <w:tc>
          <w:tcPr>
            <w:tcW w:w="890" w:type="dxa"/>
            <w:noWrap w:val="0"/>
            <w:vAlign w:val="center"/>
          </w:tcPr>
          <w:p w14:paraId="06D48CF7">
            <w:pPr>
              <w:widowControl/>
              <w:jc w:val="center"/>
              <w:rPr>
                <w:rFonts w:hint="eastAsia" w:ascii="宋体" w:hAnsi="宋体" w:eastAsia="宋体" w:cs="宋体"/>
                <w:kern w:val="0"/>
                <w:sz w:val="24"/>
                <w:szCs w:val="24"/>
              </w:rPr>
            </w:pPr>
            <w:r>
              <w:rPr>
                <w:rFonts w:hint="eastAsia" w:ascii="宋体" w:hAnsi="宋体" w:eastAsia="宋体" w:cs="Times New Roman"/>
                <w:kern w:val="0"/>
                <w:szCs w:val="21"/>
              </w:rPr>
              <w:t>6分</w:t>
            </w:r>
          </w:p>
        </w:tc>
      </w:tr>
      <w:tr w14:paraId="4ED85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57" w:type="dxa"/>
            <w:noWrap w:val="0"/>
            <w:vAlign w:val="center"/>
          </w:tcPr>
          <w:p w14:paraId="49B9B7D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5</w:t>
            </w:r>
          </w:p>
        </w:tc>
        <w:tc>
          <w:tcPr>
            <w:tcW w:w="1490" w:type="dxa"/>
            <w:noWrap w:val="0"/>
            <w:vAlign w:val="center"/>
          </w:tcPr>
          <w:p w14:paraId="355DE3F7">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投标人场地评价</w:t>
            </w:r>
          </w:p>
        </w:tc>
        <w:tc>
          <w:tcPr>
            <w:tcW w:w="6382" w:type="dxa"/>
            <w:noWrap w:val="0"/>
            <w:vAlign w:val="center"/>
          </w:tcPr>
          <w:p w14:paraId="7F08DA1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投标文件中提供自有或租赁的维修厂房和停车场整体面积、实景照片的证明材料，</w:t>
            </w:r>
          </w:p>
          <w:p w14:paraId="59D8228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维修厂房和停车场＞5000平方米，得6分；</w:t>
            </w:r>
          </w:p>
          <w:p w14:paraId="37FF8537">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4000平方米＜维修厂房和停车场≤5000平方米，得4分；</w:t>
            </w:r>
          </w:p>
          <w:p w14:paraId="36BF8EB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3000平方米＜维修厂房和停车场整体面积≤4000平方米，得2分；</w:t>
            </w:r>
          </w:p>
          <w:p w14:paraId="34E5FA0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维修厂房和停车场整体面积≤3000平方米，不得分；</w:t>
            </w:r>
          </w:p>
          <w:p w14:paraId="1DC70FD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注：证明材料是指：</w:t>
            </w:r>
          </w:p>
          <w:p w14:paraId="41320FD6">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自有场地：提供场地产权证明文件复印件（所有权人应为投标单位），否则不予认定得分；</w:t>
            </w:r>
          </w:p>
          <w:p w14:paraId="0E2FF217">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租赁场地：提供产权证明文件复印件和满足本项目服务时间要求且与房屋所有权人一致的租赁合同复印件，否则不予认定得分。</w:t>
            </w:r>
          </w:p>
        </w:tc>
        <w:tc>
          <w:tcPr>
            <w:tcW w:w="890" w:type="dxa"/>
            <w:noWrap w:val="0"/>
            <w:vAlign w:val="center"/>
          </w:tcPr>
          <w:p w14:paraId="7879F232">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6分</w:t>
            </w:r>
          </w:p>
        </w:tc>
      </w:tr>
      <w:tr w14:paraId="4CA86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457" w:type="dxa"/>
            <w:noWrap w:val="0"/>
            <w:vAlign w:val="center"/>
          </w:tcPr>
          <w:p w14:paraId="4D9B9FDA">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6</w:t>
            </w:r>
          </w:p>
        </w:tc>
        <w:tc>
          <w:tcPr>
            <w:tcW w:w="1490" w:type="dxa"/>
            <w:noWrap w:val="0"/>
            <w:vAlign w:val="center"/>
          </w:tcPr>
          <w:p w14:paraId="790F603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维修便捷服务评价</w:t>
            </w:r>
          </w:p>
        </w:tc>
        <w:tc>
          <w:tcPr>
            <w:tcW w:w="6382" w:type="dxa"/>
            <w:noWrap w:val="0"/>
            <w:vAlign w:val="center"/>
          </w:tcPr>
          <w:p w14:paraId="5627FAEA">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提供投标人维修服务地点（第五项“投标人场地评价”已提供合格证明材料）与采购人的机动车驾车行驶距离显示图（提供百度地图或高德地图显示的路线距离截图），否则不予认定给分：</w:t>
            </w:r>
          </w:p>
          <w:p w14:paraId="5194271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距离为15公里以内（含10公里），得8分；</w:t>
            </w:r>
          </w:p>
          <w:p w14:paraId="3A514CA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距离为15-20公里（含20公里），得4分；</w:t>
            </w:r>
          </w:p>
          <w:p w14:paraId="024B621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其他得0分。</w:t>
            </w:r>
          </w:p>
          <w:p w14:paraId="6562EF6D">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采购人停车场位置参照：西青消防支队西南侧400米</w:t>
            </w:r>
          </w:p>
        </w:tc>
        <w:tc>
          <w:tcPr>
            <w:tcW w:w="890" w:type="dxa"/>
            <w:noWrap w:val="0"/>
            <w:vAlign w:val="center"/>
          </w:tcPr>
          <w:p w14:paraId="75E5A182">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lang w:val="en-US" w:eastAsia="zh-CN"/>
              </w:rPr>
              <w:t>8</w:t>
            </w:r>
            <w:r>
              <w:rPr>
                <w:rFonts w:hint="eastAsia" w:ascii="宋体" w:hAnsi="宋体" w:eastAsia="宋体" w:cs="Times New Roman"/>
                <w:kern w:val="0"/>
                <w:szCs w:val="21"/>
              </w:rPr>
              <w:t>分</w:t>
            </w:r>
          </w:p>
        </w:tc>
      </w:tr>
      <w:tr w14:paraId="6AEC5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457" w:type="dxa"/>
            <w:noWrap w:val="0"/>
            <w:vAlign w:val="center"/>
          </w:tcPr>
          <w:p w14:paraId="5FC22EB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7</w:t>
            </w:r>
          </w:p>
        </w:tc>
        <w:tc>
          <w:tcPr>
            <w:tcW w:w="1490" w:type="dxa"/>
            <w:noWrap w:val="0"/>
            <w:vAlign w:val="center"/>
          </w:tcPr>
          <w:p w14:paraId="45592D1F">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投标人承诺评价</w:t>
            </w:r>
          </w:p>
        </w:tc>
        <w:tc>
          <w:tcPr>
            <w:tcW w:w="6382" w:type="dxa"/>
            <w:noWrap w:val="0"/>
            <w:vAlign w:val="center"/>
          </w:tcPr>
          <w:p w14:paraId="44AC84D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投标人承诺完全有能力满足“接到采购人维修通知后，1小时内必须到达维修现场（天津市内）”要求的：4分，其他0分</w:t>
            </w:r>
          </w:p>
        </w:tc>
        <w:tc>
          <w:tcPr>
            <w:tcW w:w="890" w:type="dxa"/>
            <w:noWrap w:val="0"/>
            <w:vAlign w:val="center"/>
          </w:tcPr>
          <w:p w14:paraId="6DA6FDBD">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rPr>
              <w:t>4分</w:t>
            </w:r>
          </w:p>
        </w:tc>
      </w:tr>
      <w:tr w14:paraId="1FE16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jc w:val="center"/>
        </w:trPr>
        <w:tc>
          <w:tcPr>
            <w:tcW w:w="457" w:type="dxa"/>
            <w:noWrap w:val="0"/>
            <w:vAlign w:val="center"/>
          </w:tcPr>
          <w:p w14:paraId="3EA51E2F">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8</w:t>
            </w:r>
          </w:p>
        </w:tc>
        <w:tc>
          <w:tcPr>
            <w:tcW w:w="1490" w:type="dxa"/>
            <w:noWrap w:val="0"/>
            <w:vAlign w:val="center"/>
          </w:tcPr>
          <w:p w14:paraId="7CF07A0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投标人使用零配件承诺</w:t>
            </w:r>
          </w:p>
        </w:tc>
        <w:tc>
          <w:tcPr>
            <w:tcW w:w="6382" w:type="dxa"/>
            <w:noWrap w:val="0"/>
            <w:vAlign w:val="center"/>
          </w:tcPr>
          <w:p w14:paraId="2BC7618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投标人承诺不得违反双方约定使用零配件；严禁以次充好，以换代修。承诺得4分，其他0分。</w:t>
            </w:r>
          </w:p>
        </w:tc>
        <w:tc>
          <w:tcPr>
            <w:tcW w:w="890" w:type="dxa"/>
            <w:noWrap w:val="0"/>
            <w:vAlign w:val="center"/>
          </w:tcPr>
          <w:p w14:paraId="5B369039">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rPr>
              <w:t>4分</w:t>
            </w:r>
          </w:p>
        </w:tc>
      </w:tr>
      <w:tr w14:paraId="63B5D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8329" w:type="dxa"/>
            <w:gridSpan w:val="3"/>
            <w:noWrap w:val="0"/>
            <w:vAlign w:val="center"/>
          </w:tcPr>
          <w:p w14:paraId="5E453167">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 xml:space="preserve">   第三部分 主观分（40分）</w:t>
            </w:r>
          </w:p>
        </w:tc>
        <w:tc>
          <w:tcPr>
            <w:tcW w:w="890" w:type="dxa"/>
            <w:noWrap w:val="0"/>
            <w:vAlign w:val="center"/>
          </w:tcPr>
          <w:p w14:paraId="1061FB3A">
            <w:pPr>
              <w:widowControl/>
              <w:snapToGrid w:val="0"/>
              <w:spacing w:line="400" w:lineRule="exact"/>
              <w:jc w:val="center"/>
              <w:rPr>
                <w:rFonts w:ascii="宋体" w:hAnsi="宋体" w:eastAsia="宋体" w:cs="宋体"/>
                <w:kern w:val="0"/>
                <w:sz w:val="24"/>
                <w:szCs w:val="24"/>
              </w:rPr>
            </w:pPr>
            <w:r>
              <w:rPr>
                <w:rFonts w:hint="eastAsia" w:ascii="宋体" w:hAnsi="宋体" w:eastAsia="宋体" w:cs="Times New Roman"/>
                <w:kern w:val="0"/>
                <w:szCs w:val="21"/>
              </w:rPr>
              <w:t>分值</w:t>
            </w:r>
          </w:p>
        </w:tc>
      </w:tr>
      <w:tr w14:paraId="4EA1B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57" w:type="dxa"/>
            <w:noWrap w:val="0"/>
            <w:vAlign w:val="center"/>
          </w:tcPr>
          <w:p w14:paraId="58628248">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1</w:t>
            </w:r>
          </w:p>
        </w:tc>
        <w:tc>
          <w:tcPr>
            <w:tcW w:w="1490" w:type="dxa"/>
            <w:noWrap w:val="0"/>
            <w:vAlign w:val="center"/>
          </w:tcPr>
          <w:p w14:paraId="6FDE694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针对本项目特点的专业化维修保养服务方案评价</w:t>
            </w:r>
          </w:p>
        </w:tc>
        <w:tc>
          <w:tcPr>
            <w:tcW w:w="6382" w:type="dxa"/>
            <w:noWrap w:val="0"/>
            <w:vAlign w:val="center"/>
          </w:tcPr>
          <w:p w14:paraId="040DEEC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方案考虑全面，不漏项，专业性、针对性、清洁及消毒措施系统性强，操作可行：10分</w:t>
            </w:r>
          </w:p>
          <w:p w14:paraId="4FC28A46">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满足招标文件要求，但内容存在1处瑕疵：7分；</w:t>
            </w:r>
          </w:p>
          <w:p w14:paraId="3E3EFD3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满足招标文件要求，但内容存在2处瑕疵：4分；</w:t>
            </w:r>
          </w:p>
          <w:p w14:paraId="5E3D4FD2">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890" w:type="dxa"/>
            <w:noWrap w:val="0"/>
            <w:vAlign w:val="center"/>
          </w:tcPr>
          <w:p w14:paraId="15A98DD5">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rPr>
              <w:t>10分</w:t>
            </w:r>
          </w:p>
        </w:tc>
      </w:tr>
      <w:tr w14:paraId="5897F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57" w:type="dxa"/>
            <w:noWrap w:val="0"/>
            <w:vAlign w:val="center"/>
          </w:tcPr>
          <w:p w14:paraId="0E7D6AA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2</w:t>
            </w:r>
          </w:p>
        </w:tc>
        <w:tc>
          <w:tcPr>
            <w:tcW w:w="1490" w:type="dxa"/>
            <w:noWrap w:val="0"/>
            <w:vAlign w:val="center"/>
          </w:tcPr>
          <w:p w14:paraId="4FBC340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拟使用维修配件评价</w:t>
            </w:r>
          </w:p>
        </w:tc>
        <w:tc>
          <w:tcPr>
            <w:tcW w:w="6382" w:type="dxa"/>
            <w:noWrap w:val="0"/>
            <w:vAlign w:val="center"/>
          </w:tcPr>
          <w:p w14:paraId="2F39179C">
            <w:pPr>
              <w:widowControl w:val="0"/>
              <w:autoSpaceDE w:val="0"/>
              <w:autoSpaceDN w:val="0"/>
              <w:adjustRightInd w:val="0"/>
              <w:ind w:firstLine="420" w:firstLineChars="200"/>
              <w:jc w:val="both"/>
              <w:rPr>
                <w:rFonts w:hint="default"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总分10分，每满足一项，得对应分数。</w:t>
            </w:r>
          </w:p>
          <w:p w14:paraId="42B11446">
            <w:pPr>
              <w:widowControl w:val="0"/>
              <w:autoSpaceDE w:val="0"/>
              <w:autoSpaceDN w:val="0"/>
              <w:adjustRightInd w:val="0"/>
              <w:ind w:firstLine="420" w:firstLineChars="200"/>
              <w:jc w:val="both"/>
              <w:rPr>
                <w:rFonts w:hint="default"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（1）应包含拟使用的维修配件的性能说明以及配件制造商出具的产品认证材料复印件：2分</w:t>
            </w:r>
          </w:p>
          <w:p w14:paraId="0F077039">
            <w:pPr>
              <w:widowControl w:val="0"/>
              <w:autoSpaceDE w:val="0"/>
              <w:autoSpaceDN w:val="0"/>
              <w:adjustRightInd w:val="0"/>
              <w:ind w:firstLine="420" w:firstLineChars="200"/>
              <w:jc w:val="both"/>
              <w:rPr>
                <w:rFonts w:hint="default"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（2）产品性能优良，安全稳定，安全耐用，具有机动车制造商出具的产品认证材料：3分</w:t>
            </w:r>
          </w:p>
          <w:p w14:paraId="0C00618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（3）提供特约维修站协议书：5分；</w:t>
            </w:r>
          </w:p>
        </w:tc>
        <w:tc>
          <w:tcPr>
            <w:tcW w:w="890" w:type="dxa"/>
            <w:noWrap w:val="0"/>
            <w:vAlign w:val="center"/>
          </w:tcPr>
          <w:p w14:paraId="38CE03F4">
            <w:pPr>
              <w:widowControl/>
              <w:snapToGrid w:val="0"/>
              <w:spacing w:line="400" w:lineRule="exact"/>
              <w:jc w:val="center"/>
              <w:rPr>
                <w:rFonts w:hint="eastAsia" w:ascii="宋体" w:hAnsi="宋体" w:eastAsia="宋体" w:cs="宋体"/>
                <w:kern w:val="0"/>
                <w:sz w:val="24"/>
                <w:szCs w:val="24"/>
              </w:rPr>
            </w:pPr>
            <w:r>
              <w:rPr>
                <w:rFonts w:hint="eastAsia" w:ascii="宋体" w:hAnsi="宋体" w:eastAsia="宋体" w:cs="Times New Roman"/>
                <w:kern w:val="0"/>
                <w:szCs w:val="21"/>
              </w:rPr>
              <w:t>10分</w:t>
            </w:r>
          </w:p>
        </w:tc>
      </w:tr>
      <w:tr w14:paraId="69395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57" w:type="dxa"/>
            <w:noWrap w:val="0"/>
            <w:vAlign w:val="center"/>
          </w:tcPr>
          <w:p w14:paraId="2E616F0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3</w:t>
            </w:r>
          </w:p>
        </w:tc>
        <w:tc>
          <w:tcPr>
            <w:tcW w:w="1490" w:type="dxa"/>
            <w:noWrap w:val="0"/>
            <w:vAlign w:val="center"/>
          </w:tcPr>
          <w:p w14:paraId="192D26B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维修保养综合管理规章制度</w:t>
            </w:r>
          </w:p>
        </w:tc>
        <w:tc>
          <w:tcPr>
            <w:tcW w:w="6382" w:type="dxa"/>
            <w:noWrap w:val="0"/>
            <w:vAlign w:val="center"/>
          </w:tcPr>
          <w:p w14:paraId="34545409">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维修保养综合管理规章制度齐全合理、切实可行：5分；</w:t>
            </w:r>
          </w:p>
          <w:p w14:paraId="47E9E9D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满足招标文件要求，但内容存在1处瑕疵：3分；</w:t>
            </w:r>
          </w:p>
          <w:p w14:paraId="74080C2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满足招标文件要求，但内容存在2处瑕疵：1分；</w:t>
            </w:r>
          </w:p>
          <w:p w14:paraId="4E633B5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890" w:type="dxa"/>
            <w:noWrap w:val="0"/>
            <w:vAlign w:val="center"/>
          </w:tcPr>
          <w:p w14:paraId="64EB56AD">
            <w:pPr>
              <w:widowControl/>
              <w:jc w:val="center"/>
              <w:rPr>
                <w:rFonts w:hint="eastAsia" w:ascii="宋体" w:hAnsi="宋体" w:eastAsia="宋体" w:cs="宋体"/>
                <w:kern w:val="0"/>
                <w:sz w:val="24"/>
                <w:szCs w:val="24"/>
              </w:rPr>
            </w:pPr>
            <w:r>
              <w:rPr>
                <w:rFonts w:hint="eastAsia" w:ascii="宋体" w:hAnsi="宋体" w:eastAsia="宋体" w:cs="Times New Roman"/>
                <w:kern w:val="0"/>
                <w:szCs w:val="21"/>
              </w:rPr>
              <w:t>5分</w:t>
            </w:r>
          </w:p>
        </w:tc>
      </w:tr>
      <w:tr w14:paraId="781B4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57" w:type="dxa"/>
            <w:noWrap w:val="0"/>
            <w:vAlign w:val="center"/>
          </w:tcPr>
          <w:p w14:paraId="56D827E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4</w:t>
            </w:r>
          </w:p>
        </w:tc>
        <w:tc>
          <w:tcPr>
            <w:tcW w:w="1490" w:type="dxa"/>
            <w:noWrap w:val="0"/>
            <w:vAlign w:val="center"/>
          </w:tcPr>
          <w:p w14:paraId="1862F6AF">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安全作业保障评价</w:t>
            </w:r>
          </w:p>
        </w:tc>
        <w:tc>
          <w:tcPr>
            <w:tcW w:w="6382" w:type="dxa"/>
            <w:noWrap w:val="0"/>
            <w:vAlign w:val="center"/>
          </w:tcPr>
          <w:p w14:paraId="706321BC">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安全作业保障措施全面、科学、经济可行：5分；</w:t>
            </w:r>
          </w:p>
          <w:p w14:paraId="7EB89CF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满足招标文件要求，但内容存在1处瑕疵：3分；</w:t>
            </w:r>
          </w:p>
          <w:p w14:paraId="35232FD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满足招标文件要求，但内容存在2处瑕疵：1分；</w:t>
            </w:r>
          </w:p>
          <w:p w14:paraId="45AC708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890" w:type="dxa"/>
            <w:noWrap w:val="0"/>
            <w:vAlign w:val="center"/>
          </w:tcPr>
          <w:p w14:paraId="080EC196">
            <w:pPr>
              <w:widowControl/>
              <w:snapToGrid w:val="0"/>
              <w:spacing w:line="400" w:lineRule="exact"/>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Cs w:val="21"/>
              </w:rPr>
              <w:t>5分</w:t>
            </w:r>
          </w:p>
        </w:tc>
      </w:tr>
      <w:tr w14:paraId="57ACD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0" w:type="auto"/>
            <w:noWrap w:val="0"/>
            <w:vAlign w:val="center"/>
          </w:tcPr>
          <w:p w14:paraId="559B70A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5</w:t>
            </w:r>
          </w:p>
        </w:tc>
        <w:tc>
          <w:tcPr>
            <w:tcW w:w="0" w:type="auto"/>
            <w:noWrap w:val="0"/>
            <w:vAlign w:val="center"/>
          </w:tcPr>
          <w:p w14:paraId="54ECD48A">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应急预案评价</w:t>
            </w:r>
          </w:p>
        </w:tc>
        <w:tc>
          <w:tcPr>
            <w:tcW w:w="0" w:type="auto"/>
            <w:noWrap w:val="0"/>
            <w:vAlign w:val="center"/>
          </w:tcPr>
          <w:p w14:paraId="628CF28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应急预案实用，经济，切实可行：4分；</w:t>
            </w:r>
          </w:p>
          <w:p w14:paraId="0AAFED8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满足招标文件要求，但内容存在1处瑕疵：2分；</w:t>
            </w:r>
          </w:p>
          <w:p w14:paraId="44D79E1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满足招标文件要求，但内容存在2处瑕疵：1分；</w:t>
            </w:r>
          </w:p>
          <w:p w14:paraId="5A151D3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0" w:type="auto"/>
            <w:noWrap w:val="0"/>
            <w:vAlign w:val="center"/>
          </w:tcPr>
          <w:p w14:paraId="5E07DA09">
            <w:pPr>
              <w:widowControl/>
              <w:snapToGrid w:val="0"/>
              <w:spacing w:line="400" w:lineRule="exact"/>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Cs w:val="21"/>
              </w:rPr>
              <w:t>4分</w:t>
            </w:r>
          </w:p>
        </w:tc>
      </w:tr>
      <w:tr w14:paraId="3C92A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0" w:type="auto"/>
            <w:noWrap w:val="0"/>
            <w:vAlign w:val="center"/>
          </w:tcPr>
          <w:p w14:paraId="40AFD48B">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6</w:t>
            </w:r>
          </w:p>
        </w:tc>
        <w:tc>
          <w:tcPr>
            <w:tcW w:w="0" w:type="auto"/>
            <w:noWrap w:val="0"/>
            <w:vAlign w:val="center"/>
          </w:tcPr>
          <w:p w14:paraId="5BDD17F4">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投诉流程、满意度调查制度评价</w:t>
            </w:r>
          </w:p>
        </w:tc>
        <w:tc>
          <w:tcPr>
            <w:tcW w:w="0" w:type="auto"/>
            <w:noWrap w:val="0"/>
            <w:vAlign w:val="center"/>
          </w:tcPr>
          <w:p w14:paraId="761D1BC9">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投诉流程、满意度调查制度健全、可行：3分；</w:t>
            </w:r>
          </w:p>
          <w:p w14:paraId="125E782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满足招标文件要求，但内容存在1处瑕疵：2分；</w:t>
            </w:r>
          </w:p>
          <w:p w14:paraId="2AD79889">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满足招标文件要求，但内容存在2处瑕疵：1分；</w:t>
            </w:r>
          </w:p>
          <w:p w14:paraId="618ECB3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0" w:type="auto"/>
            <w:noWrap w:val="0"/>
            <w:vAlign w:val="center"/>
          </w:tcPr>
          <w:p w14:paraId="786A5B8C">
            <w:pPr>
              <w:widowControl/>
              <w:snapToGrid w:val="0"/>
              <w:spacing w:line="400" w:lineRule="exact"/>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Cs w:val="21"/>
              </w:rPr>
              <w:t>3分</w:t>
            </w:r>
          </w:p>
        </w:tc>
      </w:tr>
      <w:tr w14:paraId="596C9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0" w:type="auto"/>
            <w:noWrap w:val="0"/>
            <w:vAlign w:val="center"/>
          </w:tcPr>
          <w:p w14:paraId="71F0AF01">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7</w:t>
            </w:r>
          </w:p>
        </w:tc>
        <w:tc>
          <w:tcPr>
            <w:tcW w:w="0" w:type="auto"/>
            <w:noWrap w:val="0"/>
            <w:vAlign w:val="center"/>
          </w:tcPr>
          <w:p w14:paraId="3C052C90">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针对本项目特点制定紧急预案及突发事件应急保障措施评价</w:t>
            </w:r>
          </w:p>
        </w:tc>
        <w:tc>
          <w:tcPr>
            <w:tcW w:w="0" w:type="auto"/>
            <w:noWrap w:val="0"/>
            <w:vAlign w:val="center"/>
          </w:tcPr>
          <w:p w14:paraId="5DE52423">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方案中的紧急预案及突发事件应急保障措施合理,切实可行：得3分；</w:t>
            </w:r>
          </w:p>
          <w:p w14:paraId="6A3A5185">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方案中的紧急预案及突发事件应急保障措施较为合理,可行性较强：得2分；</w:t>
            </w:r>
          </w:p>
          <w:p w14:paraId="23B6A02E">
            <w:pPr>
              <w:widowControl w:val="0"/>
              <w:autoSpaceDE w:val="0"/>
              <w:autoSpaceDN w:val="0"/>
              <w:adjustRightInd w:val="0"/>
              <w:ind w:firstLine="420" w:firstLineChars="200"/>
              <w:jc w:val="both"/>
              <w:rPr>
                <w:rFonts w:hint="eastAsia" w:ascii="宋体" w:hAnsi="宋体" w:eastAsia="宋体" w:cs="......."/>
                <w:color w:val="auto"/>
                <w:kern w:val="2"/>
                <w:sz w:val="21"/>
                <w:szCs w:val="21"/>
                <w:lang w:val="en-US" w:eastAsia="zh-CN" w:bidi="ar-SA"/>
              </w:rPr>
            </w:pPr>
            <w:r>
              <w:rPr>
                <w:rFonts w:hint="eastAsia" w:ascii="宋体" w:hAnsi="宋体" w:eastAsia="宋体" w:cs="......."/>
                <w:color w:val="auto"/>
                <w:kern w:val="2"/>
                <w:sz w:val="21"/>
                <w:szCs w:val="21"/>
                <w:lang w:val="en-US" w:eastAsia="zh-CN" w:bidi="ar-SA"/>
              </w:rPr>
              <w:t>其他：0分</w:t>
            </w:r>
          </w:p>
        </w:tc>
        <w:tc>
          <w:tcPr>
            <w:tcW w:w="0" w:type="auto"/>
            <w:noWrap w:val="0"/>
            <w:vAlign w:val="center"/>
          </w:tcPr>
          <w:p w14:paraId="7BFB1660">
            <w:pPr>
              <w:widowControl/>
              <w:snapToGrid w:val="0"/>
              <w:spacing w:line="400" w:lineRule="exact"/>
              <w:jc w:val="center"/>
              <w:rPr>
                <w:rFonts w:hint="eastAsia" w:ascii="宋体" w:hAnsi="宋体" w:eastAsia="宋体" w:cs="Times New Roman"/>
                <w:kern w:val="0"/>
                <w:sz w:val="21"/>
                <w:szCs w:val="21"/>
                <w:lang w:val="en-US" w:eastAsia="zh-CN" w:bidi="ar-SA"/>
              </w:rPr>
            </w:pPr>
            <w:r>
              <w:rPr>
                <w:rFonts w:hint="eastAsia" w:ascii="宋体" w:hAnsi="宋体" w:eastAsia="宋体" w:cs="Times New Roman"/>
                <w:kern w:val="0"/>
                <w:szCs w:val="21"/>
              </w:rPr>
              <w:t>3分</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1"/>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1AE4AB78">
      <w:pPr>
        <w:widowControl/>
        <w:ind w:firstLine="480" w:firstLineChars="200"/>
        <w:jc w:val="left"/>
        <w:rPr>
          <w:rFonts w:hint="eastAsia" w:ascii="......." w:hAnsi="Calibri" w:eastAsia="......." w:cs="......."/>
          <w:color w:val="000000"/>
          <w:kern w:val="0"/>
          <w:sz w:val="24"/>
          <w:szCs w:val="24"/>
          <w:lang w:val="en-US" w:eastAsia="zh-CN" w:bidi="ar-SA"/>
        </w:rPr>
      </w:pPr>
      <w:r>
        <w:rPr>
          <w:rFonts w:hint="eastAsia" w:ascii="......." w:hAnsi="Calibri" w:eastAsia="......." w:cs="......."/>
          <w:color w:val="000000"/>
          <w:kern w:val="0"/>
          <w:sz w:val="24"/>
          <w:szCs w:val="24"/>
          <w:lang w:val="en-US" w:eastAsia="zh-CN" w:bidi="ar-SA"/>
        </w:rPr>
        <w:t>本项目属于其他未列明行业。</w:t>
      </w:r>
    </w:p>
    <w:p w14:paraId="220D15B2">
      <w:pPr>
        <w:tabs>
          <w:tab w:val="left" w:pos="210"/>
        </w:tabs>
        <w:autoSpaceDE w:val="0"/>
        <w:autoSpaceDN w:val="0"/>
        <w:adjustRightInd w:val="0"/>
        <w:spacing w:line="560" w:lineRule="exact"/>
        <w:rPr>
          <w:rFonts w:hint="eastAsia" w:ascii="宋体" w:hAnsi="宋体" w:eastAsia="宋体" w:cs="Times New Roman"/>
          <w:sz w:val="24"/>
          <w:szCs w:val="24"/>
        </w:rPr>
      </w:pPr>
      <w:r>
        <w:rPr>
          <w:rFonts w:hint="eastAsia" w:ascii="宋体" w:hAnsi="宋体" w:eastAsia="宋体" w:cs="Times New Roman"/>
          <w:sz w:val="24"/>
          <w:szCs w:val="24"/>
          <w:lang w:val="en-US" w:eastAsia="zh-CN"/>
        </w:rPr>
        <w:t>1.实质</w:t>
      </w:r>
      <w:r>
        <w:rPr>
          <w:rFonts w:hint="eastAsia" w:ascii="宋体" w:hAnsi="宋体" w:eastAsia="宋体" w:cs="Times New Roman"/>
          <w:sz w:val="24"/>
          <w:szCs w:val="24"/>
        </w:rPr>
        <w:t>技术需求</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
        <w:gridCol w:w="7700"/>
      </w:tblGrid>
      <w:tr w14:paraId="4D489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7B0F2E7">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序号</w:t>
            </w:r>
          </w:p>
        </w:tc>
        <w:tc>
          <w:tcPr>
            <w:tcW w:w="7694" w:type="dxa"/>
            <w:noWrap w:val="0"/>
            <w:vAlign w:val="center"/>
          </w:tcPr>
          <w:p w14:paraId="7C854FA2">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需求条款</w:t>
            </w:r>
          </w:p>
        </w:tc>
      </w:tr>
      <w:tr w14:paraId="79DEA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AE5DBA5">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7694" w:type="dxa"/>
            <w:noWrap w:val="0"/>
            <w:vAlign w:val="center"/>
          </w:tcPr>
          <w:p w14:paraId="59C751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质量要求：供应商须编制质量管理相关方案，且包含并满足以下内容：</w:t>
            </w:r>
          </w:p>
          <w:p w14:paraId="6673DE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w:t>
            </w:r>
            <w:r>
              <w:rPr>
                <w:rFonts w:hint="eastAsia" w:ascii="宋体" w:hAnsi="宋体" w:eastAsia="宋体" w:cs="Times New Roman"/>
                <w:sz w:val="24"/>
                <w:szCs w:val="24"/>
              </w:rPr>
              <w:t>应当按照国家、行业或者地方的维修标准和规范进行维修。尚无标准或规范的，可参照机动车生产企业提供的维修手册、使用说明书和有关技术资料进行维修。</w:t>
            </w:r>
          </w:p>
          <w:p w14:paraId="7401E2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rPr>
              <w:t>维修所采用的零部件、配件等材料必须是符合国家标准，必须有合法的进货渠道，不得使用假冒伪劣产品或以次充好，以旧代新。经采购人同意，成交人可采用替代件或旧件，但成交人必须保证车辆行驶安全，且在材料报价及结算清单中加以注明；可以修复的部件，不得已换代修。</w:t>
            </w:r>
          </w:p>
          <w:p w14:paraId="311EEB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lang w:eastAsia="zh-CN"/>
              </w:rPr>
              <w:t>）</w:t>
            </w:r>
            <w:r>
              <w:rPr>
                <w:rFonts w:hint="eastAsia" w:ascii="宋体" w:hAnsi="宋体" w:eastAsia="宋体" w:cs="Times New Roman"/>
                <w:sz w:val="24"/>
                <w:szCs w:val="24"/>
              </w:rPr>
              <w:t>被送修车辆达不到规定的质量标准和技术要求返修时不得再计价收费。车辆竣工出厂执行质量保证期制度，维修合格出厂的车辆，一级维护、小修及专项修理保证不低于正常行驶2000公里或20日，二级维护维修保证不低于5000公里或50日，整车大修和总成大修的车辆保证不低于20000公里或200日（行驶里程和日期指标，以先达到者为准）。</w:t>
            </w:r>
          </w:p>
          <w:p w14:paraId="6B6671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4</w:t>
            </w:r>
            <w:r>
              <w:rPr>
                <w:rFonts w:hint="eastAsia" w:ascii="宋体" w:hAnsi="宋体" w:eastAsia="宋体" w:cs="Times New Roman"/>
                <w:sz w:val="24"/>
                <w:szCs w:val="24"/>
                <w:lang w:eastAsia="zh-CN"/>
              </w:rPr>
              <w:t>）</w:t>
            </w:r>
            <w:r>
              <w:rPr>
                <w:rFonts w:hint="eastAsia" w:ascii="宋体" w:hAnsi="宋体" w:eastAsia="宋体" w:cs="Times New Roman"/>
                <w:sz w:val="24"/>
                <w:szCs w:val="24"/>
              </w:rPr>
              <w:t>车辆返修率要控制在3%以内，并建立汽车维修档案（每辆车建立一份专门的档案），认真记录车辆维修情况。</w:t>
            </w:r>
          </w:p>
          <w:p w14:paraId="36799A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5</w:t>
            </w:r>
            <w:r>
              <w:rPr>
                <w:rFonts w:hint="eastAsia" w:ascii="宋体" w:hAnsi="宋体" w:eastAsia="宋体" w:cs="Times New Roman"/>
                <w:sz w:val="24"/>
                <w:szCs w:val="24"/>
                <w:highlight w:val="none"/>
                <w:lang w:eastAsia="zh-CN"/>
              </w:rPr>
              <w:t>）</w:t>
            </w:r>
            <w:r>
              <w:rPr>
                <w:rFonts w:hint="eastAsia" w:ascii="宋体" w:hAnsi="宋体" w:eastAsia="宋体" w:cs="Times New Roman"/>
                <w:sz w:val="24"/>
                <w:szCs w:val="24"/>
                <w:highlight w:val="none"/>
              </w:rPr>
              <w:t>提供车辆日常维护、汽车大修、总成修理、汽车小修和汽车专项修理、24小时免费拖车救援等服务。在天津市范围内车辆发生事故或故障急需维修救援的，应提供</w:t>
            </w:r>
            <w:r>
              <w:rPr>
                <w:rFonts w:hint="eastAsia" w:ascii="宋体" w:hAnsi="宋体" w:eastAsia="宋体" w:cs="Times New Roman"/>
                <w:sz w:val="24"/>
                <w:szCs w:val="24"/>
                <w:highlight w:val="none"/>
                <w:lang w:val="en-US" w:eastAsia="zh-CN"/>
              </w:rPr>
              <w:t>4</w:t>
            </w:r>
            <w:r>
              <w:rPr>
                <w:rFonts w:hint="eastAsia" w:ascii="宋体" w:hAnsi="宋体" w:eastAsia="宋体" w:cs="Times New Roman"/>
                <w:sz w:val="24"/>
                <w:szCs w:val="24"/>
                <w:highlight w:val="none"/>
              </w:rPr>
              <w:t>0分钟内响应制度</w:t>
            </w:r>
            <w:r>
              <w:rPr>
                <w:rFonts w:hint="eastAsia" w:ascii="宋体" w:hAnsi="宋体" w:eastAsia="宋体" w:cs="Times New Roman"/>
                <w:sz w:val="24"/>
                <w:szCs w:val="24"/>
                <w:highlight w:val="none"/>
                <w:lang w:eastAsia="zh-CN"/>
              </w:rPr>
              <w:t>。</w:t>
            </w:r>
          </w:p>
          <w:p w14:paraId="7DEE76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6</w:t>
            </w:r>
            <w:r>
              <w:rPr>
                <w:rFonts w:hint="eastAsia" w:ascii="宋体" w:hAnsi="宋体" w:eastAsia="宋体" w:cs="Times New Roman"/>
                <w:sz w:val="24"/>
                <w:szCs w:val="24"/>
                <w:lang w:eastAsia="zh-CN"/>
              </w:rPr>
              <w:t>）</w:t>
            </w:r>
            <w:r>
              <w:rPr>
                <w:rFonts w:hint="eastAsia" w:ascii="宋体" w:hAnsi="宋体" w:eastAsia="宋体" w:cs="Times New Roman"/>
                <w:sz w:val="24"/>
                <w:szCs w:val="24"/>
              </w:rPr>
              <w:t>因维修质量原因造成机动车无法正常使用的，或在规定时间内未完成维修到，采购人有权自行维修，供应商担负该维修费用及因此造成的全部后果、损失。</w:t>
            </w:r>
          </w:p>
        </w:tc>
      </w:tr>
      <w:tr w14:paraId="18F5F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2691912">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2</w:t>
            </w:r>
          </w:p>
        </w:tc>
        <w:tc>
          <w:tcPr>
            <w:tcW w:w="7694" w:type="dxa"/>
            <w:noWrap w:val="0"/>
            <w:vAlign w:val="center"/>
          </w:tcPr>
          <w:p w14:paraId="4D39A12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从业人员、资料要求，供应商须编制人员配置方案，包含且满足以下内容</w:t>
            </w:r>
          </w:p>
          <w:p w14:paraId="240C546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供应商的汽车维修从业人员：不少于15人，必须8人以上具备汽修维修上岗证；其中至少1名技术负责人员和质量检验人员。</w:t>
            </w:r>
          </w:p>
          <w:p w14:paraId="716F8A8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资料：供应商有维修车型的原厂维修资料，包括配件资料、工艺资料、监测技术标准。</w:t>
            </w:r>
          </w:p>
          <w:p w14:paraId="7A4C94D8">
            <w:pPr>
              <w:spacing w:line="360" w:lineRule="auto"/>
              <w:ind w:firstLine="480" w:firstLineChars="200"/>
              <w:rPr>
                <w:rFonts w:hint="eastAsia" w:ascii="宋体" w:hAnsi="宋体" w:eastAsia="宋体" w:cs="Times New Roman"/>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采购人有要求时，承包企业应不条件派遣至少3人到采购人指定地址，24小时跟踪车辆、待命维修，由此产生的费用由承包企业自行支付。</w:t>
            </w:r>
          </w:p>
        </w:tc>
      </w:tr>
      <w:tr w14:paraId="26180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5F4A2C66">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3</w:t>
            </w:r>
          </w:p>
        </w:tc>
        <w:tc>
          <w:tcPr>
            <w:tcW w:w="7694" w:type="dxa"/>
            <w:noWrap w:val="0"/>
            <w:vAlign w:val="center"/>
          </w:tcPr>
          <w:p w14:paraId="58D66AA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管理要求：供应商须编制运营管理相关方案，包含且满足以下内容</w:t>
            </w:r>
          </w:p>
          <w:p w14:paraId="22C9544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生产管理制度、财务管理制度、岗位责任制度、质量控制制度健全、有效、合理；</w:t>
            </w:r>
          </w:p>
          <w:p w14:paraId="39906E5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汽修维修流程环节清楚、合理、有序；</w:t>
            </w:r>
          </w:p>
          <w:p w14:paraId="7ADE7C0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人员须有统一制服着装；</w:t>
            </w:r>
          </w:p>
          <w:p w14:paraId="793C082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有明确的符合规定的出厂的质检工序；</w:t>
            </w:r>
          </w:p>
          <w:p w14:paraId="473EAA3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重要检测维修设备操作规程实施有效，专人对设备的使用进行管理，保证状态良好；</w:t>
            </w:r>
          </w:p>
          <w:p w14:paraId="115A471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车辆出入厂手续、维修手续严格按采购人要求执行；</w:t>
            </w:r>
          </w:p>
          <w:p w14:paraId="40AA57F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rPr>
              <w:t>7</w:t>
            </w:r>
            <w:r>
              <w:rPr>
                <w:rFonts w:hint="eastAsia" w:ascii="宋体" w:hAnsi="宋体" w:eastAsia="宋体" w:cs="宋体"/>
                <w:sz w:val="24"/>
                <w:szCs w:val="24"/>
                <w:lang w:eastAsia="zh-CN"/>
              </w:rPr>
              <w:t>）</w:t>
            </w:r>
            <w:r>
              <w:rPr>
                <w:rFonts w:hint="eastAsia" w:ascii="宋体" w:hAnsi="宋体" w:eastAsia="宋体" w:cs="宋体"/>
                <w:sz w:val="24"/>
                <w:szCs w:val="24"/>
              </w:rPr>
              <w:t>维修所提供的零部件均应在采购人同意后进行安装维修，并提供相应的合格证、发票或购买证明，严禁私自改装、挪用零部件。</w:t>
            </w:r>
          </w:p>
          <w:p w14:paraId="35985BD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w:t>
            </w:r>
            <w:r>
              <w:rPr>
                <w:rFonts w:hint="eastAsia" w:ascii="宋体" w:hAnsi="宋体" w:eastAsia="宋体" w:cs="宋体"/>
                <w:sz w:val="24"/>
                <w:szCs w:val="24"/>
              </w:rPr>
              <w:t>供应商须建立采购配件登记制度，记录购买日期、供应商名称、地址、产品名称及规格型号等，并查验产品合格证等相关证明。</w:t>
            </w:r>
          </w:p>
          <w:p w14:paraId="7180696A">
            <w:pPr>
              <w:spacing w:line="360" w:lineRule="auto"/>
              <w:ind w:firstLine="480" w:firstLineChars="200"/>
              <w:rPr>
                <w:rFonts w:hint="eastAsia" w:ascii="宋体" w:hAnsi="宋体" w:eastAsia="宋体" w:cs="Times New Roman"/>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w:t>
            </w:r>
            <w:r>
              <w:rPr>
                <w:rFonts w:hint="eastAsia" w:ascii="宋体" w:hAnsi="宋体" w:eastAsia="宋体" w:cs="宋体"/>
                <w:sz w:val="24"/>
                <w:szCs w:val="24"/>
              </w:rPr>
              <w:t>维修产生的原车废弃零件、部件，交还至采购人；产生的其他废物，供应商须按国家环保规定自行消纳。</w:t>
            </w:r>
          </w:p>
        </w:tc>
      </w:tr>
    </w:tbl>
    <w:p w14:paraId="4D67CCDB">
      <w:pPr>
        <w:tabs>
          <w:tab w:val="left" w:pos="210"/>
        </w:tabs>
        <w:autoSpaceDE w:val="0"/>
        <w:autoSpaceDN w:val="0"/>
        <w:adjustRightInd w:val="0"/>
        <w:spacing w:line="560" w:lineRule="exact"/>
        <w:rPr>
          <w:rFonts w:hint="eastAsia" w:ascii="宋体" w:hAnsi="宋体" w:eastAsia="宋体" w:cs="Times New Roman"/>
          <w:sz w:val="24"/>
          <w:szCs w:val="24"/>
          <w:lang w:val="en-US" w:eastAsia="zh-CN"/>
        </w:rPr>
      </w:pPr>
    </w:p>
    <w:p w14:paraId="10D426DF">
      <w:pPr>
        <w:tabs>
          <w:tab w:val="left" w:pos="210"/>
        </w:tabs>
        <w:autoSpaceDE w:val="0"/>
        <w:autoSpaceDN w:val="0"/>
        <w:adjustRightInd w:val="0"/>
        <w:spacing w:line="560" w:lineRule="exact"/>
        <w:rPr>
          <w:rFonts w:hint="eastAsia" w:ascii="宋体" w:hAnsi="宋体" w:eastAsia="宋体" w:cs="Times New Roman"/>
          <w:sz w:val="24"/>
          <w:szCs w:val="24"/>
        </w:rPr>
      </w:pPr>
      <w:r>
        <w:rPr>
          <w:rFonts w:hint="eastAsia" w:ascii="宋体" w:hAnsi="宋体" w:eastAsia="宋体" w:cs="Times New Roman"/>
          <w:sz w:val="24"/>
          <w:szCs w:val="24"/>
          <w:lang w:val="en-US" w:eastAsia="zh-CN"/>
        </w:rPr>
        <w:t>2.一般</w:t>
      </w:r>
      <w:r>
        <w:rPr>
          <w:rFonts w:hint="eastAsia" w:ascii="宋体" w:hAnsi="宋体" w:eastAsia="宋体" w:cs="Times New Roman"/>
          <w:sz w:val="24"/>
          <w:szCs w:val="24"/>
        </w:rPr>
        <w:t>技术需求</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9"/>
        <w:gridCol w:w="7700"/>
      </w:tblGrid>
      <w:tr w14:paraId="4E70F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7E25168">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序号</w:t>
            </w:r>
          </w:p>
        </w:tc>
        <w:tc>
          <w:tcPr>
            <w:tcW w:w="7694" w:type="dxa"/>
            <w:noWrap w:val="0"/>
            <w:vAlign w:val="center"/>
          </w:tcPr>
          <w:p w14:paraId="097A8B35">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需求条款</w:t>
            </w:r>
          </w:p>
        </w:tc>
      </w:tr>
      <w:tr w14:paraId="53228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B02C2FF">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7694" w:type="dxa"/>
            <w:noWrap w:val="0"/>
            <w:vAlign w:val="center"/>
          </w:tcPr>
          <w:p w14:paraId="3D63D676">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供应商接到采购人维修通知后，1小时内必须到达维修现场</w:t>
            </w:r>
            <w:r>
              <w:rPr>
                <w:rFonts w:hint="eastAsia" w:ascii="宋体" w:hAnsi="宋体" w:eastAsia="宋体" w:cs="宋体"/>
                <w:sz w:val="24"/>
                <w:szCs w:val="24"/>
                <w:highlight w:val="none"/>
                <w:lang w:eastAsia="zh-CN"/>
              </w:rPr>
              <w:t>（西青区内）</w:t>
            </w:r>
            <w:r>
              <w:rPr>
                <w:rFonts w:hint="eastAsia" w:ascii="宋体" w:hAnsi="宋体" w:eastAsia="宋体" w:cs="宋体"/>
                <w:sz w:val="24"/>
                <w:szCs w:val="24"/>
                <w:highlight w:val="none"/>
                <w:lang w:val="en-US" w:eastAsia="zh-CN"/>
              </w:rPr>
              <w:t>,交通费由供应商自行承担。</w:t>
            </w:r>
          </w:p>
          <w:p w14:paraId="221778A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供应商对需要维修的车辆配件一律按国家有关规定实行三包，对维修过的车辆进行全部跟踪服务，建立档案，每月不少于1次为车辆做例行检测服务，每年不少于6次为车辆进行不定期检测服务，及时处理车辆的故障和安全隐患；</w:t>
            </w:r>
          </w:p>
          <w:p w14:paraId="34E3EE7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应采购人要求,供应商必要时需加班加点为采购人的车辆进行维修；</w:t>
            </w:r>
          </w:p>
          <w:p w14:paraId="3235D6E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在维修服务期间，劳务人员、车辆或设备所产生的安全问题由承包企业负责。</w:t>
            </w:r>
          </w:p>
          <w:p w14:paraId="4D510077">
            <w:pPr>
              <w:spacing w:line="360" w:lineRule="auto"/>
              <w:ind w:firstLine="480" w:firstLineChars="200"/>
              <w:rPr>
                <w:rFonts w:hint="eastAsia" w:ascii="宋体" w:hAnsi="宋体" w:eastAsia="宋体" w:cs="Times New Roman"/>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应保证维修质量标准，质保期内应给予免费维修，如因维修质量问题出现的责任事故，经有关单位的技术鉴定，确属维修不当或使用伪劣配件造成的，承包企业需承担相应的责任。</w:t>
            </w:r>
          </w:p>
        </w:tc>
      </w:tr>
    </w:tbl>
    <w:p w14:paraId="5CB23C11">
      <w:pPr>
        <w:tabs>
          <w:tab w:val="left" w:pos="210"/>
        </w:tabs>
        <w:autoSpaceDE w:val="0"/>
        <w:autoSpaceDN w:val="0"/>
        <w:adjustRightInd w:val="0"/>
        <w:spacing w:line="560" w:lineRule="exact"/>
        <w:rPr>
          <w:rFonts w:hint="eastAsia" w:ascii="宋体" w:hAnsi="宋体" w:eastAsia="宋体" w:cs="Times New Roman"/>
          <w:sz w:val="24"/>
          <w:szCs w:val="24"/>
        </w:rPr>
      </w:pPr>
    </w:p>
    <w:p w14:paraId="4D97150E">
      <w:pPr>
        <w:spacing w:line="360" w:lineRule="auto"/>
        <w:ind w:firstLine="480" w:firstLineChars="200"/>
        <w:rPr>
          <w:rFonts w:ascii="宋体" w:hAnsi="宋体" w:cs="宋体"/>
          <w:sz w:val="24"/>
          <w:szCs w:val="24"/>
        </w:rPr>
      </w:pPr>
    </w:p>
    <w:p w14:paraId="121FFBA2">
      <w:pPr>
        <w:spacing w:line="360" w:lineRule="auto"/>
        <w:ind w:firstLine="480" w:firstLineChars="200"/>
        <w:rPr>
          <w:rFonts w:ascii="宋体" w:hAnsi="宋体" w:cs="宋体"/>
          <w:sz w:val="24"/>
          <w:szCs w:val="24"/>
        </w:rPr>
      </w:pPr>
      <w:r>
        <w:rPr>
          <w:rFonts w:hint="eastAsia" w:ascii="宋体" w:hAnsi="宋体" w:cs="宋体"/>
          <w:sz w:val="24"/>
          <w:szCs w:val="24"/>
        </w:rPr>
        <w:t>维修车辆共</w:t>
      </w:r>
      <w:r>
        <w:rPr>
          <w:rFonts w:hint="eastAsia" w:ascii="宋体" w:hAnsi="宋体" w:cs="宋体"/>
          <w:sz w:val="24"/>
          <w:szCs w:val="24"/>
          <w:lang w:val="en-US" w:eastAsia="zh-CN"/>
        </w:rPr>
        <w:t>157</w:t>
      </w:r>
      <w:r>
        <w:rPr>
          <w:rFonts w:hint="eastAsia" w:ascii="宋体" w:hAnsi="宋体" w:cs="宋体"/>
          <w:sz w:val="24"/>
          <w:szCs w:val="24"/>
        </w:rPr>
        <w:t>辆，以实际维修车辆为准。后附车辆明细表。</w:t>
      </w:r>
    </w:p>
    <w:tbl>
      <w:tblPr>
        <w:tblStyle w:val="48"/>
        <w:tblW w:w="8916" w:type="dxa"/>
        <w:tblInd w:w="0" w:type="dxa"/>
        <w:tblLayout w:type="autofit"/>
        <w:tblCellMar>
          <w:top w:w="0" w:type="dxa"/>
          <w:left w:w="0" w:type="dxa"/>
          <w:bottom w:w="0" w:type="dxa"/>
          <w:right w:w="0" w:type="dxa"/>
        </w:tblCellMar>
      </w:tblPr>
      <w:tblGrid>
        <w:gridCol w:w="716"/>
        <w:gridCol w:w="1086"/>
        <w:gridCol w:w="1778"/>
        <w:gridCol w:w="1778"/>
        <w:gridCol w:w="1778"/>
        <w:gridCol w:w="1780"/>
      </w:tblGrid>
      <w:tr w14:paraId="027B99D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561FC9">
            <w:pPr>
              <w:widowControl/>
              <w:jc w:val="center"/>
              <w:textAlignment w:val="center"/>
              <w:rPr>
                <w:rFonts w:hint="eastAsia" w:ascii="宋体" w:hAnsi="宋体" w:eastAsia="宋体" w:cs="宋体"/>
                <w:color w:val="000000"/>
                <w:sz w:val="28"/>
                <w:szCs w:val="28"/>
                <w:lang w:val="en-US" w:eastAsia="zh-CN"/>
              </w:rPr>
            </w:pPr>
            <w:r>
              <w:rPr>
                <w:rFonts w:hint="eastAsia" w:ascii="宋体" w:hAnsi="宋体" w:cs="宋体"/>
                <w:color w:val="000000"/>
                <w:sz w:val="28"/>
                <w:szCs w:val="28"/>
                <w:lang w:val="en-US" w:eastAsia="zh-CN"/>
              </w:rPr>
              <w:t>序号</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5AA12F">
            <w:pPr>
              <w:widowControl/>
              <w:jc w:val="center"/>
              <w:textAlignment w:val="center"/>
              <w:rPr>
                <w:rFonts w:ascii="宋体" w:hAnsi="宋体" w:cs="宋体"/>
                <w:color w:val="000000"/>
                <w:sz w:val="28"/>
                <w:szCs w:val="28"/>
              </w:rPr>
            </w:pPr>
            <w:r>
              <w:rPr>
                <w:rFonts w:hint="eastAsia" w:ascii="宋体" w:hAnsi="宋体" w:cs="宋体"/>
                <w:color w:val="000000"/>
                <w:kern w:val="0"/>
                <w:sz w:val="28"/>
                <w:szCs w:val="28"/>
                <w:lang w:bidi="ar"/>
              </w:rPr>
              <w:t>部门</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89614E">
            <w:pPr>
              <w:widowControl/>
              <w:jc w:val="center"/>
              <w:textAlignment w:val="center"/>
              <w:rPr>
                <w:rFonts w:ascii="宋体" w:hAnsi="宋体" w:cs="宋体"/>
                <w:color w:val="000000"/>
                <w:sz w:val="28"/>
                <w:szCs w:val="28"/>
              </w:rPr>
            </w:pPr>
            <w:r>
              <w:rPr>
                <w:rFonts w:hint="eastAsia" w:ascii="宋体" w:hAnsi="宋体" w:cs="宋体"/>
                <w:color w:val="000000"/>
                <w:kern w:val="0"/>
                <w:sz w:val="28"/>
                <w:szCs w:val="28"/>
                <w:lang w:bidi="ar"/>
              </w:rPr>
              <w:t>车类</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B19873">
            <w:pPr>
              <w:widowControl/>
              <w:jc w:val="center"/>
              <w:textAlignment w:val="center"/>
              <w:rPr>
                <w:rFonts w:ascii="宋体" w:hAnsi="宋体" w:cs="宋体"/>
                <w:color w:val="000000"/>
                <w:sz w:val="28"/>
                <w:szCs w:val="28"/>
              </w:rPr>
            </w:pPr>
            <w:r>
              <w:rPr>
                <w:rFonts w:hint="eastAsia" w:ascii="宋体" w:hAnsi="宋体" w:cs="宋体"/>
                <w:color w:val="000000"/>
                <w:kern w:val="0"/>
                <w:sz w:val="28"/>
                <w:szCs w:val="28"/>
                <w:lang w:bidi="ar"/>
              </w:rPr>
              <w:t>牌照号</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B7B7C4">
            <w:pPr>
              <w:widowControl/>
              <w:jc w:val="center"/>
              <w:textAlignment w:val="center"/>
              <w:rPr>
                <w:rFonts w:ascii="宋体" w:hAnsi="宋体" w:cs="宋体"/>
                <w:color w:val="000000"/>
                <w:sz w:val="28"/>
                <w:szCs w:val="28"/>
              </w:rPr>
            </w:pPr>
            <w:r>
              <w:rPr>
                <w:rFonts w:hint="eastAsia" w:ascii="宋体" w:hAnsi="宋体" w:cs="宋体"/>
                <w:color w:val="000000"/>
                <w:kern w:val="0"/>
                <w:sz w:val="28"/>
                <w:szCs w:val="28"/>
                <w:lang w:bidi="ar"/>
              </w:rPr>
              <w:t>登记日</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01D1D5">
            <w:pPr>
              <w:widowControl/>
              <w:jc w:val="center"/>
              <w:textAlignment w:val="center"/>
              <w:rPr>
                <w:rFonts w:ascii="宋体" w:hAnsi="宋体" w:cs="宋体"/>
                <w:color w:val="000000"/>
                <w:sz w:val="28"/>
                <w:szCs w:val="28"/>
              </w:rPr>
            </w:pPr>
            <w:r>
              <w:rPr>
                <w:rFonts w:hint="eastAsia" w:ascii="宋体" w:hAnsi="宋体" w:cs="宋体"/>
                <w:color w:val="000000"/>
                <w:kern w:val="0"/>
                <w:sz w:val="28"/>
                <w:szCs w:val="28"/>
                <w:lang w:bidi="ar"/>
              </w:rPr>
              <w:t>备注</w:t>
            </w:r>
          </w:p>
        </w:tc>
      </w:tr>
      <w:tr w14:paraId="507D3F4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F0F883">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2"/>
                <w:szCs w:val="22"/>
                <w:u w:val="none"/>
                <w:lang w:val="en-US" w:eastAsia="zh-CN" w:bidi="ar"/>
              </w:rPr>
              <w:t>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24D82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2CEB6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C21B9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津AY3196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66F39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76B47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挤压车</w:t>
            </w:r>
          </w:p>
        </w:tc>
      </w:tr>
      <w:tr w14:paraId="2E3877A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CEA484">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2"/>
                <w:szCs w:val="22"/>
                <w:u w:val="none"/>
                <w:lang w:val="en-US" w:eastAsia="zh-CN" w:bidi="ar"/>
              </w:rPr>
              <w:t>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DC2CF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A11FE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5103E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津AY5885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2A6D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336BA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挤压车</w:t>
            </w:r>
          </w:p>
        </w:tc>
      </w:tr>
      <w:tr w14:paraId="127761E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BEF2CF">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2"/>
                <w:szCs w:val="22"/>
                <w:u w:val="none"/>
                <w:lang w:val="en-US" w:eastAsia="zh-CN" w:bidi="ar"/>
              </w:rPr>
              <w:t>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7FEBE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9A93F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0012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津AY5970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B8C38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ECC23E">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挤压车</w:t>
            </w:r>
          </w:p>
        </w:tc>
      </w:tr>
      <w:tr w14:paraId="4085A5E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21ADB6">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2"/>
                <w:szCs w:val="22"/>
                <w:u w:val="none"/>
                <w:lang w:val="en-US" w:eastAsia="zh-CN" w:bidi="ar"/>
              </w:rPr>
              <w:t>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6E057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8B484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F01A6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津AY5895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A8A0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3A05E6">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挤压车</w:t>
            </w:r>
          </w:p>
        </w:tc>
      </w:tr>
      <w:tr w14:paraId="45E136F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DD1B91">
            <w:pPr>
              <w:keepNext w:val="0"/>
              <w:keepLines w:val="0"/>
              <w:widowControl/>
              <w:suppressLineNumbers w:val="0"/>
              <w:jc w:val="center"/>
              <w:textAlignment w:val="center"/>
              <w:rPr>
                <w:rFonts w:ascii="宋体" w:hAnsi="宋体" w:cs="宋体"/>
                <w:color w:val="000000"/>
                <w:sz w:val="24"/>
                <w:szCs w:val="24"/>
              </w:rPr>
            </w:pPr>
            <w:r>
              <w:rPr>
                <w:rFonts w:hint="eastAsia" w:ascii="宋体" w:hAnsi="宋体" w:eastAsia="宋体" w:cs="宋体"/>
                <w:i w:val="0"/>
                <w:iCs w:val="0"/>
                <w:color w:val="000000"/>
                <w:kern w:val="0"/>
                <w:sz w:val="22"/>
                <w:szCs w:val="22"/>
                <w:u w:val="none"/>
                <w:lang w:val="en-US" w:eastAsia="zh-CN" w:bidi="ar"/>
              </w:rPr>
              <w:t>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A5270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A7304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轮式装载机械</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4CA28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津A71336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6411A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2006.8.25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E219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铲车</w:t>
            </w:r>
          </w:p>
        </w:tc>
      </w:tr>
      <w:tr w14:paraId="7B482F2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99EC8A">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9E363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A57E9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557AE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津AL6332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9E7F5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2011.3.30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39B8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吸粪</w:t>
            </w:r>
          </w:p>
        </w:tc>
      </w:tr>
      <w:tr w14:paraId="1EF35B0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7CF71B">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1B497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6BCEA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轮式装载机械</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C1DC9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津A68282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3CC0F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2011.3.31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A3EA2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铲车</w:t>
            </w:r>
          </w:p>
        </w:tc>
      </w:tr>
      <w:tr w14:paraId="6A4EBD6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31D97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EB014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4A554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轮式装载机械</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CA759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津A68268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FBFF8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2011.3.30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28E5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铲车</w:t>
            </w:r>
          </w:p>
        </w:tc>
      </w:tr>
      <w:tr w14:paraId="6A3EE7C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36844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18E9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0CEC3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D27D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津C3Q836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9518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2011.4.19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0D5BC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w:t>
            </w:r>
          </w:p>
        </w:tc>
      </w:tr>
      <w:tr w14:paraId="0FE6B8A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A03F6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1643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F5769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F991A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津AM0703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B512B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2011.6.8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F338E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w:t>
            </w:r>
          </w:p>
        </w:tc>
      </w:tr>
      <w:tr w14:paraId="0EA0AFF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7B82E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80183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22734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253A3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津AM0872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FCE34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2011.6.8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D9E2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w:t>
            </w:r>
          </w:p>
        </w:tc>
      </w:tr>
      <w:tr w14:paraId="10A00F3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BDAA6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1D3E0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w:t>
            </w:r>
            <w:r>
              <w:rPr>
                <w:rFonts w:hint="eastAsia" w:ascii="宋体" w:hAnsi="宋体" w:cs="宋体"/>
                <w:color w:val="000000"/>
                <w:kern w:val="0"/>
                <w:sz w:val="24"/>
                <w:szCs w:val="24"/>
                <w:lang w:bidi="ar"/>
              </w:rPr>
              <w:t>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B3A05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1A568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津AM0878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5118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2011.6.8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212E4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w:t>
            </w:r>
          </w:p>
        </w:tc>
      </w:tr>
      <w:tr w14:paraId="7B5E2ED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128D39">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D6354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408DF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37E3F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津B16771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903BC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2011.6.2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38E07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227CA1E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CCADD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CB565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05449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FE852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津B16775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7106D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2011.6.2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8C729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50024D2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23890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EB8C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E8CE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轻型厢式货车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3450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津C3E866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5D835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2011.11.25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86887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双排</w:t>
            </w:r>
          </w:p>
        </w:tc>
      </w:tr>
      <w:tr w14:paraId="7722846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7E713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33BAB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A602A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4D157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津AP5259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93CC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2012.7.19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DB3F7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吊车</w:t>
            </w:r>
          </w:p>
        </w:tc>
      </w:tr>
      <w:tr w14:paraId="2FBF5B7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5DA7F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96032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D2561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3A25E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津B21706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F3F46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2012.10.24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EA266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吸粪</w:t>
            </w:r>
          </w:p>
        </w:tc>
      </w:tr>
      <w:tr w14:paraId="46E51C0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3795A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534E3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6D9AE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28EA6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津AP5752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D59D4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2012.10.24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CBDB1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单臂吊</w:t>
            </w:r>
          </w:p>
        </w:tc>
      </w:tr>
      <w:tr w14:paraId="62E7C2B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0567E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93E7A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98CDE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轮式装载机械</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FB971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津A71215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B7A25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2012.10.25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F63B7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铲车</w:t>
            </w:r>
          </w:p>
        </w:tc>
      </w:tr>
      <w:tr w14:paraId="771ABF7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65E2E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3A392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7A23B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6426C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津AP5791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86220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2012.11.15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0A0E7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w:t>
            </w:r>
          </w:p>
        </w:tc>
      </w:tr>
      <w:tr w14:paraId="6BCC7D7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7F433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205D9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2C120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7881F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津AP5879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7D0D0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2012.11.15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75399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w:t>
            </w:r>
          </w:p>
        </w:tc>
      </w:tr>
      <w:tr w14:paraId="38038D9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F080E9">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0539C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5956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轻型厢式货车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7C5D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津C3W336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BDF06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2012.12.6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BA14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双排</w:t>
            </w:r>
          </w:p>
        </w:tc>
      </w:tr>
      <w:tr w14:paraId="4FFF405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0E03F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72876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DEDD6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轻型普通货车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54EC3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津C3S269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08651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2013-4-26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9FB22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皮卡</w:t>
            </w:r>
          </w:p>
        </w:tc>
      </w:tr>
      <w:tr w14:paraId="4EF0A65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E362C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B9DF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2ED91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7B807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津AR0730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D6662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2013-5-16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6852A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单臂吊</w:t>
            </w:r>
          </w:p>
        </w:tc>
      </w:tr>
      <w:tr w14:paraId="72D3041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204479">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9CFB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B33BC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轻型厢式货车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70665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 xml:space="preserve">津C3P111 </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99EA9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2013-6-9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3CC06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双排</w:t>
            </w:r>
          </w:p>
        </w:tc>
      </w:tr>
      <w:tr w14:paraId="5847F19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E94B6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2608B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0A2C0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484FA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津AR6882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08EF3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2013-7-3</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50987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71A9ADF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96940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41A98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99560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B1DAF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津AT8191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4B1B1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B9D13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单臂吊</w:t>
            </w:r>
          </w:p>
        </w:tc>
      </w:tr>
      <w:tr w14:paraId="7783EAC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AF594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A040A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0AFD2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9BAA8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津B31718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B53A4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64CA8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4FEE2E5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781BD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29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B7DA3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477F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19745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津B10375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376E5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A39A8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2413E44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7BDAD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06EA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ADBE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DCC84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津B27752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AD6D0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584A4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1D13A0D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3C025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8B632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5739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7DDCB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津B31765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EFBF4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3E1F4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干扫</w:t>
            </w:r>
          </w:p>
        </w:tc>
      </w:tr>
      <w:tr w14:paraId="63AA739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40A95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76DB2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D35D5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89CEF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津AU1001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AECBD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7DA83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吸粪</w:t>
            </w:r>
          </w:p>
        </w:tc>
      </w:tr>
      <w:tr w14:paraId="3FCE81A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CE8F99">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C397E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69EAA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DCB77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津B31780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5B360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7619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湿扫</w:t>
            </w:r>
          </w:p>
        </w:tc>
      </w:tr>
      <w:tr w14:paraId="060677E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2A5D0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E43FE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0B79F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2145A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津B31766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198A8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6C66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湿扫</w:t>
            </w:r>
          </w:p>
        </w:tc>
      </w:tr>
      <w:tr w14:paraId="0D6E7F8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1A88A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D8AD7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5A3A6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8BBF6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津AU1208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3558D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887BC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297B5F3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BCD0E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E9437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1F09B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C655D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津AU1509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CCE38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0BD49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523312A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17579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D552C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12DF3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4B05B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津AU1133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D8F38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F1A47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0A67266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D908B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D62DA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F284E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7C1A9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津B31729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77492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0BD42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w:t>
            </w:r>
          </w:p>
        </w:tc>
      </w:tr>
      <w:tr w14:paraId="6EC7157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D1D3C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39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F106C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C9F37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88279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津AU1219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3E467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FB435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18FE7E7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47334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68E16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E20A8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8086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津AU1388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C19B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67BC6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w:t>
            </w:r>
          </w:p>
        </w:tc>
      </w:tr>
      <w:tr w14:paraId="6B6142B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E3002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17654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25F9A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39619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津C3E221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963B2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2014-7-16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97166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水车（小）</w:t>
            </w:r>
          </w:p>
        </w:tc>
      </w:tr>
      <w:tr w14:paraId="49DF9C1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45526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E4E5A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6BEE7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E3D49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津AU7782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7291B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65701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翻斗</w:t>
            </w:r>
          </w:p>
        </w:tc>
      </w:tr>
      <w:tr w14:paraId="4B657DC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C1696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A63B2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79628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1C05D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津AU7683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CC27C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A3DF5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翻斗</w:t>
            </w:r>
          </w:p>
        </w:tc>
      </w:tr>
      <w:tr w14:paraId="50F6A9A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C5E32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FE015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09731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26208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津AU7560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11CB6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0C1C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翻斗</w:t>
            </w:r>
          </w:p>
        </w:tc>
      </w:tr>
      <w:tr w14:paraId="595A427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A4D48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3D2B7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3C981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7FF9A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津C3J398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C00F1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C2EF8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收集车</w:t>
            </w:r>
          </w:p>
        </w:tc>
      </w:tr>
      <w:tr w14:paraId="1BDDFFC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F176E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0AD6B3">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796E5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A827E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津C3S680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4AB28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4985D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收集车</w:t>
            </w:r>
          </w:p>
        </w:tc>
      </w:tr>
      <w:tr w14:paraId="259D7CD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5A4A8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CEE7B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A4519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D6221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津AU7508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CB06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8B268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3BF99334">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2204C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CBE3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27ACD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0A40C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津AU7679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B40D7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AA101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12A85B10">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398F9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49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36FB9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0A649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ADF2A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津AT0513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5D20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8DB53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53F130C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AA253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B8531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D66AF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B8646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津AU7279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117AC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66012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1E6361C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6BB3C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69891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B9217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C1C8C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津AU5292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5C7D2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1D7B8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w:t>
            </w:r>
          </w:p>
        </w:tc>
      </w:tr>
      <w:tr w14:paraId="48CBF6E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14862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6AE78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97921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2C465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津B32777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3F003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ADF2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机扫</w:t>
            </w:r>
          </w:p>
        </w:tc>
      </w:tr>
      <w:tr w14:paraId="046B6F0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8ED7C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4AA3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92495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52CE7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津B32772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F26DC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B3274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机扫</w:t>
            </w:r>
          </w:p>
        </w:tc>
      </w:tr>
      <w:tr w14:paraId="070E6C8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EF9A0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0A66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0A3EB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C1C83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津AU7760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0C8F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AD141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w:t>
            </w:r>
          </w:p>
        </w:tc>
      </w:tr>
      <w:tr w14:paraId="0A93167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6883F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A8D5F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F43DA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C378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津AU7772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9FB4D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2014-12-12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F97EF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w:t>
            </w:r>
          </w:p>
        </w:tc>
      </w:tr>
      <w:tr w14:paraId="74D3B6D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29ED0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87482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9D0C1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C52B1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津AU7628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39513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16DBF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水车</w:t>
            </w:r>
          </w:p>
        </w:tc>
      </w:tr>
      <w:tr w14:paraId="3A57656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477F0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F59FC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w:t>
            </w:r>
            <w:r>
              <w:rPr>
                <w:rFonts w:hint="eastAsia" w:ascii="宋体" w:hAnsi="宋体" w:cs="宋体"/>
                <w:color w:val="000000"/>
                <w:kern w:val="0"/>
                <w:sz w:val="24"/>
                <w:szCs w:val="24"/>
                <w:lang w:bidi="ar"/>
              </w:rPr>
              <w:t>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B9E74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61F85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津AU7710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4CF95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BEA8D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w:t>
            </w:r>
          </w:p>
        </w:tc>
      </w:tr>
      <w:tr w14:paraId="02FD54E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BFDA7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DA30C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D89D4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4406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津AW0523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EB42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AD166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翻斗</w:t>
            </w:r>
          </w:p>
        </w:tc>
      </w:tr>
      <w:tr w14:paraId="71A2F6B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ADB53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59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A298A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8C66E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轮式装载机械</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05181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津A72130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0DA4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2014-12-19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277E4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铲车</w:t>
            </w:r>
          </w:p>
        </w:tc>
      </w:tr>
      <w:tr w14:paraId="55C79DB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D2DF8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33A92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DFD4E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A7389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津AW5012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978C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FEE36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45EA05D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8EE1F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F6DE2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718CA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115F2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津AW5201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4E31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5F664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6FABE5A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26B28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13843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8BD17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DFA8C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津AW5202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6F63F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76007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5A45A11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1E9DC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721E6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1EFB2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B0633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津AW5279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34869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04CC2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67ED7F2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74652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94087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E3D43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CB05F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津AW5010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C1E2D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277DB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3F02225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D0A97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9027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F9AC53">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97959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津AX7731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641E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2015-8-5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32E64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挤压车</w:t>
            </w:r>
          </w:p>
        </w:tc>
      </w:tr>
      <w:tr w14:paraId="2CA1A72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1A450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33F6F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FD0C57">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CFC97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津AY0111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B91FD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2015-8-5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285E3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挤压车</w:t>
            </w:r>
          </w:p>
        </w:tc>
      </w:tr>
      <w:tr w14:paraId="326E222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55B91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C6D4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A8CB65">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4C4F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津AX7703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65284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2015-8-5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01489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挤压车</w:t>
            </w:r>
          </w:p>
        </w:tc>
      </w:tr>
      <w:tr w14:paraId="58DB115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C7EA5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F205F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4DA84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A7835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津AX3083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7E964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2015-8-5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A1EA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挤压车</w:t>
            </w:r>
          </w:p>
        </w:tc>
      </w:tr>
      <w:tr w14:paraId="4003FDA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EF265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69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FA84A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08F23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2274B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津AY0169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ABB7D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2015-9-24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6552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3202CCD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3D5DF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4DB37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D197E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F31FD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津AY0050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8F7A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2015-9-24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5D4C7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49A9C38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29DA3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847D0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FF00B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EBC77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津AY0162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6E60D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2015-9-24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BEC5C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5028619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3117A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45318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F49A2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4FD7A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津AX7539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33F4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2015-9-24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E8EBF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00D8041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211C0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08812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w:t>
            </w:r>
            <w:r>
              <w:rPr>
                <w:rFonts w:hint="eastAsia" w:ascii="宋体" w:hAnsi="宋体" w:cs="宋体"/>
                <w:color w:val="000000"/>
                <w:kern w:val="0"/>
                <w:sz w:val="24"/>
                <w:szCs w:val="24"/>
                <w:lang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4FBE3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81AEA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津AY0152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F6CF4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2015-9-24</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226F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6B8EC57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AB035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66F40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986F2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AF118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津ADD9057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7BE061">
            <w:pPr>
              <w:widowControl/>
              <w:textAlignment w:val="center"/>
              <w:rPr>
                <w:rFonts w:ascii="宋体" w:hAnsi="宋体" w:cs="宋体"/>
                <w:color w:val="000000"/>
                <w:sz w:val="24"/>
                <w:szCs w:val="24"/>
              </w:rPr>
            </w:pPr>
            <w:r>
              <w:rPr>
                <w:rFonts w:hint="eastAsia" w:ascii="宋体" w:hAnsi="宋体" w:cs="宋体"/>
                <w:color w:val="000000"/>
                <w:kern w:val="0"/>
                <w:sz w:val="24"/>
                <w:szCs w:val="24"/>
                <w:lang w:bidi="ar"/>
              </w:rPr>
              <w:t>2015-11-2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64EAE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电动水车</w:t>
            </w:r>
          </w:p>
        </w:tc>
      </w:tr>
      <w:tr w14:paraId="3AD30E2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5D22A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326ED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58DD0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70EA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津ADD6176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AB3C1A">
            <w:pPr>
              <w:widowControl/>
              <w:textAlignment w:val="center"/>
              <w:rPr>
                <w:rFonts w:ascii="宋体" w:hAnsi="宋体" w:cs="宋体"/>
                <w:color w:val="000000"/>
                <w:sz w:val="24"/>
                <w:szCs w:val="24"/>
              </w:rPr>
            </w:pPr>
            <w:r>
              <w:rPr>
                <w:rFonts w:hint="eastAsia" w:ascii="宋体" w:hAnsi="宋体" w:cs="宋体"/>
                <w:color w:val="000000"/>
                <w:kern w:val="0"/>
                <w:sz w:val="24"/>
                <w:szCs w:val="24"/>
                <w:lang w:bidi="ar"/>
              </w:rPr>
              <w:t>2015-11-2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38889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电动水车</w:t>
            </w:r>
          </w:p>
        </w:tc>
      </w:tr>
      <w:tr w14:paraId="700782D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D32C9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3095DC">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FDE6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重型自卸货车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279A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津AX2973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FAAAB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2015-11-27</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BFD2B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翻斗</w:t>
            </w:r>
          </w:p>
        </w:tc>
      </w:tr>
      <w:tr w14:paraId="140DC76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D8CD4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6C983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31986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44F4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津AX3270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09A0D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2015-11-27</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F12F4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吸粪车</w:t>
            </w:r>
          </w:p>
        </w:tc>
      </w:tr>
      <w:tr w14:paraId="44C991E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D75B4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F8A0B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0BFAB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BBA25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津AY5886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A5DEA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302AF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融雪车</w:t>
            </w:r>
          </w:p>
        </w:tc>
      </w:tr>
      <w:tr w14:paraId="326D394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F7526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79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72EB94">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AC1D7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AA348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津AY5888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C89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2015-11-30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D914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融雪车</w:t>
            </w:r>
          </w:p>
        </w:tc>
      </w:tr>
      <w:tr w14:paraId="70080E7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64124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17B33A">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4C6A4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092DD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津AY8805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F9505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2016-1-19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66680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大单臂吊</w:t>
            </w:r>
          </w:p>
        </w:tc>
      </w:tr>
      <w:tr w14:paraId="3C15AA2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C7D4A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CF0478">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5D63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1CC3E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津AY8862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CD702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2016-1-19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E6F97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大单臂吊</w:t>
            </w:r>
          </w:p>
        </w:tc>
      </w:tr>
      <w:tr w14:paraId="012BF42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17B47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5B714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3C24E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08AE9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津C3U007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B46EA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D779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126DFA6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F2D0D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66BA3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3E996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5754B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津C3J985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E8090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2B41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154739D4">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3B59A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DB0EE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BC583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66B7C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津C3X887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6E92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A467B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631B3E7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8A223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B5D705">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945C2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1C1F3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津C3S626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6E64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AF28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3434A8D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5B125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BC501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BBF71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3144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津AZ7926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BC956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7150B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1D6F1B5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80339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007A5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5856E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A869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津B35762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B402B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9C64B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33BC59F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322FE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0F23D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5194A1">
            <w:pPr>
              <w:widowControl/>
              <w:jc w:val="center"/>
              <w:textAlignment w:val="center"/>
              <w:rPr>
                <w:rFonts w:ascii="宋体" w:hAnsi="宋体" w:cs="宋体"/>
                <w:color w:val="000000"/>
                <w:szCs w:val="21"/>
              </w:rPr>
            </w:pPr>
            <w:r>
              <w:rPr>
                <w:rFonts w:hint="eastAsia" w:ascii="宋体" w:hAnsi="宋体" w:cs="宋体"/>
                <w:color w:val="000000"/>
                <w:kern w:val="0"/>
                <w:sz w:val="18"/>
                <w:szCs w:val="18"/>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0A972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津B39013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456BA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D6149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083E3F3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98F2A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89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79D42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F176F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70820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津B37051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8D6B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28C8E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2251FE3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A4526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FE6D9B">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5E0F3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3A36D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津B39059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2073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5A2F3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775344F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2ADC1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534AB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EEC06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D5545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津B35702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FAF50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51A50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3779BBC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22625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BC8B1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EB1C3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601E7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津AZ7956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036F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278FE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大机扫</w:t>
            </w:r>
          </w:p>
        </w:tc>
      </w:tr>
      <w:tr w14:paraId="44DB89C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2D028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ABC7E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8EB7B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7A2C6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津AZ7370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F9F7C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C2B9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大机扫</w:t>
            </w:r>
          </w:p>
        </w:tc>
      </w:tr>
      <w:tr w14:paraId="7B42705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CB969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067E9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3673F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B24F7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津C2B569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503B4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215A3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小单臂吊</w:t>
            </w:r>
          </w:p>
        </w:tc>
      </w:tr>
      <w:tr w14:paraId="62DB750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D4270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431E5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DE5F4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CA9E3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津C2K116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69D7B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2016-8-16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74581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小单臂吊</w:t>
            </w:r>
          </w:p>
        </w:tc>
      </w:tr>
      <w:tr w14:paraId="11ED0F54">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BF3F3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502083">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EBD3B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0B62C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津C01750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2559C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2016-11-3</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EFA1C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单臂吊</w:t>
            </w:r>
          </w:p>
        </w:tc>
      </w:tr>
      <w:tr w14:paraId="677856C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82CFC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55A96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28E004">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DB5D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津C01757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18DBE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2016-11-3</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08EA8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单臂吊</w:t>
            </w:r>
          </w:p>
        </w:tc>
      </w:tr>
      <w:tr w14:paraId="75F7CC60">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F7098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BA3193">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BCEBC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81CA3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津C09710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29308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C318C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4779037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857D6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99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DAFB4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CAF7C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1B8EF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津C11895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59A7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7B376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116226C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52299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67580F">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7B64A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8301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津C11782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4562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89566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4E9527F4">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17A4A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A56BB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A80BB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202A0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津C11885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CF23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A6574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6137D9F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D8AE1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B4D43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CAF76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1A15F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津C11958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D568A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287CF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6A553A1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D87B6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C97C0C">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94965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C4746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津C11918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EB121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9132E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0CB9B14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3ED13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158CB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46DB3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BA052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津C11952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BA39E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BF716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1A98FBC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BDF17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F0A48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88EE4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14B2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津C11928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0CB2E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4345A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61ABD8E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E3A7D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D467A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C32D5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6F47B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津C11900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E121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695BA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087841D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63FE4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5103F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B2A53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7B05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津C11887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4488D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7BC86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高压冲洗</w:t>
            </w:r>
          </w:p>
        </w:tc>
      </w:tr>
      <w:tr w14:paraId="1EEF31C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6A033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0DFF3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w:t>
            </w:r>
            <w:r>
              <w:rPr>
                <w:rFonts w:hint="eastAsia" w:ascii="宋体" w:hAnsi="宋体" w:cs="宋体"/>
                <w:color w:val="000000"/>
                <w:kern w:val="0"/>
                <w:sz w:val="24"/>
                <w:szCs w:val="24"/>
                <w:lang w:eastAsia="zh-CN" w:bidi="ar"/>
              </w:rPr>
              <w:t>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EF8EC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4D812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津C11910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72B62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6F2E2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107D9A8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DE37B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109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A013F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C6741A">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重型特殊结构货车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BA2A2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津C11962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BCEED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2017-3-22</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C5CBF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大单臂吊</w:t>
            </w:r>
          </w:p>
        </w:tc>
      </w:tr>
      <w:tr w14:paraId="5BAE46C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7CE89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78D73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17BA1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32B55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津C2T182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C22C2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8FA7D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341DC4D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C04A5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51CC3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AEBC9F">
            <w:pPr>
              <w:widowControl/>
              <w:jc w:val="center"/>
              <w:textAlignment w:val="center"/>
              <w:rPr>
                <w:rFonts w:ascii="宋体" w:hAnsi="宋体" w:cs="宋体"/>
                <w:color w:val="000000"/>
                <w:szCs w:val="21"/>
              </w:rPr>
            </w:pPr>
            <w:r>
              <w:rPr>
                <w:rFonts w:hint="eastAsia" w:ascii="宋体" w:hAnsi="宋体" w:cs="宋体"/>
                <w:color w:val="000000"/>
                <w:kern w:val="0"/>
                <w:sz w:val="18"/>
                <w:szCs w:val="18"/>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03335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津C2S087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BA609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9B184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47C5AEB0">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8F719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C3DD25">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渣土办</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0FC76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313BC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津C2B809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79963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96B31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2CD44DE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63E76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EDB0D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市容景观科</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4FA54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867FF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津C2A622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02FD9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2F9B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7683A2A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08680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E0AF1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渣土办</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8A7BD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71E12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津C2W691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FAA5C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52298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6FD0B44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109CA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FDAD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097B6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E2D80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津C2B186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3CF60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B0090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清雪车</w:t>
            </w:r>
          </w:p>
        </w:tc>
      </w:tr>
      <w:tr w14:paraId="5296ABA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88057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4CD59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32AD2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BD0A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津C12136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FCA46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2017-3-28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09B5F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移动厕所</w:t>
            </w:r>
          </w:p>
        </w:tc>
      </w:tr>
      <w:tr w14:paraId="63A0F9EC">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33AED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F0DAC4">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B96F6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CCF0D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津C20985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E35E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2017-8-30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DC138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高压洗路</w:t>
            </w:r>
          </w:p>
        </w:tc>
      </w:tr>
      <w:tr w14:paraId="1C1117B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A33F2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26EA9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AB4962">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重型载货专项作业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B006F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津C20950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8C605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2017-9-8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5DD44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洗路护栏</w:t>
            </w:r>
          </w:p>
        </w:tc>
      </w:tr>
      <w:tr w14:paraId="518AADE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C2568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119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081AD4">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F168C0">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3C0B8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津B50899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51F61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2017-11-16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CBE17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26A9452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B3CCA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011FD8">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C56DAF">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中型载货专项作业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DCAEA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津B50900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4CA7D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2017-11-16</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FEC98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洗扫车</w:t>
            </w:r>
          </w:p>
        </w:tc>
      </w:tr>
      <w:tr w14:paraId="4419183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9D9DEB">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3EB60C">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城管科</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18C4E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85F85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津C2A981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0402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2017-11-20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A93C4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考核车</w:t>
            </w:r>
          </w:p>
        </w:tc>
      </w:tr>
      <w:tr w14:paraId="35B763D9">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2844E3">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8231E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sz w:val="24"/>
                <w:szCs w:val="24"/>
                <w:lang w:eastAsia="zh-CN"/>
              </w:rPr>
              <w:t>城管科</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F95A5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轻型非载货专项作业</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2E56B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津C2Z380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B0BB0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2017-11-20</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F5AB8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考核车</w:t>
            </w:r>
          </w:p>
        </w:tc>
      </w:tr>
      <w:tr w14:paraId="68DE6C8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70FE0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32575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568D93">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16D93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津CA2562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637A1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E9D3B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机扫(湿)</w:t>
            </w:r>
          </w:p>
        </w:tc>
      </w:tr>
      <w:tr w14:paraId="2A6DC11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30C2B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6E5A7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CB5EAA">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EFA40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津CA8130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D8AF0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E6DDC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机扫(湿)</w:t>
            </w:r>
          </w:p>
        </w:tc>
      </w:tr>
      <w:tr w14:paraId="5546653E">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B9CD6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0A2F3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B29A8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9BFDB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津CA5967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09F64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3CC49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机扫(湿)</w:t>
            </w:r>
          </w:p>
        </w:tc>
      </w:tr>
      <w:tr w14:paraId="427D567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47183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20977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488FB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45EC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津CA2508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044B3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B9860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机扫(湿)</w:t>
            </w:r>
          </w:p>
        </w:tc>
      </w:tr>
      <w:tr w14:paraId="1F7F4667">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BCCF7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DF48A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D5A4A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中型载货专项作业车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4ACC5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津CA2569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3C4A2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7A45D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机扫(湿)</w:t>
            </w:r>
          </w:p>
        </w:tc>
      </w:tr>
      <w:tr w14:paraId="342F236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A4F39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79260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5067C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38F87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津C5A187</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E8600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6A78D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2E94A9D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0414A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129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FE5C9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27C65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09924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津C2B681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9622F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AC30C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2FA8624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61A56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12E59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A601C0">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D8C71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津C2B981</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C1BCF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0CF77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28CB869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2737B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73445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0199B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7D7F2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津C5B188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4AE2E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2018-5-25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8FB1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收集车</w:t>
            </w:r>
          </w:p>
        </w:tc>
      </w:tr>
      <w:tr w14:paraId="2EFCCE93">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D5A99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3465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EA912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A70C6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津C50362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F8DED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2019-4-1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1DF52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融雪车</w:t>
            </w:r>
          </w:p>
        </w:tc>
      </w:tr>
      <w:tr w14:paraId="62E299A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FBCEF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7503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A6ED1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F081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津C26273</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F531C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2019-4-1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A5292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融雪车</w:t>
            </w:r>
          </w:p>
        </w:tc>
      </w:tr>
      <w:tr w14:paraId="6C3096F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9DE82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25288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F64C8B">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494F9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津C52368</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9D4E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2019-5-29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B5806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洗路车</w:t>
            </w:r>
          </w:p>
        </w:tc>
      </w:tr>
      <w:tr w14:paraId="3BCEBAE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16920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CDD98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367D3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13562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津C33885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9E8E0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2019-5-29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13D87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洗路车</w:t>
            </w:r>
          </w:p>
        </w:tc>
      </w:tr>
      <w:tr w14:paraId="579F86CB">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8685CF">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10920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梅江队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9354EC">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0F4F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津C33289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543C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2019-5-29</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521B0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洗路车</w:t>
            </w:r>
          </w:p>
        </w:tc>
      </w:tr>
      <w:tr w14:paraId="1D50990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83933A">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F27C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分类办</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8187A9">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5118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津RHN249</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CAB06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2019-5-31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1DD0D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皮卡收集</w:t>
            </w:r>
          </w:p>
        </w:tc>
      </w:tr>
      <w:tr w14:paraId="3E0B67ED">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0C7B2E">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2E44F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EB728B">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3C059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津RYT862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37C76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2019-5-31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78F33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皮卡收集</w:t>
            </w:r>
          </w:p>
        </w:tc>
      </w:tr>
      <w:tr w14:paraId="39BC41E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453D2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139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21728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环卫科</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A6F13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轻型特殊结构货车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A2AD1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津C0V166</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CA44D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2019-5-31</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991B7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皮卡收集</w:t>
            </w:r>
          </w:p>
        </w:tc>
      </w:tr>
      <w:tr w14:paraId="3E31447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5429C2">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3B0685">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61B79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13354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津C52630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DDC58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2019-6-3</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C1EA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雾炮</w:t>
            </w:r>
          </w:p>
        </w:tc>
      </w:tr>
      <w:tr w14:paraId="5F6B87C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E063DD">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D50A9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DF8076">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重型载货专项作业车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C3D5E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津C53812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70C58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2019-6-3</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F25C9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雾炮</w:t>
            </w:r>
          </w:p>
        </w:tc>
      </w:tr>
      <w:tr w14:paraId="45E0376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EF9C9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A5DFE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3E532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中型普通货车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35827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津C69662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3C360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EDB64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餐厨垃圾</w:t>
            </w:r>
          </w:p>
        </w:tc>
      </w:tr>
      <w:tr w14:paraId="0C7C8DA2">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EF59AC">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BCB60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3417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中型普通货车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73E71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津C69910</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154D0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2019-6-25</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F8E91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餐厨垃圾</w:t>
            </w:r>
          </w:p>
        </w:tc>
      </w:tr>
      <w:tr w14:paraId="40AA6834">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2374C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769DC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BA3FB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D7755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津C1K962</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0F4C5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2D3115">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餐厨垃圾</w:t>
            </w:r>
          </w:p>
        </w:tc>
      </w:tr>
      <w:tr w14:paraId="7DC0E785">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4DC88">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8B55B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4DDEA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轻型自卸货车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6E522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津C1D165</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F7BD6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2019-6-28</w:t>
            </w: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0B0182">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餐厨垃圾</w:t>
            </w:r>
          </w:p>
        </w:tc>
      </w:tr>
      <w:tr w14:paraId="48B2CBB6">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3CF4A4">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A90F0B">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6CB7A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C35AC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D5A911">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ADAA7B">
            <w:pPr>
              <w:jc w:val="center"/>
              <w:rPr>
                <w:rFonts w:ascii="宋体" w:hAnsi="宋体" w:cs="宋体"/>
                <w:color w:val="000000"/>
                <w:sz w:val="24"/>
                <w:szCs w:val="24"/>
              </w:rPr>
            </w:pPr>
          </w:p>
        </w:tc>
      </w:tr>
      <w:tr w14:paraId="20EDC3BA">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267661">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62FF7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C0D1D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93D3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80D2E4">
            <w:pP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16DB21">
            <w:pPr>
              <w:jc w:val="center"/>
              <w:rPr>
                <w:rFonts w:ascii="宋体" w:hAnsi="宋体" w:cs="宋体"/>
                <w:color w:val="000000"/>
                <w:sz w:val="24"/>
                <w:szCs w:val="24"/>
              </w:rPr>
            </w:pPr>
          </w:p>
        </w:tc>
      </w:tr>
      <w:tr w14:paraId="3129926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994525">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148</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490E25">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28C2B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19B7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03F5DE">
            <w:pP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5BE2AB">
            <w:pPr>
              <w:jc w:val="center"/>
              <w:rPr>
                <w:rFonts w:ascii="宋体" w:hAnsi="宋体" w:cs="宋体"/>
                <w:color w:val="000000"/>
                <w:sz w:val="24"/>
                <w:szCs w:val="24"/>
              </w:rPr>
            </w:pPr>
          </w:p>
        </w:tc>
      </w:tr>
      <w:tr w14:paraId="2D12572F">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310EE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149</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7E470B">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80EEF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0C931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3EBCF6">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ED1402">
            <w:pPr>
              <w:jc w:val="center"/>
              <w:rPr>
                <w:rFonts w:ascii="宋体" w:hAnsi="宋体" w:cs="宋体"/>
                <w:color w:val="000000"/>
                <w:szCs w:val="21"/>
              </w:rPr>
            </w:pPr>
          </w:p>
        </w:tc>
      </w:tr>
      <w:tr w14:paraId="1F0744E1">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4E8107">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150</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16F2B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A90F3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DCBBA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05349E">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568431">
            <w:pPr>
              <w:jc w:val="center"/>
              <w:rPr>
                <w:rFonts w:ascii="宋体" w:hAnsi="宋体" w:cs="宋体"/>
                <w:color w:val="000000"/>
                <w:szCs w:val="21"/>
              </w:rPr>
            </w:pPr>
          </w:p>
        </w:tc>
      </w:tr>
      <w:tr w14:paraId="0EC89998">
        <w:tblPrEx>
          <w:tblCellMar>
            <w:top w:w="0" w:type="dxa"/>
            <w:left w:w="0" w:type="dxa"/>
            <w:bottom w:w="0" w:type="dxa"/>
            <w:right w:w="0" w:type="dxa"/>
          </w:tblCellMar>
        </w:tblPrEx>
        <w:trPr>
          <w:trHeight w:val="33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D1D680">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151</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7D0E33">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077C1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F2FC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FE3578">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57A5AB">
            <w:pPr>
              <w:jc w:val="center"/>
              <w:rPr>
                <w:rFonts w:ascii="宋体" w:hAnsi="宋体" w:cs="宋体"/>
                <w:color w:val="000000"/>
                <w:szCs w:val="21"/>
              </w:rPr>
            </w:pPr>
          </w:p>
        </w:tc>
      </w:tr>
      <w:tr w14:paraId="7DCD4BC1">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9A2A16">
            <w:pPr>
              <w:keepNext w:val="0"/>
              <w:keepLines w:val="0"/>
              <w:widowControl/>
              <w:suppressLineNumbers w:val="0"/>
              <w:jc w:val="center"/>
              <w:textAlignment w:val="center"/>
              <w:rPr>
                <w:rFonts w:hint="default" w:ascii="宋体" w:hAnsi="宋体" w:eastAsia="宋体" w:cs="宋体"/>
                <w:color w:val="000000"/>
                <w:sz w:val="24"/>
                <w:szCs w:val="24"/>
                <w:lang w:val="en-US" w:eastAsia="zh-CN"/>
              </w:rPr>
            </w:pPr>
            <w:r>
              <w:rPr>
                <w:rFonts w:hint="eastAsia" w:ascii="宋体" w:hAnsi="宋体" w:eastAsia="宋体" w:cs="宋体"/>
                <w:i w:val="0"/>
                <w:iCs w:val="0"/>
                <w:color w:val="000000"/>
                <w:kern w:val="0"/>
                <w:sz w:val="22"/>
                <w:szCs w:val="22"/>
                <w:u w:val="none"/>
                <w:lang w:val="en-US" w:eastAsia="zh-CN" w:bidi="ar"/>
              </w:rPr>
              <w:t>152</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CAD4A8">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37C15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3725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A6E264">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9B0459">
            <w:pPr>
              <w:jc w:val="center"/>
              <w:rPr>
                <w:rFonts w:ascii="宋体" w:hAnsi="宋体" w:cs="宋体"/>
                <w:color w:val="000000"/>
                <w:sz w:val="24"/>
                <w:szCs w:val="24"/>
              </w:rPr>
            </w:pPr>
          </w:p>
        </w:tc>
      </w:tr>
      <w:tr w14:paraId="31E17953">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7D3A17">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i w:val="0"/>
                <w:iCs w:val="0"/>
                <w:color w:val="000000"/>
                <w:kern w:val="0"/>
                <w:sz w:val="22"/>
                <w:szCs w:val="22"/>
                <w:u w:val="none"/>
                <w:lang w:val="en-US" w:eastAsia="zh-CN" w:bidi="ar"/>
              </w:rPr>
              <w:t>153</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068B9D">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A0EE93">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888810">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A1FC77">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D7EB2B">
            <w:pPr>
              <w:jc w:val="center"/>
              <w:rPr>
                <w:rFonts w:ascii="宋体" w:hAnsi="宋体" w:cs="宋体"/>
                <w:color w:val="000000"/>
                <w:sz w:val="24"/>
                <w:szCs w:val="24"/>
              </w:rPr>
            </w:pPr>
          </w:p>
        </w:tc>
      </w:tr>
      <w:tr w14:paraId="06ECACD3">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1E5970">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i w:val="0"/>
                <w:iCs w:val="0"/>
                <w:color w:val="000000"/>
                <w:kern w:val="0"/>
                <w:sz w:val="22"/>
                <w:szCs w:val="22"/>
                <w:u w:val="none"/>
                <w:lang w:val="en-US" w:eastAsia="zh-CN" w:bidi="ar"/>
              </w:rPr>
              <w:t>154</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05DCCC">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市容景观科</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EDDB0B">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扫路机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05B8F8">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D57EC0">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BE000E">
            <w:pPr>
              <w:jc w:val="center"/>
              <w:rPr>
                <w:rFonts w:ascii="宋体" w:hAnsi="宋体" w:cs="宋体"/>
                <w:color w:val="000000"/>
                <w:sz w:val="24"/>
                <w:szCs w:val="24"/>
              </w:rPr>
            </w:pPr>
          </w:p>
        </w:tc>
      </w:tr>
      <w:tr w14:paraId="1084E2E4">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C07F23">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i w:val="0"/>
                <w:iCs w:val="0"/>
                <w:color w:val="000000"/>
                <w:kern w:val="0"/>
                <w:sz w:val="22"/>
                <w:szCs w:val="22"/>
                <w:u w:val="none"/>
                <w:lang w:val="en-US" w:eastAsia="zh-CN" w:bidi="ar"/>
              </w:rPr>
              <w:t>155</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7800B3">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渣土办</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037944">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推土机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9AE99D">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C32DF7">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2F75AB">
            <w:pPr>
              <w:jc w:val="center"/>
              <w:rPr>
                <w:rFonts w:ascii="宋体" w:hAnsi="宋体" w:cs="宋体"/>
                <w:color w:val="000000"/>
                <w:sz w:val="24"/>
                <w:szCs w:val="24"/>
              </w:rPr>
            </w:pPr>
          </w:p>
        </w:tc>
      </w:tr>
      <w:tr w14:paraId="39A30743">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07408B">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i w:val="0"/>
                <w:iCs w:val="0"/>
                <w:color w:val="000000"/>
                <w:kern w:val="0"/>
                <w:sz w:val="22"/>
                <w:szCs w:val="22"/>
                <w:u w:val="none"/>
                <w:lang w:val="en-US" w:eastAsia="zh-CN" w:bidi="ar"/>
              </w:rPr>
              <w:t>156</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466DE6">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汽车队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38C637">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挖掘机</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5A840D">
            <w:pPr>
              <w:widowControl/>
              <w:jc w:val="center"/>
              <w:textAlignment w:val="center"/>
              <w:rPr>
                <w:rFonts w:hint="eastAsia" w:ascii="宋体" w:hAnsi="宋体" w:eastAsia="宋体" w:cs="宋体"/>
                <w:color w:val="000000"/>
                <w:kern w:val="0"/>
                <w:sz w:val="24"/>
                <w:szCs w:val="24"/>
                <w:lang w:eastAsia="zh-CN" w:bidi="ar"/>
              </w:rPr>
            </w:pPr>
            <w:r>
              <w:rPr>
                <w:rFonts w:hint="eastAsia" w:ascii="宋体" w:hAnsi="宋体" w:cs="宋体"/>
                <w:color w:val="000000"/>
                <w:kern w:val="0"/>
                <w:sz w:val="24"/>
                <w:szCs w:val="24"/>
                <w:lang w:eastAsia="zh-CN"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BA7FFC">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2A4755">
            <w:pPr>
              <w:jc w:val="center"/>
              <w:rPr>
                <w:rFonts w:ascii="宋体" w:hAnsi="宋体" w:cs="宋体"/>
                <w:color w:val="000000"/>
                <w:sz w:val="24"/>
                <w:szCs w:val="24"/>
              </w:rPr>
            </w:pPr>
          </w:p>
        </w:tc>
      </w:tr>
      <w:tr w14:paraId="480A55B1">
        <w:tblPrEx>
          <w:tblCellMar>
            <w:top w:w="0" w:type="dxa"/>
            <w:left w:w="0" w:type="dxa"/>
            <w:bottom w:w="0" w:type="dxa"/>
            <w:right w:w="0" w:type="dxa"/>
          </w:tblCellMar>
        </w:tblPrEx>
        <w:trPr>
          <w:trHeight w:val="347" w:hRule="atLeast"/>
        </w:trPr>
        <w:tc>
          <w:tcPr>
            <w:tcW w:w="7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4761EB">
            <w:pPr>
              <w:keepNext w:val="0"/>
              <w:keepLines w:val="0"/>
              <w:widowControl/>
              <w:suppressLineNumbers w:val="0"/>
              <w:jc w:val="center"/>
              <w:textAlignment w:val="center"/>
              <w:rPr>
                <w:rFonts w:hint="default" w:ascii="宋体" w:hAnsi="宋体" w:eastAsia="宋体" w:cs="宋体"/>
                <w:color w:val="000000"/>
                <w:kern w:val="0"/>
                <w:sz w:val="24"/>
                <w:szCs w:val="24"/>
                <w:lang w:val="en-US" w:eastAsia="zh-CN" w:bidi="ar"/>
              </w:rPr>
            </w:pPr>
            <w:r>
              <w:rPr>
                <w:rFonts w:hint="eastAsia" w:ascii="宋体" w:hAnsi="宋体" w:eastAsia="宋体" w:cs="宋体"/>
                <w:i w:val="0"/>
                <w:iCs w:val="0"/>
                <w:color w:val="000000"/>
                <w:kern w:val="0"/>
                <w:sz w:val="22"/>
                <w:szCs w:val="22"/>
                <w:u w:val="none"/>
                <w:lang w:val="en-US" w:eastAsia="zh-CN" w:bidi="ar"/>
              </w:rPr>
              <w:t>157</w:t>
            </w:r>
          </w:p>
        </w:tc>
        <w:tc>
          <w:tcPr>
            <w:tcW w:w="108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6C09CD">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环卫队</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31ED3F">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电动高压冲洗车</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BFBD71">
            <w:pPr>
              <w:widowControl/>
              <w:jc w:val="center"/>
              <w:textAlignment w:val="center"/>
              <w:rPr>
                <w:rFonts w:hint="eastAsia" w:ascii="宋体" w:hAnsi="宋体" w:cs="宋体"/>
                <w:color w:val="000000"/>
                <w:kern w:val="0"/>
                <w:sz w:val="24"/>
                <w:szCs w:val="24"/>
                <w:lang w:eastAsia="zh-CN" w:bidi="ar"/>
              </w:rPr>
            </w:pPr>
            <w:r>
              <w:rPr>
                <w:rFonts w:hint="eastAsia" w:ascii="宋体" w:hAnsi="宋体" w:cs="宋体"/>
                <w:color w:val="000000"/>
                <w:kern w:val="0"/>
                <w:sz w:val="24"/>
                <w:szCs w:val="24"/>
                <w:lang w:eastAsia="zh-CN" w:bidi="ar"/>
              </w:rPr>
              <w:t>无牌</w:t>
            </w:r>
          </w:p>
        </w:tc>
        <w:tc>
          <w:tcPr>
            <w:tcW w:w="177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CF84A7">
            <w:pPr>
              <w:jc w:val="center"/>
              <w:rPr>
                <w:rFonts w:ascii="宋体" w:hAnsi="宋体" w:cs="宋体"/>
                <w:color w:val="000000"/>
                <w:sz w:val="24"/>
                <w:szCs w:val="24"/>
              </w:rPr>
            </w:pPr>
          </w:p>
        </w:tc>
        <w:tc>
          <w:tcPr>
            <w:tcW w:w="17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B26819">
            <w:pPr>
              <w:jc w:val="center"/>
              <w:rPr>
                <w:rFonts w:ascii="宋体" w:hAnsi="宋体" w:cs="宋体"/>
                <w:color w:val="000000"/>
                <w:sz w:val="24"/>
                <w:szCs w:val="24"/>
              </w:rPr>
            </w:pPr>
          </w:p>
        </w:tc>
      </w:tr>
    </w:tbl>
    <w:p w14:paraId="71E50B15">
      <w:pPr>
        <w:spacing w:line="360" w:lineRule="auto"/>
        <w:rPr>
          <w:rFonts w:hint="eastAsia" w:ascii="仿宋_GB2312" w:hAnsi="宋体" w:eastAsia="仿宋_GB2312"/>
          <w:szCs w:val="21"/>
        </w:rPr>
      </w:pPr>
    </w:p>
    <w:p w14:paraId="017ED84D">
      <w:pPr>
        <w:spacing w:line="360" w:lineRule="auto"/>
        <w:rPr>
          <w:rFonts w:ascii="仿宋_GB2312" w:hAnsi="宋体" w:eastAsia="仿宋_GB2312"/>
          <w:szCs w:val="21"/>
        </w:rPr>
      </w:pPr>
    </w:p>
    <w:p w14:paraId="1AF6C2E6">
      <w:pPr>
        <w:spacing w:line="360" w:lineRule="auto"/>
        <w:rPr>
          <w:rFonts w:hint="eastAsia" w:ascii="仿宋_GB2312" w:hAnsi="宋体" w:eastAsia="仿宋_GB2312"/>
          <w:szCs w:val="21"/>
        </w:rPr>
      </w:pPr>
      <w:r>
        <w:rPr>
          <w:rFonts w:hint="eastAsia" w:ascii="仿宋_GB2312" w:hAnsi="宋体" w:eastAsia="仿宋_GB2312"/>
          <w:szCs w:val="21"/>
        </w:rPr>
        <w:t>填写说明：</w:t>
      </w:r>
    </w:p>
    <w:p w14:paraId="172AC3BB">
      <w:pPr>
        <w:spacing w:line="360" w:lineRule="auto"/>
        <w:rPr>
          <w:rFonts w:hint="eastAsia" w:ascii="仿宋_GB2312" w:hAnsi="宋体" w:eastAsia="仿宋_GB2312"/>
          <w:szCs w:val="21"/>
        </w:rPr>
      </w:pPr>
      <w:r>
        <w:rPr>
          <w:rFonts w:hint="eastAsia" w:ascii="仿宋_GB2312" w:hAnsi="宋体" w:eastAsia="仿宋_GB2312"/>
          <w:szCs w:val="21"/>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09E520AE">
      <w:pPr>
        <w:spacing w:line="360" w:lineRule="auto"/>
        <w:rPr>
          <w:rFonts w:hint="eastAsia" w:ascii="仿宋_GB2312" w:hAnsi="宋体" w:eastAsia="仿宋_GB2312"/>
          <w:szCs w:val="21"/>
        </w:rPr>
      </w:pPr>
      <w:r>
        <w:rPr>
          <w:rFonts w:hint="eastAsia" w:ascii="仿宋_GB2312" w:hAnsi="宋体" w:eastAsia="仿宋_GB2312"/>
          <w:szCs w:val="21"/>
        </w:rPr>
        <w:t>2、技术需求包括需要采购的货物、服务、工程的详细要求；</w:t>
      </w:r>
    </w:p>
    <w:p w14:paraId="69D7AD12">
      <w:pPr>
        <w:tabs>
          <w:tab w:val="left" w:pos="1260"/>
          <w:tab w:val="center" w:pos="4156"/>
        </w:tabs>
        <w:spacing w:line="360" w:lineRule="auto"/>
        <w:outlineLvl w:val="0"/>
        <w:rPr>
          <w:rFonts w:ascii="宋体" w:hAnsi="宋体"/>
          <w:color w:val="FF0000"/>
          <w:sz w:val="24"/>
        </w:rPr>
      </w:pPr>
      <w:r>
        <w:rPr>
          <w:rFonts w:hint="eastAsia" w:ascii="仿宋_GB2312" w:hAnsi="宋体" w:eastAsia="仿宋_GB2312"/>
          <w:szCs w:val="21"/>
        </w:rPr>
        <w:t>3、实质性需求是指不允许有偏离的需求条款，提出实质性需求必须说明原因，如未说明原因，视为一般需求。</w:t>
      </w:r>
      <w:r>
        <w:rPr>
          <w:b/>
          <w:sz w:val="30"/>
          <w:szCs w:val="30"/>
        </w:rPr>
        <w:br w:type="page"/>
      </w: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1"/>
        <w:spacing w:line="360" w:lineRule="auto"/>
        <w:ind w:firstLine="480" w:firstLineChars="200"/>
        <w:jc w:val="both"/>
        <w:rPr>
          <w:rFonts w:ascii="Times New Roman" w:hAnsi="Times New Roman" w:eastAsia="宋体" w:cs="Times New Roman"/>
          <w:color w:val="auto"/>
        </w:rPr>
      </w:pPr>
    </w:p>
    <w:p w14:paraId="6D664176">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2A8DDF88">
      <w:pPr>
        <w:tabs>
          <w:tab w:val="left" w:pos="0"/>
          <w:tab w:val="left" w:pos="315"/>
        </w:tabs>
        <w:spacing w:line="560" w:lineRule="exact"/>
        <w:ind w:firstLine="480"/>
        <w:jc w:val="center"/>
        <w:rPr>
          <w:rFonts w:hint="eastAsia" w:ascii="宋体" w:hAnsi="宋体" w:eastAsia="宋体"/>
          <w:b/>
          <w:bCs/>
          <w:color w:val="000000"/>
          <w:sz w:val="32"/>
          <w:szCs w:val="32"/>
          <w:lang w:eastAsia="zh-CN"/>
        </w:rPr>
      </w:pPr>
      <w:r>
        <w:rPr>
          <w:rFonts w:hint="eastAsia" w:ascii="宋体" w:hAnsi="宋体"/>
          <w:b/>
          <w:bCs/>
          <w:color w:val="000000"/>
          <w:sz w:val="32"/>
          <w:szCs w:val="32"/>
          <w:lang w:eastAsia="zh-CN"/>
        </w:rPr>
        <w:t>维修合同（样本）</w:t>
      </w:r>
    </w:p>
    <w:p w14:paraId="7399CF68">
      <w:pPr>
        <w:tabs>
          <w:tab w:val="left" w:pos="0"/>
          <w:tab w:val="left" w:pos="315"/>
        </w:tabs>
        <w:spacing w:line="560" w:lineRule="exact"/>
        <w:ind w:firstLine="480"/>
        <w:rPr>
          <w:rFonts w:hint="eastAsia" w:ascii="宋体" w:hAnsi="宋体"/>
          <w:color w:val="000000"/>
          <w:sz w:val="24"/>
          <w:szCs w:val="24"/>
        </w:rPr>
      </w:pPr>
      <w:r>
        <w:rPr>
          <w:rFonts w:hint="eastAsia" w:ascii="宋体" w:hAnsi="宋体"/>
          <w:color w:val="000000"/>
          <w:sz w:val="24"/>
          <w:szCs w:val="24"/>
        </w:rPr>
        <w:t>需方：</w:t>
      </w:r>
    </w:p>
    <w:p w14:paraId="4379443D">
      <w:pPr>
        <w:tabs>
          <w:tab w:val="left" w:pos="0"/>
          <w:tab w:val="left" w:pos="315"/>
        </w:tabs>
        <w:spacing w:line="560" w:lineRule="exact"/>
        <w:ind w:firstLine="480"/>
        <w:rPr>
          <w:rFonts w:hint="eastAsia" w:ascii="宋体" w:hAnsi="宋体"/>
          <w:color w:val="000000"/>
          <w:sz w:val="24"/>
          <w:szCs w:val="24"/>
        </w:rPr>
      </w:pPr>
      <w:r>
        <w:rPr>
          <w:rFonts w:hint="eastAsia" w:ascii="宋体" w:hAnsi="宋体"/>
          <w:color w:val="000000"/>
          <w:sz w:val="24"/>
          <w:szCs w:val="24"/>
        </w:rPr>
        <w:t xml:space="preserve">供方： </w:t>
      </w:r>
    </w:p>
    <w:p w14:paraId="058C55F8">
      <w:pPr>
        <w:spacing w:line="560" w:lineRule="exact"/>
        <w:ind w:firstLine="480" w:firstLineChars="200"/>
        <w:rPr>
          <w:rFonts w:hint="eastAsia" w:ascii="宋体" w:hAnsi="宋体"/>
          <w:color w:val="000000"/>
          <w:sz w:val="24"/>
          <w:szCs w:val="24"/>
        </w:rPr>
      </w:pPr>
      <w:r>
        <w:rPr>
          <w:rFonts w:hint="eastAsia" w:ascii="宋体" w:hAnsi="宋体"/>
          <w:color w:val="000000"/>
          <w:sz w:val="24"/>
          <w:szCs w:val="24"/>
        </w:rPr>
        <w:t>供、需双方根据</w:t>
      </w:r>
      <w:r>
        <w:rPr>
          <w:rFonts w:hint="eastAsia" w:ascii="宋体" w:hAnsi="宋体"/>
          <w:color w:val="000000"/>
          <w:sz w:val="24"/>
          <w:szCs w:val="24"/>
          <w:lang w:val="en-US" w:eastAsia="zh-CN"/>
        </w:rPr>
        <w:t xml:space="preserve">    </w:t>
      </w:r>
      <w:r>
        <w:rPr>
          <w:rFonts w:hint="eastAsia" w:ascii="宋体" w:hAnsi="宋体"/>
          <w:color w:val="000000"/>
          <w:sz w:val="24"/>
          <w:szCs w:val="24"/>
        </w:rPr>
        <w:t xml:space="preserve">年 </w:t>
      </w:r>
      <w:r>
        <w:rPr>
          <w:rFonts w:hint="eastAsia" w:ascii="宋体" w:hAnsi="宋体"/>
          <w:color w:val="000000"/>
          <w:sz w:val="24"/>
          <w:szCs w:val="24"/>
          <w:lang w:val="en-US" w:eastAsia="zh-CN"/>
        </w:rPr>
        <w:t xml:space="preserve">   </w:t>
      </w:r>
      <w:r>
        <w:rPr>
          <w:rFonts w:hint="eastAsia" w:ascii="宋体" w:hAnsi="宋体"/>
          <w:color w:val="000000"/>
          <w:sz w:val="24"/>
          <w:szCs w:val="24"/>
        </w:rPr>
        <w:t xml:space="preserve">月 </w:t>
      </w:r>
      <w:r>
        <w:rPr>
          <w:rFonts w:hint="eastAsia" w:ascii="宋体" w:hAnsi="宋体"/>
          <w:color w:val="000000"/>
          <w:sz w:val="24"/>
          <w:szCs w:val="24"/>
          <w:lang w:val="en-US" w:eastAsia="zh-CN"/>
        </w:rPr>
        <w:t xml:space="preserve">   </w:t>
      </w:r>
      <w:r>
        <w:rPr>
          <w:rFonts w:hint="eastAsia" w:ascii="宋体" w:hAnsi="宋体"/>
          <w:color w:val="000000"/>
          <w:sz w:val="24"/>
          <w:szCs w:val="24"/>
        </w:rPr>
        <w:t>日天津市西青区政府采购中心关于              项目（项目编号：</w:t>
      </w:r>
      <w:r>
        <w:rPr>
          <w:rFonts w:hint="eastAsia" w:ascii="宋体" w:hAnsi="宋体"/>
          <w:sz w:val="24"/>
          <w:szCs w:val="24"/>
          <w:lang w:val="en-US" w:eastAsia="zh-CN"/>
        </w:rPr>
        <w:t xml:space="preserve">        </w:t>
      </w:r>
      <w:r>
        <w:rPr>
          <w:rFonts w:hint="eastAsia" w:ascii="宋体" w:hAnsi="宋体"/>
          <w:color w:val="000000"/>
          <w:sz w:val="24"/>
          <w:szCs w:val="24"/>
        </w:rPr>
        <w:t>）的</w:t>
      </w:r>
      <w:r>
        <w:rPr>
          <w:rFonts w:hint="eastAsia" w:ascii="宋体" w:hAnsi="宋体"/>
          <w:color w:val="000000"/>
          <w:sz w:val="24"/>
          <w:szCs w:val="24"/>
          <w:lang w:eastAsia="zh-CN"/>
        </w:rPr>
        <w:t>招标</w:t>
      </w:r>
      <w:r>
        <w:rPr>
          <w:rFonts w:hint="eastAsia" w:ascii="宋体" w:hAnsi="宋体"/>
          <w:color w:val="000000"/>
          <w:sz w:val="24"/>
          <w:szCs w:val="24"/>
        </w:rPr>
        <w:t>结果和</w:t>
      </w:r>
      <w:r>
        <w:rPr>
          <w:rFonts w:hint="eastAsia" w:ascii="宋体" w:hAnsi="宋体"/>
          <w:color w:val="000000"/>
          <w:sz w:val="24"/>
          <w:szCs w:val="24"/>
          <w:lang w:eastAsia="zh-CN"/>
        </w:rPr>
        <w:t>招标</w:t>
      </w:r>
      <w:r>
        <w:rPr>
          <w:rFonts w:hint="eastAsia" w:ascii="宋体" w:hAnsi="宋体"/>
          <w:color w:val="000000"/>
          <w:sz w:val="24"/>
          <w:szCs w:val="24"/>
        </w:rPr>
        <w:t>文件的要求，并经双方协商一致，达成</w:t>
      </w:r>
      <w:r>
        <w:rPr>
          <w:rFonts w:hint="eastAsia" w:ascii="宋体" w:hAnsi="宋体"/>
          <w:color w:val="000000"/>
          <w:sz w:val="24"/>
          <w:szCs w:val="24"/>
          <w:lang w:eastAsia="zh-CN"/>
        </w:rPr>
        <w:t>维修</w:t>
      </w:r>
      <w:r>
        <w:rPr>
          <w:rFonts w:hint="eastAsia" w:ascii="宋体" w:hAnsi="宋体"/>
          <w:color w:val="000000"/>
          <w:sz w:val="24"/>
          <w:szCs w:val="24"/>
        </w:rPr>
        <w:t>合同：</w:t>
      </w:r>
    </w:p>
    <w:p w14:paraId="2013A628">
      <w:pPr>
        <w:numPr>
          <w:ilvl w:val="0"/>
          <w:numId w:val="5"/>
        </w:numPr>
        <w:tabs>
          <w:tab w:val="left" w:pos="1133"/>
          <w:tab w:val="clear" w:pos="0"/>
        </w:tabs>
        <w:spacing w:line="360" w:lineRule="auto"/>
        <w:rPr>
          <w:rFonts w:ascii="宋体" w:hAnsi="宋体" w:cs="宋体"/>
          <w:sz w:val="24"/>
          <w:szCs w:val="24"/>
        </w:rPr>
      </w:pPr>
      <w:r>
        <w:rPr>
          <w:rFonts w:hint="eastAsia" w:ascii="宋体" w:hAnsi="宋体" w:cs="宋体"/>
          <w:sz w:val="24"/>
          <w:szCs w:val="24"/>
          <w:lang w:bidi="ar"/>
        </w:rPr>
        <w:t>项目内容：</w:t>
      </w:r>
    </w:p>
    <w:p w14:paraId="4E2189ED">
      <w:pPr>
        <w:tabs>
          <w:tab w:val="left" w:pos="1133"/>
        </w:tabs>
        <w:spacing w:line="360" w:lineRule="auto"/>
        <w:ind w:firstLine="480" w:firstLineChars="200"/>
        <w:rPr>
          <w:rFonts w:ascii="宋体" w:hAnsi="宋体" w:cs="宋体"/>
          <w:sz w:val="24"/>
          <w:szCs w:val="24"/>
        </w:rPr>
      </w:pPr>
      <w:r>
        <w:rPr>
          <w:rFonts w:hint="eastAsia" w:ascii="宋体" w:hAnsi="宋体" w:cs="宋体"/>
          <w:sz w:val="24"/>
          <w:szCs w:val="24"/>
          <w:lang w:bidi="ar"/>
        </w:rPr>
        <w:t xml:space="preserve">     合同总价款：人民币</w:t>
      </w:r>
      <w:r>
        <w:rPr>
          <w:rFonts w:hint="eastAsia" w:ascii="宋体" w:hAnsi="宋体" w:cs="宋体"/>
          <w:sz w:val="24"/>
          <w:szCs w:val="24"/>
          <w:u w:val="single"/>
          <w:lang w:bidi="ar"/>
        </w:rPr>
        <w:t xml:space="preserve"> </w:t>
      </w:r>
      <w:r>
        <w:rPr>
          <w:rFonts w:hint="eastAsia" w:ascii="宋体" w:hAnsi="宋体" w:cs="宋体"/>
          <w:sz w:val="24"/>
          <w:szCs w:val="24"/>
          <w:u w:val="single"/>
          <w:lang w:val="en-US" w:eastAsia="zh-CN" w:bidi="ar"/>
        </w:rPr>
        <w:t xml:space="preserve">        </w:t>
      </w:r>
      <w:r>
        <w:rPr>
          <w:rFonts w:hint="eastAsia" w:ascii="宋体" w:hAnsi="宋体" w:cs="宋体"/>
          <w:sz w:val="24"/>
          <w:szCs w:val="24"/>
          <w:u w:val="single"/>
          <w:lang w:bidi="ar"/>
        </w:rPr>
        <w:t xml:space="preserve"> </w:t>
      </w:r>
      <w:r>
        <w:rPr>
          <w:rFonts w:hint="eastAsia" w:ascii="宋体" w:hAnsi="宋体" w:cs="宋体"/>
          <w:sz w:val="24"/>
          <w:szCs w:val="24"/>
          <w:lang w:bidi="ar"/>
        </w:rPr>
        <w:t>元</w:t>
      </w:r>
    </w:p>
    <w:p w14:paraId="1AB2FD0D">
      <w:pPr>
        <w:tabs>
          <w:tab w:val="left" w:pos="1133"/>
        </w:tabs>
        <w:spacing w:line="360" w:lineRule="auto"/>
        <w:ind w:firstLine="480" w:firstLineChars="200"/>
      </w:pPr>
      <w:r>
        <w:rPr>
          <w:rFonts w:hint="eastAsia" w:ascii="宋体" w:hAnsi="宋体" w:cs="宋体"/>
          <w:sz w:val="24"/>
          <w:szCs w:val="24"/>
          <w:lang w:bidi="ar"/>
        </w:rPr>
        <w:t xml:space="preserve">     大写：人民币</w:t>
      </w:r>
      <w:r>
        <w:rPr>
          <w:rFonts w:hint="eastAsia" w:ascii="宋体" w:hAnsi="宋体" w:cs="宋体"/>
          <w:sz w:val="24"/>
          <w:szCs w:val="24"/>
          <w:u w:val="single"/>
          <w:lang w:bidi="ar"/>
        </w:rPr>
        <w:t xml:space="preserve"> </w:t>
      </w:r>
      <w:r>
        <w:rPr>
          <w:rFonts w:hint="eastAsia" w:ascii="宋体" w:hAnsi="宋体" w:cs="宋体"/>
          <w:sz w:val="24"/>
          <w:szCs w:val="24"/>
          <w:u w:val="single"/>
          <w:lang w:val="en-US" w:eastAsia="zh-CN" w:bidi="ar"/>
        </w:rPr>
        <w:t xml:space="preserve">        </w:t>
      </w:r>
      <w:r>
        <w:rPr>
          <w:rFonts w:hint="eastAsia" w:ascii="宋体" w:hAnsi="宋体" w:cs="宋体"/>
          <w:sz w:val="24"/>
          <w:szCs w:val="24"/>
          <w:u w:val="single"/>
          <w:lang w:bidi="ar"/>
        </w:rPr>
        <w:t xml:space="preserve"> </w:t>
      </w:r>
      <w:r>
        <w:rPr>
          <w:rFonts w:hint="eastAsia" w:ascii="宋体" w:hAnsi="宋体" w:cs="宋体"/>
          <w:sz w:val="24"/>
          <w:szCs w:val="24"/>
          <w:lang w:bidi="ar"/>
        </w:rPr>
        <w:t>元整</w:t>
      </w:r>
    </w:p>
    <w:p w14:paraId="02EAECCB">
      <w:pPr>
        <w:tabs>
          <w:tab w:val="left" w:pos="360"/>
        </w:tabs>
        <w:spacing w:line="360" w:lineRule="auto"/>
        <w:ind w:firstLine="480" w:firstLineChars="200"/>
        <w:rPr>
          <w:rFonts w:ascii="宋体" w:hAnsi="宋体" w:cs="宋体"/>
          <w:sz w:val="24"/>
          <w:szCs w:val="24"/>
        </w:rPr>
      </w:pPr>
      <w:r>
        <w:rPr>
          <w:rFonts w:hint="eastAsia" w:ascii="宋体" w:hAnsi="宋体" w:cs="宋体"/>
          <w:sz w:val="24"/>
          <w:szCs w:val="24"/>
          <w:lang w:bidi="ar"/>
        </w:rPr>
        <w:t>二、 服务要求及对服务负责条件：见附件。</w:t>
      </w:r>
    </w:p>
    <w:p w14:paraId="1A6F1032">
      <w:pPr>
        <w:tabs>
          <w:tab w:val="left" w:pos="360"/>
        </w:tabs>
        <w:spacing w:line="360" w:lineRule="auto"/>
        <w:ind w:firstLine="480" w:firstLineChars="200"/>
        <w:rPr>
          <w:rFonts w:ascii="宋体" w:hAnsi="宋体" w:cs="宋体"/>
          <w:sz w:val="24"/>
          <w:szCs w:val="24"/>
        </w:rPr>
      </w:pPr>
      <w:r>
        <w:rPr>
          <w:rFonts w:hint="eastAsia" w:ascii="宋体" w:hAnsi="宋体" w:cs="宋体"/>
          <w:sz w:val="24"/>
          <w:szCs w:val="24"/>
          <w:lang w:bidi="ar"/>
        </w:rPr>
        <w:t>三、 乙方所提供的服务必须具有合法手续及相关文件。</w:t>
      </w:r>
    </w:p>
    <w:p w14:paraId="24783A8C">
      <w:pPr>
        <w:tabs>
          <w:tab w:val="left" w:pos="0"/>
          <w:tab w:val="left" w:pos="315"/>
        </w:tabs>
        <w:spacing w:line="560" w:lineRule="exact"/>
        <w:ind w:firstLine="480"/>
        <w:rPr>
          <w:rFonts w:hint="default" w:ascii="宋体" w:hAnsi="宋体" w:eastAsia="宋体" w:cs="宋体"/>
          <w:sz w:val="24"/>
          <w:szCs w:val="24"/>
          <w:lang w:val="en-US" w:eastAsia="zh-CN"/>
        </w:rPr>
      </w:pPr>
      <w:r>
        <w:rPr>
          <w:rFonts w:hint="eastAsia" w:ascii="宋体" w:hAnsi="宋体"/>
          <w:color w:val="000000"/>
          <w:sz w:val="24"/>
          <w:szCs w:val="24"/>
        </w:rPr>
        <w:t>四、</w:t>
      </w:r>
      <w:r>
        <w:rPr>
          <w:rFonts w:hint="eastAsia" w:ascii="宋体" w:hAnsi="宋体" w:cs="宋体"/>
          <w:sz w:val="24"/>
          <w:szCs w:val="24"/>
          <w:lang w:bidi="ar"/>
        </w:rPr>
        <w:t>服务时间：</w:t>
      </w:r>
      <w:r>
        <w:rPr>
          <w:rFonts w:hint="eastAsia" w:ascii="宋体" w:hAnsi="宋体" w:cs="宋体"/>
          <w:sz w:val="24"/>
          <w:szCs w:val="24"/>
          <w:lang w:val="en-US" w:eastAsia="zh-CN" w:bidi="ar"/>
        </w:rPr>
        <w:t>2024.1.1-2025.12.31</w:t>
      </w:r>
    </w:p>
    <w:p w14:paraId="1889D323">
      <w:pPr>
        <w:tabs>
          <w:tab w:val="left" w:pos="360"/>
        </w:tabs>
        <w:spacing w:line="360" w:lineRule="auto"/>
        <w:ind w:firstLine="960" w:firstLineChars="400"/>
        <w:rPr>
          <w:rFonts w:hint="default" w:ascii="宋体" w:hAnsi="宋体" w:eastAsia="宋体" w:cs="宋体"/>
          <w:sz w:val="24"/>
          <w:szCs w:val="24"/>
          <w:lang w:val="en-US" w:eastAsia="zh-CN"/>
        </w:rPr>
      </w:pPr>
      <w:r>
        <w:rPr>
          <w:rFonts w:hint="eastAsia" w:ascii="宋体" w:hAnsi="宋体" w:cs="宋体"/>
          <w:sz w:val="24"/>
          <w:szCs w:val="24"/>
          <w:lang w:bidi="ar"/>
        </w:rPr>
        <w:t>服务地点：</w:t>
      </w:r>
      <w:r>
        <w:rPr>
          <w:rFonts w:hint="eastAsia" w:ascii="宋体" w:hAnsi="宋体" w:cs="宋体"/>
          <w:sz w:val="24"/>
          <w:szCs w:val="24"/>
          <w:lang w:val="en-US" w:eastAsia="zh-CN" w:bidi="ar"/>
        </w:rPr>
        <w:t xml:space="preserve">  </w:t>
      </w:r>
    </w:p>
    <w:p w14:paraId="0A791375">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五、验收工作由需方负责对服务进行验收。</w:t>
      </w:r>
    </w:p>
    <w:p w14:paraId="0B8F82E0">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六、货款支付方式：</w:t>
      </w:r>
    </w:p>
    <w:p w14:paraId="32488233">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1、本合同以人民币进行结算。</w:t>
      </w:r>
    </w:p>
    <w:p w14:paraId="514B7188">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2、付款方式：</w:t>
      </w:r>
    </w:p>
    <w:p w14:paraId="146FD264">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 xml:space="preserve">七、其他约定事项：                                       </w:t>
      </w:r>
    </w:p>
    <w:p w14:paraId="106433DD">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八、由于供需双方在履行本合同过程中出现问题，由供需双方直接交涉解决，包括采用诉诸法律的手段。</w:t>
      </w:r>
    </w:p>
    <w:p w14:paraId="6421A809">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九、有关涉及本合同供方向天津市西青区政府采购中心所提交的投标文件及有关澄清资料和服务承诺均视为本合同不可分割的部分，对供方具有约束力。</w:t>
      </w:r>
    </w:p>
    <w:p w14:paraId="2E40F188">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十、本合同未作明示约定，而又有相关法律、法规规定的，从其规定。本合同发生争议产生的诉讼，由合同履行所在地人民法院管辖。</w:t>
      </w:r>
    </w:p>
    <w:p w14:paraId="4CA6AA54">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十一、本合同一式五份，供方持一份，需方持两份，政府采购中心持两份，均具同等效力，签字盖章后生效。</w:t>
      </w:r>
    </w:p>
    <w:p w14:paraId="23C8C22C">
      <w:pPr>
        <w:spacing w:line="560" w:lineRule="exact"/>
        <w:ind w:firstLine="480" w:firstLineChars="200"/>
        <w:rPr>
          <w:rFonts w:ascii="宋体" w:hAnsi="宋体"/>
          <w:color w:val="000000"/>
          <w:sz w:val="24"/>
          <w:szCs w:val="24"/>
        </w:rPr>
      </w:pPr>
      <w:r>
        <w:rPr>
          <w:rFonts w:hint="eastAsia" w:ascii="宋体" w:hAnsi="宋体"/>
          <w:color w:val="000000"/>
          <w:sz w:val="24"/>
          <w:szCs w:val="24"/>
        </w:rPr>
        <w:t>十二、本合同未尽事宜，经使用方及供方、需方协商一致并按合同法有关规定处理。供方投标文件（编号：</w:t>
      </w:r>
      <w:r>
        <w:rPr>
          <w:rFonts w:hint="eastAsia" w:ascii="宋体" w:hAnsi="宋体"/>
          <w:sz w:val="24"/>
          <w:szCs w:val="24"/>
          <w:lang w:val="en-US" w:eastAsia="zh-CN"/>
        </w:rPr>
        <w:t xml:space="preserve">        </w:t>
      </w:r>
      <w:r>
        <w:rPr>
          <w:rFonts w:hint="eastAsia" w:ascii="宋体" w:hAnsi="宋体"/>
          <w:color w:val="000000"/>
          <w:sz w:val="24"/>
          <w:szCs w:val="24"/>
        </w:rPr>
        <w:t>）及其承诺属于本合同一部分与本合同具有同等法律效力。</w:t>
      </w:r>
    </w:p>
    <w:p w14:paraId="587ED054">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供方（公章）：                需方（公章）：</w:t>
      </w:r>
    </w:p>
    <w:p w14:paraId="205751D9">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 xml:space="preserve">地址：                       地址： </w:t>
      </w:r>
    </w:p>
    <w:p w14:paraId="671A35EE">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 xml:space="preserve">法定代表人：                 法定代表人： </w:t>
      </w:r>
    </w:p>
    <w:p w14:paraId="78290087">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 xml:space="preserve">委托代理人：                 委托代理人： </w:t>
      </w:r>
    </w:p>
    <w:p w14:paraId="2CC2555F">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rPr>
        <w:t>电话：                       电话：</w:t>
      </w:r>
    </w:p>
    <w:p w14:paraId="580E9640">
      <w:pPr>
        <w:tabs>
          <w:tab w:val="left" w:pos="0"/>
          <w:tab w:val="left" w:pos="315"/>
        </w:tabs>
        <w:spacing w:line="560" w:lineRule="exact"/>
        <w:ind w:firstLine="480"/>
        <w:rPr>
          <w:rFonts w:ascii="宋体" w:hAnsi="宋体"/>
          <w:color w:val="000000"/>
          <w:sz w:val="24"/>
          <w:szCs w:val="24"/>
        </w:rPr>
      </w:pPr>
      <w:r>
        <w:rPr>
          <w:rFonts w:hint="eastAsia" w:ascii="宋体" w:hAnsi="宋体"/>
          <w:color w:val="000000"/>
          <w:sz w:val="24"/>
          <w:szCs w:val="24"/>
          <w:lang w:val="en-US" w:eastAsia="zh-CN"/>
        </w:rPr>
        <w:t xml:space="preserve">                                 </w:t>
      </w:r>
      <w:r>
        <w:rPr>
          <w:rFonts w:hint="eastAsia" w:ascii="宋体" w:hAnsi="宋体"/>
          <w:color w:val="000000"/>
          <w:sz w:val="24"/>
          <w:szCs w:val="24"/>
        </w:rPr>
        <w:t>时间：       年     月     日</w:t>
      </w:r>
    </w:p>
    <w:p w14:paraId="05D2AF85"/>
    <w:p w14:paraId="70D7479B">
      <w:pPr>
        <w:rPr>
          <w:rFonts w:hint="eastAsia"/>
          <w:b/>
          <w:bCs/>
          <w:sz w:val="28"/>
          <w:szCs w:val="24"/>
          <w:lang w:eastAsia="zh-CN"/>
        </w:rPr>
      </w:pPr>
    </w:p>
    <w:p w14:paraId="3DF62FDE">
      <w:pPr>
        <w:rPr>
          <w:rFonts w:hint="eastAsia"/>
          <w:b/>
          <w:bCs/>
          <w:sz w:val="28"/>
          <w:szCs w:val="24"/>
          <w:lang w:eastAsia="zh-CN"/>
        </w:rPr>
      </w:pPr>
    </w:p>
    <w:p w14:paraId="292C1C66">
      <w:pPr>
        <w:rPr>
          <w:rFonts w:hint="eastAsia"/>
          <w:b/>
          <w:bCs/>
          <w:sz w:val="28"/>
          <w:szCs w:val="24"/>
          <w:lang w:eastAsia="zh-CN"/>
        </w:rPr>
      </w:pPr>
    </w:p>
    <w:p w14:paraId="4406FF44">
      <w:pPr>
        <w:rPr>
          <w:rFonts w:hint="eastAsia"/>
          <w:b/>
          <w:bCs/>
          <w:sz w:val="28"/>
          <w:szCs w:val="24"/>
          <w:lang w:eastAsia="zh-CN"/>
        </w:rPr>
      </w:pPr>
    </w:p>
    <w:p w14:paraId="33D11F02">
      <w:pPr>
        <w:rPr>
          <w:rFonts w:hint="eastAsia"/>
          <w:b/>
          <w:bCs/>
          <w:sz w:val="28"/>
          <w:szCs w:val="24"/>
          <w:lang w:eastAsia="zh-CN"/>
        </w:rPr>
      </w:pPr>
    </w:p>
    <w:p w14:paraId="484AC0C9">
      <w:pPr>
        <w:rPr>
          <w:rFonts w:hint="eastAsia"/>
          <w:b/>
          <w:bCs/>
          <w:sz w:val="28"/>
          <w:szCs w:val="24"/>
          <w:lang w:eastAsia="zh-CN"/>
        </w:rPr>
      </w:pPr>
    </w:p>
    <w:p w14:paraId="393F5580">
      <w:pPr>
        <w:rPr>
          <w:rFonts w:hint="eastAsia"/>
          <w:b/>
          <w:bCs/>
          <w:sz w:val="28"/>
          <w:szCs w:val="24"/>
          <w:lang w:eastAsia="zh-CN"/>
        </w:rPr>
      </w:pPr>
    </w:p>
    <w:p w14:paraId="66E2D6DE">
      <w:pPr>
        <w:rPr>
          <w:rFonts w:hint="eastAsia" w:eastAsia="宋体"/>
          <w:b/>
          <w:bCs/>
          <w:sz w:val="28"/>
          <w:szCs w:val="24"/>
          <w:lang w:eastAsia="zh-CN"/>
        </w:rPr>
      </w:pPr>
      <w:r>
        <w:rPr>
          <w:rFonts w:hint="eastAsia"/>
          <w:b/>
          <w:bCs/>
          <w:sz w:val="28"/>
          <w:szCs w:val="24"/>
          <w:lang w:eastAsia="zh-CN"/>
        </w:rPr>
        <w:t>附件条款：</w:t>
      </w:r>
    </w:p>
    <w:p w14:paraId="74EB0E55">
      <w:pPr>
        <w:spacing w:line="360" w:lineRule="auto"/>
        <w:ind w:firstLine="480" w:firstLineChars="200"/>
        <w:rPr>
          <w:rFonts w:ascii="宋体" w:hAnsi="宋体" w:cs="宋体"/>
          <w:sz w:val="24"/>
          <w:szCs w:val="24"/>
        </w:rPr>
      </w:pPr>
      <w:r>
        <w:rPr>
          <w:rFonts w:hint="eastAsia" w:ascii="宋体" w:hAnsi="宋体" w:cs="宋体"/>
          <w:sz w:val="24"/>
          <w:szCs w:val="24"/>
        </w:rPr>
        <w:t>一、质量要求：供应商须编制质量管理相关方案，且包含并满足以下内容：</w:t>
      </w:r>
    </w:p>
    <w:p w14:paraId="0ED0F899">
      <w:pPr>
        <w:spacing w:line="360" w:lineRule="auto"/>
        <w:ind w:firstLine="480" w:firstLineChars="200"/>
        <w:rPr>
          <w:rFonts w:ascii="宋体" w:hAnsi="宋体" w:cs="宋体"/>
          <w:sz w:val="24"/>
          <w:szCs w:val="24"/>
        </w:rPr>
      </w:pPr>
      <w:r>
        <w:rPr>
          <w:rFonts w:hint="eastAsia" w:ascii="宋体" w:hAnsi="宋体" w:cs="宋体"/>
          <w:sz w:val="24"/>
          <w:szCs w:val="24"/>
        </w:rPr>
        <w:t>1、应当按照国家、行业或者地方的维修标准和规范进行维修。尚无标准或规范的，可参照机动车生产企业提供的维修手册、使用说明书和有关技术资料进行维修。</w:t>
      </w:r>
    </w:p>
    <w:p w14:paraId="55266271">
      <w:pPr>
        <w:spacing w:line="360" w:lineRule="auto"/>
        <w:ind w:firstLine="480" w:firstLineChars="200"/>
        <w:rPr>
          <w:rFonts w:ascii="宋体" w:hAnsi="宋体" w:cs="宋体"/>
          <w:sz w:val="24"/>
          <w:szCs w:val="24"/>
        </w:rPr>
      </w:pPr>
      <w:r>
        <w:rPr>
          <w:rFonts w:hint="eastAsia" w:ascii="宋体" w:hAnsi="宋体" w:cs="宋体"/>
          <w:sz w:val="24"/>
          <w:szCs w:val="24"/>
        </w:rPr>
        <w:t>2、维修所采用的零部件、配件等材料必须是符合国家标准，必须有合法的进货渠道，不得使用假冒伪劣产品或以次充好，以旧代新。经采购人同意，成交人可采用替代件或旧件，但成交人必须保证车辆行驶安全，且在材料报价及结算清单中加以注明；可以修复的部件，不得已换代修。</w:t>
      </w:r>
    </w:p>
    <w:p w14:paraId="0B280DD7">
      <w:pPr>
        <w:spacing w:line="360" w:lineRule="auto"/>
        <w:ind w:firstLine="480" w:firstLineChars="200"/>
        <w:rPr>
          <w:rFonts w:ascii="宋体" w:hAnsi="宋体" w:cs="宋体"/>
          <w:sz w:val="24"/>
          <w:szCs w:val="24"/>
        </w:rPr>
      </w:pPr>
      <w:r>
        <w:rPr>
          <w:rFonts w:hint="eastAsia" w:ascii="宋体" w:hAnsi="宋体" w:cs="宋体"/>
          <w:sz w:val="24"/>
          <w:szCs w:val="24"/>
        </w:rPr>
        <w:t>3、被送修车辆达不到规定的质量标准和技术要求返修时不得再计价收费。车辆竣工出厂执行质量保证期制度，维修合格出厂的车辆，一级维护、小修及专项修理保证不低于正常行驶2000公里或20日，二级维护维修保证不低于5000公里或50日，整车大修和总成大修的车辆保证不低于20000公里或200日（行驶里程和日期指标，以先达到者为准）。</w:t>
      </w:r>
    </w:p>
    <w:p w14:paraId="4B56DF1D">
      <w:pPr>
        <w:spacing w:line="360" w:lineRule="auto"/>
        <w:ind w:firstLine="480" w:firstLineChars="200"/>
        <w:rPr>
          <w:rFonts w:ascii="宋体" w:hAnsi="宋体" w:cs="宋体"/>
          <w:sz w:val="24"/>
          <w:szCs w:val="24"/>
        </w:rPr>
      </w:pPr>
      <w:r>
        <w:rPr>
          <w:rFonts w:hint="eastAsia" w:ascii="宋体" w:hAnsi="宋体" w:cs="宋体"/>
          <w:sz w:val="24"/>
          <w:szCs w:val="24"/>
        </w:rPr>
        <w:t>4、车辆返修率要控制在3%以内，并建立汽车维修档案（每辆车建立一份专门的档案），认真记录车辆维修情况。</w:t>
      </w:r>
    </w:p>
    <w:p w14:paraId="47F092CC">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5、提供车辆日常维护、汽车大修、总成修理、汽车小修和汽车专项修理、24小时免费拖车救援等服务。在天津市范围内车辆发生事故或故障急需维修救援的，应提供</w:t>
      </w:r>
      <w:r>
        <w:rPr>
          <w:rFonts w:hint="eastAsia" w:ascii="宋体" w:hAnsi="宋体" w:cs="宋体"/>
          <w:sz w:val="24"/>
          <w:szCs w:val="24"/>
          <w:highlight w:val="none"/>
          <w:lang w:val="en-US" w:eastAsia="zh-CN"/>
        </w:rPr>
        <w:t>40</w:t>
      </w:r>
      <w:r>
        <w:rPr>
          <w:rFonts w:hint="eastAsia" w:ascii="宋体" w:hAnsi="宋体" w:cs="宋体"/>
          <w:sz w:val="24"/>
          <w:szCs w:val="24"/>
          <w:highlight w:val="none"/>
        </w:rPr>
        <w:t>分钟内响应制度。</w:t>
      </w:r>
    </w:p>
    <w:p w14:paraId="268553C7">
      <w:pPr>
        <w:spacing w:line="360" w:lineRule="auto"/>
        <w:ind w:firstLine="480" w:firstLineChars="200"/>
        <w:rPr>
          <w:rFonts w:ascii="宋体" w:hAnsi="宋体" w:cs="宋体"/>
          <w:sz w:val="24"/>
          <w:szCs w:val="24"/>
        </w:rPr>
      </w:pPr>
      <w:r>
        <w:rPr>
          <w:rFonts w:hint="eastAsia" w:ascii="宋体" w:hAnsi="宋体" w:cs="宋体"/>
          <w:sz w:val="24"/>
          <w:szCs w:val="24"/>
        </w:rPr>
        <w:t>6、因维修质量原因造成机动车无法正常使用的，或在规定时间内未完成维修到，采购人有权自行维修，供应商担负该维修费用及因此造成的全部后果、损失。</w:t>
      </w:r>
    </w:p>
    <w:p w14:paraId="33E312FF">
      <w:pPr>
        <w:spacing w:line="360" w:lineRule="auto"/>
        <w:ind w:firstLine="480" w:firstLineChars="200"/>
        <w:rPr>
          <w:rFonts w:ascii="宋体" w:hAnsi="宋体" w:cs="宋体"/>
          <w:sz w:val="24"/>
          <w:szCs w:val="24"/>
        </w:rPr>
      </w:pPr>
      <w:r>
        <w:rPr>
          <w:rFonts w:hint="eastAsia" w:ascii="宋体" w:hAnsi="宋体" w:cs="宋体"/>
          <w:sz w:val="24"/>
          <w:szCs w:val="24"/>
        </w:rPr>
        <w:t>二、从业人员、资料要求，供应商须编制人员配置方案，包含且满足以下内容</w:t>
      </w:r>
    </w:p>
    <w:p w14:paraId="0C9A5E89">
      <w:pPr>
        <w:spacing w:line="360" w:lineRule="auto"/>
        <w:ind w:firstLine="480" w:firstLineChars="200"/>
        <w:rPr>
          <w:rFonts w:ascii="宋体" w:hAnsi="宋体" w:cs="宋体"/>
          <w:sz w:val="24"/>
          <w:szCs w:val="24"/>
        </w:rPr>
      </w:pPr>
      <w:r>
        <w:rPr>
          <w:rFonts w:hint="eastAsia" w:ascii="宋体" w:hAnsi="宋体" w:cs="宋体"/>
          <w:sz w:val="24"/>
          <w:szCs w:val="24"/>
        </w:rPr>
        <w:t>1、供应商的汽车维修从业人员：不少于15人，必须8人以上具备汽修维修上岗证；其中至少1名技术负责人员和质量检验人员。</w:t>
      </w:r>
    </w:p>
    <w:p w14:paraId="0DF00DF9">
      <w:pPr>
        <w:spacing w:line="360" w:lineRule="auto"/>
        <w:ind w:firstLine="480" w:firstLineChars="200"/>
        <w:rPr>
          <w:rFonts w:ascii="宋体" w:hAnsi="宋体" w:cs="宋体"/>
          <w:sz w:val="24"/>
          <w:szCs w:val="24"/>
        </w:rPr>
      </w:pPr>
      <w:r>
        <w:rPr>
          <w:rFonts w:hint="eastAsia" w:ascii="宋体" w:hAnsi="宋体" w:cs="宋体"/>
          <w:sz w:val="24"/>
          <w:szCs w:val="24"/>
        </w:rPr>
        <w:t>2、资料：供应商有维修车型的原厂维修资料，包括配件资料、工艺资料、监测技术标准。</w:t>
      </w:r>
    </w:p>
    <w:p w14:paraId="5A0FED24">
      <w:pPr>
        <w:spacing w:line="360" w:lineRule="auto"/>
        <w:ind w:firstLine="480" w:firstLineChars="200"/>
        <w:rPr>
          <w:rFonts w:ascii="宋体" w:hAnsi="宋体" w:cs="宋体"/>
          <w:sz w:val="24"/>
          <w:szCs w:val="24"/>
        </w:rPr>
      </w:pPr>
      <w:r>
        <w:rPr>
          <w:rFonts w:hint="eastAsia" w:ascii="宋体" w:hAnsi="宋体" w:cs="宋体"/>
          <w:sz w:val="24"/>
          <w:szCs w:val="24"/>
        </w:rPr>
        <w:t>3、采购人有要求时，承包企业应不条件派遣至少3人到采购人指定地址，24小时跟踪车辆、待命维修，由此产生的费用由承包企业自行支付。</w:t>
      </w:r>
    </w:p>
    <w:p w14:paraId="01414701">
      <w:pPr>
        <w:spacing w:line="360" w:lineRule="auto"/>
        <w:ind w:firstLine="480" w:firstLineChars="200"/>
        <w:rPr>
          <w:rFonts w:ascii="宋体" w:hAnsi="宋体" w:cs="宋体"/>
          <w:sz w:val="24"/>
          <w:szCs w:val="24"/>
        </w:rPr>
      </w:pPr>
      <w:r>
        <w:rPr>
          <w:rFonts w:hint="eastAsia" w:ascii="宋体" w:hAnsi="宋体" w:cs="宋体"/>
          <w:sz w:val="24"/>
          <w:szCs w:val="24"/>
        </w:rPr>
        <w:t>三、管理要求：供应商须编制运营管理相关方案，包含且满足以下内容</w:t>
      </w:r>
    </w:p>
    <w:p w14:paraId="179570D8">
      <w:pPr>
        <w:spacing w:line="360" w:lineRule="auto"/>
        <w:ind w:firstLine="480" w:firstLineChars="200"/>
        <w:rPr>
          <w:rFonts w:ascii="宋体" w:hAnsi="宋体" w:cs="宋体"/>
          <w:sz w:val="24"/>
          <w:szCs w:val="24"/>
        </w:rPr>
      </w:pPr>
      <w:r>
        <w:rPr>
          <w:rFonts w:hint="eastAsia" w:ascii="宋体" w:hAnsi="宋体" w:cs="宋体"/>
          <w:sz w:val="24"/>
          <w:szCs w:val="24"/>
        </w:rPr>
        <w:t>1、生产管理制度、财务管理制度、岗位责任制度、质量控制制度健全、有效、合理；</w:t>
      </w:r>
    </w:p>
    <w:p w14:paraId="437C07D7">
      <w:pPr>
        <w:spacing w:line="360" w:lineRule="auto"/>
        <w:ind w:firstLine="480" w:firstLineChars="200"/>
        <w:rPr>
          <w:rFonts w:ascii="宋体" w:hAnsi="宋体" w:cs="宋体"/>
          <w:sz w:val="24"/>
          <w:szCs w:val="24"/>
        </w:rPr>
      </w:pPr>
      <w:r>
        <w:rPr>
          <w:rFonts w:hint="eastAsia" w:ascii="宋体" w:hAnsi="宋体" w:cs="宋体"/>
          <w:sz w:val="24"/>
          <w:szCs w:val="24"/>
        </w:rPr>
        <w:t>2、汽修维修流程环节清楚、合理、有序；</w:t>
      </w:r>
    </w:p>
    <w:p w14:paraId="7BE5E1B3">
      <w:pPr>
        <w:spacing w:line="360" w:lineRule="auto"/>
        <w:ind w:firstLine="480" w:firstLineChars="200"/>
        <w:rPr>
          <w:rFonts w:ascii="宋体" w:hAnsi="宋体" w:cs="宋体"/>
          <w:sz w:val="24"/>
          <w:szCs w:val="24"/>
        </w:rPr>
      </w:pPr>
      <w:r>
        <w:rPr>
          <w:rFonts w:hint="eastAsia" w:ascii="宋体" w:hAnsi="宋体" w:cs="宋体"/>
          <w:sz w:val="24"/>
          <w:szCs w:val="24"/>
        </w:rPr>
        <w:t>3、人员须有统一制服着装；</w:t>
      </w:r>
    </w:p>
    <w:p w14:paraId="3A426D38">
      <w:pPr>
        <w:spacing w:line="360" w:lineRule="auto"/>
        <w:ind w:firstLine="480" w:firstLineChars="200"/>
        <w:rPr>
          <w:rFonts w:ascii="宋体" w:hAnsi="宋体" w:cs="宋体"/>
          <w:sz w:val="24"/>
          <w:szCs w:val="24"/>
        </w:rPr>
      </w:pPr>
      <w:r>
        <w:rPr>
          <w:rFonts w:hint="eastAsia" w:ascii="宋体" w:hAnsi="宋体" w:cs="宋体"/>
          <w:sz w:val="24"/>
          <w:szCs w:val="24"/>
        </w:rPr>
        <w:t>4、有明确的符合规定的出厂的质检工序；</w:t>
      </w:r>
    </w:p>
    <w:p w14:paraId="48B982C1">
      <w:pPr>
        <w:spacing w:line="360" w:lineRule="auto"/>
        <w:ind w:firstLine="480" w:firstLineChars="200"/>
        <w:rPr>
          <w:rFonts w:ascii="宋体" w:hAnsi="宋体" w:cs="宋体"/>
          <w:sz w:val="24"/>
          <w:szCs w:val="24"/>
        </w:rPr>
      </w:pPr>
      <w:r>
        <w:rPr>
          <w:rFonts w:hint="eastAsia" w:ascii="宋体" w:hAnsi="宋体" w:cs="宋体"/>
          <w:sz w:val="24"/>
          <w:szCs w:val="24"/>
        </w:rPr>
        <w:t>5、重要检测维修设备操作规程实施有效，专人对设备的使用进行管理，保证状态良好；</w:t>
      </w:r>
    </w:p>
    <w:p w14:paraId="6B800741">
      <w:pPr>
        <w:spacing w:line="360" w:lineRule="auto"/>
        <w:ind w:firstLine="480" w:firstLineChars="200"/>
        <w:rPr>
          <w:rFonts w:ascii="宋体" w:hAnsi="宋体" w:cs="宋体"/>
          <w:sz w:val="24"/>
          <w:szCs w:val="24"/>
        </w:rPr>
      </w:pPr>
      <w:r>
        <w:rPr>
          <w:rFonts w:hint="eastAsia" w:ascii="宋体" w:hAnsi="宋体" w:cs="宋体"/>
          <w:sz w:val="24"/>
          <w:szCs w:val="24"/>
        </w:rPr>
        <w:t>6、车辆出入厂手续、维修手续严格按采购人要求执行；</w:t>
      </w:r>
    </w:p>
    <w:p w14:paraId="0ADEC0D1">
      <w:pPr>
        <w:spacing w:line="360" w:lineRule="auto"/>
        <w:ind w:firstLine="480" w:firstLineChars="200"/>
        <w:rPr>
          <w:rFonts w:ascii="宋体" w:hAnsi="宋体" w:cs="宋体"/>
          <w:sz w:val="24"/>
          <w:szCs w:val="24"/>
        </w:rPr>
      </w:pPr>
      <w:r>
        <w:rPr>
          <w:rFonts w:hint="eastAsia" w:ascii="宋体" w:hAnsi="宋体" w:cs="宋体"/>
          <w:sz w:val="24"/>
          <w:szCs w:val="24"/>
        </w:rPr>
        <w:t>7、维修所提供的零部件均应在采购人同意后进行安装维修，并提供相应的合格证、发票或购买证明，严禁私自改装、挪用零部件。</w:t>
      </w:r>
    </w:p>
    <w:p w14:paraId="1E35E916">
      <w:pPr>
        <w:spacing w:line="360" w:lineRule="auto"/>
        <w:ind w:firstLine="480" w:firstLineChars="200"/>
        <w:rPr>
          <w:rFonts w:ascii="宋体" w:hAnsi="宋体" w:cs="宋体"/>
          <w:sz w:val="24"/>
          <w:szCs w:val="24"/>
        </w:rPr>
      </w:pPr>
      <w:r>
        <w:rPr>
          <w:rFonts w:hint="eastAsia" w:ascii="宋体" w:hAnsi="宋体" w:cs="宋体"/>
          <w:sz w:val="24"/>
          <w:szCs w:val="24"/>
        </w:rPr>
        <w:t>8、供应商须建立采购配件登记制度，记录购买日期、供应商名称、地址、产品名称及规格型号等，并查验产品合格证等相关证明。</w:t>
      </w:r>
    </w:p>
    <w:p w14:paraId="366A0028">
      <w:pPr>
        <w:spacing w:line="360" w:lineRule="auto"/>
        <w:ind w:firstLine="480" w:firstLineChars="200"/>
        <w:rPr>
          <w:rFonts w:ascii="宋体" w:hAnsi="宋体" w:cs="宋体"/>
          <w:sz w:val="24"/>
          <w:szCs w:val="24"/>
        </w:rPr>
      </w:pPr>
      <w:r>
        <w:rPr>
          <w:rFonts w:hint="eastAsia" w:ascii="宋体" w:hAnsi="宋体" w:cs="宋体"/>
          <w:sz w:val="24"/>
          <w:szCs w:val="24"/>
        </w:rPr>
        <w:t>9、维修产生的原车废弃零件、部件，交还至采购人；产生的其他废物，供应商须按国家环保规定自行消纳。</w:t>
      </w:r>
    </w:p>
    <w:p w14:paraId="2F328F52">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四、其它要求</w:t>
      </w:r>
    </w:p>
    <w:p w14:paraId="4AA85A58">
      <w:pPr>
        <w:spacing w:line="360" w:lineRule="auto"/>
        <w:ind w:firstLine="480" w:firstLineChars="200"/>
        <w:rPr>
          <w:rFonts w:hint="eastAsia" w:ascii="宋体" w:hAnsi="宋体" w:eastAsia="宋体" w:cs="宋体"/>
          <w:sz w:val="24"/>
          <w:szCs w:val="24"/>
          <w:highlight w:val="none"/>
          <w:lang w:eastAsia="zh-CN"/>
        </w:rPr>
      </w:pPr>
      <w:r>
        <w:rPr>
          <w:rFonts w:hint="eastAsia" w:ascii="宋体" w:hAnsi="宋体" w:cs="宋体"/>
          <w:sz w:val="24"/>
          <w:szCs w:val="24"/>
          <w:highlight w:val="none"/>
        </w:rPr>
        <w:t>1、供应商接到采购人维修通知后，1小时内必须到达维修现场</w:t>
      </w:r>
      <w:r>
        <w:rPr>
          <w:rFonts w:hint="eastAsia" w:ascii="宋体" w:hAnsi="宋体" w:cs="宋体"/>
          <w:sz w:val="24"/>
          <w:szCs w:val="24"/>
          <w:highlight w:val="none"/>
          <w:lang w:eastAsia="zh-CN"/>
        </w:rPr>
        <w:t>，交通费由供应商自行承担。</w:t>
      </w:r>
    </w:p>
    <w:p w14:paraId="1FF9DE09">
      <w:pPr>
        <w:spacing w:line="360" w:lineRule="auto"/>
        <w:ind w:firstLine="480" w:firstLineChars="200"/>
        <w:rPr>
          <w:rFonts w:ascii="宋体" w:hAnsi="宋体" w:cs="宋体"/>
          <w:sz w:val="24"/>
          <w:szCs w:val="24"/>
        </w:rPr>
      </w:pPr>
      <w:r>
        <w:rPr>
          <w:rFonts w:hint="eastAsia" w:ascii="宋体" w:hAnsi="宋体" w:cs="宋体"/>
          <w:sz w:val="24"/>
          <w:szCs w:val="24"/>
        </w:rPr>
        <w:t>2、供应商对需要维修的车辆配件一律按国家有关规定实行三包，对维修过的车辆进行全部跟踪服务，建立档案，每月不少于1次为车辆做例行检测服务，每年不少于6次为车辆进行不定期检测服务，及时处理车辆的故障和安全隐患；</w:t>
      </w:r>
    </w:p>
    <w:p w14:paraId="79534D0E">
      <w:pPr>
        <w:spacing w:line="360" w:lineRule="auto"/>
        <w:ind w:firstLine="480" w:firstLineChars="200"/>
        <w:rPr>
          <w:rFonts w:ascii="宋体" w:hAnsi="宋体" w:cs="宋体"/>
          <w:sz w:val="24"/>
          <w:szCs w:val="24"/>
        </w:rPr>
      </w:pPr>
      <w:r>
        <w:rPr>
          <w:rFonts w:hint="eastAsia" w:ascii="宋体" w:hAnsi="宋体" w:cs="宋体"/>
          <w:sz w:val="24"/>
          <w:szCs w:val="24"/>
        </w:rPr>
        <w:t>3、应采购人要求, 供应商必要时需加班加点为采购人的车辆进行维修；</w:t>
      </w:r>
    </w:p>
    <w:p w14:paraId="01BE3FF8">
      <w:pPr>
        <w:spacing w:line="360" w:lineRule="auto"/>
        <w:ind w:firstLine="480" w:firstLineChars="200"/>
        <w:rPr>
          <w:rFonts w:ascii="宋体" w:hAnsi="宋体" w:cs="宋体"/>
          <w:sz w:val="24"/>
          <w:szCs w:val="24"/>
        </w:rPr>
      </w:pPr>
      <w:r>
        <w:rPr>
          <w:rFonts w:hint="eastAsia" w:ascii="宋体" w:hAnsi="宋体" w:cs="宋体"/>
          <w:sz w:val="24"/>
          <w:szCs w:val="24"/>
        </w:rPr>
        <w:t>4、在维修服务期间，劳务人员、车辆或设备所产生的安全问题由承包企业负责。</w:t>
      </w:r>
    </w:p>
    <w:p w14:paraId="604659AF">
      <w:pPr>
        <w:spacing w:line="360" w:lineRule="auto"/>
        <w:ind w:firstLine="480" w:firstLineChars="200"/>
        <w:rPr>
          <w:rFonts w:ascii="宋体" w:hAnsi="宋体" w:cs="宋体"/>
          <w:sz w:val="24"/>
          <w:szCs w:val="24"/>
        </w:rPr>
      </w:pPr>
      <w:r>
        <w:rPr>
          <w:rFonts w:hint="eastAsia" w:ascii="宋体" w:hAnsi="宋体" w:cs="宋体"/>
          <w:sz w:val="24"/>
          <w:szCs w:val="24"/>
        </w:rPr>
        <w:t>5、应保证维修质量标准，质保期内应给予免费维修，如因维修质量问题出现的责任事故，经有关单位的技术鉴定，确属维修不当或使用伪劣配件造成的，承包企业需承担相应的责任。</w:t>
      </w:r>
    </w:p>
    <w:p w14:paraId="3D6D1CDD">
      <w:pPr>
        <w:spacing w:line="360" w:lineRule="auto"/>
        <w:ind w:firstLine="480" w:firstLineChars="200"/>
        <w:rPr>
          <w:rFonts w:ascii="宋体" w:hAnsi="宋体" w:cs="宋体"/>
          <w:sz w:val="24"/>
          <w:szCs w:val="24"/>
        </w:rPr>
      </w:pPr>
      <w:r>
        <w:rPr>
          <w:rFonts w:hint="eastAsia" w:ascii="宋体" w:hAnsi="宋体" w:cs="宋体"/>
          <w:sz w:val="24"/>
          <w:szCs w:val="24"/>
        </w:rPr>
        <w:t>五、商务要求</w:t>
      </w:r>
    </w:p>
    <w:p w14:paraId="37C26848">
      <w:pPr>
        <w:spacing w:line="360" w:lineRule="auto"/>
        <w:ind w:firstLine="480" w:firstLineChars="200"/>
        <w:rPr>
          <w:rFonts w:ascii="宋体" w:hAnsi="宋体" w:cs="宋体"/>
          <w:sz w:val="24"/>
          <w:szCs w:val="24"/>
        </w:rPr>
      </w:pPr>
      <w:r>
        <w:rPr>
          <w:rFonts w:hint="eastAsia" w:ascii="宋体" w:hAnsi="宋体" w:cs="宋体"/>
          <w:sz w:val="24"/>
          <w:szCs w:val="24"/>
        </w:rPr>
        <w:t>1、合同期内，如报价人开展新的优惠活动的，应向采购人提供不低于其他用户的优惠服务。</w:t>
      </w:r>
    </w:p>
    <w:p w14:paraId="5ACE484D">
      <w:pPr>
        <w:spacing w:line="360" w:lineRule="auto"/>
        <w:ind w:firstLine="480" w:firstLineChars="200"/>
        <w:rPr>
          <w:rFonts w:ascii="宋体" w:hAnsi="宋体" w:cs="宋体"/>
          <w:sz w:val="24"/>
          <w:szCs w:val="24"/>
        </w:rPr>
      </w:pPr>
      <w:r>
        <w:rPr>
          <w:rFonts w:hint="eastAsia" w:ascii="宋体" w:hAnsi="宋体" w:cs="宋体"/>
          <w:sz w:val="24"/>
          <w:szCs w:val="24"/>
        </w:rPr>
        <w:t>2、除采购人提出的各项要求外，供应商可根据自身条件，说明可提供的其他优惠或特色服务。</w:t>
      </w:r>
    </w:p>
    <w:p w14:paraId="32A0FD8F">
      <w:pPr>
        <w:spacing w:line="360" w:lineRule="auto"/>
        <w:ind w:firstLine="480" w:firstLineChars="200"/>
        <w:rPr>
          <w:rFonts w:ascii="宋体" w:hAnsi="宋体" w:cs="宋体"/>
          <w:sz w:val="24"/>
          <w:szCs w:val="24"/>
        </w:rPr>
      </w:pPr>
      <w:r>
        <w:rPr>
          <w:rFonts w:hint="eastAsia" w:ascii="宋体" w:hAnsi="宋体" w:cs="宋体"/>
          <w:sz w:val="24"/>
          <w:szCs w:val="24"/>
        </w:rPr>
        <w:t>3、本项目在到期后进行财务决算或审计；承包企业须完全配合审计工作，提供采购人要求的财务、业务凭证。</w:t>
      </w:r>
    </w:p>
    <w:p w14:paraId="0F6F0AC9">
      <w:pPr>
        <w:spacing w:line="360" w:lineRule="auto"/>
        <w:ind w:firstLine="480" w:firstLineChars="200"/>
        <w:rPr>
          <w:rFonts w:ascii="宋体" w:hAnsi="宋体" w:cs="宋体"/>
          <w:sz w:val="24"/>
          <w:szCs w:val="24"/>
        </w:rPr>
      </w:pPr>
      <w:r>
        <w:rPr>
          <w:rFonts w:hint="eastAsia" w:ascii="宋体" w:hAnsi="宋体" w:cs="宋体"/>
          <w:sz w:val="24"/>
          <w:szCs w:val="24"/>
        </w:rPr>
        <w:t>4、供应商报价包含维修服务内或因维修服务所产生的一切费用。</w:t>
      </w:r>
    </w:p>
    <w:p w14:paraId="6BFC7B62">
      <w:pPr>
        <w:spacing w:line="360" w:lineRule="auto"/>
        <w:ind w:firstLine="480" w:firstLineChars="200"/>
        <w:rPr>
          <w:rFonts w:ascii="宋体" w:hAnsi="宋体" w:cs="宋体"/>
          <w:sz w:val="24"/>
          <w:szCs w:val="24"/>
        </w:rPr>
      </w:pPr>
      <w:r>
        <w:rPr>
          <w:rFonts w:hint="eastAsia" w:ascii="宋体" w:hAnsi="宋体" w:cs="宋体"/>
          <w:sz w:val="24"/>
          <w:szCs w:val="24"/>
        </w:rPr>
        <w:t>5、承包企业未按采购人要求进行维修服务的、或维修后未达到质保条件的，每发生一例扣除5000元合同款，累计5例采购人有权解除合同并拒绝支付任何费用。</w:t>
      </w:r>
    </w:p>
    <w:p w14:paraId="403F3EE2">
      <w:pPr>
        <w:spacing w:line="360" w:lineRule="auto"/>
        <w:ind w:firstLine="480" w:firstLineChars="200"/>
        <w:rPr>
          <w:rFonts w:ascii="宋体" w:hAnsi="宋体" w:cs="宋体"/>
          <w:sz w:val="24"/>
          <w:szCs w:val="24"/>
        </w:rPr>
      </w:pPr>
      <w:r>
        <w:rPr>
          <w:rFonts w:hint="eastAsia" w:ascii="宋体" w:hAnsi="宋体" w:cs="宋体"/>
          <w:sz w:val="24"/>
          <w:szCs w:val="24"/>
        </w:rPr>
        <w:t>六、付款方式</w:t>
      </w:r>
    </w:p>
    <w:p w14:paraId="37CBE8AE">
      <w:pPr>
        <w:spacing w:line="360" w:lineRule="auto"/>
        <w:ind w:firstLine="480" w:firstLineChars="200"/>
        <w:rPr>
          <w:rFonts w:ascii="宋体" w:hAnsi="宋体" w:cs="宋体"/>
          <w:sz w:val="24"/>
          <w:szCs w:val="24"/>
        </w:rPr>
      </w:pPr>
      <w:r>
        <w:rPr>
          <w:rFonts w:hint="eastAsia" w:ascii="宋体" w:hAnsi="宋体" w:cs="宋体"/>
          <w:sz w:val="24"/>
          <w:szCs w:val="24"/>
        </w:rPr>
        <w:t>该项目将按照每月产生的维修费用据实核算，根据结算时供应商实际发生的数量与报价进行支付。</w:t>
      </w:r>
    </w:p>
    <w:p w14:paraId="3A82B0DF">
      <w:pPr>
        <w:jc w:val="center"/>
        <w:rPr>
          <w:b/>
          <w:sz w:val="30"/>
          <w:szCs w:val="30"/>
        </w:rPr>
      </w:pP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2" w:name="OLE_LINK13"/>
      <w:bookmarkStart w:id="3" w:name="OLE_LINK14"/>
      <w:r>
        <w:rPr>
          <w:rFonts w:hint="eastAsia"/>
          <w:b/>
          <w:bCs/>
          <w:sz w:val="24"/>
        </w:rPr>
        <w:t>附件9-2</w:t>
      </w:r>
    </w:p>
    <w:bookmarkEnd w:id="2"/>
    <w:bookmarkEnd w:id="3"/>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6"/>
        <w:tabs>
          <w:tab w:val="left" w:pos="360"/>
        </w:tabs>
        <w:spacing w:line="360" w:lineRule="auto"/>
        <w:ind w:firstLine="446"/>
        <w:rPr>
          <w:sz w:val="24"/>
        </w:rPr>
      </w:pPr>
    </w:p>
    <w:p w14:paraId="446EABF6">
      <w:pPr>
        <w:pStyle w:val="6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6"/>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6"/>
        <w:tabs>
          <w:tab w:val="left" w:pos="360"/>
        </w:tabs>
        <w:spacing w:line="360" w:lineRule="auto"/>
        <w:ind w:firstLine="0" w:firstLineChars="0"/>
        <w:rPr>
          <w:sz w:val="24"/>
          <w:u w:val="single"/>
        </w:rPr>
      </w:pPr>
      <w:r>
        <w:rPr>
          <w:rFonts w:hint="eastAsia"/>
          <w:sz w:val="24"/>
          <w:u w:val="single"/>
        </w:rPr>
        <w:t xml:space="preserve">                                                                     </w:t>
      </w:r>
    </w:p>
    <w:p w14:paraId="75DE7F69">
      <w:pPr>
        <w:pStyle w:val="66"/>
        <w:tabs>
          <w:tab w:val="left" w:pos="360"/>
        </w:tabs>
        <w:spacing w:line="360" w:lineRule="auto"/>
        <w:ind w:firstLine="446"/>
        <w:rPr>
          <w:sz w:val="24"/>
        </w:rPr>
      </w:pPr>
    </w:p>
    <w:p w14:paraId="51473993">
      <w:pPr>
        <w:pStyle w:val="66"/>
        <w:spacing w:line="360" w:lineRule="auto"/>
        <w:ind w:firstLine="0" w:firstLineChars="0"/>
        <w:jc w:val="center"/>
        <w:rPr>
          <w:b/>
          <w:sz w:val="24"/>
        </w:rPr>
      </w:pPr>
    </w:p>
    <w:p w14:paraId="73A1E01C">
      <w:pPr>
        <w:pStyle w:val="66"/>
        <w:spacing w:line="360" w:lineRule="auto"/>
        <w:ind w:firstLine="0" w:firstLineChars="0"/>
        <w:jc w:val="center"/>
        <w:rPr>
          <w:b/>
          <w:sz w:val="24"/>
        </w:rPr>
      </w:pPr>
    </w:p>
    <w:p w14:paraId="4F9F72CB">
      <w:pPr>
        <w:pStyle w:val="66"/>
        <w:spacing w:line="360" w:lineRule="auto"/>
        <w:ind w:firstLine="0" w:firstLineChars="0"/>
        <w:jc w:val="center"/>
        <w:rPr>
          <w:b/>
          <w:sz w:val="24"/>
        </w:rPr>
      </w:pPr>
      <w:r>
        <w:rPr>
          <w:rFonts w:hint="eastAsia"/>
          <w:b/>
          <w:sz w:val="24"/>
        </w:rPr>
        <w:t>证明材料</w:t>
      </w:r>
    </w:p>
    <w:p w14:paraId="4539E36B">
      <w:pPr>
        <w:pStyle w:val="66"/>
        <w:tabs>
          <w:tab w:val="left" w:pos="360"/>
        </w:tabs>
        <w:spacing w:line="360" w:lineRule="auto"/>
        <w:ind w:firstLine="446"/>
        <w:rPr>
          <w:sz w:val="24"/>
        </w:rPr>
      </w:pPr>
    </w:p>
    <w:p w14:paraId="4D1B14B0">
      <w:pPr>
        <w:pStyle w:val="6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6"/>
        <w:tabs>
          <w:tab w:val="left" w:pos="360"/>
        </w:tabs>
        <w:spacing w:line="360" w:lineRule="auto"/>
        <w:ind w:firstLine="446"/>
        <w:rPr>
          <w:sz w:val="24"/>
        </w:rPr>
      </w:pPr>
    </w:p>
    <w:p w14:paraId="75D25454">
      <w:pPr>
        <w:pStyle w:val="66"/>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7"/>
      <w:suff w:val="nothing"/>
      <w:lvlText w:val="第%1章 "/>
      <w:lvlJc w:val="left"/>
      <w:pPr>
        <w:ind w:left="0" w:firstLine="0"/>
      </w:pPr>
      <w:rPr>
        <w:rFonts w:ascii="Arial" w:hAnsi="Arial"/>
      </w:rPr>
    </w:lvl>
    <w:lvl w:ilvl="1" w:tentative="0">
      <w:start w:val="1"/>
      <w:numFmt w:val="decimal"/>
      <w:pStyle w:val="215"/>
      <w:suff w:val="nothing"/>
      <w:lvlText w:val="%1.%2."/>
      <w:lvlJc w:val="left"/>
      <w:pPr>
        <w:ind w:left="1260" w:firstLine="0"/>
      </w:pPr>
      <w:rPr>
        <w:rFonts w:ascii="Arial" w:hAnsi="Arial"/>
      </w:rPr>
    </w:lvl>
    <w:lvl w:ilvl="2" w:tentative="0">
      <w:start w:val="1"/>
      <w:numFmt w:val="decimal"/>
      <w:pStyle w:val="228"/>
      <w:suff w:val="nothing"/>
      <w:lvlText w:val="%1.%2.%3."/>
      <w:lvlJc w:val="left"/>
      <w:pPr>
        <w:ind w:left="360" w:firstLine="0"/>
      </w:pPr>
      <w:rPr>
        <w:rFonts w:ascii="Arial" w:hAnsi="Arial"/>
      </w:rPr>
    </w:lvl>
    <w:lvl w:ilvl="3" w:tentative="0">
      <w:start w:val="1"/>
      <w:numFmt w:val="decimal"/>
      <w:pStyle w:val="183"/>
      <w:suff w:val="nothing"/>
      <w:lvlText w:val="%1.%2.%3.%4."/>
      <w:lvlJc w:val="left"/>
      <w:pPr>
        <w:ind w:left="0" w:firstLine="0"/>
      </w:pPr>
      <w:rPr>
        <w:rFonts w:ascii="Arial" w:hAnsi="Arial"/>
      </w:rPr>
    </w:lvl>
    <w:lvl w:ilvl="4" w:tentative="0">
      <w:start w:val="1"/>
      <w:numFmt w:val="decimal"/>
      <w:pStyle w:val="248"/>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1"/>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330A523E"/>
    <w:multiLevelType w:val="multilevel"/>
    <w:tmpl w:val="330A523E"/>
    <w:lvl w:ilvl="0" w:tentative="0">
      <w:start w:val="1"/>
      <w:numFmt w:val="bullet"/>
      <w:pStyle w:val="335"/>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3">
    <w:nsid w:val="5A0ACB7E"/>
    <w:multiLevelType w:val="multilevel"/>
    <w:tmpl w:val="5A0ACB7E"/>
    <w:lvl w:ilvl="0" w:tentative="0">
      <w:start w:val="1"/>
      <w:numFmt w:val="japaneseCounting"/>
      <w:lvlText w:val="%1、"/>
      <w:lvlJc w:val="left"/>
      <w:pPr>
        <w:tabs>
          <w:tab w:val="left" w:pos="0"/>
        </w:tabs>
        <w:ind w:left="960" w:hanging="480"/>
      </w:pPr>
      <w:rPr>
        <w:rFonts w:hint="eastAsia" w:ascii="宋体" w:hAnsi="宋体" w:eastAsia="Times New Roman" w:cs="宋体"/>
        <w:color w:val="000000"/>
      </w:rPr>
    </w:lvl>
    <w:lvl w:ilvl="1" w:tentative="0">
      <w:start w:val="1"/>
      <w:numFmt w:val="lowerLetter"/>
      <w:lvlText w:val="%2)"/>
      <w:lvlJc w:val="left"/>
      <w:pPr>
        <w:tabs>
          <w:tab w:val="left" w:pos="0"/>
        </w:tabs>
        <w:ind w:left="1320" w:hanging="420"/>
      </w:pPr>
    </w:lvl>
    <w:lvl w:ilvl="2" w:tentative="0">
      <w:start w:val="1"/>
      <w:numFmt w:val="lowerRoman"/>
      <w:lvlText w:val="%3."/>
      <w:lvlJc w:val="right"/>
      <w:pPr>
        <w:tabs>
          <w:tab w:val="left" w:pos="0"/>
        </w:tabs>
        <w:ind w:left="1740" w:hanging="420"/>
      </w:pPr>
    </w:lvl>
    <w:lvl w:ilvl="3" w:tentative="0">
      <w:start w:val="1"/>
      <w:numFmt w:val="decimal"/>
      <w:lvlText w:val="%4."/>
      <w:lvlJc w:val="left"/>
      <w:pPr>
        <w:tabs>
          <w:tab w:val="left" w:pos="0"/>
        </w:tabs>
        <w:ind w:left="2160" w:hanging="420"/>
      </w:pPr>
    </w:lvl>
    <w:lvl w:ilvl="4" w:tentative="0">
      <w:start w:val="1"/>
      <w:numFmt w:val="lowerLetter"/>
      <w:lvlText w:val="%5)"/>
      <w:lvlJc w:val="left"/>
      <w:pPr>
        <w:tabs>
          <w:tab w:val="left" w:pos="0"/>
        </w:tabs>
        <w:ind w:left="2580" w:hanging="420"/>
      </w:pPr>
    </w:lvl>
    <w:lvl w:ilvl="5" w:tentative="0">
      <w:start w:val="1"/>
      <w:numFmt w:val="lowerRoman"/>
      <w:lvlText w:val="%6."/>
      <w:lvlJc w:val="right"/>
      <w:pPr>
        <w:tabs>
          <w:tab w:val="left" w:pos="0"/>
        </w:tabs>
        <w:ind w:left="3000" w:hanging="420"/>
      </w:pPr>
    </w:lvl>
    <w:lvl w:ilvl="6" w:tentative="0">
      <w:start w:val="1"/>
      <w:numFmt w:val="decimal"/>
      <w:lvlText w:val="%7."/>
      <w:lvlJc w:val="left"/>
      <w:pPr>
        <w:tabs>
          <w:tab w:val="left" w:pos="0"/>
        </w:tabs>
        <w:ind w:left="3420" w:hanging="420"/>
      </w:pPr>
    </w:lvl>
    <w:lvl w:ilvl="7" w:tentative="0">
      <w:start w:val="1"/>
      <w:numFmt w:val="lowerLetter"/>
      <w:lvlText w:val="%8)"/>
      <w:lvlJc w:val="left"/>
      <w:pPr>
        <w:tabs>
          <w:tab w:val="left" w:pos="0"/>
        </w:tabs>
        <w:ind w:left="3840" w:hanging="420"/>
      </w:pPr>
    </w:lvl>
    <w:lvl w:ilvl="8" w:tentative="0">
      <w:start w:val="1"/>
      <w:numFmt w:val="lowerRoman"/>
      <w:lvlText w:val="%9."/>
      <w:lvlJc w:val="right"/>
      <w:pPr>
        <w:tabs>
          <w:tab w:val="left" w:pos="0"/>
        </w:tabs>
        <w:ind w:left="4260" w:hanging="420"/>
      </w:pPr>
    </w:lvl>
  </w:abstractNum>
  <w:abstractNum w:abstractNumId="4">
    <w:nsid w:val="5EB21581"/>
    <w:multiLevelType w:val="multilevel"/>
    <w:tmpl w:val="5EB21581"/>
    <w:lvl w:ilvl="0" w:tentative="0">
      <w:start w:val="1"/>
      <w:numFmt w:val="decimal"/>
      <w:pStyle w:val="170"/>
      <w:lvlText w:val="%1."/>
      <w:lvlJc w:val="left"/>
      <w:pPr>
        <w:ind w:left="0" w:firstLine="0"/>
      </w:pPr>
    </w:lvl>
    <w:lvl w:ilvl="1" w:tentative="0">
      <w:start w:val="1"/>
      <w:numFmt w:val="decimal"/>
      <w:pStyle w:val="277"/>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9F6DD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1E4500"/>
    <w:rsid w:val="074D44A4"/>
    <w:rsid w:val="0C230FEF"/>
    <w:rsid w:val="0C740C6C"/>
    <w:rsid w:val="110A41B0"/>
    <w:rsid w:val="11232FBE"/>
    <w:rsid w:val="119840F0"/>
    <w:rsid w:val="188256F3"/>
    <w:rsid w:val="19537E38"/>
    <w:rsid w:val="1B8D0CAC"/>
    <w:rsid w:val="1D7D286E"/>
    <w:rsid w:val="1FB5190D"/>
    <w:rsid w:val="21D73DBD"/>
    <w:rsid w:val="280630CD"/>
    <w:rsid w:val="2ABA220C"/>
    <w:rsid w:val="2E3F1137"/>
    <w:rsid w:val="353124BB"/>
    <w:rsid w:val="371E4021"/>
    <w:rsid w:val="3B8E4D4C"/>
    <w:rsid w:val="3BE651CF"/>
    <w:rsid w:val="3CFB44C3"/>
    <w:rsid w:val="3FA2402D"/>
    <w:rsid w:val="42862F4A"/>
    <w:rsid w:val="458742AA"/>
    <w:rsid w:val="4C9C3EED"/>
    <w:rsid w:val="4EF136CB"/>
    <w:rsid w:val="4FF21546"/>
    <w:rsid w:val="53277E51"/>
    <w:rsid w:val="54EB16F9"/>
    <w:rsid w:val="5AD07020"/>
    <w:rsid w:val="618F003A"/>
    <w:rsid w:val="659E0855"/>
    <w:rsid w:val="6ABD4D81"/>
    <w:rsid w:val="6C6722E9"/>
    <w:rsid w:val="6D7F7620"/>
    <w:rsid w:val="735C269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6"/>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7"/>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68"/>
    <w:qFormat/>
    <w:uiPriority w:val="0"/>
    <w:pPr>
      <w:keepNext/>
      <w:keepLines/>
      <w:spacing w:before="260" w:after="260" w:line="416" w:lineRule="auto"/>
      <w:outlineLvl w:val="2"/>
    </w:pPr>
    <w:rPr>
      <w:b/>
      <w:bCs/>
      <w:sz w:val="32"/>
      <w:szCs w:val="32"/>
    </w:rPr>
  </w:style>
  <w:style w:type="paragraph" w:styleId="5">
    <w:name w:val="heading 4"/>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4"/>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5"/>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0"/>
    <w:unhideWhenUsed/>
    <w:qFormat/>
    <w:uiPriority w:val="99"/>
    <w:pPr>
      <w:jc w:val="left"/>
    </w:pPr>
  </w:style>
  <w:style w:type="paragraph" w:styleId="18">
    <w:name w:val="Body Text 3"/>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2"/>
    <w:unhideWhenUsed/>
    <w:qFormat/>
    <w:uiPriority w:val="0"/>
    <w:pPr>
      <w:spacing w:after="120"/>
    </w:pPr>
  </w:style>
  <w:style w:type="paragraph" w:styleId="20">
    <w:name w:val="Body Text Indent"/>
    <w:basedOn w:val="1"/>
    <w:link w:val="60"/>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2"/>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5"/>
    <w:qFormat/>
    <w:uiPriority w:val="0"/>
    <w:pPr>
      <w:adjustRightInd w:val="0"/>
      <w:spacing w:line="360" w:lineRule="atLeast"/>
      <w:textAlignment w:val="baseline"/>
    </w:pPr>
    <w:rPr>
      <w:sz w:val="32"/>
    </w:rPr>
  </w:style>
  <w:style w:type="paragraph" w:styleId="29">
    <w:name w:val="Body Text Indent 2"/>
    <w:basedOn w:val="1"/>
    <w:link w:val="67"/>
    <w:unhideWhenUsed/>
    <w:qFormat/>
    <w:uiPriority w:val="0"/>
    <w:pPr>
      <w:spacing w:after="120" w:line="480" w:lineRule="auto"/>
      <w:ind w:left="420" w:leftChars="200"/>
    </w:pPr>
  </w:style>
  <w:style w:type="paragraph" w:styleId="30">
    <w:name w:val="Balloon Text"/>
    <w:basedOn w:val="1"/>
    <w:link w:val="81"/>
    <w:unhideWhenUsed/>
    <w:qFormat/>
    <w:uiPriority w:val="0"/>
    <w:rPr>
      <w:sz w:val="18"/>
      <w:szCs w:val="18"/>
    </w:rPr>
  </w:style>
  <w:style w:type="paragraph" w:styleId="31">
    <w:name w:val="footer"/>
    <w:basedOn w:val="1"/>
    <w:link w:val="64"/>
    <w:unhideWhenUsed/>
    <w:qFormat/>
    <w:uiPriority w:val="99"/>
    <w:pPr>
      <w:tabs>
        <w:tab w:val="center" w:pos="4153"/>
        <w:tab w:val="right" w:pos="8306"/>
      </w:tabs>
      <w:snapToGrid w:val="0"/>
      <w:jc w:val="left"/>
    </w:pPr>
    <w:rPr>
      <w:sz w:val="18"/>
      <w:szCs w:val="18"/>
    </w:rPr>
  </w:style>
  <w:style w:type="paragraph" w:styleId="32">
    <w:name w:val="header"/>
    <w:basedOn w:val="1"/>
    <w:link w:val="63"/>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2"/>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3"/>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69"/>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4"/>
    <w:unhideWhenUsed/>
    <w:qFormat/>
    <w:uiPriority w:val="99"/>
    <w:rPr>
      <w:b/>
      <w:bCs/>
    </w:rPr>
  </w:style>
  <w:style w:type="paragraph" w:styleId="46">
    <w:name w:val="Body Text First Indent"/>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99"/>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rFonts w:ascii="Calibri" w:hAnsi="Calibri" w:eastAsia="Calibri"/>
      <w:color w:val="CC0033"/>
      <w:kern w:val="0"/>
      <w:sz w:val="20"/>
    </w:rPr>
  </w:style>
  <w:style w:type="character" w:styleId="54">
    <w:name w:val="HTML Definition"/>
    <w:unhideWhenUsed/>
    <w:qFormat/>
    <w:uiPriority w:val="99"/>
    <w:rPr>
      <w:i/>
    </w:rPr>
  </w:style>
  <w:style w:type="character" w:styleId="55">
    <w:name w:val="Hyperlink"/>
    <w:basedOn w:val="50"/>
    <w:unhideWhenUsed/>
    <w:qFormat/>
    <w:uiPriority w:val="99"/>
    <w:rPr>
      <w:color w:val="0000FF" w:themeColor="hyperlink"/>
      <w:u w:val="single"/>
      <w14:textFill>
        <w14:solidFill>
          <w14:schemeClr w14:val="hlink"/>
        </w14:solidFill>
      </w14:textFill>
    </w:rPr>
  </w:style>
  <w:style w:type="character" w:styleId="56">
    <w:name w:val="HTML Code"/>
    <w:unhideWhenUsed/>
    <w:qFormat/>
    <w:uiPriority w:val="99"/>
    <w:rPr>
      <w:rFonts w:hint="default" w:ascii="serif" w:hAnsi="serif" w:eastAsia="serif" w:cs="serif"/>
      <w:sz w:val="21"/>
      <w:szCs w:val="21"/>
    </w:rPr>
  </w:style>
  <w:style w:type="character" w:styleId="57">
    <w:name w:val="annotation reference"/>
    <w:basedOn w:val="50"/>
    <w:unhideWhenUsed/>
    <w:qFormat/>
    <w:uiPriority w:val="99"/>
    <w:rPr>
      <w:sz w:val="21"/>
      <w:szCs w:val="21"/>
    </w:rPr>
  </w:style>
  <w:style w:type="character" w:styleId="58">
    <w:name w:val="HTML Keyboard"/>
    <w:unhideWhenUsed/>
    <w:qFormat/>
    <w:uiPriority w:val="99"/>
    <w:rPr>
      <w:rFonts w:ascii="serif" w:hAnsi="serif" w:eastAsia="serif" w:cs="serif"/>
      <w:sz w:val="21"/>
      <w:szCs w:val="21"/>
    </w:rPr>
  </w:style>
  <w:style w:type="character" w:styleId="59">
    <w:name w:val="HTML Sample"/>
    <w:unhideWhenUsed/>
    <w:qFormat/>
    <w:uiPriority w:val="99"/>
    <w:rPr>
      <w:rFonts w:hint="default" w:ascii="serif" w:hAnsi="serif" w:eastAsia="serif" w:cs="serif"/>
      <w:sz w:val="21"/>
      <w:szCs w:val="21"/>
    </w:rPr>
  </w:style>
  <w:style w:type="character" w:customStyle="1" w:styleId="60">
    <w:name w:val="正文文本缩进 字符"/>
    <w:basedOn w:val="50"/>
    <w:link w:val="20"/>
    <w:qFormat/>
    <w:uiPriority w:val="0"/>
    <w:rPr>
      <w:rFonts w:ascii="宋体" w:hAnsi="宋体" w:eastAsia="宋体" w:cs="Times New Roman"/>
      <w:sz w:val="24"/>
      <w:szCs w:val="20"/>
    </w:rPr>
  </w:style>
  <w:style w:type="paragraph" w:customStyle="1" w:styleId="61">
    <w:name w:val="Default"/>
    <w:link w:val="8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2">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3">
    <w:name w:val="页眉 字符"/>
    <w:basedOn w:val="50"/>
    <w:link w:val="32"/>
    <w:qFormat/>
    <w:uiPriority w:val="99"/>
    <w:rPr>
      <w:rFonts w:ascii="Times New Roman" w:hAnsi="Times New Roman" w:eastAsia="宋体" w:cs="Times New Roman"/>
      <w:sz w:val="18"/>
      <w:szCs w:val="18"/>
    </w:rPr>
  </w:style>
  <w:style w:type="character" w:customStyle="1" w:styleId="64">
    <w:name w:val="页脚 字符"/>
    <w:basedOn w:val="50"/>
    <w:link w:val="31"/>
    <w:qFormat/>
    <w:uiPriority w:val="99"/>
    <w:rPr>
      <w:rFonts w:ascii="Times New Roman" w:hAnsi="Times New Roman" w:eastAsia="宋体" w:cs="Times New Roman"/>
      <w:sz w:val="18"/>
      <w:szCs w:val="18"/>
    </w:rPr>
  </w:style>
  <w:style w:type="character" w:customStyle="1" w:styleId="65">
    <w:name w:val="日期 字符"/>
    <w:basedOn w:val="50"/>
    <w:link w:val="28"/>
    <w:qFormat/>
    <w:uiPriority w:val="0"/>
    <w:rPr>
      <w:rFonts w:ascii="Times New Roman" w:hAnsi="Times New Roman" w:eastAsia="宋体" w:cs="Times New Roman"/>
      <w:sz w:val="32"/>
      <w:szCs w:val="20"/>
    </w:rPr>
  </w:style>
  <w:style w:type="paragraph" w:styleId="66">
    <w:name w:val="List Paragraph"/>
    <w:basedOn w:val="1"/>
    <w:link w:val="85"/>
    <w:qFormat/>
    <w:uiPriority w:val="34"/>
    <w:pPr>
      <w:ind w:firstLine="420" w:firstLineChars="200"/>
    </w:pPr>
  </w:style>
  <w:style w:type="character" w:customStyle="1" w:styleId="67">
    <w:name w:val="正文文本缩进 2 字符"/>
    <w:basedOn w:val="50"/>
    <w:link w:val="29"/>
    <w:qFormat/>
    <w:uiPriority w:val="0"/>
    <w:rPr>
      <w:rFonts w:ascii="Times New Roman" w:hAnsi="Times New Roman" w:eastAsia="宋体" w:cs="Times New Roman"/>
      <w:szCs w:val="20"/>
    </w:rPr>
  </w:style>
  <w:style w:type="character" w:customStyle="1" w:styleId="68">
    <w:name w:val="标题 3 字符1"/>
    <w:basedOn w:val="50"/>
    <w:link w:val="4"/>
    <w:qFormat/>
    <w:uiPriority w:val="0"/>
    <w:rPr>
      <w:rFonts w:ascii="Times New Roman" w:hAnsi="Times New Roman" w:eastAsia="宋体" w:cs="Times New Roman"/>
      <w:b/>
      <w:bCs/>
      <w:sz w:val="32"/>
      <w:szCs w:val="32"/>
    </w:rPr>
  </w:style>
  <w:style w:type="character" w:customStyle="1" w:styleId="69">
    <w:name w:val="正文文本 2 字符"/>
    <w:basedOn w:val="50"/>
    <w:link w:val="41"/>
    <w:qFormat/>
    <w:uiPriority w:val="0"/>
    <w:rPr>
      <w:rFonts w:ascii="Times New Roman" w:hAnsi="Times New Roman" w:eastAsia="宋体" w:cs="Times New Roman"/>
      <w:szCs w:val="20"/>
    </w:rPr>
  </w:style>
  <w:style w:type="paragraph" w:customStyle="1" w:styleId="70">
    <w:name w:val="Char"/>
    <w:basedOn w:val="1"/>
    <w:autoRedefine/>
    <w:qFormat/>
    <w:uiPriority w:val="0"/>
    <w:pPr>
      <w:tabs>
        <w:tab w:val="left" w:pos="360"/>
      </w:tabs>
    </w:pPr>
    <w:rPr>
      <w:sz w:val="24"/>
      <w:szCs w:val="24"/>
    </w:rPr>
  </w:style>
  <w:style w:type="character" w:customStyle="1" w:styleId="71">
    <w:name w:val="纯文本 Char"/>
    <w:basedOn w:val="50"/>
    <w:qFormat/>
    <w:uiPriority w:val="0"/>
    <w:rPr>
      <w:rFonts w:ascii="宋体" w:hAnsi="Courier New" w:eastAsia="宋体" w:cs="Courier New"/>
      <w:szCs w:val="21"/>
    </w:rPr>
  </w:style>
  <w:style w:type="character" w:customStyle="1" w:styleId="72">
    <w:name w:val="纯文本 字符"/>
    <w:link w:val="25"/>
    <w:qFormat/>
    <w:locked/>
    <w:uiPriority w:val="0"/>
    <w:rPr>
      <w:rFonts w:ascii="宋体" w:hAnsi="Courier New" w:eastAsia="宋体" w:cs="Times New Roman"/>
      <w:szCs w:val="20"/>
      <w:lang w:val="zh-CN" w:eastAsia="zh-CN"/>
    </w:rPr>
  </w:style>
  <w:style w:type="character" w:customStyle="1" w:styleId="73">
    <w:name w:val="正文文本缩进 3 字符"/>
    <w:basedOn w:val="50"/>
    <w:link w:val="38"/>
    <w:qFormat/>
    <w:uiPriority w:val="0"/>
    <w:rPr>
      <w:rFonts w:ascii="Times New Roman" w:hAnsi="Times New Roman" w:eastAsia="宋体" w:cs="Times New Roman"/>
      <w:sz w:val="16"/>
      <w:szCs w:val="16"/>
    </w:rPr>
  </w:style>
  <w:style w:type="paragraph" w:customStyle="1" w:styleId="7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Char1"/>
    <w:basedOn w:val="1"/>
    <w:autoRedefine/>
    <w:qFormat/>
    <w:uiPriority w:val="0"/>
    <w:pPr>
      <w:tabs>
        <w:tab w:val="left" w:pos="360"/>
      </w:tabs>
    </w:pPr>
    <w:rPr>
      <w:sz w:val="24"/>
      <w:szCs w:val="24"/>
    </w:rPr>
  </w:style>
  <w:style w:type="paragraph" w:customStyle="1" w:styleId="79">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0">
    <w:name w:val="批注文字 字符1"/>
    <w:basedOn w:val="50"/>
    <w:link w:val="17"/>
    <w:qFormat/>
    <w:uiPriority w:val="99"/>
    <w:rPr>
      <w:rFonts w:ascii="Times New Roman" w:hAnsi="Times New Roman" w:eastAsia="宋体" w:cs="Times New Roman"/>
      <w:szCs w:val="20"/>
    </w:rPr>
  </w:style>
  <w:style w:type="character" w:customStyle="1" w:styleId="81">
    <w:name w:val="批注框文本 字符"/>
    <w:basedOn w:val="50"/>
    <w:link w:val="30"/>
    <w:qFormat/>
    <w:uiPriority w:val="0"/>
    <w:rPr>
      <w:rFonts w:ascii="Times New Roman" w:hAnsi="Times New Roman" w:eastAsia="宋体" w:cs="Times New Roman"/>
      <w:sz w:val="18"/>
      <w:szCs w:val="18"/>
    </w:rPr>
  </w:style>
  <w:style w:type="character" w:customStyle="1" w:styleId="82">
    <w:name w:val="正文文本 字符1"/>
    <w:basedOn w:val="50"/>
    <w:link w:val="19"/>
    <w:qFormat/>
    <w:uiPriority w:val="0"/>
    <w:rPr>
      <w:rFonts w:ascii="Times New Roman" w:hAnsi="Times New Roman" w:eastAsia="宋体" w:cs="Times New Roman"/>
      <w:szCs w:val="20"/>
    </w:rPr>
  </w:style>
  <w:style w:type="character" w:customStyle="1" w:styleId="83">
    <w:name w:val="Default Char"/>
    <w:link w:val="61"/>
    <w:qFormat/>
    <w:locked/>
    <w:uiPriority w:val="0"/>
    <w:rPr>
      <w:rFonts w:ascii="......." w:hAnsi="Calibri" w:eastAsia="......." w:cs="......."/>
      <w:color w:val="000000"/>
      <w:kern w:val="0"/>
      <w:sz w:val="24"/>
      <w:szCs w:val="24"/>
    </w:rPr>
  </w:style>
  <w:style w:type="character" w:customStyle="1" w:styleId="84">
    <w:name w:val="批注主题 字符1"/>
    <w:basedOn w:val="80"/>
    <w:link w:val="45"/>
    <w:qFormat/>
    <w:uiPriority w:val="0"/>
    <w:rPr>
      <w:rFonts w:ascii="Times New Roman" w:hAnsi="Times New Roman" w:eastAsia="宋体" w:cs="Times New Roman"/>
      <w:b/>
      <w:bCs/>
      <w:szCs w:val="20"/>
    </w:rPr>
  </w:style>
  <w:style w:type="character" w:customStyle="1" w:styleId="85">
    <w:name w:val="列出段落 字符"/>
    <w:link w:val="66"/>
    <w:qFormat/>
    <w:uiPriority w:val="34"/>
    <w:rPr>
      <w:rFonts w:ascii="Times New Roman" w:hAnsi="Times New Roman" w:eastAsia="宋体" w:cs="Times New Roman"/>
      <w:szCs w:val="20"/>
    </w:rPr>
  </w:style>
  <w:style w:type="character" w:customStyle="1" w:styleId="86">
    <w:name w:val="标题 1 字符"/>
    <w:basedOn w:val="50"/>
    <w:link w:val="2"/>
    <w:qFormat/>
    <w:uiPriority w:val="0"/>
    <w:rPr>
      <w:rFonts w:ascii="Times New Roman" w:hAnsi="Times New Roman" w:eastAsia="宋体" w:cs="Times New Roman"/>
      <w:b/>
      <w:bCs/>
      <w:kern w:val="1"/>
      <w:sz w:val="44"/>
      <w:szCs w:val="44"/>
    </w:rPr>
  </w:style>
  <w:style w:type="character" w:customStyle="1" w:styleId="87">
    <w:name w:val="标题 2 字符"/>
    <w:basedOn w:val="50"/>
    <w:link w:val="3"/>
    <w:qFormat/>
    <w:uiPriority w:val="0"/>
    <w:rPr>
      <w:rFonts w:ascii="Arial" w:hAnsi="Arial" w:eastAsia="黑体" w:cs="Times New Roman"/>
      <w:b/>
      <w:bCs/>
      <w:kern w:val="1"/>
      <w:sz w:val="32"/>
      <w:szCs w:val="32"/>
    </w:rPr>
  </w:style>
  <w:style w:type="character" w:customStyle="1" w:styleId="88">
    <w:name w:val="标题 4 字符1"/>
    <w:basedOn w:val="50"/>
    <w:link w:val="5"/>
    <w:qFormat/>
    <w:uiPriority w:val="0"/>
    <w:rPr>
      <w:rFonts w:ascii="Cambria" w:hAnsi="Cambria" w:eastAsia="宋体" w:cs="Times New Roman"/>
      <w:b/>
      <w:bCs/>
      <w:kern w:val="0"/>
      <w:sz w:val="28"/>
      <w:szCs w:val="28"/>
    </w:rPr>
  </w:style>
  <w:style w:type="character" w:customStyle="1" w:styleId="89">
    <w:name w:val="标题 5 字符"/>
    <w:basedOn w:val="50"/>
    <w:link w:val="6"/>
    <w:qFormat/>
    <w:uiPriority w:val="0"/>
    <w:rPr>
      <w:rFonts w:ascii="Times New Roman" w:hAnsi="Times New Roman" w:eastAsia="宋体" w:cs="Times New Roman"/>
      <w:b/>
      <w:bCs/>
      <w:kern w:val="1"/>
      <w:sz w:val="28"/>
      <w:szCs w:val="28"/>
    </w:rPr>
  </w:style>
  <w:style w:type="character" w:customStyle="1" w:styleId="90">
    <w:name w:val="标题 6 字符"/>
    <w:basedOn w:val="50"/>
    <w:link w:val="7"/>
    <w:qFormat/>
    <w:uiPriority w:val="0"/>
    <w:rPr>
      <w:rFonts w:ascii="Arial" w:hAnsi="Arial" w:eastAsia="黑体" w:cs="Times New Roman"/>
      <w:b/>
      <w:bCs/>
      <w:kern w:val="1"/>
      <w:sz w:val="24"/>
      <w:szCs w:val="24"/>
    </w:rPr>
  </w:style>
  <w:style w:type="character" w:customStyle="1" w:styleId="91">
    <w:name w:val="标题 7 字符"/>
    <w:basedOn w:val="50"/>
    <w:link w:val="8"/>
    <w:qFormat/>
    <w:uiPriority w:val="0"/>
    <w:rPr>
      <w:rFonts w:ascii="Times New Roman" w:hAnsi="Times New Roman" w:eastAsia="宋体" w:cs="Times New Roman"/>
      <w:b/>
      <w:bCs/>
      <w:kern w:val="1"/>
      <w:sz w:val="24"/>
      <w:szCs w:val="24"/>
    </w:rPr>
  </w:style>
  <w:style w:type="character" w:customStyle="1" w:styleId="92">
    <w:name w:val="标题 8 字符"/>
    <w:basedOn w:val="50"/>
    <w:link w:val="9"/>
    <w:qFormat/>
    <w:uiPriority w:val="0"/>
    <w:rPr>
      <w:rFonts w:ascii="Arial" w:hAnsi="Arial" w:eastAsia="宋体" w:cs="Times New Roman"/>
      <w:b/>
      <w:kern w:val="1"/>
      <w:sz w:val="24"/>
      <w:szCs w:val="24"/>
    </w:rPr>
  </w:style>
  <w:style w:type="character" w:customStyle="1" w:styleId="93">
    <w:name w:val="标题 9 字符"/>
    <w:basedOn w:val="50"/>
    <w:link w:val="10"/>
    <w:qFormat/>
    <w:uiPriority w:val="0"/>
    <w:rPr>
      <w:rFonts w:ascii="Arial" w:hAnsi="Arial" w:eastAsia="宋体" w:cs="Times New Roman"/>
      <w:b/>
      <w:kern w:val="1"/>
      <w:sz w:val="24"/>
      <w:szCs w:val="24"/>
    </w:rPr>
  </w:style>
  <w:style w:type="character" w:customStyle="1" w:styleId="94">
    <w:name w:val="注释标题 字符"/>
    <w:basedOn w:val="50"/>
    <w:link w:val="13"/>
    <w:qFormat/>
    <w:uiPriority w:val="0"/>
    <w:rPr>
      <w:rFonts w:ascii="Times New Roman" w:hAnsi="Times New Roman" w:eastAsia="宋体" w:cs="Times New Roman"/>
      <w:kern w:val="1"/>
      <w:szCs w:val="20"/>
    </w:rPr>
  </w:style>
  <w:style w:type="character" w:customStyle="1" w:styleId="95">
    <w:name w:val="文档结构图 字符"/>
    <w:basedOn w:val="50"/>
    <w:link w:val="16"/>
    <w:qFormat/>
    <w:uiPriority w:val="0"/>
    <w:rPr>
      <w:rFonts w:ascii="宋体" w:hAnsi="宋体" w:eastAsia="宋体" w:cs="Times New Roman"/>
      <w:kern w:val="1"/>
      <w:sz w:val="18"/>
      <w:szCs w:val="18"/>
    </w:rPr>
  </w:style>
  <w:style w:type="character" w:customStyle="1" w:styleId="96">
    <w:name w:val="正文文本 3 字符"/>
    <w:basedOn w:val="50"/>
    <w:link w:val="18"/>
    <w:qFormat/>
    <w:uiPriority w:val="0"/>
    <w:rPr>
      <w:rFonts w:ascii="Times New Roman" w:hAnsi="Times New Roman" w:eastAsia="宋体" w:cs="Times New Roman"/>
      <w:kern w:val="1"/>
      <w:sz w:val="16"/>
      <w:szCs w:val="16"/>
    </w:rPr>
  </w:style>
  <w:style w:type="character" w:customStyle="1" w:styleId="97">
    <w:name w:val="标题 字符"/>
    <w:basedOn w:val="50"/>
    <w:link w:val="44"/>
    <w:qFormat/>
    <w:uiPriority w:val="0"/>
    <w:rPr>
      <w:rFonts w:ascii="Cambria" w:hAnsi="Cambria" w:eastAsia="宋体" w:cs="Times New Roman"/>
      <w:b/>
      <w:bCs/>
      <w:kern w:val="1"/>
      <w:sz w:val="32"/>
      <w:szCs w:val="32"/>
    </w:rPr>
  </w:style>
  <w:style w:type="character" w:customStyle="1" w:styleId="98">
    <w:name w:val="正文首行缩进 字符"/>
    <w:basedOn w:val="82"/>
    <w:link w:val="46"/>
    <w:qFormat/>
    <w:uiPriority w:val="0"/>
    <w:rPr>
      <w:rFonts w:ascii="Times New Roman" w:hAnsi="Times New Roman" w:eastAsia="宋体" w:cs="Times New Roman"/>
      <w:kern w:val="1"/>
      <w:szCs w:val="24"/>
    </w:rPr>
  </w:style>
  <w:style w:type="character" w:customStyle="1" w:styleId="99">
    <w:name w:val="正文首行缩进 2 字符"/>
    <w:basedOn w:val="60"/>
    <w:link w:val="47"/>
    <w:qFormat/>
    <w:uiPriority w:val="0"/>
    <w:rPr>
      <w:rFonts w:ascii="宋体" w:hAnsi="宋体" w:eastAsia="宋体" w:cs="Times New Roman"/>
      <w:kern w:val="1"/>
      <w:sz w:val="24"/>
      <w:szCs w:val="20"/>
    </w:rPr>
  </w:style>
  <w:style w:type="character" w:customStyle="1" w:styleId="100">
    <w:name w:val="批注文字 Char3"/>
    <w:qFormat/>
    <w:uiPriority w:val="99"/>
    <w:rPr>
      <w:rFonts w:ascii="Times New Roman" w:hAnsi="Times New Roman" w:eastAsia="宋体" w:cs="Times New Roman"/>
      <w:kern w:val="1"/>
      <w:szCs w:val="20"/>
    </w:rPr>
  </w:style>
  <w:style w:type="character" w:customStyle="1" w:styleId="101">
    <w:name w:val="正文文本 Char1"/>
    <w:qFormat/>
    <w:uiPriority w:val="0"/>
    <w:rPr>
      <w:rFonts w:ascii="Times New Roman" w:hAnsi="Times New Roman" w:eastAsia="宋体" w:cs="Times New Roman"/>
      <w:kern w:val="1"/>
      <w:szCs w:val="20"/>
    </w:rPr>
  </w:style>
  <w:style w:type="character" w:customStyle="1" w:styleId="102">
    <w:name w:val="批注主题 Char2"/>
    <w:qFormat/>
    <w:uiPriority w:val="99"/>
    <w:rPr>
      <w:rFonts w:ascii="Times New Roman" w:hAnsi="Times New Roman" w:eastAsia="宋体" w:cs="Times New Roman"/>
      <w:b/>
      <w:bCs/>
      <w:kern w:val="0"/>
      <w:sz w:val="20"/>
      <w:szCs w:val="20"/>
    </w:rPr>
  </w:style>
  <w:style w:type="character" w:customStyle="1" w:styleId="103">
    <w:name w:val="访问过的超链接1"/>
    <w:qFormat/>
    <w:uiPriority w:val="99"/>
    <w:rPr>
      <w:rFonts w:ascii="Calibri" w:hAnsi="Calibri" w:eastAsia="Calibri"/>
      <w:color w:val="800080"/>
      <w:kern w:val="0"/>
      <w:sz w:val="20"/>
      <w:u w:val="single"/>
    </w:rPr>
  </w:style>
  <w:style w:type="paragraph" w:customStyle="1" w:styleId="104">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5">
    <w:name w:val="font51"/>
    <w:qFormat/>
    <w:uiPriority w:val="0"/>
    <w:rPr>
      <w:rFonts w:ascii="Tahoma" w:hAnsi="Tahoma" w:eastAsia="Tahoma" w:cs="Tahoma"/>
      <w:sz w:val="20"/>
    </w:rPr>
  </w:style>
  <w:style w:type="character" w:customStyle="1" w:styleId="106">
    <w:name w:val="font171"/>
    <w:qFormat/>
    <w:uiPriority w:val="0"/>
    <w:rPr>
      <w:b/>
      <w:sz w:val="20"/>
    </w:rPr>
  </w:style>
  <w:style w:type="character" w:customStyle="1" w:styleId="107">
    <w:name w:val="页眉 Char1"/>
    <w:qFormat/>
    <w:uiPriority w:val="0"/>
    <w:rPr>
      <w:sz w:val="18"/>
      <w:szCs w:val="18"/>
    </w:rPr>
  </w:style>
  <w:style w:type="character" w:customStyle="1" w:styleId="108">
    <w:name w:val="方案正文 Char"/>
    <w:qFormat/>
    <w:uiPriority w:val="0"/>
    <w:rPr>
      <w:rFonts w:ascii="Arial" w:hAnsi="Arial"/>
      <w:kern w:val="0"/>
      <w:sz w:val="24"/>
      <w:szCs w:val="21"/>
    </w:rPr>
  </w:style>
  <w:style w:type="character" w:customStyle="1" w:styleId="109">
    <w:name w:val="label1"/>
    <w:qFormat/>
    <w:uiPriority w:val="0"/>
    <w:rPr>
      <w:sz w:val="26"/>
      <w:szCs w:val="26"/>
    </w:rPr>
  </w:style>
  <w:style w:type="character" w:customStyle="1" w:styleId="110">
    <w:name w:val="标书正文:  0.74 厘米 Char1"/>
    <w:qFormat/>
    <w:uiPriority w:val="0"/>
    <w:rPr>
      <w:rFonts w:ascii="Calibri" w:hAnsi="Calibri" w:cs="宋体"/>
      <w:sz w:val="24"/>
    </w:rPr>
  </w:style>
  <w:style w:type="character" w:customStyle="1" w:styleId="111">
    <w:name w:val="_正文段落 Char"/>
    <w:qFormat/>
    <w:uiPriority w:val="0"/>
    <w:rPr>
      <w:kern w:val="0"/>
      <w:sz w:val="24"/>
      <w:szCs w:val="24"/>
    </w:rPr>
  </w:style>
  <w:style w:type="character" w:customStyle="1" w:styleId="112">
    <w:name w:val="Char Char12"/>
    <w:qFormat/>
    <w:uiPriority w:val="0"/>
    <w:rPr>
      <w:sz w:val="18"/>
    </w:rPr>
  </w:style>
  <w:style w:type="character" w:customStyle="1" w:styleId="113">
    <w:name w:val="Char Char10"/>
    <w:qFormat/>
    <w:uiPriority w:val="0"/>
    <w:rPr>
      <w:rFonts w:ascii="宋体" w:hAnsi="宋体" w:cs="宋体"/>
      <w:b/>
      <w:bCs/>
      <w:sz w:val="36"/>
      <w:szCs w:val="36"/>
    </w:rPr>
  </w:style>
  <w:style w:type="character" w:customStyle="1" w:styleId="114">
    <w:name w:val="蓝色"/>
    <w:qFormat/>
    <w:uiPriority w:val="0"/>
    <w:rPr>
      <w:rFonts w:ascii="Calibri" w:hAnsi="Calibri" w:eastAsia="Calibri"/>
      <w:color w:val="0000FF"/>
      <w:kern w:val="0"/>
      <w:sz w:val="20"/>
    </w:rPr>
  </w:style>
  <w:style w:type="character" w:customStyle="1" w:styleId="115">
    <w:name w:val="标题 2 Char1"/>
    <w:qFormat/>
    <w:uiPriority w:val="0"/>
    <w:rPr>
      <w:rFonts w:ascii="Arial" w:hAnsi="Arial" w:eastAsia="黑体"/>
      <w:b/>
      <w:bCs/>
      <w:sz w:val="32"/>
      <w:szCs w:val="32"/>
    </w:rPr>
  </w:style>
  <w:style w:type="character" w:customStyle="1" w:styleId="116">
    <w:name w:val="Heading 3. Char"/>
    <w:qFormat/>
    <w:uiPriority w:val="0"/>
    <w:rPr>
      <w:b/>
      <w:bCs/>
      <w:sz w:val="32"/>
      <w:szCs w:val="32"/>
    </w:rPr>
  </w:style>
  <w:style w:type="character" w:customStyle="1" w:styleId="117">
    <w:name w:val="标书正文:  0.74 厘米 Char"/>
    <w:qFormat/>
    <w:uiPriority w:val="0"/>
    <w:rPr>
      <w:kern w:val="0"/>
      <w:sz w:val="24"/>
    </w:rPr>
  </w:style>
  <w:style w:type="character" w:customStyle="1" w:styleId="118">
    <w:name w:val="font121"/>
    <w:qFormat/>
    <w:uiPriority w:val="0"/>
    <w:rPr>
      <w:sz w:val="20"/>
    </w:rPr>
  </w:style>
  <w:style w:type="character" w:customStyle="1" w:styleId="119">
    <w:name w:val="正文文字缩进 Char"/>
    <w:qFormat/>
    <w:uiPriority w:val="0"/>
    <w:rPr>
      <w:rFonts w:ascii="Calibri" w:hAnsi="Calibri"/>
      <w:szCs w:val="24"/>
    </w:rPr>
  </w:style>
  <w:style w:type="character" w:customStyle="1" w:styleId="120">
    <w:name w:val="font31"/>
    <w:qFormat/>
    <w:uiPriority w:val="0"/>
    <w:rPr>
      <w:rFonts w:hint="eastAsia" w:ascii="宋体" w:hAnsi="宋体" w:cs="宋体"/>
      <w:sz w:val="20"/>
    </w:rPr>
  </w:style>
  <w:style w:type="character" w:customStyle="1" w:styleId="121">
    <w:name w:val="font01"/>
    <w:qFormat/>
    <w:uiPriority w:val="0"/>
    <w:rPr>
      <w:rFonts w:ascii="Tahoma" w:hAnsi="Tahoma" w:eastAsia="Tahoma" w:cs="Tahoma"/>
      <w:sz w:val="20"/>
    </w:rPr>
  </w:style>
  <w:style w:type="character" w:customStyle="1" w:styleId="122">
    <w:name w:val="infodetail"/>
    <w:qFormat/>
    <w:uiPriority w:val="0"/>
  </w:style>
  <w:style w:type="character" w:customStyle="1" w:styleId="123">
    <w:name w:val="font11"/>
    <w:qFormat/>
    <w:uiPriority w:val="0"/>
    <w:rPr>
      <w:rFonts w:ascii="Tahoma" w:hAnsi="Tahoma" w:eastAsia="Tahoma" w:cs="Tahoma"/>
      <w:sz w:val="20"/>
    </w:rPr>
  </w:style>
  <w:style w:type="character" w:customStyle="1" w:styleId="124">
    <w:name w:val="批注文字 Char2"/>
    <w:qFormat/>
    <w:uiPriority w:val="0"/>
  </w:style>
  <w:style w:type="character" w:customStyle="1" w:styleId="125">
    <w:name w:val="标书图表注 Char"/>
    <w:qFormat/>
    <w:uiPriority w:val="0"/>
    <w:rPr>
      <w:kern w:val="0"/>
      <w:sz w:val="20"/>
    </w:rPr>
  </w:style>
  <w:style w:type="character" w:customStyle="1" w:styleId="126">
    <w:name w:val="Char Char8"/>
    <w:qFormat/>
    <w:uiPriority w:val="0"/>
    <w:rPr>
      <w:rFonts w:ascii="黑体" w:hAnsi="黑体" w:eastAsia="黑体"/>
      <w:bCs/>
      <w:kern w:val="0"/>
      <w:sz w:val="24"/>
    </w:rPr>
  </w:style>
  <w:style w:type="character" w:customStyle="1" w:styleId="127">
    <w:name w:val="题注 Char"/>
    <w:qFormat/>
    <w:uiPriority w:val="0"/>
    <w:rPr>
      <w:rFonts w:ascii="Arial" w:hAnsi="Arial" w:eastAsia="黑体"/>
      <w:kern w:val="0"/>
      <w:sz w:val="20"/>
    </w:rPr>
  </w:style>
  <w:style w:type="character" w:customStyle="1" w:styleId="128">
    <w:name w:val="页脚 Char1"/>
    <w:qFormat/>
    <w:uiPriority w:val="0"/>
    <w:rPr>
      <w:sz w:val="18"/>
      <w:szCs w:val="18"/>
    </w:rPr>
  </w:style>
  <w:style w:type="character" w:customStyle="1" w:styleId="129">
    <w:name w:val="grame"/>
    <w:qFormat/>
    <w:uiPriority w:val="0"/>
  </w:style>
  <w:style w:type="character" w:customStyle="1" w:styleId="130">
    <w:name w:val="编号 Char Char"/>
    <w:qFormat/>
    <w:uiPriority w:val="0"/>
    <w:rPr>
      <w:rFonts w:ascii="Calibri" w:hAnsi="Calibri" w:eastAsia="Calibri"/>
      <w:sz w:val="24"/>
      <w:szCs w:val="24"/>
    </w:rPr>
  </w:style>
  <w:style w:type="character" w:customStyle="1" w:styleId="131">
    <w:name w:val="font71"/>
    <w:qFormat/>
    <w:uiPriority w:val="0"/>
    <w:rPr>
      <w:rFonts w:hint="eastAsia" w:ascii="宋体" w:hAnsi="宋体" w:cs="宋体"/>
      <w:sz w:val="20"/>
    </w:rPr>
  </w:style>
  <w:style w:type="character" w:customStyle="1" w:styleId="132">
    <w:name w:val="设计正文 Char"/>
    <w:qFormat/>
    <w:uiPriority w:val="0"/>
    <w:rPr>
      <w:rFonts w:eastAsia="仿宋_GB2312"/>
      <w:kern w:val="0"/>
      <w:sz w:val="28"/>
      <w:szCs w:val="28"/>
    </w:rPr>
  </w:style>
  <w:style w:type="character" w:customStyle="1" w:styleId="133">
    <w:name w:val="批注引用3"/>
    <w:qFormat/>
    <w:uiPriority w:val="0"/>
    <w:rPr>
      <w:sz w:val="21"/>
      <w:szCs w:val="21"/>
    </w:rPr>
  </w:style>
  <w:style w:type="character" w:customStyle="1" w:styleId="134">
    <w:name w:val="图表标题 Char Char"/>
    <w:qFormat/>
    <w:uiPriority w:val="0"/>
    <w:rPr>
      <w:rFonts w:ascii="Calibri" w:hAnsi="Calibri" w:eastAsia="仿宋_GB2312" w:cs="宋体"/>
      <w:kern w:val="0"/>
      <w:sz w:val="20"/>
      <w:szCs w:val="21"/>
    </w:rPr>
  </w:style>
  <w:style w:type="character" w:customStyle="1" w:styleId="135">
    <w:name w:val="表内文字 Char"/>
    <w:qFormat/>
    <w:uiPriority w:val="0"/>
    <w:rPr>
      <w:rFonts w:ascii="宋体" w:hAnsi="宋体" w:eastAsia="楷体_GB2312"/>
      <w:kern w:val="0"/>
      <w:sz w:val="20"/>
    </w:rPr>
  </w:style>
  <w:style w:type="character" w:customStyle="1" w:styleId="136">
    <w:name w:val="批注引用2"/>
    <w:qFormat/>
    <w:uiPriority w:val="0"/>
    <w:rPr>
      <w:szCs w:val="21"/>
    </w:rPr>
  </w:style>
  <w:style w:type="character" w:customStyle="1" w:styleId="137">
    <w:name w:val="标书正文 Char"/>
    <w:qFormat/>
    <w:uiPriority w:val="0"/>
    <w:rPr>
      <w:rFonts w:ascii="Calibri" w:hAnsi="Calibri" w:eastAsia="Calibri"/>
      <w:kern w:val="0"/>
      <w:sz w:val="24"/>
    </w:rPr>
  </w:style>
  <w:style w:type="character" w:customStyle="1" w:styleId="138">
    <w:name w:val="样式 (西文) 仿宋_GB23121"/>
    <w:qFormat/>
    <w:uiPriority w:val="0"/>
    <w:rPr>
      <w:rFonts w:ascii="Arial" w:hAnsi="Arial"/>
      <w:kern w:val="0"/>
      <w:sz w:val="28"/>
      <w:szCs w:val="28"/>
    </w:rPr>
  </w:style>
  <w:style w:type="character" w:customStyle="1" w:styleId="139">
    <w:name w:val="Char Char13"/>
    <w:qFormat/>
    <w:uiPriority w:val="0"/>
    <w:rPr>
      <w:sz w:val="18"/>
    </w:rPr>
  </w:style>
  <w:style w:type="character" w:customStyle="1" w:styleId="140">
    <w:name w:val="font21"/>
    <w:qFormat/>
    <w:uiPriority w:val="0"/>
    <w:rPr>
      <w:rFonts w:hint="eastAsia" w:ascii="宋体" w:hAnsi="宋体" w:cs="宋体"/>
      <w:sz w:val="20"/>
    </w:rPr>
  </w:style>
  <w:style w:type="character" w:customStyle="1" w:styleId="141">
    <w:name w:val="标题 3 Char1"/>
    <w:qFormat/>
    <w:uiPriority w:val="0"/>
    <w:rPr>
      <w:b/>
      <w:bCs/>
      <w:sz w:val="32"/>
      <w:szCs w:val="32"/>
    </w:rPr>
  </w:style>
  <w:style w:type="character" w:customStyle="1" w:styleId="142">
    <w:name w:val="font61"/>
    <w:qFormat/>
    <w:uiPriority w:val="0"/>
    <w:rPr>
      <w:rFonts w:hint="eastAsia" w:ascii="华文楷体" w:hAnsi="华文楷体" w:eastAsia="华文楷体" w:cs="华文楷体"/>
      <w:sz w:val="22"/>
      <w:szCs w:val="22"/>
    </w:rPr>
  </w:style>
  <w:style w:type="character" w:customStyle="1" w:styleId="143">
    <w:name w:val="A正文 Char Char"/>
    <w:qFormat/>
    <w:uiPriority w:val="0"/>
    <w:rPr>
      <w:kern w:val="0"/>
      <w:sz w:val="24"/>
      <w:szCs w:val="24"/>
    </w:rPr>
  </w:style>
  <w:style w:type="character" w:customStyle="1" w:styleId="144">
    <w:name w:val="批注文字 Char1"/>
    <w:qFormat/>
    <w:uiPriority w:val="0"/>
  </w:style>
  <w:style w:type="character" w:customStyle="1" w:styleId="145">
    <w:name w:val="font141"/>
    <w:qFormat/>
    <w:uiPriority w:val="0"/>
    <w:rPr>
      <w:rFonts w:hint="eastAsia" w:ascii="宋体" w:hAnsi="宋体" w:cs="宋体"/>
      <w:sz w:val="20"/>
    </w:rPr>
  </w:style>
  <w:style w:type="character" w:customStyle="1" w:styleId="146">
    <w:name w:val="批注引用1"/>
    <w:qFormat/>
    <w:uiPriority w:val="0"/>
    <w:rPr>
      <w:rFonts w:ascii="Calibri" w:hAnsi="Calibri" w:eastAsia="Calibri"/>
      <w:kern w:val="0"/>
      <w:szCs w:val="21"/>
    </w:rPr>
  </w:style>
  <w:style w:type="character" w:customStyle="1" w:styleId="147">
    <w:name w:val="font81"/>
    <w:qFormat/>
    <w:uiPriority w:val="0"/>
    <w:rPr>
      <w:rFonts w:ascii="Tahoma" w:hAnsi="Tahoma" w:eastAsia="Tahoma" w:cs="Tahoma"/>
      <w:sz w:val="20"/>
    </w:rPr>
  </w:style>
  <w:style w:type="character" w:customStyle="1" w:styleId="148">
    <w:name w:val="px141"/>
    <w:qFormat/>
    <w:uiPriority w:val="0"/>
    <w:rPr>
      <w:rFonts w:ascii="Calibri" w:hAnsi="Calibri" w:eastAsia="Calibri"/>
      <w:kern w:val="0"/>
      <w:sz w:val="18"/>
      <w:szCs w:val="18"/>
    </w:rPr>
  </w:style>
  <w:style w:type="character" w:customStyle="1" w:styleId="149">
    <w:name w:val="批注主题 Char1"/>
    <w:qFormat/>
    <w:uiPriority w:val="0"/>
    <w:rPr>
      <w:b/>
      <w:bCs/>
    </w:rPr>
  </w:style>
  <w:style w:type="character" w:customStyle="1" w:styleId="150">
    <w:name w:val="页码1"/>
    <w:qFormat/>
    <w:uiPriority w:val="0"/>
  </w:style>
  <w:style w:type="character" w:customStyle="1" w:styleId="151">
    <w:name w:val="正文缩进 Char"/>
    <w:qFormat/>
    <w:uiPriority w:val="0"/>
  </w:style>
  <w:style w:type="character" w:customStyle="1" w:styleId="152">
    <w:name w:val="Table Text Char1"/>
    <w:qFormat/>
    <w:uiPriority w:val="0"/>
    <w:rPr>
      <w:rFonts w:ascii="Arial" w:hAnsi="Arial"/>
      <w:kern w:val="0"/>
      <w:sz w:val="20"/>
      <w:szCs w:val="24"/>
    </w:rPr>
  </w:style>
  <w:style w:type="character" w:customStyle="1" w:styleId="153">
    <w:name w:val="表标题行 Char"/>
    <w:qFormat/>
    <w:uiPriority w:val="0"/>
    <w:rPr>
      <w:rFonts w:ascii="宋体" w:hAnsi="宋体" w:eastAsia="黑体"/>
      <w:kern w:val="0"/>
      <w:sz w:val="20"/>
    </w:rPr>
  </w:style>
  <w:style w:type="character" w:customStyle="1" w:styleId="154">
    <w:name w:val="apple-converted-space"/>
    <w:qFormat/>
    <w:uiPriority w:val="0"/>
  </w:style>
  <w:style w:type="character" w:customStyle="1" w:styleId="155">
    <w:name w:val="font41"/>
    <w:qFormat/>
    <w:uiPriority w:val="0"/>
    <w:rPr>
      <w:rFonts w:hint="eastAsia" w:ascii="宋体" w:hAnsi="宋体" w:cs="宋体"/>
      <w:sz w:val="20"/>
    </w:rPr>
  </w:style>
  <w:style w:type="character" w:customStyle="1" w:styleId="156">
    <w:name w:val="正文 首行缩进2 字符 Char"/>
    <w:qFormat/>
    <w:uiPriority w:val="0"/>
    <w:rPr>
      <w:rFonts w:ascii="Arial" w:hAnsi="Arial" w:eastAsia="Calibri"/>
      <w:kern w:val="0"/>
      <w:sz w:val="24"/>
      <w:szCs w:val="28"/>
    </w:rPr>
  </w:style>
  <w:style w:type="character" w:customStyle="1" w:styleId="157">
    <w:name w:val="无间隔 Char"/>
    <w:qFormat/>
    <w:uiPriority w:val="0"/>
    <w:rPr>
      <w:rFonts w:ascii="Calibri" w:hAnsi="Calibri"/>
      <w:kern w:val="0"/>
      <w:sz w:val="22"/>
    </w:rPr>
  </w:style>
  <w:style w:type="character" w:customStyle="1" w:styleId="158">
    <w:name w:val="info4"/>
    <w:qFormat/>
    <w:uiPriority w:val="0"/>
  </w:style>
  <w:style w:type="character" w:customStyle="1" w:styleId="159">
    <w:name w:val="_标题4 Char"/>
    <w:qFormat/>
    <w:uiPriority w:val="0"/>
    <w:rPr>
      <w:rFonts w:ascii="Arial" w:hAnsi="Arial" w:eastAsia="黑体"/>
      <w:bCs/>
      <w:kern w:val="0"/>
      <w:sz w:val="28"/>
      <w:szCs w:val="28"/>
    </w:rPr>
  </w:style>
  <w:style w:type="character" w:customStyle="1" w:styleId="160">
    <w:name w:val="正文-全文 Char"/>
    <w:qFormat/>
    <w:uiPriority w:val="0"/>
    <w:rPr>
      <w:kern w:val="0"/>
      <w:sz w:val="24"/>
    </w:rPr>
  </w:style>
  <w:style w:type="character" w:customStyle="1" w:styleId="161">
    <w:name w:val="Char Char9"/>
    <w:qFormat/>
    <w:uiPriority w:val="0"/>
    <w:rPr>
      <w:szCs w:val="24"/>
    </w:rPr>
  </w:style>
  <w:style w:type="paragraph" w:customStyle="1" w:styleId="162">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3">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4">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5">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6">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7">
    <w:name w:val="TOC 标题1"/>
    <w:basedOn w:val="168"/>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68">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69">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0">
    <w:name w:val="样式 标题 1 + Times New Roman 黑色 行距: 最小值 18 磅"/>
    <w:basedOn w:val="171"/>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1">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2">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3">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4">
    <w:name w:val="Char Char Char Char Char Char Char Char Char1 Char Char Char Char Char Char Char Char Char Char Char Char Char"/>
    <w:basedOn w:val="175"/>
    <w:qFormat/>
    <w:uiPriority w:val="0"/>
    <w:pPr>
      <w:spacing w:before="240" w:after="240" w:line="348" w:lineRule="auto"/>
    </w:pPr>
    <w:rPr>
      <w:rFonts w:ascii="Tahoma" w:hAnsi="Tahoma"/>
      <w:szCs w:val="20"/>
    </w:rPr>
  </w:style>
  <w:style w:type="paragraph" w:customStyle="1" w:styleId="175">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6">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7">
    <w:name w:val="_标题1"/>
    <w:basedOn w:val="178"/>
    <w:next w:val="179"/>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78">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79">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0">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1">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2">
    <w:name w:val="表题注"/>
    <w:basedOn w:val="40"/>
    <w:qFormat/>
    <w:uiPriority w:val="0"/>
    <w:pPr>
      <w:tabs>
        <w:tab w:val="left" w:pos="420"/>
        <w:tab w:val="left" w:pos="945"/>
      </w:tabs>
      <w:spacing w:line="400" w:lineRule="atLeast"/>
      <w:ind w:left="420"/>
    </w:pPr>
    <w:rPr>
      <w:szCs w:val="20"/>
    </w:rPr>
  </w:style>
  <w:style w:type="paragraph" w:customStyle="1" w:styleId="183">
    <w:name w:val="_标题4"/>
    <w:basedOn w:val="34"/>
    <w:next w:val="179"/>
    <w:qFormat/>
    <w:uiPriority w:val="0"/>
    <w:pPr>
      <w:numPr>
        <w:ilvl w:val="3"/>
        <w:numId w:val="3"/>
      </w:numPr>
      <w:ind w:left="3402" w:hanging="3402"/>
    </w:pPr>
    <w:rPr>
      <w:rFonts w:ascii="Arial" w:hAnsi="Arial" w:eastAsia="黑体"/>
    </w:rPr>
  </w:style>
  <w:style w:type="paragraph" w:customStyle="1" w:styleId="184">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5">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6">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7">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88">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89">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0">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1">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2">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3">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4">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5">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6">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7">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198">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199">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0">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1">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2">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3">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4">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5">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6">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7">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08">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9">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0">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1">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2">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3">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4">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5">
    <w:name w:val="_标题2"/>
    <w:basedOn w:val="216"/>
    <w:next w:val="179"/>
    <w:qFormat/>
    <w:uiPriority w:val="0"/>
    <w:pPr>
      <w:numPr>
        <w:ilvl w:val="1"/>
        <w:numId w:val="3"/>
      </w:numPr>
      <w:tabs>
        <w:tab w:val="left" w:pos="840"/>
        <w:tab w:val="left" w:pos="1400"/>
      </w:tabs>
      <w:ind w:left="840" w:hanging="420"/>
    </w:pPr>
  </w:style>
  <w:style w:type="paragraph" w:customStyle="1" w:styleId="216">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7">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8">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19">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0">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1">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2">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3">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4">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5">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6">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7">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8">
    <w:name w:val="_标题3"/>
    <w:basedOn w:val="38"/>
    <w:next w:val="179"/>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29">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0">
    <w:name w:val="样式 标题 1 + 小二 居中"/>
    <w:basedOn w:val="171"/>
    <w:qFormat/>
    <w:uiPriority w:val="0"/>
    <w:pPr>
      <w:tabs>
        <w:tab w:val="left" w:pos="360"/>
      </w:tabs>
      <w:ind w:left="360" w:hanging="360"/>
    </w:pPr>
    <w:rPr>
      <w:sz w:val="36"/>
      <w:szCs w:val="36"/>
    </w:rPr>
  </w:style>
  <w:style w:type="paragraph" w:customStyle="1" w:styleId="231">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2">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3">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4">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5">
    <w:name w:val="TOC 标题2"/>
    <w:basedOn w:val="162"/>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6">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7">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8">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9">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0">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1">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2">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3">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4">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5">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6">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7">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48">
    <w:name w:val="_标题5"/>
    <w:basedOn w:val="23"/>
    <w:next w:val="179"/>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49">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0">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1">
    <w:name w:val="_标题6"/>
    <w:basedOn w:val="37"/>
    <w:next w:val="179"/>
    <w:qFormat/>
    <w:uiPriority w:val="0"/>
    <w:pPr>
      <w:numPr>
        <w:ilvl w:val="5"/>
        <w:numId w:val="3"/>
      </w:numPr>
      <w:tabs>
        <w:tab w:val="left" w:pos="2520"/>
        <w:tab w:val="left" w:pos="3080"/>
      </w:tabs>
      <w:ind w:left="2520" w:hanging="420"/>
    </w:pPr>
  </w:style>
  <w:style w:type="paragraph" w:customStyle="1" w:styleId="252">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3">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4">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6">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7">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58">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59">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0">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1">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2">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3">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4">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5">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6">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7">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68">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69">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0">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1">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2">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3">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4">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5">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6">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7">
    <w:name w:val="样式 标题 2H2Underrubrik1prop2h2Level 2 Topic Heading2nd level..."/>
    <w:basedOn w:val="214"/>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78">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79">
    <w:name w:val="批注主题1"/>
    <w:basedOn w:val="269"/>
    <w:next w:val="269"/>
    <w:qFormat/>
    <w:uiPriority w:val="0"/>
  </w:style>
  <w:style w:type="paragraph" w:customStyle="1" w:styleId="280">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1">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2">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3">
    <w:name w:val="批注主题2"/>
    <w:basedOn w:val="284"/>
    <w:next w:val="284"/>
    <w:qFormat/>
    <w:uiPriority w:val="0"/>
    <w:rPr>
      <w:b/>
      <w:bCs/>
    </w:rPr>
  </w:style>
  <w:style w:type="paragraph" w:customStyle="1" w:styleId="284">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5">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6">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7">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88">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89">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0">
    <w:name w:val="flName"/>
    <w:basedOn w:val="253"/>
    <w:qFormat/>
    <w:uiPriority w:val="0"/>
    <w:rPr>
      <w:sz w:val="32"/>
    </w:rPr>
  </w:style>
  <w:style w:type="table" w:customStyle="1" w:styleId="291">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2">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3">
    <w:name w:val="修订2"/>
    <w:unhideWhenUsed/>
    <w:qFormat/>
    <w:uiPriority w:val="99"/>
    <w:rPr>
      <w:rFonts w:ascii="Times New Roman" w:hAnsi="Times New Roman" w:eastAsia="宋体" w:cs="Times New Roman"/>
      <w:kern w:val="1"/>
      <w:sz w:val="21"/>
      <w:lang w:val="en-US" w:eastAsia="zh-CN" w:bidi="ar-SA"/>
    </w:rPr>
  </w:style>
  <w:style w:type="paragraph" w:customStyle="1" w:styleId="294">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5">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6">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7">
    <w:name w:val="underline"/>
    <w:qFormat/>
    <w:uiPriority w:val="0"/>
    <w:rPr>
      <w:u w:val="single"/>
    </w:rPr>
  </w:style>
  <w:style w:type="character" w:customStyle="1" w:styleId="298">
    <w:name w:val="active"/>
    <w:qFormat/>
    <w:uiPriority w:val="0"/>
    <w:rPr>
      <w:color w:val="FFFFFF"/>
    </w:rPr>
  </w:style>
  <w:style w:type="character" w:customStyle="1" w:styleId="299">
    <w:name w:val="fielderror"/>
    <w:qFormat/>
    <w:uiPriority w:val="0"/>
    <w:rPr>
      <w:color w:val="800000"/>
    </w:rPr>
  </w:style>
  <w:style w:type="character" w:customStyle="1" w:styleId="300">
    <w:name w:val="required"/>
    <w:qFormat/>
    <w:uiPriority w:val="0"/>
    <w:rPr>
      <w:color w:val="FF0000"/>
    </w:rPr>
  </w:style>
  <w:style w:type="character" w:customStyle="1" w:styleId="301">
    <w:name w:val="tab1"/>
    <w:qFormat/>
    <w:uiPriority w:val="0"/>
  </w:style>
  <w:style w:type="character" w:customStyle="1" w:styleId="302">
    <w:name w:val="tab2"/>
    <w:qFormat/>
    <w:uiPriority w:val="0"/>
    <w:rPr>
      <w:color w:val="333366"/>
    </w:rPr>
  </w:style>
  <w:style w:type="character" w:customStyle="1" w:styleId="303">
    <w:name w:val="hilite6"/>
    <w:qFormat/>
    <w:uiPriority w:val="0"/>
    <w:rPr>
      <w:color w:val="000000"/>
    </w:rPr>
  </w:style>
  <w:style w:type="character" w:customStyle="1" w:styleId="304">
    <w:name w:val="active6"/>
    <w:qFormat/>
    <w:uiPriority w:val="0"/>
    <w:rPr>
      <w:color w:val="FFFFFF"/>
    </w:rPr>
  </w:style>
  <w:style w:type="character" w:customStyle="1" w:styleId="305">
    <w:name w:val="hilite5"/>
    <w:qFormat/>
    <w:uiPriority w:val="0"/>
    <w:rPr>
      <w:color w:val="000000"/>
    </w:rPr>
  </w:style>
  <w:style w:type="character" w:customStyle="1" w:styleId="306">
    <w:name w:val="first-child"/>
    <w:qFormat/>
    <w:uiPriority w:val="0"/>
  </w:style>
  <w:style w:type="character" w:customStyle="1" w:styleId="307">
    <w:name w:val="first-child1"/>
    <w:qFormat/>
    <w:uiPriority w:val="0"/>
  </w:style>
  <w:style w:type="paragraph" w:customStyle="1" w:styleId="308">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09">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0">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1">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2">
    <w:name w:val="样式 10 磅"/>
    <w:next w:val="32"/>
    <w:qFormat/>
    <w:uiPriority w:val="0"/>
    <w:pPr>
      <w:jc w:val="both"/>
    </w:pPr>
    <w:rPr>
      <w:rFonts w:ascii="Calibri" w:hAnsi="Calibri" w:eastAsia="宋体" w:cs="宋体"/>
      <w:sz w:val="21"/>
      <w:szCs w:val="21"/>
      <w:lang w:val="en-US" w:eastAsia="zh-CN" w:bidi="ar-SA"/>
    </w:rPr>
  </w:style>
  <w:style w:type="paragraph" w:customStyle="1" w:styleId="313">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4">
    <w:name w:val="0正文"/>
    <w:basedOn w:val="1"/>
    <w:link w:val="315"/>
    <w:qFormat/>
    <w:uiPriority w:val="0"/>
    <w:pPr>
      <w:spacing w:line="360" w:lineRule="auto"/>
      <w:ind w:firstLine="560" w:firstLineChars="200"/>
    </w:pPr>
    <w:rPr>
      <w:rFonts w:ascii="仿宋_GB2312" w:hAnsi="Calibri" w:eastAsia="仿宋_GB2312"/>
      <w:kern w:val="0"/>
      <w:sz w:val="28"/>
      <w:szCs w:val="28"/>
    </w:rPr>
  </w:style>
  <w:style w:type="character" w:customStyle="1" w:styleId="315">
    <w:name w:val="0正文 Char"/>
    <w:link w:val="314"/>
    <w:qFormat/>
    <w:uiPriority w:val="0"/>
    <w:rPr>
      <w:rFonts w:ascii="仿宋_GB2312" w:hAnsi="Calibri" w:eastAsia="仿宋_GB2312" w:cs="Times New Roman"/>
      <w:kern w:val="0"/>
      <w:sz w:val="28"/>
      <w:szCs w:val="28"/>
    </w:rPr>
  </w:style>
  <w:style w:type="paragraph" w:customStyle="1" w:styleId="316">
    <w:name w:val="BodyText1I2"/>
    <w:basedOn w:val="317"/>
    <w:next w:val="318"/>
    <w:qFormat/>
    <w:uiPriority w:val="0"/>
    <w:pPr>
      <w:ind w:firstLine="420" w:firstLineChars="200"/>
    </w:pPr>
  </w:style>
  <w:style w:type="paragraph" w:customStyle="1" w:styleId="317">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18">
    <w:name w:val="BodyText"/>
    <w:basedOn w:val="1"/>
    <w:next w:val="319"/>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19">
    <w:name w:val="BodyText1I"/>
    <w:basedOn w:val="318"/>
    <w:next w:val="1"/>
    <w:qFormat/>
    <w:uiPriority w:val="0"/>
    <w:pPr>
      <w:spacing w:line="259" w:lineRule="auto"/>
      <w:ind w:firstLine="420" w:firstLineChars="100"/>
    </w:pPr>
    <w:rPr>
      <w:rFonts w:ascii="Calibri"/>
      <w:sz w:val="24"/>
    </w:rPr>
  </w:style>
  <w:style w:type="character" w:customStyle="1" w:styleId="320">
    <w:name w:val="标题 3 字符"/>
    <w:qFormat/>
    <w:uiPriority w:val="0"/>
    <w:rPr>
      <w:b/>
      <w:bCs/>
      <w:sz w:val="32"/>
      <w:szCs w:val="32"/>
    </w:rPr>
  </w:style>
  <w:style w:type="character" w:customStyle="1" w:styleId="321">
    <w:name w:val="标题 4 字符"/>
    <w:qFormat/>
    <w:uiPriority w:val="0"/>
    <w:rPr>
      <w:rFonts w:ascii="Cambria" w:hAnsi="Cambria"/>
      <w:b/>
      <w:bCs/>
      <w:sz w:val="28"/>
      <w:szCs w:val="28"/>
    </w:rPr>
  </w:style>
  <w:style w:type="paragraph" w:customStyle="1" w:styleId="322">
    <w:name w:val="_Style 317"/>
    <w:basedOn w:val="1"/>
    <w:next w:val="66"/>
    <w:link w:val="323"/>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3">
    <w:name w:val="列表段落 字符"/>
    <w:link w:val="322"/>
    <w:qFormat/>
    <w:uiPriority w:val="34"/>
    <w:rPr>
      <w:rFonts w:ascii="宋体" w:hAnsi="宋体" w:eastAsia="宋体" w:cs="宋体"/>
      <w:kern w:val="1"/>
      <w:szCs w:val="20"/>
      <w:lang w:eastAsia="en-US" w:bidi="en-US"/>
    </w:rPr>
  </w:style>
  <w:style w:type="character" w:customStyle="1" w:styleId="324">
    <w:name w:val="批注文字 字符"/>
    <w:semiHidden/>
    <w:qFormat/>
    <w:uiPriority w:val="99"/>
  </w:style>
  <w:style w:type="character" w:customStyle="1" w:styleId="325">
    <w:name w:val="正文文本 字符"/>
    <w:qFormat/>
    <w:uiPriority w:val="0"/>
    <w:rPr>
      <w:rFonts w:hint="default" w:ascii="Times New Roman" w:hAnsi="Times New Roman" w:eastAsia="宋体" w:cs="Times New Roman"/>
      <w:kern w:val="1"/>
      <w:sz w:val="21"/>
    </w:rPr>
  </w:style>
  <w:style w:type="character" w:customStyle="1" w:styleId="326">
    <w:name w:val="批注主题 字符"/>
    <w:semiHidden/>
    <w:qFormat/>
    <w:uiPriority w:val="99"/>
    <w:rPr>
      <w:b/>
      <w:bCs/>
    </w:rPr>
  </w:style>
  <w:style w:type="paragraph" w:customStyle="1" w:styleId="327">
    <w:name w:val="修订3"/>
    <w:unhideWhenUsed/>
    <w:qFormat/>
    <w:uiPriority w:val="99"/>
    <w:rPr>
      <w:rFonts w:ascii="Times New Roman" w:hAnsi="Times New Roman" w:eastAsia="宋体" w:cs="Times New Roman"/>
      <w:kern w:val="1"/>
      <w:sz w:val="21"/>
      <w:lang w:val="en-US" w:eastAsia="zh-CN" w:bidi="ar-SA"/>
    </w:rPr>
  </w:style>
  <w:style w:type="paragraph" w:customStyle="1" w:styleId="3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9">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0">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3">
    <w:name w:val="00报告表格头"/>
    <w:basedOn w:val="1"/>
    <w:qFormat/>
    <w:uiPriority w:val="0"/>
    <w:pPr>
      <w:spacing w:line="300" w:lineRule="auto"/>
      <w:jc w:val="center"/>
    </w:pPr>
    <w:rPr>
      <w:rFonts w:ascii="宋体" w:hAnsi="宋体"/>
      <w:b/>
      <w:sz w:val="18"/>
      <w:szCs w:val="18"/>
    </w:rPr>
  </w:style>
  <w:style w:type="paragraph" w:customStyle="1" w:styleId="334">
    <w:name w:val="00报告表格"/>
    <w:basedOn w:val="1"/>
    <w:qFormat/>
    <w:uiPriority w:val="0"/>
    <w:pPr>
      <w:spacing w:line="300" w:lineRule="auto"/>
      <w:jc w:val="center"/>
    </w:pPr>
    <w:rPr>
      <w:rFonts w:ascii="宋体" w:hAnsi="宋体"/>
      <w:sz w:val="18"/>
      <w:szCs w:val="18"/>
    </w:rPr>
  </w:style>
  <w:style w:type="paragraph" w:customStyle="1" w:styleId="335">
    <w:name w:val="编号3"/>
    <w:basedOn w:val="1"/>
    <w:link w:val="336"/>
    <w:qFormat/>
    <w:uiPriority w:val="0"/>
    <w:pPr>
      <w:numPr>
        <w:ilvl w:val="0"/>
        <w:numId w:val="4"/>
      </w:numPr>
      <w:adjustRightInd w:val="0"/>
      <w:spacing w:line="360" w:lineRule="auto"/>
      <w:jc w:val="left"/>
    </w:pPr>
    <w:rPr>
      <w:rFonts w:ascii="Calibri" w:hAnsi="Calibri"/>
      <w:sz w:val="24"/>
      <w:szCs w:val="24"/>
    </w:rPr>
  </w:style>
  <w:style w:type="character" w:customStyle="1" w:styleId="336">
    <w:name w:val="编号3 Char"/>
    <w:link w:val="335"/>
    <w:qFormat/>
    <w:uiPriority w:val="0"/>
    <w:rPr>
      <w:rFonts w:ascii="Calibri" w:hAnsi="Calibri" w:eastAsia="宋体" w:cs="Times New Roman"/>
      <w:sz w:val="24"/>
      <w:szCs w:val="24"/>
    </w:rPr>
  </w:style>
  <w:style w:type="paragraph" w:customStyle="1" w:styleId="337">
    <w:name w:val="_Style 6"/>
    <w:basedOn w:val="1"/>
    <w:qFormat/>
    <w:uiPriority w:val="0"/>
    <w:pPr>
      <w:tabs>
        <w:tab w:val="left" w:pos="360"/>
      </w:tabs>
    </w:pPr>
    <w:rPr>
      <w:rFonts w:ascii="Calibri" w:hAnsi="Calibri"/>
      <w:szCs w:val="24"/>
    </w:rPr>
  </w:style>
  <w:style w:type="paragraph" w:customStyle="1" w:styleId="338">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62</Pages>
  <Words>3606</Words>
  <Characters>4300</Characters>
  <Lines>187</Lines>
  <Paragraphs>52</Paragraphs>
  <TotalTime>4</TotalTime>
  <ScaleCrop>false</ScaleCrop>
  <LinksUpToDate>false</LinksUpToDate>
  <CharactersWithSpaces>4355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未定义</cp:lastModifiedBy>
  <dcterms:modified xsi:type="dcterms:W3CDTF">2025-11-11T01:05:07Z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eyJoZGlkIjoiNjFmZWE5YmVlNWNkYzViZjMxNzk2ZWQxZGY2YjM2MTkifQ==</vt:lpwstr>
  </property>
  <property fmtid="{D5CDD505-2E9C-101B-9397-08002B2CF9AE}" pid="3" name="KSOProductBuildVer">
    <vt:lpwstr>2052-12.1.0.23542</vt:lpwstr>
  </property>
  <property fmtid="{D5CDD505-2E9C-101B-9397-08002B2CF9AE}" pid="4" name="ICV">
    <vt:lpwstr>AB88ED0EDE2148D09D1C2D0B43AEB411_13</vt:lpwstr>
  </property>
</Properties>
</file>