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0944AE">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bookmarkStart w:id="0" w:name="_GoBack"/>
      <w:bookmarkEnd w:id="0"/>
      <w:r>
        <w:rPr>
          <w:rFonts w:hint="eastAsia" w:ascii="仿宋" w:hAnsi="仿宋" w:eastAsia="仿宋" w:cs="仿宋"/>
          <w:sz w:val="32"/>
          <w:szCs w:val="32"/>
        </w:rPr>
        <w:t xml:space="preserve">1. 包1 </w:t>
      </w:r>
    </w:p>
    <w:p w14:paraId="7F1D6DDE">
      <w:pPr>
        <w:ind w:firstLine="653"/>
        <w:rPr>
          <w:rFonts w:hint="eastAsia" w:ascii="仿宋" w:hAnsi="仿宋" w:eastAsia="仿宋"/>
          <w:b/>
          <w:bCs/>
          <w:sz w:val="32"/>
          <w:szCs w:val="32"/>
        </w:rPr>
      </w:pPr>
      <w:r>
        <w:rPr>
          <w:rFonts w:hint="eastAsia" w:ascii="仿宋" w:hAnsi="仿宋" w:eastAsia="仿宋"/>
          <w:b/>
          <w:bCs/>
          <w:sz w:val="32"/>
          <w:szCs w:val="32"/>
        </w:rPr>
        <w:t>（1）技术要求</w:t>
      </w:r>
    </w:p>
    <w:p w14:paraId="3ABEDC4C">
      <w:pPr>
        <w:pStyle w:val="46"/>
        <w:ind w:firstLine="560"/>
        <w:rPr>
          <w:rFonts w:hint="eastAsia" w:ascii="仿宋" w:hAnsi="仿宋" w:eastAsia="仿宋" w:cs="仿宋"/>
          <w:b w:val="0"/>
          <w:bCs w:val="0"/>
          <w:kern w:val="2"/>
          <w:sz w:val="32"/>
          <w:szCs w:val="32"/>
          <w:highlight w:val="none"/>
          <w:lang w:val="en-US" w:eastAsia="zh-CN" w:bidi="ar-SA"/>
        </w:rPr>
      </w:pPr>
      <w:r>
        <w:rPr>
          <w:rFonts w:hint="eastAsia"/>
          <w:sz w:val="32"/>
          <w:szCs w:val="32"/>
          <w:highlight w:val="none"/>
        </w:rPr>
        <w:t>★</w:t>
      </w:r>
      <w:r>
        <w:rPr>
          <w:rFonts w:hint="eastAsia" w:ascii="仿宋" w:hAnsi="仿宋" w:eastAsia="仿宋" w:cs="仿宋"/>
          <w:b w:val="0"/>
          <w:bCs w:val="0"/>
          <w:kern w:val="2"/>
          <w:sz w:val="32"/>
          <w:szCs w:val="32"/>
          <w:highlight w:val="none"/>
          <w:lang w:val="en-US" w:eastAsia="zh-CN" w:bidi="ar-SA"/>
        </w:rPr>
        <w:t>（一）投标人须承诺所投产品技术参数具有真实性，不存在虚假应标。中标后采购人有权要求中标人5个工作日内完成对技术参数中的功能进行演示。（提供承诺书并加盖公章，承诺书格式自拟）</w:t>
      </w:r>
    </w:p>
    <w:p w14:paraId="728AB90F">
      <w:pPr>
        <w:keepNext w:val="0"/>
        <w:keepLines w:val="0"/>
        <w:pageBreakBefore w:val="0"/>
        <w:widowControl w:val="0"/>
        <w:tabs>
          <w:tab w:val="left" w:pos="2940"/>
        </w:tabs>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（二）采购清单</w:t>
      </w:r>
    </w:p>
    <w:tbl>
      <w:tblPr>
        <w:tblStyle w:val="13"/>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0" w:type="dxa"/>
          <w:bottom w:w="0" w:type="dxa"/>
          <w:right w:w="0" w:type="dxa"/>
        </w:tblCellMar>
      </w:tblPr>
      <w:tblGrid>
        <w:gridCol w:w="490"/>
        <w:gridCol w:w="1003"/>
        <w:gridCol w:w="4111"/>
        <w:gridCol w:w="511"/>
        <w:gridCol w:w="918"/>
        <w:gridCol w:w="918"/>
        <w:gridCol w:w="918"/>
      </w:tblGrid>
      <w:tr w14:paraId="0D433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46958B31">
            <w:pPr>
              <w:pageBreakBefore w:val="0"/>
              <w:widowControl/>
              <w:kinsoku/>
              <w:overflowPunct/>
              <w:topLinePunct w:val="0"/>
              <w:bidi w:val="0"/>
              <w:snapToGrid/>
              <w:spacing w:line="360" w:lineRule="auto"/>
              <w:jc w:val="center"/>
              <w:textAlignment w:val="center"/>
              <w:rPr>
                <w:rFonts w:hint="eastAsia" w:ascii="仿宋" w:hAnsi="仿宋" w:eastAsia="仿宋" w:cs="仿宋"/>
                <w:b/>
                <w:color w:val="auto"/>
                <w:sz w:val="24"/>
                <w:szCs w:val="24"/>
                <w:highlight w:val="none"/>
              </w:rPr>
            </w:pPr>
            <w:r>
              <w:rPr>
                <w:rFonts w:hint="eastAsia" w:ascii="仿宋" w:hAnsi="仿宋" w:eastAsia="仿宋" w:cs="仿宋"/>
                <w:b/>
                <w:color w:val="auto"/>
                <w:kern w:val="0"/>
                <w:sz w:val="24"/>
                <w:szCs w:val="24"/>
                <w:highlight w:val="none"/>
                <w:lang w:bidi="ar"/>
              </w:rPr>
              <w:t>序号</w:t>
            </w:r>
          </w:p>
        </w:tc>
        <w:tc>
          <w:tcPr>
            <w:tcW w:w="565" w:type="pct"/>
            <w:shd w:val="clear" w:color="auto" w:fill="FFFFFF"/>
            <w:noWrap w:val="0"/>
            <w:tcMar>
              <w:top w:w="15" w:type="dxa"/>
              <w:left w:w="15" w:type="dxa"/>
              <w:right w:w="15" w:type="dxa"/>
            </w:tcMar>
            <w:vAlign w:val="center"/>
          </w:tcPr>
          <w:p w14:paraId="257CB47E">
            <w:pPr>
              <w:pageBreakBefore w:val="0"/>
              <w:widowControl/>
              <w:kinsoku/>
              <w:overflowPunct/>
              <w:topLinePunct w:val="0"/>
              <w:bidi w:val="0"/>
              <w:snapToGrid/>
              <w:spacing w:line="360" w:lineRule="auto"/>
              <w:jc w:val="center"/>
              <w:textAlignment w:val="center"/>
              <w:rPr>
                <w:rFonts w:hint="eastAsia" w:ascii="仿宋" w:hAnsi="仿宋" w:eastAsia="仿宋" w:cs="仿宋"/>
                <w:b/>
                <w:color w:val="auto"/>
                <w:sz w:val="24"/>
                <w:szCs w:val="24"/>
                <w:highlight w:val="none"/>
              </w:rPr>
            </w:pPr>
            <w:r>
              <w:rPr>
                <w:rFonts w:hint="eastAsia" w:ascii="仿宋" w:hAnsi="仿宋" w:eastAsia="仿宋" w:cs="仿宋"/>
                <w:b/>
                <w:color w:val="auto"/>
                <w:kern w:val="0"/>
                <w:sz w:val="24"/>
                <w:szCs w:val="24"/>
                <w:highlight w:val="none"/>
                <w:lang w:bidi="ar"/>
              </w:rPr>
              <w:t>产品名称</w:t>
            </w:r>
          </w:p>
        </w:tc>
        <w:tc>
          <w:tcPr>
            <w:tcW w:w="2316" w:type="pct"/>
            <w:shd w:val="clear" w:color="auto" w:fill="FFFFFF"/>
            <w:noWrap w:val="0"/>
            <w:tcMar>
              <w:top w:w="15" w:type="dxa"/>
              <w:left w:w="15" w:type="dxa"/>
              <w:right w:w="15" w:type="dxa"/>
            </w:tcMar>
            <w:vAlign w:val="center"/>
          </w:tcPr>
          <w:p w14:paraId="5E0C35D4">
            <w:pPr>
              <w:pageBreakBefore w:val="0"/>
              <w:widowControl/>
              <w:kinsoku/>
              <w:overflowPunct/>
              <w:topLinePunct w:val="0"/>
              <w:bidi w:val="0"/>
              <w:snapToGrid/>
              <w:spacing w:line="360" w:lineRule="auto"/>
              <w:jc w:val="center"/>
              <w:textAlignment w:val="center"/>
              <w:rPr>
                <w:rFonts w:hint="eastAsia" w:ascii="仿宋" w:hAnsi="仿宋" w:eastAsia="仿宋" w:cs="仿宋"/>
                <w:b/>
                <w:color w:val="auto"/>
                <w:sz w:val="24"/>
                <w:szCs w:val="24"/>
                <w:highlight w:val="none"/>
              </w:rPr>
            </w:pPr>
            <w:r>
              <w:rPr>
                <w:rFonts w:hint="eastAsia" w:ascii="仿宋" w:hAnsi="仿宋" w:eastAsia="仿宋" w:cs="仿宋"/>
                <w:b/>
                <w:color w:val="auto"/>
                <w:kern w:val="0"/>
                <w:sz w:val="24"/>
                <w:szCs w:val="24"/>
                <w:highlight w:val="none"/>
                <w:lang w:bidi="ar"/>
              </w:rPr>
              <w:t>产品参数</w:t>
            </w:r>
          </w:p>
        </w:tc>
        <w:tc>
          <w:tcPr>
            <w:tcW w:w="288" w:type="pct"/>
            <w:shd w:val="clear" w:color="auto" w:fill="FFFFFF"/>
            <w:noWrap w:val="0"/>
            <w:tcMar>
              <w:top w:w="15" w:type="dxa"/>
              <w:left w:w="15" w:type="dxa"/>
              <w:right w:w="15" w:type="dxa"/>
            </w:tcMar>
            <w:vAlign w:val="center"/>
          </w:tcPr>
          <w:p w14:paraId="2ACEA4D7">
            <w:pPr>
              <w:pageBreakBefore w:val="0"/>
              <w:widowControl/>
              <w:kinsoku/>
              <w:overflowPunct/>
              <w:topLinePunct w:val="0"/>
              <w:bidi w:val="0"/>
              <w:snapToGrid/>
              <w:spacing w:line="360" w:lineRule="auto"/>
              <w:jc w:val="center"/>
              <w:textAlignment w:val="center"/>
              <w:rPr>
                <w:rFonts w:hint="eastAsia" w:ascii="仿宋" w:hAnsi="仿宋" w:eastAsia="仿宋" w:cs="仿宋"/>
                <w:b/>
                <w:color w:val="auto"/>
                <w:sz w:val="24"/>
                <w:szCs w:val="24"/>
                <w:highlight w:val="red"/>
              </w:rPr>
            </w:pPr>
            <w:r>
              <w:rPr>
                <w:rFonts w:hint="eastAsia" w:ascii="仿宋" w:hAnsi="仿宋" w:eastAsia="仿宋" w:cs="仿宋"/>
                <w:b/>
                <w:color w:val="auto"/>
                <w:kern w:val="0"/>
                <w:sz w:val="24"/>
                <w:szCs w:val="24"/>
                <w:highlight w:val="none"/>
                <w:lang w:bidi="ar"/>
              </w:rPr>
              <w:t>数量</w:t>
            </w:r>
          </w:p>
        </w:tc>
        <w:tc>
          <w:tcPr>
            <w:tcW w:w="517" w:type="pct"/>
            <w:shd w:val="clear" w:color="auto" w:fill="FFFFFF"/>
            <w:noWrap w:val="0"/>
            <w:tcMar>
              <w:top w:w="15" w:type="dxa"/>
              <w:left w:w="15" w:type="dxa"/>
              <w:right w:w="15" w:type="dxa"/>
            </w:tcMar>
            <w:vAlign w:val="center"/>
          </w:tcPr>
          <w:p w14:paraId="068A458A">
            <w:pPr>
              <w:pageBreakBefore w:val="0"/>
              <w:widowControl/>
              <w:kinsoku/>
              <w:overflowPunct/>
              <w:topLinePunct w:val="0"/>
              <w:bidi w:val="0"/>
              <w:snapToGrid/>
              <w:spacing w:line="360" w:lineRule="auto"/>
              <w:jc w:val="center"/>
              <w:textAlignment w:val="center"/>
              <w:rPr>
                <w:rFonts w:hint="eastAsia" w:ascii="仿宋" w:hAnsi="仿宋" w:eastAsia="仿宋" w:cs="仿宋"/>
                <w:b/>
                <w:color w:val="auto"/>
                <w:sz w:val="24"/>
                <w:szCs w:val="24"/>
                <w:highlight w:val="none"/>
              </w:rPr>
            </w:pPr>
            <w:r>
              <w:rPr>
                <w:rFonts w:hint="eastAsia" w:ascii="仿宋" w:hAnsi="仿宋" w:eastAsia="仿宋" w:cs="仿宋"/>
                <w:b/>
                <w:color w:val="auto"/>
                <w:kern w:val="0"/>
                <w:sz w:val="24"/>
                <w:szCs w:val="24"/>
                <w:highlight w:val="none"/>
                <w:lang w:bidi="ar"/>
              </w:rPr>
              <w:t>单位</w:t>
            </w:r>
          </w:p>
        </w:tc>
        <w:tc>
          <w:tcPr>
            <w:tcW w:w="517" w:type="pct"/>
            <w:shd w:val="clear" w:color="auto" w:fill="FFFFFF"/>
            <w:noWrap w:val="0"/>
            <w:tcMar>
              <w:top w:w="15" w:type="dxa"/>
              <w:left w:w="15" w:type="dxa"/>
              <w:right w:w="15" w:type="dxa"/>
            </w:tcMar>
            <w:vAlign w:val="center"/>
          </w:tcPr>
          <w:p w14:paraId="4C174B4B">
            <w:pPr>
              <w:pageBreakBefore w:val="0"/>
              <w:widowControl/>
              <w:kinsoku/>
              <w:overflowPunct/>
              <w:topLinePunct w:val="0"/>
              <w:bidi w:val="0"/>
              <w:snapToGrid/>
              <w:spacing w:line="360" w:lineRule="auto"/>
              <w:jc w:val="center"/>
              <w:textAlignment w:val="center"/>
              <w:rPr>
                <w:rFonts w:hint="eastAsia" w:ascii="仿宋" w:hAnsi="仿宋" w:eastAsia="仿宋" w:cs="仿宋"/>
                <w:b/>
                <w:color w:val="auto"/>
                <w:kern w:val="0"/>
                <w:sz w:val="24"/>
                <w:szCs w:val="24"/>
                <w:highlight w:val="none"/>
                <w:lang w:val="en-US" w:eastAsia="zh-CN" w:bidi="ar"/>
              </w:rPr>
            </w:pPr>
            <w:r>
              <w:rPr>
                <w:rFonts w:hint="eastAsia" w:ascii="仿宋" w:hAnsi="仿宋" w:eastAsia="仿宋" w:cs="仿宋"/>
                <w:b/>
                <w:color w:val="auto"/>
                <w:kern w:val="0"/>
                <w:sz w:val="24"/>
                <w:szCs w:val="24"/>
                <w:highlight w:val="none"/>
                <w:lang w:val="en-US" w:eastAsia="zh-CN" w:bidi="ar"/>
              </w:rPr>
              <w:t>是否属于现行节能产品政府采购清单强制采购范围</w:t>
            </w:r>
          </w:p>
        </w:tc>
        <w:tc>
          <w:tcPr>
            <w:tcW w:w="517" w:type="pct"/>
            <w:shd w:val="clear" w:color="auto" w:fill="FFFFFF"/>
            <w:noWrap w:val="0"/>
            <w:tcMar>
              <w:top w:w="15" w:type="dxa"/>
              <w:left w:w="15" w:type="dxa"/>
              <w:right w:w="15" w:type="dxa"/>
            </w:tcMar>
            <w:vAlign w:val="center"/>
          </w:tcPr>
          <w:p w14:paraId="0469B020">
            <w:pPr>
              <w:pageBreakBefore w:val="0"/>
              <w:widowControl/>
              <w:kinsoku/>
              <w:overflowPunct/>
              <w:topLinePunct w:val="0"/>
              <w:bidi w:val="0"/>
              <w:snapToGrid/>
              <w:spacing w:line="360" w:lineRule="auto"/>
              <w:jc w:val="center"/>
              <w:textAlignment w:val="center"/>
              <w:rPr>
                <w:rFonts w:hint="eastAsia" w:ascii="仿宋" w:hAnsi="仿宋" w:eastAsia="仿宋" w:cs="仿宋"/>
                <w:b/>
                <w:color w:val="auto"/>
                <w:kern w:val="0"/>
                <w:sz w:val="24"/>
                <w:szCs w:val="24"/>
                <w:highlight w:val="none"/>
                <w:lang w:val="en-US" w:eastAsia="zh-CN" w:bidi="ar"/>
              </w:rPr>
            </w:pPr>
            <w:r>
              <w:rPr>
                <w:rFonts w:hint="eastAsia" w:ascii="仿宋" w:hAnsi="仿宋" w:eastAsia="仿宋" w:cs="仿宋"/>
                <w:b/>
                <w:color w:val="auto"/>
                <w:kern w:val="0"/>
                <w:sz w:val="24"/>
                <w:szCs w:val="24"/>
                <w:highlight w:val="none"/>
                <w:lang w:val="en-US" w:eastAsia="zh-CN" w:bidi="ar"/>
              </w:rPr>
              <w:t>是否属于集采目录内产品</w:t>
            </w:r>
          </w:p>
        </w:tc>
      </w:tr>
      <w:tr w14:paraId="01E61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7AB6A3BC">
            <w:pPr>
              <w:pageBreakBefore w:val="0"/>
              <w:widowControl/>
              <w:kinsoku/>
              <w:overflowPunct/>
              <w:topLinePunct w:val="0"/>
              <w:bidi w:val="0"/>
              <w:snapToGrid/>
              <w:spacing w:line="360" w:lineRule="auto"/>
              <w:jc w:val="center"/>
              <w:textAlignment w:val="center"/>
              <w:rPr>
                <w:rFonts w:hint="eastAsia"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1</w:t>
            </w:r>
          </w:p>
        </w:tc>
        <w:tc>
          <w:tcPr>
            <w:tcW w:w="565" w:type="pct"/>
            <w:shd w:val="clear" w:color="auto" w:fill="auto"/>
            <w:noWrap w:val="0"/>
            <w:tcMar>
              <w:top w:w="15" w:type="dxa"/>
              <w:left w:w="15" w:type="dxa"/>
              <w:right w:w="15" w:type="dxa"/>
            </w:tcMar>
            <w:vAlign w:val="center"/>
          </w:tcPr>
          <w:p w14:paraId="30A289FF">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▲智能融合信息终端</w:t>
            </w:r>
          </w:p>
        </w:tc>
        <w:tc>
          <w:tcPr>
            <w:tcW w:w="2316" w:type="pct"/>
            <w:shd w:val="clear" w:color="auto" w:fill="FFFFFF"/>
            <w:noWrap w:val="0"/>
            <w:tcMar>
              <w:top w:w="15" w:type="dxa"/>
              <w:left w:w="15" w:type="dxa"/>
              <w:right w:w="15" w:type="dxa"/>
            </w:tcMar>
            <w:vAlign w:val="bottom"/>
          </w:tcPr>
          <w:p w14:paraId="325E365D">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lang w:val="en-US" w:eastAsia="zh-CN"/>
              </w:rPr>
              <w:t>1、</w:t>
            </w:r>
            <w:r>
              <w:rPr>
                <w:rFonts w:hint="eastAsia" w:ascii="仿宋" w:hAnsi="仿宋" w:eastAsia="仿宋" w:cs="仿宋"/>
                <w:color w:val="auto"/>
                <w:sz w:val="24"/>
                <w:szCs w:val="32"/>
                <w:highlight w:val="none"/>
              </w:rPr>
              <w:t>★标准1U机架式设计，集成千兆交换机功能，具备≥4个网口；集成≥2路、单路功率≥80W数字功放；失真度（THD）&lt;0.1%，信噪比（SNR）&gt;110dB，使用状态下整机底噪≤1mVrms。</w:t>
            </w:r>
            <w:r>
              <w:rPr>
                <w:rFonts w:hint="eastAsia" w:ascii="仿宋" w:hAnsi="仿宋" w:eastAsia="仿宋" w:cs="仿宋"/>
                <w:color w:val="auto"/>
                <w:sz w:val="24"/>
                <w:szCs w:val="32"/>
                <w:highlight w:val="none"/>
                <w:lang w:eastAsia="zh-CN"/>
              </w:rPr>
              <w:t>（</w:t>
            </w:r>
            <w:r>
              <w:rPr>
                <w:rFonts w:hint="eastAsia" w:ascii="仿宋" w:hAnsi="仿宋" w:eastAsia="仿宋" w:cs="仿宋"/>
                <w:color w:val="auto"/>
                <w:sz w:val="24"/>
                <w:szCs w:val="32"/>
                <w:highlight w:val="none"/>
                <w:lang w:val="en-US" w:eastAsia="zh-CN"/>
              </w:rPr>
              <w:t>须提供第三方出具的具有CMA标识的检测/检验/试验/测试报告复印件并加盖公章或CNAS标识的检测/检验/试验/测试报告复印件并加盖公章）</w:t>
            </w:r>
          </w:p>
          <w:p w14:paraId="09564044">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lang w:val="en-US" w:eastAsia="zh-CN"/>
              </w:rPr>
              <w:t>2、</w:t>
            </w:r>
            <w:r>
              <w:rPr>
                <w:rFonts w:hint="eastAsia" w:ascii="仿宋" w:hAnsi="仿宋" w:eastAsia="仿宋" w:cs="仿宋"/>
                <w:color w:val="auto"/>
                <w:sz w:val="24"/>
                <w:szCs w:val="32"/>
                <w:highlight w:val="none"/>
              </w:rPr>
              <w:t>★具备音频硬解码能力，音频广播至少支持1-100个任务优先级的配置。具备DSP处理能力，支持远距离拾音、AFC自动反馈控制、AGC音量增益自动控制、 0~24db增益调制，具备≥6段EQ调制。</w:t>
            </w:r>
            <w:r>
              <w:rPr>
                <w:rFonts w:hint="eastAsia" w:ascii="仿宋" w:hAnsi="仿宋" w:eastAsia="仿宋" w:cs="仿宋"/>
                <w:color w:val="auto"/>
                <w:sz w:val="24"/>
                <w:szCs w:val="32"/>
                <w:highlight w:val="none"/>
                <w:lang w:eastAsia="zh-CN"/>
              </w:rPr>
              <w:t>（</w:t>
            </w:r>
            <w:r>
              <w:rPr>
                <w:rFonts w:hint="eastAsia" w:ascii="仿宋" w:hAnsi="仿宋" w:eastAsia="仿宋" w:cs="仿宋"/>
                <w:color w:val="auto"/>
                <w:sz w:val="24"/>
                <w:szCs w:val="32"/>
                <w:highlight w:val="none"/>
                <w:lang w:val="en-US" w:eastAsia="zh-CN"/>
              </w:rPr>
              <w:t>须提供第三方出具的具有CMA标识的检测/检验/试验/测试报告复印件并加盖公章或CNAS标识的检测/检验/试验/测试报告复印件并加盖公章）</w:t>
            </w:r>
          </w:p>
          <w:p w14:paraId="57D61470">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lang w:eastAsia="zh-CN"/>
              </w:rPr>
            </w:pPr>
            <w:r>
              <w:rPr>
                <w:rFonts w:hint="eastAsia" w:ascii="仿宋" w:hAnsi="仿宋" w:eastAsia="仿宋" w:cs="仿宋"/>
                <w:color w:val="auto"/>
                <w:sz w:val="24"/>
                <w:szCs w:val="32"/>
                <w:highlight w:val="none"/>
              </w:rPr>
              <w:t>3、★集成HDMI4*4全交叉无缝矩阵，具备≥4路HDMI高清输入接口，具备≥6路HDMI高清输出接口，输入和输出接口均支持4K高清分辨率；支持≥6路大屏/投影机视频信号同屏显示或≥4路大屏/投影机视频信号异屏显示，支持输出画面冻结功能。</w:t>
            </w:r>
            <w:r>
              <w:rPr>
                <w:rFonts w:hint="eastAsia" w:ascii="仿宋" w:hAnsi="仿宋" w:eastAsia="仿宋" w:cs="仿宋"/>
                <w:color w:val="auto"/>
                <w:sz w:val="24"/>
                <w:szCs w:val="32"/>
                <w:highlight w:val="none"/>
                <w:lang w:eastAsia="zh-CN"/>
              </w:rPr>
              <w:t>（</w:t>
            </w:r>
            <w:r>
              <w:rPr>
                <w:rFonts w:hint="eastAsia" w:ascii="仿宋" w:hAnsi="仿宋" w:eastAsia="仿宋" w:cs="仿宋"/>
                <w:color w:val="auto"/>
                <w:sz w:val="24"/>
                <w:szCs w:val="32"/>
                <w:highlight w:val="none"/>
                <w:lang w:val="en-US" w:eastAsia="zh-CN"/>
              </w:rPr>
              <w:t>须提供第三方出具的具有CMA标识的检测/检验/试验/测试报告复印件并加盖公章或CNAS标识的检测/检验/试验/测试报告复印件并加盖公章）</w:t>
            </w:r>
          </w:p>
          <w:p w14:paraId="03984870">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lang w:eastAsia="zh-CN"/>
              </w:rPr>
            </w:pPr>
            <w:r>
              <w:rPr>
                <w:rFonts w:hint="eastAsia" w:ascii="仿宋" w:hAnsi="仿宋" w:eastAsia="仿宋" w:cs="仿宋"/>
                <w:color w:val="auto"/>
                <w:sz w:val="24"/>
                <w:szCs w:val="32"/>
                <w:highlight w:val="none"/>
              </w:rPr>
              <w:t>4、★具备≥1路RS485通信端口；具备≥4路RS232通信端口；具备≥1路干接点接口。集成≥1路USB通信端口，≥1路输入≥4路输出USB KVM切换功能。</w:t>
            </w:r>
            <w:r>
              <w:rPr>
                <w:rFonts w:hint="eastAsia" w:ascii="仿宋" w:hAnsi="仿宋" w:eastAsia="仿宋" w:cs="仿宋"/>
                <w:color w:val="auto"/>
                <w:sz w:val="24"/>
                <w:szCs w:val="32"/>
                <w:highlight w:val="none"/>
                <w:lang w:eastAsia="zh-CN"/>
              </w:rPr>
              <w:t>（</w:t>
            </w:r>
            <w:r>
              <w:rPr>
                <w:rFonts w:hint="eastAsia" w:ascii="仿宋" w:hAnsi="仿宋" w:eastAsia="仿宋" w:cs="仿宋"/>
                <w:color w:val="auto"/>
                <w:sz w:val="24"/>
                <w:szCs w:val="32"/>
                <w:highlight w:val="none"/>
                <w:lang w:val="en-US" w:eastAsia="zh-CN"/>
              </w:rPr>
              <w:t>须提供第三方出具的具有CMA标识的检测/检验/试验/测试报告复印件并加盖公章或CNAS标识的检测/检验/试验/测试报告复印件并加盖公章）</w:t>
            </w:r>
          </w:p>
          <w:p w14:paraId="298029B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5、●支持视频广播功能，支持智能终端在待机状态下远程接受预设的高清流媒体内容或在线电视节目进行自动播放，自动开启和关闭显示设备，实现智能自动播放的功能。</w:t>
            </w:r>
          </w:p>
          <w:p w14:paraId="4807D43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6、●支持标准数据接口，支持与学校音频广播系统数据交换传输</w:t>
            </w:r>
            <w:r>
              <w:rPr>
                <w:rFonts w:hint="eastAsia" w:ascii="仿宋" w:hAnsi="仿宋" w:eastAsia="仿宋" w:cs="仿宋"/>
                <w:color w:val="auto"/>
                <w:sz w:val="24"/>
                <w:szCs w:val="32"/>
                <w:highlight w:val="none"/>
                <w:lang w:eastAsia="zh-CN"/>
              </w:rPr>
              <w:t>，</w:t>
            </w:r>
            <w:r>
              <w:rPr>
                <w:rFonts w:hint="eastAsia" w:ascii="仿宋" w:hAnsi="仿宋" w:eastAsia="仿宋" w:cs="仿宋"/>
                <w:color w:val="auto"/>
                <w:sz w:val="24"/>
                <w:szCs w:val="32"/>
                <w:highlight w:val="none"/>
              </w:rPr>
              <w:t>支持四六级听力考试、铃声、喊话、应急</w:t>
            </w:r>
            <w:r>
              <w:rPr>
                <w:rFonts w:hint="eastAsia" w:ascii="仿宋" w:hAnsi="仿宋" w:eastAsia="仿宋" w:cs="仿宋"/>
                <w:color w:val="auto"/>
                <w:sz w:val="24"/>
                <w:szCs w:val="32"/>
                <w:highlight w:val="none"/>
                <w:lang w:val="en-US" w:eastAsia="zh-CN"/>
              </w:rPr>
              <w:t>广</w:t>
            </w:r>
            <w:r>
              <w:rPr>
                <w:rFonts w:hint="eastAsia" w:ascii="仿宋" w:hAnsi="仿宋" w:eastAsia="仿宋" w:cs="仿宋"/>
                <w:color w:val="auto"/>
                <w:sz w:val="24"/>
                <w:szCs w:val="32"/>
                <w:highlight w:val="none"/>
              </w:rPr>
              <w:t>播等需求。</w:t>
            </w:r>
          </w:p>
          <w:p w14:paraId="1D07ABCF">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7、●具备≥2路3.5mm音频线性输入接口，≥1路3.5mm无线麦克风音频输入接口，具备≥3路3.5mm音频线性输出。具备≥1路12V/2A输出接口。</w:t>
            </w:r>
          </w:p>
          <w:p w14:paraId="6A4F3C90">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8、●具备网络中控功能，支持对电教设备的远程控制。集成物联网关功能，支持能耗数据上报。支持 MQTT协议，支持扩展最大30路无线物联模块，可远程对终端设备及物联模块进行手动、定时、集控管理。</w:t>
            </w:r>
          </w:p>
          <w:p w14:paraId="52C04592">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9、●支持web配置界面，支持本地系统参数、面板参数、IO接口参数、网络参数、串口参数、显示设备参数、音视频矩阵参数等配置。支持开关机场景及自定义场景配置。</w:t>
            </w:r>
          </w:p>
          <w:p w14:paraId="37638248">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lang w:eastAsia="zh-CN"/>
              </w:rPr>
            </w:pPr>
            <w:r>
              <w:rPr>
                <w:rFonts w:hint="eastAsia" w:ascii="仿宋" w:hAnsi="仿宋" w:eastAsia="仿宋" w:cs="仿宋"/>
                <w:color w:val="auto"/>
                <w:sz w:val="24"/>
                <w:szCs w:val="32"/>
                <w:highlight w:val="none"/>
              </w:rPr>
              <w:t>10、●具有≥6路PDU模块，PDU支持80-260V宽电压输入，支持≥1路RS485串行通信端口控制，单路额定电流≥8A，总额定电流≥15A;设备输出负载功率≥3300W，支持通过IP网络对本设备进行独立管理和控制，具有≥2路GPIO接口用于外部设备状态输入检测，支持I0输入查询、能耗实时检测统计及数据上报;支持通过标准Modbus协议对所有连接的电源设备进行管理和控制。</w:t>
            </w:r>
          </w:p>
          <w:p w14:paraId="471E711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lang w:val="en-US" w:eastAsia="zh-CN"/>
              </w:rPr>
              <w:t>11、</w:t>
            </w:r>
            <w:r>
              <w:rPr>
                <w:rFonts w:hint="eastAsia" w:ascii="仿宋" w:hAnsi="仿宋" w:eastAsia="仿宋" w:cs="仿宋"/>
                <w:color w:val="auto"/>
                <w:sz w:val="24"/>
                <w:szCs w:val="32"/>
                <w:highlight w:val="none"/>
              </w:rPr>
              <w:t>●通过配套触控面板可完成一键开关机设备音量调节。支持IC卡刷卡或插卡、扫码、IP 对讲等功能，支持离线状态下启用面板开机功能，支持</w:t>
            </w:r>
            <w:r>
              <w:rPr>
                <w:rFonts w:hint="eastAsia" w:ascii="仿宋" w:hAnsi="仿宋" w:eastAsia="仿宋" w:cs="仿宋"/>
                <w:color w:val="auto"/>
                <w:sz w:val="24"/>
                <w:szCs w:val="32"/>
                <w:highlight w:val="none"/>
                <w:lang w:val="en-US" w:eastAsia="zh-CN"/>
              </w:rPr>
              <w:t>联动</w:t>
            </w:r>
            <w:r>
              <w:rPr>
                <w:rFonts w:hint="eastAsia" w:ascii="仿宋" w:hAnsi="仿宋" w:eastAsia="仿宋" w:cs="仿宋"/>
                <w:color w:val="auto"/>
                <w:sz w:val="24"/>
                <w:szCs w:val="32"/>
                <w:highlight w:val="none"/>
              </w:rPr>
              <w:t>无线麦克风接入及扩声。支持设备故障报修功能，待机状态下可显示设备联机网络信息、终端</w:t>
            </w:r>
            <w:r>
              <w:rPr>
                <w:rFonts w:hint="eastAsia" w:ascii="仿宋" w:hAnsi="仿宋" w:eastAsia="仿宋" w:cs="仿宋"/>
                <w:color w:val="auto"/>
                <w:sz w:val="24"/>
                <w:szCs w:val="32"/>
                <w:highlight w:val="none"/>
                <w:lang w:val="en-US" w:eastAsia="zh-CN"/>
              </w:rPr>
              <w:t>ID</w:t>
            </w:r>
            <w:r>
              <w:rPr>
                <w:rFonts w:hint="eastAsia" w:ascii="仿宋" w:hAnsi="仿宋" w:eastAsia="仿宋" w:cs="仿宋"/>
                <w:color w:val="auto"/>
                <w:sz w:val="24"/>
                <w:szCs w:val="32"/>
                <w:highlight w:val="none"/>
              </w:rPr>
              <w:t>信息、运维电话等。</w:t>
            </w:r>
          </w:p>
          <w:p w14:paraId="4F653378">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1</w:t>
            </w:r>
            <w:r>
              <w:rPr>
                <w:rFonts w:hint="eastAsia" w:ascii="仿宋" w:hAnsi="仿宋" w:eastAsia="仿宋" w:cs="仿宋"/>
                <w:color w:val="auto"/>
                <w:sz w:val="24"/>
                <w:szCs w:val="32"/>
                <w:highlight w:val="none"/>
                <w:lang w:val="en-US" w:eastAsia="zh-CN"/>
              </w:rPr>
              <w:t>2</w:t>
            </w:r>
            <w:r>
              <w:rPr>
                <w:rFonts w:hint="eastAsia" w:ascii="仿宋" w:hAnsi="仿宋" w:eastAsia="仿宋" w:cs="仿宋"/>
                <w:color w:val="auto"/>
                <w:sz w:val="24"/>
                <w:szCs w:val="32"/>
                <w:highlight w:val="none"/>
              </w:rPr>
              <w:t>、手动巡检功能：借助空间的摄像头、远程桌面和管理助手进行巡检。</w:t>
            </w:r>
          </w:p>
          <w:p w14:paraId="444CCD0C">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1</w:t>
            </w:r>
            <w:r>
              <w:rPr>
                <w:rFonts w:hint="eastAsia" w:ascii="仿宋" w:hAnsi="仿宋" w:eastAsia="仿宋" w:cs="仿宋"/>
                <w:color w:val="auto"/>
                <w:sz w:val="24"/>
                <w:szCs w:val="32"/>
                <w:highlight w:val="none"/>
                <w:lang w:val="en-US" w:eastAsia="zh-CN"/>
              </w:rPr>
              <w:t>3</w:t>
            </w:r>
            <w:r>
              <w:rPr>
                <w:rFonts w:hint="eastAsia" w:ascii="仿宋" w:hAnsi="仿宋" w:eastAsia="仿宋" w:cs="仿宋"/>
                <w:color w:val="auto"/>
                <w:sz w:val="24"/>
                <w:szCs w:val="32"/>
                <w:highlight w:val="none"/>
              </w:rPr>
              <w:t>、IP对讲的过程中可以同时显示教师端待接听对讲排队信息，排队的对讲自动挂断的时间延长，IP对讲过程中实时显示发起对讲用户的姓名等信息，PC端和移动端支持回拨功能，支持IP对讲录音以及对讲记录管理。</w:t>
            </w:r>
          </w:p>
          <w:p w14:paraId="6AF03628">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1</w:t>
            </w:r>
            <w:r>
              <w:rPr>
                <w:rFonts w:hint="eastAsia" w:ascii="仿宋" w:hAnsi="仿宋" w:eastAsia="仿宋" w:cs="仿宋"/>
                <w:color w:val="auto"/>
                <w:sz w:val="24"/>
                <w:szCs w:val="32"/>
                <w:highlight w:val="none"/>
                <w:lang w:val="en-US" w:eastAsia="zh-CN"/>
              </w:rPr>
              <w:t>4</w:t>
            </w:r>
            <w:r>
              <w:rPr>
                <w:rFonts w:hint="eastAsia" w:ascii="仿宋" w:hAnsi="仿宋" w:eastAsia="仿宋" w:cs="仿宋"/>
                <w:color w:val="auto"/>
                <w:sz w:val="24"/>
                <w:szCs w:val="32"/>
                <w:highlight w:val="none"/>
              </w:rPr>
              <w:t>、具备实时音视频推流功能，将教室前后摄像机画面，电脑桌面画面拾取教师上课声音，达到督导巡课功能。具备AI功能，通过实时拉取教室现有监控视频流，在教室无人情况下，可实现自动关闭灯光、空调、空开等物联网设备，达到节能减排。具备AI考勤功能，支持通过实时调取空间摄像头实现课堂三率的统计，为每节课程的课堂的上课人数、出勤率、前排率、抬头率进行实时统计，并生成相应报表数据。</w:t>
            </w:r>
          </w:p>
          <w:p w14:paraId="6CA0EA8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1</w:t>
            </w:r>
            <w:r>
              <w:rPr>
                <w:rFonts w:hint="eastAsia" w:ascii="仿宋" w:hAnsi="仿宋" w:eastAsia="仿宋" w:cs="仿宋"/>
                <w:color w:val="auto"/>
                <w:sz w:val="24"/>
                <w:szCs w:val="32"/>
                <w:highlight w:val="none"/>
                <w:lang w:val="en-US" w:eastAsia="zh-CN"/>
              </w:rPr>
              <w:t>5</w:t>
            </w:r>
            <w:r>
              <w:rPr>
                <w:rFonts w:hint="eastAsia" w:ascii="仿宋" w:hAnsi="仿宋" w:eastAsia="仿宋" w:cs="仿宋"/>
                <w:color w:val="auto"/>
                <w:sz w:val="24"/>
                <w:szCs w:val="32"/>
                <w:highlight w:val="none"/>
              </w:rPr>
              <w:t>、支持配置串口控制现有录播主机的开关，录制和暂停，支持配置电脑联动控制。</w:t>
            </w:r>
          </w:p>
          <w:p w14:paraId="55A08346">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1</w:t>
            </w:r>
            <w:r>
              <w:rPr>
                <w:rFonts w:hint="eastAsia" w:ascii="仿宋" w:hAnsi="仿宋" w:eastAsia="仿宋" w:cs="仿宋"/>
                <w:color w:val="auto"/>
                <w:sz w:val="24"/>
                <w:szCs w:val="32"/>
                <w:highlight w:val="none"/>
                <w:lang w:val="en-US" w:eastAsia="zh-CN"/>
              </w:rPr>
              <w:t>6</w:t>
            </w:r>
            <w:r>
              <w:rPr>
                <w:rFonts w:hint="eastAsia" w:ascii="仿宋" w:hAnsi="仿宋" w:eastAsia="仿宋" w:cs="仿宋"/>
                <w:color w:val="auto"/>
                <w:sz w:val="24"/>
                <w:szCs w:val="32"/>
                <w:highlight w:val="none"/>
              </w:rPr>
              <w:t>、支持向第三方开放OpenAPI接口，可以通过OpenAPI实现单点登录、IC卡用户同步、课表同步、设备管理、设置开机二维码为第三方等功能。</w:t>
            </w:r>
          </w:p>
          <w:p w14:paraId="5B4F03A8">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1</w:t>
            </w:r>
            <w:r>
              <w:rPr>
                <w:rFonts w:hint="eastAsia" w:ascii="仿宋" w:hAnsi="仿宋" w:eastAsia="仿宋" w:cs="仿宋"/>
                <w:color w:val="auto"/>
                <w:sz w:val="24"/>
                <w:szCs w:val="32"/>
                <w:highlight w:val="none"/>
                <w:lang w:val="en-US" w:eastAsia="zh-CN"/>
              </w:rPr>
              <w:t>7</w:t>
            </w:r>
            <w:r>
              <w:rPr>
                <w:rFonts w:hint="eastAsia" w:ascii="仿宋" w:hAnsi="仿宋" w:eastAsia="仿宋" w:cs="仿宋"/>
                <w:color w:val="auto"/>
                <w:sz w:val="24"/>
                <w:szCs w:val="32"/>
                <w:highlight w:val="none"/>
              </w:rPr>
              <w:t>、通过NTP方式校正系统时间，支持手动校正系统时间，支持向管理设备提供时间同步服务。</w:t>
            </w:r>
          </w:p>
          <w:p w14:paraId="3316356D">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1</w:t>
            </w:r>
            <w:r>
              <w:rPr>
                <w:rFonts w:hint="eastAsia" w:ascii="仿宋" w:hAnsi="仿宋" w:eastAsia="仿宋" w:cs="仿宋"/>
                <w:color w:val="auto"/>
                <w:sz w:val="24"/>
                <w:szCs w:val="32"/>
                <w:highlight w:val="none"/>
                <w:lang w:val="en-US" w:eastAsia="zh-CN"/>
              </w:rPr>
              <w:t>8</w:t>
            </w:r>
            <w:r>
              <w:rPr>
                <w:rFonts w:hint="eastAsia" w:ascii="仿宋" w:hAnsi="仿宋" w:eastAsia="仿宋" w:cs="仿宋"/>
                <w:color w:val="auto"/>
                <w:sz w:val="24"/>
                <w:szCs w:val="32"/>
                <w:highlight w:val="none"/>
              </w:rPr>
              <w:t>、支持远程管理、维护功能：网络设置、支持设备管理信息本地备份及备份导出功能；支持PC端和移动端进行对设备关机、重启、设备信息及运行状态查看，具备PC端和移动端进行对设备对定时任务的编辑、开启及关闭等功能；</w:t>
            </w:r>
          </w:p>
          <w:p w14:paraId="5A486C37">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1</w:t>
            </w:r>
            <w:r>
              <w:rPr>
                <w:rFonts w:hint="eastAsia" w:ascii="仿宋" w:hAnsi="仿宋" w:eastAsia="仿宋" w:cs="仿宋"/>
                <w:color w:val="auto"/>
                <w:sz w:val="24"/>
                <w:szCs w:val="32"/>
                <w:highlight w:val="none"/>
                <w:lang w:val="en-US" w:eastAsia="zh-CN"/>
              </w:rPr>
              <w:t>9</w:t>
            </w:r>
            <w:r>
              <w:rPr>
                <w:rFonts w:hint="eastAsia" w:ascii="仿宋" w:hAnsi="仿宋" w:eastAsia="仿宋" w:cs="仿宋"/>
                <w:color w:val="auto"/>
                <w:sz w:val="24"/>
                <w:szCs w:val="32"/>
                <w:highlight w:val="none"/>
              </w:rPr>
              <w:t>、支持设备空间位置自定义、分区自定义，对教室设备监控、控制，具备教室设备管理、任务管理、报表查看等功能。</w:t>
            </w:r>
          </w:p>
          <w:p w14:paraId="1C6E72B1">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lang w:val="en-US" w:eastAsia="zh-CN"/>
              </w:rPr>
              <w:t>20</w:t>
            </w:r>
            <w:r>
              <w:rPr>
                <w:rFonts w:hint="eastAsia" w:ascii="仿宋" w:hAnsi="仿宋" w:eastAsia="仿宋" w:cs="仿宋"/>
                <w:color w:val="auto"/>
                <w:sz w:val="24"/>
                <w:szCs w:val="32"/>
                <w:highlight w:val="none"/>
              </w:rPr>
              <w:t>、支持对空间设备进行批量配置/导入教室录播配置、远程桌面配置、信号源名称设置、监控配置等信息功能。</w:t>
            </w:r>
          </w:p>
          <w:p w14:paraId="01EFA7BC">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2</w:t>
            </w:r>
            <w:r>
              <w:rPr>
                <w:rFonts w:hint="eastAsia" w:ascii="仿宋" w:hAnsi="仿宋" w:eastAsia="仿宋" w:cs="仿宋"/>
                <w:color w:val="auto"/>
                <w:sz w:val="24"/>
                <w:szCs w:val="32"/>
                <w:highlight w:val="none"/>
                <w:lang w:val="en-US" w:eastAsia="zh-CN"/>
              </w:rPr>
              <w:t>1</w:t>
            </w:r>
            <w:r>
              <w:rPr>
                <w:rFonts w:hint="eastAsia" w:ascii="仿宋" w:hAnsi="仿宋" w:eastAsia="仿宋" w:cs="仿宋"/>
                <w:color w:val="auto"/>
                <w:sz w:val="24"/>
                <w:szCs w:val="32"/>
                <w:highlight w:val="none"/>
              </w:rPr>
              <w:t>、支持查看各教室名称、教室状态、教室故障、教室内设备数量及状态、教室内物联数量及状态。</w:t>
            </w:r>
          </w:p>
          <w:p w14:paraId="53B51D8B">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2</w:t>
            </w:r>
            <w:r>
              <w:rPr>
                <w:rFonts w:hint="eastAsia" w:ascii="仿宋" w:hAnsi="仿宋" w:eastAsia="仿宋" w:cs="仿宋"/>
                <w:color w:val="auto"/>
                <w:sz w:val="24"/>
                <w:szCs w:val="32"/>
                <w:highlight w:val="none"/>
                <w:lang w:val="en-US" w:eastAsia="zh-CN"/>
              </w:rPr>
              <w:t>2</w:t>
            </w:r>
            <w:r>
              <w:rPr>
                <w:rFonts w:hint="eastAsia" w:ascii="仿宋" w:hAnsi="仿宋" w:eastAsia="仿宋" w:cs="仿宋"/>
                <w:color w:val="auto"/>
                <w:sz w:val="24"/>
                <w:szCs w:val="32"/>
                <w:highlight w:val="none"/>
              </w:rPr>
              <w:t>、支持教室监控查看、教室内设备控制、IP呼叫、监听、设备配置、策略配置、物联控制及当日任务查看。</w:t>
            </w:r>
          </w:p>
          <w:p w14:paraId="16BAB002">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2</w:t>
            </w:r>
            <w:r>
              <w:rPr>
                <w:rFonts w:hint="eastAsia" w:ascii="仿宋" w:hAnsi="仿宋" w:eastAsia="仿宋" w:cs="仿宋"/>
                <w:color w:val="auto"/>
                <w:sz w:val="24"/>
                <w:szCs w:val="32"/>
                <w:highlight w:val="none"/>
                <w:lang w:val="en-US" w:eastAsia="zh-CN"/>
              </w:rPr>
              <w:t>3</w:t>
            </w:r>
            <w:r>
              <w:rPr>
                <w:rFonts w:hint="eastAsia" w:ascii="仿宋" w:hAnsi="仿宋" w:eastAsia="仿宋" w:cs="仿宋"/>
                <w:color w:val="auto"/>
                <w:sz w:val="24"/>
                <w:szCs w:val="32"/>
                <w:highlight w:val="none"/>
              </w:rPr>
              <w:t>、支持在教室设备巡检中对教室多媒体设备进行控制；支持对教室端电脑进行文件传输。</w:t>
            </w:r>
          </w:p>
          <w:p w14:paraId="235C94E0">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2</w:t>
            </w:r>
            <w:r>
              <w:rPr>
                <w:rFonts w:hint="eastAsia" w:ascii="仿宋" w:hAnsi="仿宋" w:eastAsia="仿宋" w:cs="仿宋"/>
                <w:color w:val="auto"/>
                <w:sz w:val="24"/>
                <w:szCs w:val="32"/>
                <w:highlight w:val="none"/>
                <w:lang w:val="en-US" w:eastAsia="zh-CN"/>
              </w:rPr>
              <w:t>4</w:t>
            </w:r>
            <w:r>
              <w:rPr>
                <w:rFonts w:hint="eastAsia" w:ascii="仿宋" w:hAnsi="仿宋" w:eastAsia="仿宋" w:cs="仿宋"/>
                <w:color w:val="auto"/>
                <w:sz w:val="24"/>
                <w:szCs w:val="32"/>
                <w:highlight w:val="none"/>
              </w:rPr>
              <w:t>、支持设备控制、设备参数配置、设备状态查看、设备日志记录及查看、设备能耗记录及查看、设备故障收集及展示等，提供设备配置复制功能、批量控制功能。</w:t>
            </w:r>
          </w:p>
          <w:p w14:paraId="0AD6F3A1">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2</w:t>
            </w:r>
            <w:r>
              <w:rPr>
                <w:rFonts w:hint="eastAsia" w:ascii="仿宋" w:hAnsi="仿宋" w:eastAsia="仿宋" w:cs="仿宋"/>
                <w:color w:val="auto"/>
                <w:sz w:val="24"/>
                <w:szCs w:val="32"/>
                <w:highlight w:val="none"/>
                <w:lang w:val="en-US" w:eastAsia="zh-CN"/>
              </w:rPr>
              <w:t>5</w:t>
            </w:r>
            <w:r>
              <w:rPr>
                <w:rFonts w:hint="eastAsia" w:ascii="仿宋" w:hAnsi="仿宋" w:eastAsia="仿宋" w:cs="仿宋"/>
                <w:color w:val="auto"/>
                <w:sz w:val="24"/>
                <w:szCs w:val="32"/>
                <w:highlight w:val="none"/>
              </w:rPr>
              <w:t>、支持远程查看教室监控画面、电脑桌面、监控墙，提供设备巡查、IP对讲联动监控等功能；监控墙至少可接入两路信号源，具备开启或关闭轮播功能，轮播速率、画面信号源、9宫格或16宫格等均可自定义选择。</w:t>
            </w:r>
          </w:p>
          <w:p w14:paraId="150CA191">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2</w:t>
            </w:r>
            <w:r>
              <w:rPr>
                <w:rFonts w:hint="eastAsia" w:ascii="仿宋" w:hAnsi="仿宋" w:eastAsia="仿宋" w:cs="仿宋"/>
                <w:color w:val="auto"/>
                <w:sz w:val="24"/>
                <w:szCs w:val="32"/>
                <w:highlight w:val="none"/>
                <w:lang w:val="en-US" w:eastAsia="zh-CN"/>
              </w:rPr>
              <w:t>6</w:t>
            </w:r>
            <w:r>
              <w:rPr>
                <w:rFonts w:hint="eastAsia" w:ascii="仿宋" w:hAnsi="仿宋" w:eastAsia="仿宋" w:cs="仿宋"/>
                <w:color w:val="auto"/>
                <w:sz w:val="24"/>
                <w:szCs w:val="32"/>
                <w:highlight w:val="none"/>
              </w:rPr>
              <w:t>、支持对定时任务进行统一调课；支持教室预约管理，对教室预约申请进行审核；支持PC端和移动端进行远程课表查看以及调课功能。</w:t>
            </w:r>
          </w:p>
          <w:p w14:paraId="3572526B">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2</w:t>
            </w:r>
            <w:r>
              <w:rPr>
                <w:rFonts w:hint="eastAsia" w:ascii="仿宋" w:hAnsi="仿宋" w:eastAsia="仿宋" w:cs="仿宋"/>
                <w:color w:val="auto"/>
                <w:sz w:val="24"/>
                <w:szCs w:val="32"/>
                <w:highlight w:val="none"/>
                <w:lang w:val="en-US" w:eastAsia="zh-CN"/>
              </w:rPr>
              <w:t>7</w:t>
            </w:r>
            <w:r>
              <w:rPr>
                <w:rFonts w:hint="eastAsia" w:ascii="仿宋" w:hAnsi="仿宋" w:eastAsia="仿宋" w:cs="仿宋"/>
                <w:color w:val="auto"/>
                <w:sz w:val="24"/>
                <w:szCs w:val="32"/>
                <w:highlight w:val="none"/>
              </w:rPr>
              <w:t>、支持记录设备运行情况，包括设备投入时期、已用时长、掉线次数统计、掉线时长统计、硬件故障次数，提供数据导出功能。</w:t>
            </w:r>
          </w:p>
          <w:p w14:paraId="1561E280">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2</w:t>
            </w:r>
            <w:r>
              <w:rPr>
                <w:rFonts w:hint="eastAsia" w:ascii="仿宋" w:hAnsi="仿宋" w:eastAsia="仿宋" w:cs="仿宋"/>
                <w:color w:val="auto"/>
                <w:sz w:val="24"/>
                <w:szCs w:val="32"/>
                <w:highlight w:val="none"/>
                <w:lang w:val="en-US" w:eastAsia="zh-CN"/>
              </w:rPr>
              <w:t>8</w:t>
            </w:r>
            <w:r>
              <w:rPr>
                <w:rFonts w:hint="eastAsia" w:ascii="仿宋" w:hAnsi="仿宋" w:eastAsia="仿宋" w:cs="仿宋"/>
                <w:color w:val="auto"/>
                <w:sz w:val="24"/>
                <w:szCs w:val="32"/>
                <w:highlight w:val="none"/>
              </w:rPr>
              <w:t>、支持按日/按月/按年查看用户通过刷卡或扫码方式的开机时长数据，并提供导出功能。</w:t>
            </w:r>
          </w:p>
          <w:p w14:paraId="4E8D2B21">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2</w:t>
            </w:r>
            <w:r>
              <w:rPr>
                <w:rFonts w:hint="eastAsia" w:ascii="仿宋" w:hAnsi="仿宋" w:eastAsia="仿宋" w:cs="仿宋"/>
                <w:color w:val="auto"/>
                <w:sz w:val="24"/>
                <w:szCs w:val="32"/>
                <w:highlight w:val="none"/>
                <w:lang w:val="en-US" w:eastAsia="zh-CN"/>
              </w:rPr>
              <w:t>9</w:t>
            </w:r>
            <w:r>
              <w:rPr>
                <w:rFonts w:hint="eastAsia" w:ascii="仿宋" w:hAnsi="仿宋" w:eastAsia="仿宋" w:cs="仿宋"/>
                <w:color w:val="auto"/>
                <w:sz w:val="24"/>
                <w:szCs w:val="32"/>
                <w:highlight w:val="none"/>
              </w:rPr>
              <w:t>、支持记录设备运行日志，包括设备上下线、开关机、设备启用/禁用、设备使用人员信息记录、麦克风使用、IP对讲求助、设备故障等。</w:t>
            </w:r>
          </w:p>
          <w:p w14:paraId="4DB2CE88">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lang w:val="en-US" w:eastAsia="zh-CN"/>
              </w:rPr>
              <w:t>30</w:t>
            </w:r>
            <w:r>
              <w:rPr>
                <w:rFonts w:hint="eastAsia" w:ascii="仿宋" w:hAnsi="仿宋" w:eastAsia="仿宋" w:cs="仿宋"/>
                <w:color w:val="auto"/>
                <w:sz w:val="24"/>
                <w:szCs w:val="32"/>
                <w:highlight w:val="none"/>
              </w:rPr>
              <w:t>、支持PC端和移动端实时接收教室设备自动检测预警告警、媒体素材上传及审核、设备离线告警、设备管理信息备份异常告警和设备状态定时统计、设备报修、IP对讲等信息。</w:t>
            </w:r>
          </w:p>
          <w:p w14:paraId="1F303809">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3</w:t>
            </w:r>
            <w:r>
              <w:rPr>
                <w:rFonts w:hint="eastAsia" w:ascii="仿宋" w:hAnsi="仿宋" w:eastAsia="仿宋" w:cs="仿宋"/>
                <w:color w:val="auto"/>
                <w:sz w:val="24"/>
                <w:szCs w:val="32"/>
                <w:highlight w:val="none"/>
                <w:lang w:val="en-US" w:eastAsia="zh-CN"/>
              </w:rPr>
              <w:t>1</w:t>
            </w:r>
            <w:r>
              <w:rPr>
                <w:rFonts w:hint="eastAsia" w:ascii="仿宋" w:hAnsi="仿宋" w:eastAsia="仿宋" w:cs="仿宋"/>
                <w:color w:val="auto"/>
                <w:sz w:val="24"/>
                <w:szCs w:val="32"/>
                <w:highlight w:val="none"/>
              </w:rPr>
              <w:t>、支持课堂直播功能，可以进行全校的教学直播以及网络直播。支持创建定时任务，定时开启教学直播。</w:t>
            </w:r>
          </w:p>
          <w:p w14:paraId="4DAC985E">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3</w:t>
            </w:r>
            <w:r>
              <w:rPr>
                <w:rFonts w:hint="eastAsia" w:ascii="仿宋" w:hAnsi="仿宋" w:eastAsia="仿宋" w:cs="仿宋"/>
                <w:color w:val="auto"/>
                <w:sz w:val="24"/>
                <w:szCs w:val="32"/>
                <w:highlight w:val="none"/>
                <w:lang w:val="en-US" w:eastAsia="zh-CN"/>
              </w:rPr>
              <w:t>2</w:t>
            </w:r>
            <w:r>
              <w:rPr>
                <w:rFonts w:hint="eastAsia" w:ascii="仿宋" w:hAnsi="仿宋" w:eastAsia="仿宋" w:cs="仿宋"/>
                <w:color w:val="auto"/>
                <w:sz w:val="24"/>
                <w:szCs w:val="32"/>
                <w:highlight w:val="none"/>
              </w:rPr>
              <w:t>、支持PC端和移动端在线巡课，在线巡课时可实时查看教室监控和PPT的每路画面及声音。在线巡课具备课程状态和空间等维度检索功能、具备巡课评价、巡课自定义评语功能。</w:t>
            </w:r>
          </w:p>
          <w:p w14:paraId="76573889">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3</w:t>
            </w:r>
            <w:r>
              <w:rPr>
                <w:rFonts w:hint="eastAsia" w:ascii="仿宋" w:hAnsi="仿宋" w:eastAsia="仿宋" w:cs="仿宋"/>
                <w:color w:val="auto"/>
                <w:sz w:val="24"/>
                <w:szCs w:val="32"/>
                <w:highlight w:val="none"/>
                <w:lang w:val="en-US" w:eastAsia="zh-CN"/>
              </w:rPr>
              <w:t>3</w:t>
            </w:r>
            <w:r>
              <w:rPr>
                <w:rFonts w:hint="eastAsia" w:ascii="仿宋" w:hAnsi="仿宋" w:eastAsia="仿宋" w:cs="仿宋"/>
                <w:color w:val="auto"/>
                <w:sz w:val="24"/>
                <w:szCs w:val="32"/>
                <w:highlight w:val="none"/>
              </w:rPr>
              <w:t>、具备双师课堂教室配置功能和双师课堂教室调课管理功能。</w:t>
            </w:r>
          </w:p>
          <w:p w14:paraId="06FAEF9F">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3</w:t>
            </w:r>
            <w:r>
              <w:rPr>
                <w:rFonts w:hint="eastAsia" w:ascii="仿宋" w:hAnsi="仿宋" w:eastAsia="仿宋" w:cs="仿宋"/>
                <w:color w:val="auto"/>
                <w:sz w:val="24"/>
                <w:szCs w:val="32"/>
                <w:highlight w:val="none"/>
                <w:lang w:val="en-US" w:eastAsia="zh-CN"/>
              </w:rPr>
              <w:t>4</w:t>
            </w:r>
            <w:r>
              <w:rPr>
                <w:rFonts w:hint="eastAsia" w:ascii="仿宋" w:hAnsi="仿宋" w:eastAsia="仿宋" w:cs="仿宋"/>
                <w:color w:val="auto"/>
                <w:sz w:val="24"/>
                <w:szCs w:val="32"/>
                <w:highlight w:val="none"/>
              </w:rPr>
              <w:t>、具备电脑管理功能，支持查看已安装电脑管理软件的教室电脑运行状态，支持电脑管理软件在线升级功能，可手动以及根据课表定时任务关闭指定的教室电脑；实现教室多媒体设备智能管理功能。</w:t>
            </w:r>
          </w:p>
          <w:p w14:paraId="31EC85F0">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3</w:t>
            </w:r>
            <w:r>
              <w:rPr>
                <w:rFonts w:hint="eastAsia" w:ascii="仿宋" w:hAnsi="仿宋" w:eastAsia="仿宋" w:cs="仿宋"/>
                <w:color w:val="auto"/>
                <w:sz w:val="24"/>
                <w:szCs w:val="32"/>
                <w:highlight w:val="none"/>
                <w:lang w:val="en-US" w:eastAsia="zh-CN"/>
              </w:rPr>
              <w:t>5</w:t>
            </w:r>
            <w:r>
              <w:rPr>
                <w:rFonts w:hint="eastAsia" w:ascii="仿宋" w:hAnsi="仿宋" w:eastAsia="仿宋" w:cs="仿宋"/>
                <w:color w:val="auto"/>
                <w:sz w:val="24"/>
                <w:szCs w:val="32"/>
                <w:highlight w:val="none"/>
              </w:rPr>
              <w:t>、支持扫码、反扫、面板、远程、IC卡刷卡/插卡和按课表等开机方式。</w:t>
            </w:r>
          </w:p>
          <w:p w14:paraId="1671903B">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rPr>
              <w:t>3</w:t>
            </w:r>
            <w:r>
              <w:rPr>
                <w:rFonts w:hint="eastAsia" w:ascii="仿宋" w:hAnsi="仿宋" w:eastAsia="仿宋" w:cs="仿宋"/>
                <w:color w:val="auto"/>
                <w:sz w:val="24"/>
                <w:szCs w:val="32"/>
                <w:highlight w:val="none"/>
                <w:lang w:val="en-US" w:eastAsia="zh-CN"/>
              </w:rPr>
              <w:t>6</w:t>
            </w:r>
            <w:r>
              <w:rPr>
                <w:rFonts w:hint="eastAsia" w:ascii="仿宋" w:hAnsi="仿宋" w:eastAsia="仿宋" w:cs="仿宋"/>
                <w:color w:val="auto"/>
                <w:sz w:val="24"/>
                <w:szCs w:val="32"/>
                <w:highlight w:val="none"/>
              </w:rPr>
              <w:t>、支持面板、远程、拔卡和按课表等关机方式，关机采用延时关机提醒。根据课表联动关机方式可通过PC端和移动端随时对某一空间设备某一时间段设置不按照课表联动关机。</w:t>
            </w:r>
          </w:p>
          <w:p w14:paraId="38A7C39F">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lang w:val="en-US" w:eastAsia="zh-CN"/>
              </w:rPr>
              <w:t>37、</w:t>
            </w:r>
            <w:r>
              <w:rPr>
                <w:rFonts w:hint="eastAsia" w:ascii="仿宋" w:hAnsi="仿宋" w:eastAsia="仿宋" w:cs="仿宋"/>
                <w:color w:val="auto"/>
                <w:sz w:val="24"/>
                <w:szCs w:val="32"/>
                <w:highlight w:val="none"/>
              </w:rPr>
              <w:t>具备图文信息发布功能，智能终端在待机状态下接收</w:t>
            </w:r>
            <w:r>
              <w:rPr>
                <w:rFonts w:hint="eastAsia" w:ascii="仿宋" w:hAnsi="仿宋" w:eastAsia="仿宋" w:cs="仿宋"/>
                <w:color w:val="auto"/>
                <w:sz w:val="24"/>
                <w:szCs w:val="32"/>
                <w:highlight w:val="none"/>
                <w:lang w:val="en-US" w:eastAsia="zh-CN"/>
              </w:rPr>
              <w:t>学校已有管理</w:t>
            </w:r>
            <w:r>
              <w:rPr>
                <w:rFonts w:hint="eastAsia" w:ascii="仿宋" w:hAnsi="仿宋" w:eastAsia="仿宋" w:cs="仿宋"/>
                <w:color w:val="auto"/>
                <w:sz w:val="24"/>
                <w:szCs w:val="32"/>
                <w:highlight w:val="none"/>
              </w:rPr>
              <w:t>平台预设的图文内容进行自动播放，自动开启显示设备，实现无人值守智能化图文信息发布功能。</w:t>
            </w:r>
          </w:p>
          <w:p w14:paraId="6EAD0C37">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rPr>
            </w:pPr>
            <w:r>
              <w:rPr>
                <w:rFonts w:hint="eastAsia" w:ascii="仿宋" w:hAnsi="仿宋" w:eastAsia="仿宋" w:cs="仿宋"/>
                <w:color w:val="auto"/>
                <w:sz w:val="24"/>
                <w:szCs w:val="32"/>
                <w:highlight w:val="none"/>
                <w:lang w:val="en-US" w:eastAsia="zh-CN"/>
              </w:rPr>
              <w:t>38、</w:t>
            </w:r>
            <w:r>
              <w:rPr>
                <w:rFonts w:hint="eastAsia" w:ascii="仿宋" w:hAnsi="仿宋" w:eastAsia="仿宋" w:cs="仿宋"/>
                <w:color w:val="auto"/>
                <w:sz w:val="24"/>
                <w:szCs w:val="32"/>
                <w:highlight w:val="none"/>
              </w:rPr>
              <w:t>支持互动课堂功能，可将主讲教室的摄像头画面、电脑画面,麦克风和电脑声音直播到其他听讲教室，同时解码听讲教室的摄像头画面并在本机HDMI接口进行输出。主讲教室可控制听讲教室发言或静音，实现主讲教室与听讲教室之间的互动。</w:t>
            </w:r>
          </w:p>
          <w:p w14:paraId="41412355">
            <w:pPr>
              <w:pStyle w:val="46"/>
              <w:ind w:left="0" w:leftChars="0" w:firstLine="0" w:firstLineChars="0"/>
              <w:rPr>
                <w:rFonts w:hint="default" w:ascii="仿宋" w:hAnsi="仿宋" w:eastAsia="仿宋" w:cs="仿宋"/>
                <w:color w:val="auto"/>
                <w:sz w:val="24"/>
                <w:szCs w:val="24"/>
                <w:highlight w:val="none"/>
                <w:lang w:val="en-US" w:eastAsia="zh-CN" w:bidi="ar"/>
              </w:rPr>
            </w:pPr>
            <w:r>
              <w:rPr>
                <w:rFonts w:hint="eastAsia" w:ascii="仿宋" w:hAnsi="仿宋" w:eastAsia="仿宋" w:cs="仿宋"/>
                <w:color w:val="auto"/>
                <w:sz w:val="24"/>
                <w:szCs w:val="32"/>
                <w:highlight w:val="none"/>
                <w:lang w:val="en-US" w:eastAsia="zh-CN" w:bidi="ar-SA"/>
              </w:rPr>
              <w:t>39、★根据学校使用过程中的需要及时免费响应并更新相关功能。要求与学校现有的设备管理平台实现无缝对接。（须提供承诺书并加盖公章，承诺书格式自拟）</w:t>
            </w:r>
          </w:p>
        </w:tc>
        <w:tc>
          <w:tcPr>
            <w:tcW w:w="288" w:type="pct"/>
            <w:shd w:val="clear" w:color="auto" w:fill="auto"/>
            <w:noWrap w:val="0"/>
            <w:tcMar>
              <w:top w:w="15" w:type="dxa"/>
              <w:left w:w="15" w:type="dxa"/>
              <w:right w:w="15" w:type="dxa"/>
            </w:tcMar>
            <w:vAlign w:val="center"/>
          </w:tcPr>
          <w:p w14:paraId="56E7054B">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red"/>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61</w:t>
            </w:r>
          </w:p>
        </w:tc>
        <w:tc>
          <w:tcPr>
            <w:tcW w:w="517" w:type="pct"/>
            <w:shd w:val="clear" w:color="auto" w:fill="auto"/>
            <w:noWrap w:val="0"/>
            <w:tcMar>
              <w:top w:w="15" w:type="dxa"/>
              <w:left w:w="15" w:type="dxa"/>
              <w:right w:w="15" w:type="dxa"/>
            </w:tcMar>
            <w:vAlign w:val="center"/>
          </w:tcPr>
          <w:p w14:paraId="7E560059">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台</w:t>
            </w:r>
          </w:p>
        </w:tc>
        <w:tc>
          <w:tcPr>
            <w:tcW w:w="517" w:type="pct"/>
            <w:shd w:val="clear" w:color="auto" w:fill="auto"/>
            <w:noWrap w:val="0"/>
            <w:tcMar>
              <w:top w:w="15" w:type="dxa"/>
              <w:left w:w="15" w:type="dxa"/>
              <w:right w:w="15" w:type="dxa"/>
            </w:tcMar>
            <w:vAlign w:val="center"/>
          </w:tcPr>
          <w:p w14:paraId="0C05BA59">
            <w:pPr>
              <w:keepNext w:val="0"/>
              <w:keepLines w:val="0"/>
              <w:widowControl/>
              <w:suppressLineNumbers w:val="0"/>
              <w:jc w:val="center"/>
              <w:textAlignment w:val="center"/>
              <w:rPr>
                <w:rFonts w:hint="default"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09A9BD8B">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0CD82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677570B0">
            <w:pPr>
              <w:pageBreakBefore w:val="0"/>
              <w:widowControl/>
              <w:kinsoku/>
              <w:overflowPunct/>
              <w:topLinePunct w:val="0"/>
              <w:bidi w:val="0"/>
              <w:snapToGrid/>
              <w:spacing w:line="360" w:lineRule="auto"/>
              <w:jc w:val="center"/>
              <w:textAlignment w:val="center"/>
              <w:rPr>
                <w:rFonts w:hint="eastAsia"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2</w:t>
            </w:r>
          </w:p>
        </w:tc>
        <w:tc>
          <w:tcPr>
            <w:tcW w:w="565" w:type="pct"/>
            <w:shd w:val="clear" w:color="auto" w:fill="auto"/>
            <w:noWrap w:val="0"/>
            <w:tcMar>
              <w:top w:w="15" w:type="dxa"/>
              <w:left w:w="15" w:type="dxa"/>
              <w:right w:w="15" w:type="dxa"/>
            </w:tcMar>
            <w:vAlign w:val="center"/>
          </w:tcPr>
          <w:p w14:paraId="153A870C">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智能触控面板</w:t>
            </w:r>
          </w:p>
        </w:tc>
        <w:tc>
          <w:tcPr>
            <w:tcW w:w="2316" w:type="pct"/>
            <w:shd w:val="clear" w:color="auto" w:fill="FFFFFF"/>
            <w:noWrap w:val="0"/>
            <w:tcMar>
              <w:top w:w="15" w:type="dxa"/>
              <w:left w:w="15" w:type="dxa"/>
              <w:right w:w="15" w:type="dxa"/>
            </w:tcMar>
            <w:vAlign w:val="bottom"/>
          </w:tcPr>
          <w:p w14:paraId="439F5EF4">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lang w:val="en-US" w:eastAsia="zh-CN"/>
              </w:rPr>
            </w:pPr>
            <w:r>
              <w:rPr>
                <w:rFonts w:hint="eastAsia" w:ascii="仿宋" w:hAnsi="仿宋" w:eastAsia="仿宋" w:cs="仿宋"/>
                <w:color w:val="auto"/>
                <w:sz w:val="24"/>
                <w:szCs w:val="32"/>
                <w:highlight w:val="none"/>
                <w:lang w:val="en-US" w:eastAsia="zh-CN"/>
              </w:rPr>
              <w:t>1、一体化设计，工业ABS工程塑料注塑成型。具备不小于7英寸高分辨率工业触摸屏，支持触摸屏控制界面UI定制；开机状态下控制界面显示信号源切换、声音调整、设备控制、运维电话、IP对讲等信息；待机状态下可显示设备联机网络信息、智能融合信息终端ID信息、运维人员电话、IP对讲等信息。支持广播信号本地暂停收听及音量调节。</w:t>
            </w:r>
          </w:p>
          <w:p w14:paraId="7B976BDB">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lang w:val="en-US" w:eastAsia="zh-CN"/>
              </w:rPr>
            </w:pPr>
            <w:r>
              <w:rPr>
                <w:rFonts w:hint="eastAsia" w:ascii="仿宋" w:hAnsi="仿宋" w:eastAsia="仿宋" w:cs="仿宋"/>
                <w:color w:val="auto"/>
                <w:sz w:val="24"/>
                <w:szCs w:val="32"/>
                <w:highlight w:val="none"/>
                <w:lang w:val="en-US" w:eastAsia="zh-CN"/>
              </w:rPr>
              <w:t>2、要求与智能融合信息终端联动，在不借助其他硬件设备的前提下，操作面板即可实现IP对讲功能。内置扬声器、拾音器，集成音频编解码功能，语音监听等功能。</w:t>
            </w:r>
          </w:p>
          <w:p w14:paraId="209B1DC9">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32"/>
                <w:highlight w:val="none"/>
                <w:lang w:val="en-US" w:eastAsia="zh-CN"/>
              </w:rPr>
            </w:pPr>
            <w:r>
              <w:rPr>
                <w:rFonts w:hint="eastAsia" w:ascii="仿宋" w:hAnsi="仿宋" w:eastAsia="仿宋" w:cs="仿宋"/>
                <w:color w:val="auto"/>
                <w:sz w:val="24"/>
                <w:szCs w:val="32"/>
                <w:highlight w:val="none"/>
                <w:lang w:val="en-US" w:eastAsia="zh-CN"/>
              </w:rPr>
              <w:t>3、具备物联网关功能，可接入双频无线麦克风，支持充电桩麦克风未归位语音提醒，支持关机倒计时语音提示，支持外接传感器数据实时显示。</w:t>
            </w:r>
          </w:p>
          <w:p w14:paraId="68D8AAB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32"/>
                <w:highlight w:val="none"/>
                <w:lang w:val="en-US" w:eastAsia="zh-CN"/>
              </w:rPr>
              <w:t>4、具备二维码扫码摄像头，支持IC卡二维码反扫开机，支持动态和静态二维码进行开机。集成IC卡读卡器，支持刷卡开机，支持安装底座实现插卡开机。支持插卡卡槽厚度定制，不影响灵敏度。要求与智能融合信息终端保证兼容性强、稳定性高。</w:t>
            </w:r>
          </w:p>
        </w:tc>
        <w:tc>
          <w:tcPr>
            <w:tcW w:w="288" w:type="pct"/>
            <w:shd w:val="clear" w:color="auto" w:fill="auto"/>
            <w:noWrap w:val="0"/>
            <w:tcMar>
              <w:top w:w="15" w:type="dxa"/>
              <w:left w:w="15" w:type="dxa"/>
              <w:right w:w="15" w:type="dxa"/>
            </w:tcMar>
            <w:vAlign w:val="center"/>
          </w:tcPr>
          <w:p w14:paraId="7B0E26C5">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61</w:t>
            </w:r>
          </w:p>
        </w:tc>
        <w:tc>
          <w:tcPr>
            <w:tcW w:w="517" w:type="pct"/>
            <w:shd w:val="clear" w:color="auto" w:fill="auto"/>
            <w:noWrap w:val="0"/>
            <w:tcMar>
              <w:top w:w="15" w:type="dxa"/>
              <w:left w:w="15" w:type="dxa"/>
              <w:right w:w="15" w:type="dxa"/>
            </w:tcMar>
            <w:vAlign w:val="center"/>
          </w:tcPr>
          <w:p w14:paraId="0B20E1DA">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台</w:t>
            </w:r>
          </w:p>
        </w:tc>
        <w:tc>
          <w:tcPr>
            <w:tcW w:w="517" w:type="pct"/>
            <w:shd w:val="clear" w:color="auto" w:fill="auto"/>
            <w:noWrap w:val="0"/>
            <w:tcMar>
              <w:top w:w="15" w:type="dxa"/>
              <w:left w:w="15" w:type="dxa"/>
              <w:right w:w="15" w:type="dxa"/>
            </w:tcMar>
            <w:vAlign w:val="center"/>
          </w:tcPr>
          <w:p w14:paraId="6B1CC120">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05BDB573">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78273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2E358054">
            <w:pPr>
              <w:pageBreakBefore w:val="0"/>
              <w:widowControl/>
              <w:kinsoku/>
              <w:overflowPunct/>
              <w:topLinePunct w:val="0"/>
              <w:bidi w:val="0"/>
              <w:snapToGrid/>
              <w:spacing w:line="360" w:lineRule="auto"/>
              <w:jc w:val="center"/>
              <w:textAlignment w:val="center"/>
              <w:rPr>
                <w:rFonts w:hint="eastAsia"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3</w:t>
            </w:r>
          </w:p>
        </w:tc>
        <w:tc>
          <w:tcPr>
            <w:tcW w:w="565" w:type="pct"/>
            <w:shd w:val="clear" w:color="auto" w:fill="auto"/>
            <w:noWrap w:val="0"/>
            <w:tcMar>
              <w:top w:w="15" w:type="dxa"/>
              <w:left w:w="15" w:type="dxa"/>
              <w:right w:w="15" w:type="dxa"/>
            </w:tcMar>
            <w:vAlign w:val="center"/>
          </w:tcPr>
          <w:p w14:paraId="688D9DFB">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双频无线麦克风</w:t>
            </w:r>
          </w:p>
        </w:tc>
        <w:tc>
          <w:tcPr>
            <w:tcW w:w="2316" w:type="pct"/>
            <w:shd w:val="clear" w:color="auto" w:fill="FFFFFF"/>
            <w:noWrap w:val="0"/>
            <w:tcMar>
              <w:top w:w="15" w:type="dxa"/>
              <w:left w:w="15" w:type="dxa"/>
              <w:right w:w="15" w:type="dxa"/>
            </w:tcMar>
            <w:vAlign w:val="center"/>
          </w:tcPr>
          <w:p w14:paraId="6836A00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1、★使用ISM频段，5.8GHz/5.2GHz双频自适应，频率范围：5725MHz-5850MHz/5135MHz-5260MHz，Group模式下，支持24个信道。内置容量不低于800mAh的可充电聚合物电池，续航不低于10小时。支持座充和TYPE-C两种充电方式。</w:t>
            </w:r>
            <w:r>
              <w:rPr>
                <w:rFonts w:hint="eastAsia" w:ascii="仿宋" w:hAnsi="仿宋" w:eastAsia="仿宋" w:cs="仿宋"/>
                <w:color w:val="auto"/>
                <w:sz w:val="24"/>
                <w:szCs w:val="32"/>
                <w:highlight w:val="none"/>
                <w:lang w:eastAsia="zh-CN"/>
              </w:rPr>
              <w:t>（</w:t>
            </w:r>
            <w:r>
              <w:rPr>
                <w:rFonts w:hint="eastAsia" w:ascii="仿宋" w:hAnsi="仿宋" w:eastAsia="仿宋" w:cs="仿宋"/>
                <w:color w:val="auto"/>
                <w:sz w:val="24"/>
                <w:szCs w:val="32"/>
                <w:highlight w:val="none"/>
                <w:lang w:val="en-US" w:eastAsia="zh-CN"/>
              </w:rPr>
              <w:t>须提供第三方出具的具有CMA标识的检测/检验/试验/测试报告复印件并加盖公章或CNAS标识的检测/检验/试验/测试报告复印件并加盖公章）</w:t>
            </w:r>
          </w:p>
          <w:p w14:paraId="0BED388E">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2、★有效接收距离不低于25米（开阔状态下）。内置PCB全向天线，支持电量和连接状态显示，支持本地音量调节及音量记忆。</w:t>
            </w:r>
            <w:r>
              <w:rPr>
                <w:rFonts w:hint="eastAsia" w:ascii="仿宋" w:hAnsi="仿宋" w:eastAsia="仿宋" w:cs="仿宋"/>
                <w:color w:val="auto"/>
                <w:sz w:val="24"/>
                <w:szCs w:val="32"/>
                <w:highlight w:val="none"/>
                <w:lang w:eastAsia="zh-CN"/>
              </w:rPr>
              <w:t>（</w:t>
            </w:r>
            <w:r>
              <w:rPr>
                <w:rFonts w:hint="eastAsia" w:ascii="仿宋" w:hAnsi="仿宋" w:eastAsia="仿宋" w:cs="仿宋"/>
                <w:color w:val="auto"/>
                <w:sz w:val="24"/>
                <w:szCs w:val="32"/>
                <w:highlight w:val="none"/>
                <w:lang w:val="en-US" w:eastAsia="zh-CN"/>
              </w:rPr>
              <w:t>须提供第三方出具的具有CMA标识的检测/检验/试验/测试报告复印件并加盖公章或CNAS标识的检测/检验/试验/测试报告复印件并加盖公章）</w:t>
            </w:r>
          </w:p>
          <w:p w14:paraId="235D4F1C">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3、●支持点对点绑定接入方式，采用动态跳频和协议对码的方式，可与麦克风充电桩进行绑定。</w:t>
            </w:r>
          </w:p>
          <w:p w14:paraId="7344A979">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4、●频率偏移&lt;50KHz，发射功率不大于 7.5dBm。</w:t>
            </w:r>
          </w:p>
          <w:p w14:paraId="4D8A39B1">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5、支持一键开启/关闭所有麦克风的未归位提醒功能。支持实时查看麦克风所在位置、状态、当前电量以及使用记录。麦克风在运行过程中须保持其稳定性，不出现离线状态。</w:t>
            </w:r>
          </w:p>
        </w:tc>
        <w:tc>
          <w:tcPr>
            <w:tcW w:w="288" w:type="pct"/>
            <w:shd w:val="clear" w:color="auto" w:fill="auto"/>
            <w:noWrap w:val="0"/>
            <w:tcMar>
              <w:top w:w="15" w:type="dxa"/>
              <w:left w:w="15" w:type="dxa"/>
              <w:right w:w="15" w:type="dxa"/>
            </w:tcMar>
            <w:vAlign w:val="center"/>
          </w:tcPr>
          <w:p w14:paraId="287F2663">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61</w:t>
            </w:r>
          </w:p>
        </w:tc>
        <w:tc>
          <w:tcPr>
            <w:tcW w:w="517" w:type="pct"/>
            <w:shd w:val="clear" w:color="auto" w:fill="auto"/>
            <w:noWrap w:val="0"/>
            <w:tcMar>
              <w:top w:w="15" w:type="dxa"/>
              <w:left w:w="15" w:type="dxa"/>
              <w:right w:w="15" w:type="dxa"/>
            </w:tcMar>
            <w:vAlign w:val="center"/>
          </w:tcPr>
          <w:p w14:paraId="5E906E82">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台</w:t>
            </w:r>
          </w:p>
        </w:tc>
        <w:tc>
          <w:tcPr>
            <w:tcW w:w="517" w:type="pct"/>
            <w:shd w:val="clear" w:color="auto" w:fill="auto"/>
            <w:noWrap w:val="0"/>
            <w:tcMar>
              <w:top w:w="15" w:type="dxa"/>
              <w:left w:w="15" w:type="dxa"/>
              <w:right w:w="15" w:type="dxa"/>
            </w:tcMar>
            <w:vAlign w:val="center"/>
          </w:tcPr>
          <w:p w14:paraId="3095EB44">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7D8964D7">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629BD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2C336625">
            <w:pPr>
              <w:pageBreakBefore w:val="0"/>
              <w:widowControl/>
              <w:kinsoku/>
              <w:overflowPunct/>
              <w:topLinePunct w:val="0"/>
              <w:bidi w:val="0"/>
              <w:snapToGrid/>
              <w:spacing w:line="360" w:lineRule="auto"/>
              <w:jc w:val="center"/>
              <w:textAlignment w:val="center"/>
              <w:rPr>
                <w:rFonts w:hint="eastAsia"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4</w:t>
            </w:r>
          </w:p>
        </w:tc>
        <w:tc>
          <w:tcPr>
            <w:tcW w:w="565" w:type="pct"/>
            <w:shd w:val="clear" w:color="auto" w:fill="auto"/>
            <w:noWrap w:val="0"/>
            <w:tcMar>
              <w:top w:w="15" w:type="dxa"/>
              <w:left w:w="15" w:type="dxa"/>
              <w:right w:w="15" w:type="dxa"/>
            </w:tcMar>
            <w:vAlign w:val="center"/>
          </w:tcPr>
          <w:p w14:paraId="3838CEE9">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麦克风充电桩</w:t>
            </w:r>
          </w:p>
        </w:tc>
        <w:tc>
          <w:tcPr>
            <w:tcW w:w="2316" w:type="pct"/>
            <w:shd w:val="clear" w:color="auto" w:fill="FFFFFF"/>
            <w:noWrap w:val="0"/>
            <w:tcMar>
              <w:top w:w="15" w:type="dxa"/>
              <w:left w:w="15" w:type="dxa"/>
              <w:right w:w="15" w:type="dxa"/>
            </w:tcMar>
            <w:vAlign w:val="center"/>
          </w:tcPr>
          <w:p w14:paraId="48EAFE7F">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b w:val="0"/>
                <w:bCs w:val="0"/>
                <w:color w:val="auto"/>
                <w:sz w:val="24"/>
                <w:szCs w:val="24"/>
                <w:highlight w:val="none"/>
                <w:lang w:val="en-US" w:eastAsia="zh-CN" w:bidi="ar-SA"/>
              </w:rPr>
            </w:pPr>
            <w:r>
              <w:rPr>
                <w:rFonts w:hint="eastAsia" w:ascii="仿宋" w:hAnsi="仿宋" w:eastAsia="仿宋" w:cs="仿宋"/>
                <w:b w:val="0"/>
                <w:bCs w:val="0"/>
                <w:color w:val="auto"/>
                <w:sz w:val="24"/>
                <w:szCs w:val="24"/>
                <w:highlight w:val="none"/>
                <w:lang w:val="en-US" w:eastAsia="zh-CN" w:bidi="ar-SA"/>
              </w:rPr>
              <w:t>1、★</w:t>
            </w:r>
            <w:r>
              <w:rPr>
                <w:rFonts w:hint="eastAsia" w:ascii="仿宋" w:hAnsi="仿宋" w:eastAsia="仿宋" w:cs="仿宋"/>
                <w:i w:val="0"/>
                <w:iCs w:val="0"/>
                <w:color w:val="auto"/>
                <w:kern w:val="0"/>
                <w:sz w:val="24"/>
                <w:szCs w:val="24"/>
                <w:highlight w:val="none"/>
                <w:u w:val="none"/>
                <w:lang w:val="en-US" w:eastAsia="zh-CN" w:bidi="ar"/>
              </w:rPr>
              <w:t>麦克风充电桩</w:t>
            </w:r>
            <w:r>
              <w:rPr>
                <w:rFonts w:hint="eastAsia" w:ascii="仿宋" w:hAnsi="仿宋" w:eastAsia="仿宋" w:cs="仿宋"/>
                <w:b w:val="0"/>
                <w:bCs w:val="0"/>
                <w:color w:val="auto"/>
                <w:sz w:val="24"/>
                <w:szCs w:val="24"/>
                <w:highlight w:val="none"/>
                <w:lang w:val="en-US" w:eastAsia="zh-CN" w:bidi="ar-SA"/>
              </w:rPr>
              <w:t>具备紫外线消毒或消杀功能，且支持对两只麦克风同时使用和充电。</w:t>
            </w:r>
            <w:r>
              <w:rPr>
                <w:rFonts w:hint="eastAsia" w:ascii="仿宋" w:hAnsi="仿宋" w:eastAsia="仿宋" w:cs="仿宋"/>
                <w:color w:val="auto"/>
                <w:sz w:val="24"/>
                <w:szCs w:val="32"/>
                <w:highlight w:val="none"/>
                <w:lang w:eastAsia="zh-CN"/>
              </w:rPr>
              <w:t>（</w:t>
            </w:r>
            <w:r>
              <w:rPr>
                <w:rFonts w:hint="eastAsia" w:ascii="仿宋" w:hAnsi="仿宋" w:eastAsia="仿宋" w:cs="仿宋"/>
                <w:color w:val="auto"/>
                <w:sz w:val="24"/>
                <w:szCs w:val="32"/>
                <w:highlight w:val="none"/>
                <w:lang w:val="en-US" w:eastAsia="zh-CN"/>
              </w:rPr>
              <w:t>须提供第三方出具的具有CMA标识的检测/检验/试验/测试报告复印件并加盖公章或CNAS标识的检测/检验/试验/测试报告复印件并加盖公章）</w:t>
            </w:r>
          </w:p>
          <w:p w14:paraId="6ECA26CB">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2、●通过USB连接智能融合信息终端，支持查看麦克风充电和使用状态，并可设置麦克风归还语音提示。内置 DSP模块，支持自动增益控制、EQ音效调节、AFC 防啸叫功能，具备远近距离拾音切换按键。</w:t>
            </w:r>
          </w:p>
          <w:p w14:paraId="0D960C93">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highlight w:val="none"/>
                <w:lang w:val="en-US" w:eastAsia="zh-CN"/>
              </w:rPr>
            </w:pPr>
            <w:r>
              <w:rPr>
                <w:rFonts w:hint="eastAsia" w:ascii="仿宋" w:hAnsi="仿宋" w:eastAsia="仿宋" w:cs="仿宋"/>
                <w:color w:val="auto"/>
                <w:sz w:val="24"/>
                <w:szCs w:val="24"/>
                <w:highlight w:val="none"/>
                <w:lang w:val="en-US" w:eastAsia="zh-CN" w:bidi="ar"/>
              </w:rPr>
              <w:t>3、●内置麦克风自锁功能，通过远程、本地按键、微信扫码和IC卡刷卡多种方式进行解锁。</w:t>
            </w:r>
          </w:p>
        </w:tc>
        <w:tc>
          <w:tcPr>
            <w:tcW w:w="288" w:type="pct"/>
            <w:shd w:val="clear" w:color="auto" w:fill="auto"/>
            <w:noWrap w:val="0"/>
            <w:tcMar>
              <w:top w:w="15" w:type="dxa"/>
              <w:left w:w="15" w:type="dxa"/>
              <w:right w:w="15" w:type="dxa"/>
            </w:tcMar>
            <w:vAlign w:val="center"/>
          </w:tcPr>
          <w:p w14:paraId="07D20F12">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61</w:t>
            </w:r>
          </w:p>
        </w:tc>
        <w:tc>
          <w:tcPr>
            <w:tcW w:w="517" w:type="pct"/>
            <w:shd w:val="clear" w:color="auto" w:fill="auto"/>
            <w:noWrap w:val="0"/>
            <w:tcMar>
              <w:top w:w="15" w:type="dxa"/>
              <w:left w:w="15" w:type="dxa"/>
              <w:right w:w="15" w:type="dxa"/>
            </w:tcMar>
            <w:vAlign w:val="center"/>
          </w:tcPr>
          <w:p w14:paraId="32FA216E">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台</w:t>
            </w:r>
          </w:p>
        </w:tc>
        <w:tc>
          <w:tcPr>
            <w:tcW w:w="517" w:type="pct"/>
            <w:shd w:val="clear" w:color="auto" w:fill="auto"/>
            <w:noWrap w:val="0"/>
            <w:tcMar>
              <w:top w:w="15" w:type="dxa"/>
              <w:left w:w="15" w:type="dxa"/>
              <w:right w:w="15" w:type="dxa"/>
            </w:tcMar>
            <w:vAlign w:val="center"/>
          </w:tcPr>
          <w:p w14:paraId="7BA905BE">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4540AA06">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30AED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3D04A2AD">
            <w:pPr>
              <w:pageBreakBefore w:val="0"/>
              <w:widowControl/>
              <w:kinsoku/>
              <w:overflowPunct/>
              <w:topLinePunct w:val="0"/>
              <w:bidi w:val="0"/>
              <w:snapToGrid/>
              <w:spacing w:line="360" w:lineRule="auto"/>
              <w:jc w:val="center"/>
              <w:textAlignment w:val="center"/>
              <w:rPr>
                <w:rFonts w:hint="default"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5</w:t>
            </w:r>
          </w:p>
        </w:tc>
        <w:tc>
          <w:tcPr>
            <w:tcW w:w="565" w:type="pct"/>
            <w:shd w:val="clear" w:color="auto" w:fill="auto"/>
            <w:noWrap w:val="0"/>
            <w:tcMar>
              <w:top w:w="15" w:type="dxa"/>
              <w:left w:w="15" w:type="dxa"/>
              <w:right w:w="15" w:type="dxa"/>
            </w:tcMar>
            <w:vAlign w:val="center"/>
          </w:tcPr>
          <w:p w14:paraId="1F8CFCA9">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信息发布终端</w:t>
            </w:r>
          </w:p>
        </w:tc>
        <w:tc>
          <w:tcPr>
            <w:tcW w:w="2316" w:type="pct"/>
            <w:shd w:val="clear" w:color="auto" w:fill="FFFFFF"/>
            <w:noWrap w:val="0"/>
            <w:tcMar>
              <w:top w:w="15" w:type="dxa"/>
              <w:left w:w="15" w:type="dxa"/>
              <w:right w:w="15" w:type="dxa"/>
            </w:tcMar>
            <w:vAlign w:val="center"/>
          </w:tcPr>
          <w:p w14:paraId="29552953">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b w:val="0"/>
                <w:bCs w:val="0"/>
                <w:i w:val="0"/>
                <w:iCs w:val="0"/>
                <w:color w:val="auto"/>
                <w:kern w:val="2"/>
                <w:sz w:val="24"/>
                <w:szCs w:val="24"/>
                <w:highlight w:val="none"/>
                <w:u w:val="none"/>
                <w:lang w:val="en-US" w:eastAsia="zh-CN" w:bidi="ar-SA"/>
              </w:rPr>
              <w:t>1</w:t>
            </w:r>
            <w:r>
              <w:rPr>
                <w:rFonts w:hint="eastAsia" w:ascii="仿宋" w:hAnsi="仿宋" w:eastAsia="仿宋" w:cs="仿宋"/>
                <w:color w:val="auto"/>
                <w:sz w:val="24"/>
                <w:szCs w:val="24"/>
                <w:highlight w:val="none"/>
                <w:lang w:val="en-US" w:eastAsia="zh-CN" w:bidi="ar"/>
              </w:rPr>
              <w:t>、★支持POE/DC受电，具备≥1路HDMI输出接口、≥1路RS485接口、≥1个RJ45千兆网口、≥1路USB接口、≥1个IR接口、≥1路RS232接口、≥2个GPIO接口。支持H265、H264、MPEG4等视频解码，支持AAC、MPEG等音频解码。（须提供第三方出具的具有CMA标识的检测/检验/试验/测试报告复印件并加盖公章或CNAS标识的检测/检验/试验/测试报告复印件并加盖公章）</w:t>
            </w:r>
          </w:p>
          <w:p w14:paraId="68C2AA13">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2、具备一体化散热设计；支持通过web方式对设备进行配置；支持在线升级功能；支持红外学习/发送和HDMI CEC控制功能。</w:t>
            </w:r>
          </w:p>
          <w:p w14:paraId="20121F4F">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b w:val="0"/>
                <w:bCs w:val="0"/>
                <w:i w:val="0"/>
                <w:iCs w:val="0"/>
                <w:color w:val="auto"/>
                <w:kern w:val="2"/>
                <w:sz w:val="24"/>
                <w:szCs w:val="24"/>
                <w:highlight w:val="none"/>
                <w:u w:val="none"/>
                <w:lang w:val="en-US" w:eastAsia="zh-CN" w:bidi="ar-SA"/>
              </w:rPr>
            </w:pPr>
            <w:r>
              <w:rPr>
                <w:rFonts w:hint="eastAsia" w:ascii="仿宋" w:hAnsi="仿宋" w:eastAsia="仿宋" w:cs="仿宋"/>
                <w:color w:val="auto"/>
                <w:sz w:val="24"/>
                <w:szCs w:val="24"/>
                <w:highlight w:val="none"/>
                <w:lang w:val="en-US" w:eastAsia="zh-CN" w:bidi="ar"/>
              </w:rPr>
              <w:t>3、●配合学校现有的管理平台可实现音视频广播、图文发布等功能。</w:t>
            </w:r>
          </w:p>
        </w:tc>
        <w:tc>
          <w:tcPr>
            <w:tcW w:w="288" w:type="pct"/>
            <w:shd w:val="clear" w:color="auto" w:fill="auto"/>
            <w:noWrap w:val="0"/>
            <w:tcMar>
              <w:top w:w="15" w:type="dxa"/>
              <w:left w:w="15" w:type="dxa"/>
              <w:right w:w="15" w:type="dxa"/>
            </w:tcMar>
            <w:vAlign w:val="center"/>
          </w:tcPr>
          <w:p w14:paraId="54FD7520">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w:t>
            </w:r>
          </w:p>
        </w:tc>
        <w:tc>
          <w:tcPr>
            <w:tcW w:w="517" w:type="pct"/>
            <w:shd w:val="clear" w:color="auto" w:fill="auto"/>
            <w:noWrap w:val="0"/>
            <w:tcMar>
              <w:top w:w="15" w:type="dxa"/>
              <w:left w:w="15" w:type="dxa"/>
              <w:right w:w="15" w:type="dxa"/>
            </w:tcMar>
            <w:vAlign w:val="center"/>
          </w:tcPr>
          <w:p w14:paraId="055A8283">
            <w:pPr>
              <w:keepNext w:val="0"/>
              <w:keepLines w:val="0"/>
              <w:widowControl/>
              <w:suppressLineNumbers w:val="0"/>
              <w:jc w:val="center"/>
              <w:textAlignment w:val="center"/>
              <w:rPr>
                <w:rFonts w:hint="default"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台</w:t>
            </w:r>
          </w:p>
        </w:tc>
        <w:tc>
          <w:tcPr>
            <w:tcW w:w="517" w:type="pct"/>
            <w:shd w:val="clear" w:color="auto" w:fill="auto"/>
            <w:noWrap w:val="0"/>
            <w:tcMar>
              <w:top w:w="15" w:type="dxa"/>
              <w:left w:w="15" w:type="dxa"/>
              <w:right w:w="15" w:type="dxa"/>
            </w:tcMar>
            <w:vAlign w:val="center"/>
          </w:tcPr>
          <w:p w14:paraId="527E1ADD">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309DEC1D">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2E649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7C87003B">
            <w:pPr>
              <w:pageBreakBefore w:val="0"/>
              <w:widowControl/>
              <w:kinsoku/>
              <w:overflowPunct/>
              <w:topLinePunct w:val="0"/>
              <w:bidi w:val="0"/>
              <w:snapToGrid/>
              <w:spacing w:line="360" w:lineRule="auto"/>
              <w:jc w:val="center"/>
              <w:textAlignment w:val="center"/>
              <w:rPr>
                <w:rFonts w:hint="eastAsia"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5</w:t>
            </w:r>
          </w:p>
        </w:tc>
        <w:tc>
          <w:tcPr>
            <w:tcW w:w="565" w:type="pct"/>
            <w:shd w:val="clear" w:color="auto" w:fill="auto"/>
            <w:noWrap w:val="0"/>
            <w:tcMar>
              <w:top w:w="15" w:type="dxa"/>
              <w:left w:w="15" w:type="dxa"/>
              <w:right w:w="15" w:type="dxa"/>
            </w:tcMar>
            <w:vAlign w:val="center"/>
          </w:tcPr>
          <w:p w14:paraId="48FB4528">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有线麦克风</w:t>
            </w:r>
          </w:p>
        </w:tc>
        <w:tc>
          <w:tcPr>
            <w:tcW w:w="2316" w:type="pct"/>
            <w:shd w:val="clear" w:color="auto" w:fill="FFFFFF"/>
            <w:noWrap w:val="0"/>
            <w:tcMar>
              <w:top w:w="15" w:type="dxa"/>
              <w:left w:w="15" w:type="dxa"/>
              <w:right w:w="15" w:type="dxa"/>
            </w:tcMar>
            <w:vAlign w:val="center"/>
          </w:tcPr>
          <w:p w14:paraId="36D97D50">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1、具有抗手机信号干扰功能，鹅颈管与台式座可分离。麦克风拾音距离30—50cm，适合远距离拾音要求。</w:t>
            </w:r>
          </w:p>
          <w:p w14:paraId="62142280">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2、技术参数：</w:t>
            </w:r>
          </w:p>
          <w:p w14:paraId="15B8246E">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换能方式：电容式</w:t>
            </w:r>
          </w:p>
          <w:p w14:paraId="21FCDBA6">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频率响应：40Hz-16KHz</w:t>
            </w:r>
          </w:p>
          <w:p w14:paraId="705EE348">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灵敏度：-29dB±3 dB（@1KHz，0 dB=1v/Pa）</w:t>
            </w:r>
          </w:p>
          <w:p w14:paraId="06DA9700">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指向性：心形</w:t>
            </w:r>
          </w:p>
          <w:p w14:paraId="0667594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 xml:space="preserve">最大声压级：≥ 114 dB </w:t>
            </w:r>
          </w:p>
          <w:p w14:paraId="776A5109">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输出阻抗：≤100Ω</w:t>
            </w:r>
          </w:p>
          <w:p w14:paraId="312CA4A2">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供电：48V平衡幻象</w:t>
            </w:r>
          </w:p>
          <w:p w14:paraId="26F17F0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指示灯：红色LED</w:t>
            </w:r>
          </w:p>
          <w:p w14:paraId="5D8D3F38">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消耗电流：≤10mA</w:t>
            </w:r>
          </w:p>
          <w:p w14:paraId="5E318749">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输出接口：XLR公三针</w:t>
            </w:r>
          </w:p>
        </w:tc>
        <w:tc>
          <w:tcPr>
            <w:tcW w:w="288" w:type="pct"/>
            <w:shd w:val="clear" w:color="auto" w:fill="auto"/>
            <w:noWrap w:val="0"/>
            <w:tcMar>
              <w:top w:w="15" w:type="dxa"/>
              <w:left w:w="15" w:type="dxa"/>
              <w:right w:w="15" w:type="dxa"/>
            </w:tcMar>
            <w:vAlign w:val="center"/>
          </w:tcPr>
          <w:p w14:paraId="4952A2FA">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61</w:t>
            </w:r>
          </w:p>
        </w:tc>
        <w:tc>
          <w:tcPr>
            <w:tcW w:w="517" w:type="pct"/>
            <w:shd w:val="clear" w:color="auto" w:fill="auto"/>
            <w:noWrap w:val="0"/>
            <w:tcMar>
              <w:top w:w="15" w:type="dxa"/>
              <w:left w:w="15" w:type="dxa"/>
              <w:right w:w="15" w:type="dxa"/>
            </w:tcMar>
            <w:vAlign w:val="center"/>
          </w:tcPr>
          <w:p w14:paraId="253B7201">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支</w:t>
            </w:r>
          </w:p>
        </w:tc>
        <w:tc>
          <w:tcPr>
            <w:tcW w:w="517" w:type="pct"/>
            <w:shd w:val="clear" w:color="auto" w:fill="auto"/>
            <w:noWrap w:val="0"/>
            <w:tcMar>
              <w:top w:w="15" w:type="dxa"/>
              <w:left w:w="15" w:type="dxa"/>
              <w:right w:w="15" w:type="dxa"/>
            </w:tcMar>
            <w:vAlign w:val="center"/>
          </w:tcPr>
          <w:p w14:paraId="226FBD7B">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0ADB3E2E">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3E548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0" w:hRule="atLeast"/>
        </w:trPr>
        <w:tc>
          <w:tcPr>
            <w:tcW w:w="276" w:type="pct"/>
            <w:shd w:val="clear" w:color="auto" w:fill="FFFFFF"/>
            <w:noWrap w:val="0"/>
            <w:tcMar>
              <w:top w:w="15" w:type="dxa"/>
              <w:left w:w="15" w:type="dxa"/>
              <w:right w:w="15" w:type="dxa"/>
            </w:tcMar>
            <w:vAlign w:val="center"/>
          </w:tcPr>
          <w:p w14:paraId="0AA4DC0D">
            <w:pPr>
              <w:pageBreakBefore w:val="0"/>
              <w:widowControl/>
              <w:kinsoku/>
              <w:overflowPunct/>
              <w:topLinePunct w:val="0"/>
              <w:bidi w:val="0"/>
              <w:snapToGrid/>
              <w:spacing w:line="360" w:lineRule="auto"/>
              <w:jc w:val="center"/>
              <w:textAlignment w:val="center"/>
              <w:rPr>
                <w:rFonts w:hint="eastAsia"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6</w:t>
            </w:r>
          </w:p>
        </w:tc>
        <w:tc>
          <w:tcPr>
            <w:tcW w:w="565" w:type="pct"/>
            <w:shd w:val="clear" w:color="auto" w:fill="auto"/>
            <w:noWrap w:val="0"/>
            <w:tcMar>
              <w:top w:w="15" w:type="dxa"/>
              <w:left w:w="15" w:type="dxa"/>
              <w:right w:w="15" w:type="dxa"/>
            </w:tcMar>
            <w:vAlign w:val="center"/>
          </w:tcPr>
          <w:p w14:paraId="400FC38B">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音箱</w:t>
            </w:r>
          </w:p>
        </w:tc>
        <w:tc>
          <w:tcPr>
            <w:tcW w:w="2316" w:type="pct"/>
            <w:shd w:val="clear" w:color="auto" w:fill="auto"/>
            <w:noWrap w:val="0"/>
            <w:tcMar>
              <w:top w:w="15" w:type="dxa"/>
              <w:left w:w="15" w:type="dxa"/>
              <w:right w:w="15" w:type="dxa"/>
            </w:tcMar>
            <w:vAlign w:val="center"/>
          </w:tcPr>
          <w:p w14:paraId="04C039A2">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额定/峰值功率：≥80W/320 W。额定阻抗：8Ω。</w:t>
            </w:r>
          </w:p>
          <w:p w14:paraId="1323456B">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特性灵敏度：92dB/W/m。额定频率范围:50~20KHz。</w:t>
            </w:r>
          </w:p>
        </w:tc>
        <w:tc>
          <w:tcPr>
            <w:tcW w:w="288" w:type="pct"/>
            <w:shd w:val="clear" w:color="auto" w:fill="auto"/>
            <w:noWrap w:val="0"/>
            <w:tcMar>
              <w:top w:w="15" w:type="dxa"/>
              <w:left w:w="15" w:type="dxa"/>
              <w:right w:w="15" w:type="dxa"/>
            </w:tcMar>
            <w:vAlign w:val="center"/>
          </w:tcPr>
          <w:p w14:paraId="3FFCBEDA">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77</w:t>
            </w:r>
          </w:p>
        </w:tc>
        <w:tc>
          <w:tcPr>
            <w:tcW w:w="517" w:type="pct"/>
            <w:shd w:val="clear" w:color="auto" w:fill="auto"/>
            <w:noWrap w:val="0"/>
            <w:tcMar>
              <w:top w:w="15" w:type="dxa"/>
              <w:left w:w="15" w:type="dxa"/>
              <w:right w:w="15" w:type="dxa"/>
            </w:tcMar>
            <w:vAlign w:val="center"/>
          </w:tcPr>
          <w:p w14:paraId="6A6ED171">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对</w:t>
            </w:r>
          </w:p>
        </w:tc>
        <w:tc>
          <w:tcPr>
            <w:tcW w:w="517" w:type="pct"/>
            <w:shd w:val="clear" w:color="auto" w:fill="auto"/>
            <w:noWrap w:val="0"/>
            <w:tcMar>
              <w:top w:w="15" w:type="dxa"/>
              <w:left w:w="15" w:type="dxa"/>
              <w:right w:w="15" w:type="dxa"/>
            </w:tcMar>
            <w:vAlign w:val="center"/>
          </w:tcPr>
          <w:p w14:paraId="6EFBECD3">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7E639ECD">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2731F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0" w:hRule="atLeast"/>
        </w:trPr>
        <w:tc>
          <w:tcPr>
            <w:tcW w:w="276" w:type="pct"/>
            <w:shd w:val="clear" w:color="auto" w:fill="FFFFFF"/>
            <w:noWrap w:val="0"/>
            <w:tcMar>
              <w:top w:w="15" w:type="dxa"/>
              <w:left w:w="15" w:type="dxa"/>
              <w:right w:w="15" w:type="dxa"/>
            </w:tcMar>
            <w:vAlign w:val="center"/>
          </w:tcPr>
          <w:p w14:paraId="4BC3CAC2">
            <w:pPr>
              <w:pageBreakBefore w:val="0"/>
              <w:widowControl/>
              <w:kinsoku/>
              <w:overflowPunct/>
              <w:topLinePunct w:val="0"/>
              <w:bidi w:val="0"/>
              <w:snapToGrid/>
              <w:spacing w:line="360" w:lineRule="auto"/>
              <w:jc w:val="center"/>
              <w:textAlignment w:val="center"/>
              <w:rPr>
                <w:rFonts w:hint="default"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7</w:t>
            </w:r>
          </w:p>
        </w:tc>
        <w:tc>
          <w:tcPr>
            <w:tcW w:w="565" w:type="pct"/>
            <w:shd w:val="clear" w:color="auto" w:fill="auto"/>
            <w:noWrap w:val="0"/>
            <w:tcMar>
              <w:top w:w="15" w:type="dxa"/>
              <w:left w:w="15" w:type="dxa"/>
              <w:right w:w="15" w:type="dxa"/>
            </w:tcMar>
            <w:vAlign w:val="center"/>
          </w:tcPr>
          <w:p w14:paraId="25AA48E5">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音箱</w:t>
            </w:r>
          </w:p>
        </w:tc>
        <w:tc>
          <w:tcPr>
            <w:tcW w:w="2316" w:type="pct"/>
            <w:shd w:val="clear" w:color="auto" w:fill="auto"/>
            <w:noWrap w:val="0"/>
            <w:tcMar>
              <w:top w:w="15" w:type="dxa"/>
              <w:left w:w="15" w:type="dxa"/>
              <w:right w:w="15" w:type="dxa"/>
            </w:tcMar>
            <w:vAlign w:val="center"/>
          </w:tcPr>
          <w:p w14:paraId="3CF7C19D">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额定/峰值功率：≥100W /400 W；额定阻抗：  8Ω；</w:t>
            </w:r>
          </w:p>
          <w:p w14:paraId="10E0A26D">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特性灵敏度：92dB/W/m。额定频率范围:80~20KHz。</w:t>
            </w:r>
          </w:p>
        </w:tc>
        <w:tc>
          <w:tcPr>
            <w:tcW w:w="288" w:type="pct"/>
            <w:shd w:val="clear" w:color="auto" w:fill="auto"/>
            <w:noWrap w:val="0"/>
            <w:tcMar>
              <w:top w:w="15" w:type="dxa"/>
              <w:left w:w="15" w:type="dxa"/>
              <w:right w:w="15" w:type="dxa"/>
            </w:tcMar>
            <w:vAlign w:val="center"/>
          </w:tcPr>
          <w:p w14:paraId="07212440">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11</w:t>
            </w:r>
          </w:p>
        </w:tc>
        <w:tc>
          <w:tcPr>
            <w:tcW w:w="517" w:type="pct"/>
            <w:shd w:val="clear" w:color="auto" w:fill="auto"/>
            <w:noWrap w:val="0"/>
            <w:tcMar>
              <w:top w:w="15" w:type="dxa"/>
              <w:left w:w="15" w:type="dxa"/>
              <w:right w:w="15" w:type="dxa"/>
            </w:tcMar>
            <w:vAlign w:val="center"/>
          </w:tcPr>
          <w:p w14:paraId="7CFD373C">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对</w:t>
            </w:r>
          </w:p>
        </w:tc>
        <w:tc>
          <w:tcPr>
            <w:tcW w:w="517" w:type="pct"/>
            <w:shd w:val="clear" w:color="auto" w:fill="auto"/>
            <w:noWrap w:val="0"/>
            <w:tcMar>
              <w:top w:w="15" w:type="dxa"/>
              <w:left w:w="15" w:type="dxa"/>
              <w:right w:w="15" w:type="dxa"/>
            </w:tcMar>
            <w:vAlign w:val="center"/>
          </w:tcPr>
          <w:p w14:paraId="5376847A">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0663E927">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60FEC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64990E3B">
            <w:pPr>
              <w:pageBreakBefore w:val="0"/>
              <w:widowControl/>
              <w:kinsoku/>
              <w:overflowPunct/>
              <w:topLinePunct w:val="0"/>
              <w:bidi w:val="0"/>
              <w:snapToGrid/>
              <w:spacing w:line="360" w:lineRule="auto"/>
              <w:jc w:val="center"/>
              <w:textAlignment w:val="center"/>
              <w:rPr>
                <w:rFonts w:hint="eastAsia"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8</w:t>
            </w:r>
          </w:p>
        </w:tc>
        <w:tc>
          <w:tcPr>
            <w:tcW w:w="565" w:type="pct"/>
            <w:shd w:val="clear" w:color="auto" w:fill="auto"/>
            <w:noWrap w:val="0"/>
            <w:tcMar>
              <w:top w:w="15" w:type="dxa"/>
              <w:left w:w="15" w:type="dxa"/>
              <w:right w:w="15" w:type="dxa"/>
            </w:tcMar>
            <w:vAlign w:val="center"/>
          </w:tcPr>
          <w:p w14:paraId="15E9F7A0">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设备机柜</w:t>
            </w:r>
          </w:p>
        </w:tc>
        <w:tc>
          <w:tcPr>
            <w:tcW w:w="2316" w:type="pct"/>
            <w:shd w:val="clear" w:color="auto" w:fill="auto"/>
            <w:noWrap w:val="0"/>
            <w:tcMar>
              <w:top w:w="15" w:type="dxa"/>
              <w:left w:w="15" w:type="dxa"/>
              <w:right w:w="15" w:type="dxa"/>
            </w:tcMar>
            <w:vAlign w:val="center"/>
          </w:tcPr>
          <w:p w14:paraId="4A2A2A5E">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仿宋" w:hAnsi="仿宋" w:eastAsia="仿宋" w:cs="仿宋"/>
                <w:color w:val="auto"/>
                <w:sz w:val="24"/>
                <w:szCs w:val="24"/>
                <w:highlight w:val="none"/>
                <w:lang w:val="en-US" w:eastAsia="zh-CN" w:bidi="ar"/>
              </w:rPr>
            </w:pPr>
            <w:r>
              <w:rPr>
                <w:rFonts w:hint="default" w:ascii="仿宋" w:hAnsi="仿宋" w:eastAsia="仿宋" w:cs="仿宋"/>
                <w:color w:val="auto"/>
                <w:sz w:val="24"/>
                <w:szCs w:val="24"/>
                <w:highlight w:val="none"/>
                <w:lang w:val="en-US" w:eastAsia="zh-CN" w:bidi="ar"/>
              </w:rPr>
              <w:t>1、主体材料要求采用</w:t>
            </w:r>
            <w:r>
              <w:rPr>
                <w:rFonts w:hint="eastAsia" w:ascii="仿宋" w:hAnsi="仿宋" w:eastAsia="仿宋" w:cs="仿宋"/>
                <w:color w:val="auto"/>
                <w:sz w:val="24"/>
                <w:szCs w:val="24"/>
                <w:highlight w:val="none"/>
                <w:lang w:val="en-US" w:eastAsia="zh-CN" w:bidi="ar"/>
              </w:rPr>
              <w:t>1.0</w:t>
            </w:r>
            <w:r>
              <w:rPr>
                <w:rFonts w:hint="default" w:ascii="仿宋" w:hAnsi="仿宋" w:eastAsia="仿宋" w:cs="仿宋"/>
                <w:color w:val="auto"/>
                <w:sz w:val="24"/>
                <w:szCs w:val="24"/>
                <w:highlight w:val="none"/>
                <w:lang w:val="en-US" w:eastAsia="zh-CN" w:bidi="ar"/>
              </w:rPr>
              <w:t>-1.5mm冷轧钢板+高档实木橡木精制而成。要求侧面具有由机械锁控制的抽屉，抽屉可放置实物展台，承重≥</w:t>
            </w:r>
            <w:r>
              <w:rPr>
                <w:rFonts w:hint="eastAsia" w:ascii="仿宋" w:hAnsi="仿宋" w:eastAsia="仿宋" w:cs="仿宋"/>
                <w:color w:val="auto"/>
                <w:sz w:val="24"/>
                <w:szCs w:val="24"/>
                <w:highlight w:val="none"/>
                <w:lang w:val="en-US" w:eastAsia="zh-CN" w:bidi="ar"/>
              </w:rPr>
              <w:t>10</w:t>
            </w:r>
            <w:r>
              <w:rPr>
                <w:rFonts w:hint="default" w:ascii="仿宋" w:hAnsi="仿宋" w:eastAsia="仿宋" w:cs="仿宋"/>
                <w:color w:val="auto"/>
                <w:sz w:val="24"/>
                <w:szCs w:val="24"/>
                <w:highlight w:val="none"/>
                <w:lang w:val="en-US" w:eastAsia="zh-CN" w:bidi="ar"/>
              </w:rPr>
              <w:t>公斤，关闭后,实物展台隐藏在机柜内。</w:t>
            </w:r>
            <w:r>
              <w:rPr>
                <w:rFonts w:hint="eastAsia" w:ascii="仿宋" w:hAnsi="仿宋" w:eastAsia="仿宋" w:cs="仿宋"/>
                <w:color w:val="auto"/>
                <w:sz w:val="24"/>
                <w:szCs w:val="24"/>
                <w:highlight w:val="none"/>
                <w:lang w:val="en-US" w:eastAsia="zh-CN" w:bidi="ar"/>
              </w:rPr>
              <w:t>上方预留有出线口，侧面带有五孔电源插座，方便为外协设备供电。</w:t>
            </w:r>
          </w:p>
          <w:p w14:paraId="606DCE3D">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2</w:t>
            </w:r>
            <w:r>
              <w:rPr>
                <w:rFonts w:hint="default" w:ascii="仿宋" w:hAnsi="仿宋" w:eastAsia="仿宋" w:cs="仿宋"/>
                <w:color w:val="auto"/>
                <w:sz w:val="24"/>
                <w:szCs w:val="24"/>
                <w:highlight w:val="none"/>
                <w:lang w:val="en-US" w:eastAsia="zh-CN" w:bidi="ar"/>
              </w:rPr>
              <w:t>、</w:t>
            </w:r>
            <w:r>
              <w:rPr>
                <w:rFonts w:hint="eastAsia" w:ascii="仿宋" w:hAnsi="仿宋" w:eastAsia="仿宋" w:cs="仿宋"/>
                <w:color w:val="auto"/>
                <w:sz w:val="24"/>
                <w:szCs w:val="24"/>
                <w:highlight w:val="none"/>
                <w:lang w:val="en-US" w:eastAsia="zh-CN" w:bidi="ar"/>
              </w:rPr>
              <w:t>规格：1150mm*780mm*1000mm（长*宽*高）+200mm底座（高）。要求上柜尺寸1150*780*340mm，下柜尺寸810*630*660mm。</w:t>
            </w:r>
          </w:p>
          <w:p w14:paraId="19B5C2D6">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3、要求加印定制丝印logo。</w:t>
            </w:r>
          </w:p>
        </w:tc>
        <w:tc>
          <w:tcPr>
            <w:tcW w:w="288" w:type="pct"/>
            <w:shd w:val="clear" w:color="auto" w:fill="auto"/>
            <w:noWrap w:val="0"/>
            <w:tcMar>
              <w:top w:w="15" w:type="dxa"/>
              <w:left w:w="15" w:type="dxa"/>
              <w:right w:w="15" w:type="dxa"/>
            </w:tcMar>
            <w:vAlign w:val="center"/>
          </w:tcPr>
          <w:p w14:paraId="76A817B1">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47</w:t>
            </w:r>
          </w:p>
        </w:tc>
        <w:tc>
          <w:tcPr>
            <w:tcW w:w="517" w:type="pct"/>
            <w:shd w:val="clear" w:color="auto" w:fill="auto"/>
            <w:noWrap w:val="0"/>
            <w:tcMar>
              <w:top w:w="15" w:type="dxa"/>
              <w:left w:w="15" w:type="dxa"/>
              <w:right w:w="15" w:type="dxa"/>
            </w:tcMar>
            <w:vAlign w:val="center"/>
          </w:tcPr>
          <w:p w14:paraId="6A65EBD6">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个</w:t>
            </w:r>
          </w:p>
        </w:tc>
        <w:tc>
          <w:tcPr>
            <w:tcW w:w="517" w:type="pct"/>
            <w:shd w:val="clear" w:color="auto" w:fill="auto"/>
            <w:noWrap w:val="0"/>
            <w:tcMar>
              <w:top w:w="15" w:type="dxa"/>
              <w:left w:w="15" w:type="dxa"/>
              <w:right w:w="15" w:type="dxa"/>
            </w:tcMar>
            <w:vAlign w:val="center"/>
          </w:tcPr>
          <w:p w14:paraId="2321BF70">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64F38FB1">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215E0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69F77768">
            <w:pPr>
              <w:pageBreakBefore w:val="0"/>
              <w:widowControl/>
              <w:kinsoku/>
              <w:overflowPunct/>
              <w:topLinePunct w:val="0"/>
              <w:bidi w:val="0"/>
              <w:snapToGrid/>
              <w:spacing w:line="360" w:lineRule="auto"/>
              <w:jc w:val="center"/>
              <w:textAlignment w:val="center"/>
              <w:rPr>
                <w:rFonts w:hint="default"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9</w:t>
            </w:r>
          </w:p>
        </w:tc>
        <w:tc>
          <w:tcPr>
            <w:tcW w:w="565" w:type="pct"/>
            <w:shd w:val="clear" w:color="auto" w:fill="auto"/>
            <w:noWrap w:val="0"/>
            <w:tcMar>
              <w:top w:w="15" w:type="dxa"/>
              <w:left w:w="15" w:type="dxa"/>
              <w:right w:w="15" w:type="dxa"/>
            </w:tcMar>
            <w:vAlign w:val="center"/>
          </w:tcPr>
          <w:p w14:paraId="188AF502">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DP转HDMI线</w:t>
            </w:r>
          </w:p>
        </w:tc>
        <w:tc>
          <w:tcPr>
            <w:tcW w:w="2316" w:type="pct"/>
            <w:shd w:val="clear" w:color="auto" w:fill="auto"/>
            <w:noWrap w:val="0"/>
            <w:tcMar>
              <w:top w:w="15" w:type="dxa"/>
              <w:left w:w="15" w:type="dxa"/>
              <w:right w:w="15" w:type="dxa"/>
            </w:tcMar>
            <w:vAlign w:val="center"/>
          </w:tcPr>
          <w:p w14:paraId="7265630F">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2米音视频信号线，须传输信号稳定。</w:t>
            </w:r>
          </w:p>
        </w:tc>
        <w:tc>
          <w:tcPr>
            <w:tcW w:w="288" w:type="pct"/>
            <w:shd w:val="clear" w:color="auto" w:fill="auto"/>
            <w:noWrap w:val="0"/>
            <w:tcMar>
              <w:top w:w="15" w:type="dxa"/>
              <w:left w:w="15" w:type="dxa"/>
              <w:right w:w="15" w:type="dxa"/>
            </w:tcMar>
            <w:vAlign w:val="center"/>
          </w:tcPr>
          <w:p w14:paraId="2DA41030">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15</w:t>
            </w:r>
          </w:p>
        </w:tc>
        <w:tc>
          <w:tcPr>
            <w:tcW w:w="517" w:type="pct"/>
            <w:shd w:val="clear" w:color="auto" w:fill="auto"/>
            <w:noWrap w:val="0"/>
            <w:tcMar>
              <w:top w:w="15" w:type="dxa"/>
              <w:left w:w="15" w:type="dxa"/>
              <w:right w:w="15" w:type="dxa"/>
            </w:tcMar>
            <w:vAlign w:val="center"/>
          </w:tcPr>
          <w:p w14:paraId="65FB5BC5">
            <w:pPr>
              <w:keepNext w:val="0"/>
              <w:keepLines w:val="0"/>
              <w:widowControl/>
              <w:suppressLineNumbers w:val="0"/>
              <w:jc w:val="center"/>
              <w:textAlignment w:val="center"/>
              <w:rPr>
                <w:rFonts w:hint="default"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根</w:t>
            </w:r>
          </w:p>
        </w:tc>
        <w:tc>
          <w:tcPr>
            <w:tcW w:w="517" w:type="pct"/>
            <w:shd w:val="clear" w:color="auto" w:fill="auto"/>
            <w:noWrap w:val="0"/>
            <w:tcMar>
              <w:top w:w="15" w:type="dxa"/>
              <w:left w:w="15" w:type="dxa"/>
              <w:right w:w="15" w:type="dxa"/>
            </w:tcMar>
            <w:vAlign w:val="center"/>
          </w:tcPr>
          <w:p w14:paraId="78F14F36">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12561953">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7C5C7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0B2BFE61">
            <w:pPr>
              <w:pageBreakBefore w:val="0"/>
              <w:widowControl/>
              <w:kinsoku/>
              <w:overflowPunct/>
              <w:topLinePunct w:val="0"/>
              <w:bidi w:val="0"/>
              <w:snapToGrid/>
              <w:spacing w:line="360" w:lineRule="auto"/>
              <w:jc w:val="center"/>
              <w:textAlignment w:val="center"/>
              <w:rPr>
                <w:rFonts w:hint="default"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10</w:t>
            </w:r>
          </w:p>
        </w:tc>
        <w:tc>
          <w:tcPr>
            <w:tcW w:w="565" w:type="pct"/>
            <w:shd w:val="clear" w:color="auto" w:fill="auto"/>
            <w:noWrap w:val="0"/>
            <w:tcMar>
              <w:top w:w="15" w:type="dxa"/>
              <w:left w:w="15" w:type="dxa"/>
              <w:right w:w="15" w:type="dxa"/>
            </w:tcMar>
            <w:vAlign w:val="center"/>
          </w:tcPr>
          <w:p w14:paraId="2495627F">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HDMI线（10米）</w:t>
            </w:r>
          </w:p>
        </w:tc>
        <w:tc>
          <w:tcPr>
            <w:tcW w:w="2316" w:type="pct"/>
            <w:shd w:val="clear" w:color="auto" w:fill="auto"/>
            <w:noWrap w:val="0"/>
            <w:tcMar>
              <w:top w:w="15" w:type="dxa"/>
              <w:left w:w="15" w:type="dxa"/>
              <w:right w:w="15" w:type="dxa"/>
            </w:tcMar>
            <w:vAlign w:val="center"/>
          </w:tcPr>
          <w:p w14:paraId="6772DE3C">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10米音视频信号线，须传输信号稳定。</w:t>
            </w:r>
          </w:p>
        </w:tc>
        <w:tc>
          <w:tcPr>
            <w:tcW w:w="288" w:type="pct"/>
            <w:shd w:val="clear" w:color="auto" w:fill="auto"/>
            <w:noWrap w:val="0"/>
            <w:tcMar>
              <w:top w:w="15" w:type="dxa"/>
              <w:left w:w="15" w:type="dxa"/>
              <w:right w:w="15" w:type="dxa"/>
            </w:tcMar>
            <w:vAlign w:val="center"/>
          </w:tcPr>
          <w:p w14:paraId="509EFDD6">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110</w:t>
            </w:r>
          </w:p>
        </w:tc>
        <w:tc>
          <w:tcPr>
            <w:tcW w:w="517" w:type="pct"/>
            <w:shd w:val="clear" w:color="auto" w:fill="auto"/>
            <w:noWrap w:val="0"/>
            <w:tcMar>
              <w:top w:w="15" w:type="dxa"/>
              <w:left w:w="15" w:type="dxa"/>
              <w:right w:w="15" w:type="dxa"/>
            </w:tcMar>
            <w:vAlign w:val="center"/>
          </w:tcPr>
          <w:p w14:paraId="2232F236">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根</w:t>
            </w:r>
          </w:p>
        </w:tc>
        <w:tc>
          <w:tcPr>
            <w:tcW w:w="517" w:type="pct"/>
            <w:shd w:val="clear" w:color="auto" w:fill="auto"/>
            <w:noWrap w:val="0"/>
            <w:tcMar>
              <w:top w:w="15" w:type="dxa"/>
              <w:left w:w="15" w:type="dxa"/>
              <w:right w:w="15" w:type="dxa"/>
            </w:tcMar>
            <w:vAlign w:val="center"/>
          </w:tcPr>
          <w:p w14:paraId="3AA70DFB">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6C1BE849">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2649C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4BE4213E">
            <w:pPr>
              <w:pageBreakBefore w:val="0"/>
              <w:widowControl/>
              <w:kinsoku/>
              <w:overflowPunct/>
              <w:topLinePunct w:val="0"/>
              <w:bidi w:val="0"/>
              <w:snapToGrid/>
              <w:spacing w:line="360" w:lineRule="auto"/>
              <w:jc w:val="center"/>
              <w:textAlignment w:val="center"/>
              <w:rPr>
                <w:rFonts w:hint="default"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11</w:t>
            </w:r>
          </w:p>
        </w:tc>
        <w:tc>
          <w:tcPr>
            <w:tcW w:w="565" w:type="pct"/>
            <w:shd w:val="clear" w:color="auto" w:fill="auto"/>
            <w:noWrap w:val="0"/>
            <w:tcMar>
              <w:top w:w="15" w:type="dxa"/>
              <w:left w:w="15" w:type="dxa"/>
              <w:right w:w="15" w:type="dxa"/>
            </w:tcMar>
            <w:vAlign w:val="center"/>
          </w:tcPr>
          <w:p w14:paraId="3A92EB84">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HDMI线（2米）</w:t>
            </w:r>
          </w:p>
        </w:tc>
        <w:tc>
          <w:tcPr>
            <w:tcW w:w="2316" w:type="pct"/>
            <w:shd w:val="clear" w:color="auto" w:fill="auto"/>
            <w:noWrap w:val="0"/>
            <w:tcMar>
              <w:top w:w="15" w:type="dxa"/>
              <w:left w:w="15" w:type="dxa"/>
              <w:right w:w="15" w:type="dxa"/>
            </w:tcMar>
            <w:vAlign w:val="center"/>
          </w:tcPr>
          <w:p w14:paraId="3BF4FCDF">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2米音视频信号线，须传输信号稳定。</w:t>
            </w:r>
          </w:p>
        </w:tc>
        <w:tc>
          <w:tcPr>
            <w:tcW w:w="288" w:type="pct"/>
            <w:shd w:val="clear" w:color="auto" w:fill="auto"/>
            <w:noWrap w:val="0"/>
            <w:tcMar>
              <w:top w:w="15" w:type="dxa"/>
              <w:left w:w="15" w:type="dxa"/>
              <w:right w:w="15" w:type="dxa"/>
            </w:tcMar>
            <w:vAlign w:val="center"/>
          </w:tcPr>
          <w:p w14:paraId="4BB61D33">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65</w:t>
            </w:r>
          </w:p>
        </w:tc>
        <w:tc>
          <w:tcPr>
            <w:tcW w:w="517" w:type="pct"/>
            <w:shd w:val="clear" w:color="auto" w:fill="auto"/>
            <w:noWrap w:val="0"/>
            <w:tcMar>
              <w:top w:w="15" w:type="dxa"/>
              <w:left w:w="15" w:type="dxa"/>
              <w:right w:w="15" w:type="dxa"/>
            </w:tcMar>
            <w:vAlign w:val="center"/>
          </w:tcPr>
          <w:p w14:paraId="2F7C3FF0">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根</w:t>
            </w:r>
          </w:p>
        </w:tc>
        <w:tc>
          <w:tcPr>
            <w:tcW w:w="517" w:type="pct"/>
            <w:shd w:val="clear" w:color="auto" w:fill="auto"/>
            <w:noWrap w:val="0"/>
            <w:tcMar>
              <w:top w:w="15" w:type="dxa"/>
              <w:left w:w="15" w:type="dxa"/>
              <w:right w:w="15" w:type="dxa"/>
            </w:tcMar>
            <w:vAlign w:val="center"/>
          </w:tcPr>
          <w:p w14:paraId="4F435451">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164B75A6">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2C152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267F6190">
            <w:pPr>
              <w:pageBreakBefore w:val="0"/>
              <w:widowControl/>
              <w:kinsoku/>
              <w:overflowPunct/>
              <w:topLinePunct w:val="0"/>
              <w:bidi w:val="0"/>
              <w:snapToGrid/>
              <w:spacing w:line="360" w:lineRule="auto"/>
              <w:jc w:val="center"/>
              <w:textAlignment w:val="center"/>
              <w:rPr>
                <w:rFonts w:hint="default"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12</w:t>
            </w:r>
          </w:p>
        </w:tc>
        <w:tc>
          <w:tcPr>
            <w:tcW w:w="565" w:type="pct"/>
            <w:shd w:val="clear" w:color="auto" w:fill="auto"/>
            <w:noWrap w:val="0"/>
            <w:tcMar>
              <w:top w:w="15" w:type="dxa"/>
              <w:left w:w="15" w:type="dxa"/>
              <w:right w:w="15" w:type="dxa"/>
            </w:tcMar>
            <w:vAlign w:val="center"/>
          </w:tcPr>
          <w:p w14:paraId="0E645E8F">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电源线</w:t>
            </w:r>
          </w:p>
        </w:tc>
        <w:tc>
          <w:tcPr>
            <w:tcW w:w="2316" w:type="pct"/>
            <w:shd w:val="clear" w:color="auto" w:fill="auto"/>
            <w:noWrap w:val="0"/>
            <w:tcMar>
              <w:top w:w="15" w:type="dxa"/>
              <w:left w:w="15" w:type="dxa"/>
              <w:right w:w="15" w:type="dxa"/>
            </w:tcMar>
            <w:vAlign w:val="center"/>
          </w:tcPr>
          <w:p w14:paraId="3F952DB4">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3*2.5平方毫米铜芯电源线，每盘长度不低于100米。</w:t>
            </w:r>
          </w:p>
        </w:tc>
        <w:tc>
          <w:tcPr>
            <w:tcW w:w="288" w:type="pct"/>
            <w:shd w:val="clear" w:color="auto" w:fill="auto"/>
            <w:noWrap w:val="0"/>
            <w:tcMar>
              <w:top w:w="15" w:type="dxa"/>
              <w:left w:w="15" w:type="dxa"/>
              <w:right w:w="15" w:type="dxa"/>
            </w:tcMar>
            <w:vAlign w:val="center"/>
          </w:tcPr>
          <w:p w14:paraId="698DCFBB">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3</w:t>
            </w:r>
          </w:p>
        </w:tc>
        <w:tc>
          <w:tcPr>
            <w:tcW w:w="517" w:type="pct"/>
            <w:shd w:val="clear" w:color="auto" w:fill="auto"/>
            <w:noWrap w:val="0"/>
            <w:tcMar>
              <w:top w:w="15" w:type="dxa"/>
              <w:left w:w="15" w:type="dxa"/>
              <w:right w:w="15" w:type="dxa"/>
            </w:tcMar>
            <w:vAlign w:val="center"/>
          </w:tcPr>
          <w:p w14:paraId="1752F00E">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盘</w:t>
            </w:r>
          </w:p>
        </w:tc>
        <w:tc>
          <w:tcPr>
            <w:tcW w:w="517" w:type="pct"/>
            <w:shd w:val="clear" w:color="auto" w:fill="auto"/>
            <w:noWrap w:val="0"/>
            <w:tcMar>
              <w:top w:w="15" w:type="dxa"/>
              <w:left w:w="15" w:type="dxa"/>
              <w:right w:w="15" w:type="dxa"/>
            </w:tcMar>
            <w:vAlign w:val="center"/>
          </w:tcPr>
          <w:p w14:paraId="6F62771A">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5C9209AC">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13999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78935012">
            <w:pPr>
              <w:pageBreakBefore w:val="0"/>
              <w:widowControl/>
              <w:kinsoku/>
              <w:overflowPunct/>
              <w:topLinePunct w:val="0"/>
              <w:bidi w:val="0"/>
              <w:snapToGrid/>
              <w:spacing w:line="360" w:lineRule="auto"/>
              <w:jc w:val="center"/>
              <w:textAlignment w:val="center"/>
              <w:rPr>
                <w:rFonts w:hint="default"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13</w:t>
            </w:r>
          </w:p>
        </w:tc>
        <w:tc>
          <w:tcPr>
            <w:tcW w:w="565" w:type="pct"/>
            <w:shd w:val="clear" w:color="auto" w:fill="auto"/>
            <w:noWrap w:val="0"/>
            <w:tcMar>
              <w:top w:w="15" w:type="dxa"/>
              <w:left w:w="15" w:type="dxa"/>
              <w:right w:w="15" w:type="dxa"/>
            </w:tcMar>
            <w:vAlign w:val="center"/>
          </w:tcPr>
          <w:p w14:paraId="4ECC40C8">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电源线</w:t>
            </w:r>
          </w:p>
        </w:tc>
        <w:tc>
          <w:tcPr>
            <w:tcW w:w="2316" w:type="pct"/>
            <w:shd w:val="clear" w:color="auto" w:fill="FFFFFF"/>
            <w:noWrap w:val="0"/>
            <w:tcMar>
              <w:top w:w="15" w:type="dxa"/>
              <w:left w:w="15" w:type="dxa"/>
              <w:right w:w="15" w:type="dxa"/>
            </w:tcMar>
            <w:vAlign w:val="center"/>
          </w:tcPr>
          <w:p w14:paraId="1C20AB1E">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3*1.5平方毫米铜芯电源线，每盘长度不低于100米。</w:t>
            </w:r>
          </w:p>
        </w:tc>
        <w:tc>
          <w:tcPr>
            <w:tcW w:w="288" w:type="pct"/>
            <w:shd w:val="clear" w:color="auto" w:fill="auto"/>
            <w:noWrap w:val="0"/>
            <w:tcMar>
              <w:top w:w="15" w:type="dxa"/>
              <w:left w:w="15" w:type="dxa"/>
              <w:right w:w="15" w:type="dxa"/>
            </w:tcMar>
            <w:vAlign w:val="center"/>
          </w:tcPr>
          <w:p w14:paraId="779614D3">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2</w:t>
            </w:r>
          </w:p>
        </w:tc>
        <w:tc>
          <w:tcPr>
            <w:tcW w:w="517" w:type="pct"/>
            <w:shd w:val="clear" w:color="auto" w:fill="auto"/>
            <w:noWrap w:val="0"/>
            <w:tcMar>
              <w:top w:w="15" w:type="dxa"/>
              <w:left w:w="15" w:type="dxa"/>
              <w:right w:w="15" w:type="dxa"/>
            </w:tcMar>
            <w:vAlign w:val="center"/>
          </w:tcPr>
          <w:p w14:paraId="707895FA">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盘</w:t>
            </w:r>
          </w:p>
        </w:tc>
        <w:tc>
          <w:tcPr>
            <w:tcW w:w="517" w:type="pct"/>
            <w:shd w:val="clear" w:color="auto" w:fill="auto"/>
            <w:noWrap w:val="0"/>
            <w:tcMar>
              <w:top w:w="15" w:type="dxa"/>
              <w:left w:w="15" w:type="dxa"/>
              <w:right w:w="15" w:type="dxa"/>
            </w:tcMar>
            <w:vAlign w:val="center"/>
          </w:tcPr>
          <w:p w14:paraId="58DB78B1">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1D371ACE">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6540B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3A699C33">
            <w:pPr>
              <w:pageBreakBefore w:val="0"/>
              <w:widowControl/>
              <w:kinsoku/>
              <w:overflowPunct/>
              <w:topLinePunct w:val="0"/>
              <w:bidi w:val="0"/>
              <w:snapToGrid/>
              <w:spacing w:line="360" w:lineRule="auto"/>
              <w:jc w:val="center"/>
              <w:textAlignment w:val="center"/>
              <w:rPr>
                <w:rFonts w:hint="default"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14</w:t>
            </w:r>
          </w:p>
        </w:tc>
        <w:tc>
          <w:tcPr>
            <w:tcW w:w="565" w:type="pct"/>
            <w:shd w:val="clear" w:color="auto" w:fill="auto"/>
            <w:noWrap w:val="0"/>
            <w:tcMar>
              <w:top w:w="15" w:type="dxa"/>
              <w:left w:w="15" w:type="dxa"/>
              <w:right w:w="15" w:type="dxa"/>
            </w:tcMar>
            <w:vAlign w:val="center"/>
          </w:tcPr>
          <w:p w14:paraId="6A8D2821">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电源线</w:t>
            </w:r>
          </w:p>
        </w:tc>
        <w:tc>
          <w:tcPr>
            <w:tcW w:w="2316" w:type="pct"/>
            <w:shd w:val="clear" w:color="auto" w:fill="FFFFFF"/>
            <w:noWrap w:val="0"/>
            <w:tcMar>
              <w:top w:w="15" w:type="dxa"/>
              <w:left w:w="15" w:type="dxa"/>
              <w:right w:w="15" w:type="dxa"/>
            </w:tcMar>
            <w:vAlign w:val="center"/>
          </w:tcPr>
          <w:p w14:paraId="3777D6ED">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2*1.0平方毫米铜芯电源线，每盘长度不低于100米。</w:t>
            </w:r>
          </w:p>
        </w:tc>
        <w:tc>
          <w:tcPr>
            <w:tcW w:w="288" w:type="pct"/>
            <w:shd w:val="clear" w:color="auto" w:fill="auto"/>
            <w:noWrap w:val="0"/>
            <w:tcMar>
              <w:top w:w="15" w:type="dxa"/>
              <w:left w:w="15" w:type="dxa"/>
              <w:right w:w="15" w:type="dxa"/>
            </w:tcMar>
            <w:vAlign w:val="center"/>
          </w:tcPr>
          <w:p w14:paraId="277959ED">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12</w:t>
            </w:r>
          </w:p>
        </w:tc>
        <w:tc>
          <w:tcPr>
            <w:tcW w:w="517" w:type="pct"/>
            <w:shd w:val="clear" w:color="auto" w:fill="auto"/>
            <w:noWrap w:val="0"/>
            <w:tcMar>
              <w:top w:w="15" w:type="dxa"/>
              <w:left w:w="15" w:type="dxa"/>
              <w:right w:w="15" w:type="dxa"/>
            </w:tcMar>
            <w:vAlign w:val="center"/>
          </w:tcPr>
          <w:p w14:paraId="7463DEBB">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盘</w:t>
            </w:r>
          </w:p>
        </w:tc>
        <w:tc>
          <w:tcPr>
            <w:tcW w:w="517" w:type="pct"/>
            <w:shd w:val="clear" w:color="auto" w:fill="auto"/>
            <w:noWrap w:val="0"/>
            <w:tcMar>
              <w:top w:w="15" w:type="dxa"/>
              <w:left w:w="15" w:type="dxa"/>
              <w:right w:w="15" w:type="dxa"/>
            </w:tcMar>
            <w:vAlign w:val="center"/>
          </w:tcPr>
          <w:p w14:paraId="6106ACA7">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760C7627">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56651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15F81F0A">
            <w:pPr>
              <w:pageBreakBefore w:val="0"/>
              <w:widowControl/>
              <w:kinsoku/>
              <w:overflowPunct/>
              <w:topLinePunct w:val="0"/>
              <w:bidi w:val="0"/>
              <w:snapToGrid/>
              <w:spacing w:line="360" w:lineRule="auto"/>
              <w:jc w:val="center"/>
              <w:textAlignment w:val="center"/>
              <w:rPr>
                <w:rFonts w:hint="default"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15</w:t>
            </w:r>
          </w:p>
        </w:tc>
        <w:tc>
          <w:tcPr>
            <w:tcW w:w="565" w:type="pct"/>
            <w:shd w:val="clear" w:color="auto" w:fill="auto"/>
            <w:noWrap w:val="0"/>
            <w:tcMar>
              <w:top w:w="15" w:type="dxa"/>
              <w:left w:w="15" w:type="dxa"/>
              <w:right w:w="15" w:type="dxa"/>
            </w:tcMar>
            <w:vAlign w:val="center"/>
          </w:tcPr>
          <w:p w14:paraId="61C1C2CB">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网线</w:t>
            </w:r>
          </w:p>
        </w:tc>
        <w:tc>
          <w:tcPr>
            <w:tcW w:w="2316" w:type="pct"/>
            <w:shd w:val="clear" w:color="auto" w:fill="FFFFFF"/>
            <w:noWrap w:val="0"/>
            <w:tcMar>
              <w:top w:w="15" w:type="dxa"/>
              <w:left w:w="15" w:type="dxa"/>
              <w:right w:w="15" w:type="dxa"/>
            </w:tcMar>
            <w:vAlign w:val="center"/>
          </w:tcPr>
          <w:p w14:paraId="75971E0D">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六类网线，每箱长度不低于300米，须传输信号稳定。</w:t>
            </w:r>
          </w:p>
        </w:tc>
        <w:tc>
          <w:tcPr>
            <w:tcW w:w="288" w:type="pct"/>
            <w:shd w:val="clear" w:color="auto" w:fill="auto"/>
            <w:noWrap w:val="0"/>
            <w:tcMar>
              <w:top w:w="15" w:type="dxa"/>
              <w:left w:w="15" w:type="dxa"/>
              <w:right w:w="15" w:type="dxa"/>
            </w:tcMar>
            <w:vAlign w:val="center"/>
          </w:tcPr>
          <w:p w14:paraId="6A073BD5">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2"/>
                <w:sz w:val="24"/>
                <w:szCs w:val="24"/>
                <w:highlight w:val="none"/>
                <w:u w:val="none"/>
                <w:lang w:val="en-US" w:eastAsia="zh-CN" w:bidi="ar-SA"/>
              </w:rPr>
              <w:t>3</w:t>
            </w:r>
          </w:p>
        </w:tc>
        <w:tc>
          <w:tcPr>
            <w:tcW w:w="517" w:type="pct"/>
            <w:shd w:val="clear" w:color="auto" w:fill="auto"/>
            <w:noWrap w:val="0"/>
            <w:tcMar>
              <w:top w:w="15" w:type="dxa"/>
              <w:left w:w="15" w:type="dxa"/>
              <w:right w:w="15" w:type="dxa"/>
            </w:tcMar>
            <w:vAlign w:val="center"/>
          </w:tcPr>
          <w:p w14:paraId="72DCECA2">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箱</w:t>
            </w:r>
          </w:p>
        </w:tc>
        <w:tc>
          <w:tcPr>
            <w:tcW w:w="517" w:type="pct"/>
            <w:shd w:val="clear" w:color="auto" w:fill="auto"/>
            <w:noWrap w:val="0"/>
            <w:tcMar>
              <w:top w:w="15" w:type="dxa"/>
              <w:left w:w="15" w:type="dxa"/>
              <w:right w:w="15" w:type="dxa"/>
            </w:tcMar>
            <w:vAlign w:val="center"/>
          </w:tcPr>
          <w:p w14:paraId="7767F4B5">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2A4529CC">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13486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3CB3204A">
            <w:pPr>
              <w:pageBreakBefore w:val="0"/>
              <w:widowControl/>
              <w:kinsoku/>
              <w:overflowPunct/>
              <w:topLinePunct w:val="0"/>
              <w:bidi w:val="0"/>
              <w:snapToGrid/>
              <w:spacing w:line="360" w:lineRule="auto"/>
              <w:jc w:val="center"/>
              <w:textAlignment w:val="center"/>
              <w:rPr>
                <w:rFonts w:hint="default" w:ascii="仿宋" w:hAnsi="仿宋" w:eastAsia="仿宋" w:cs="仿宋"/>
                <w:b w:val="0"/>
                <w:bCs/>
                <w:color w:val="auto"/>
                <w:kern w:val="0"/>
                <w:sz w:val="24"/>
                <w:szCs w:val="24"/>
                <w:highlight w:val="none"/>
                <w:lang w:val="en-US" w:eastAsia="zh-CN" w:bidi="ar"/>
              </w:rPr>
            </w:pPr>
            <w:r>
              <w:rPr>
                <w:rFonts w:hint="eastAsia" w:ascii="仿宋" w:hAnsi="仿宋" w:eastAsia="仿宋" w:cs="仿宋"/>
                <w:b w:val="0"/>
                <w:bCs/>
                <w:color w:val="auto"/>
                <w:kern w:val="0"/>
                <w:sz w:val="24"/>
                <w:szCs w:val="24"/>
                <w:highlight w:val="none"/>
                <w:lang w:val="en-US" w:eastAsia="zh-CN" w:bidi="ar"/>
              </w:rPr>
              <w:t>16</w:t>
            </w:r>
          </w:p>
        </w:tc>
        <w:tc>
          <w:tcPr>
            <w:tcW w:w="565" w:type="pct"/>
            <w:shd w:val="clear" w:color="auto" w:fill="auto"/>
            <w:noWrap w:val="0"/>
            <w:tcMar>
              <w:top w:w="15" w:type="dxa"/>
              <w:left w:w="15" w:type="dxa"/>
              <w:right w:w="15" w:type="dxa"/>
            </w:tcMar>
            <w:vAlign w:val="center"/>
          </w:tcPr>
          <w:p w14:paraId="09DEE8A3">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插排</w:t>
            </w:r>
          </w:p>
        </w:tc>
        <w:tc>
          <w:tcPr>
            <w:tcW w:w="2316" w:type="pct"/>
            <w:shd w:val="clear" w:color="auto" w:fill="FFFFFF"/>
            <w:noWrap w:val="0"/>
            <w:tcMar>
              <w:top w:w="15" w:type="dxa"/>
              <w:left w:w="15" w:type="dxa"/>
              <w:right w:w="15" w:type="dxa"/>
            </w:tcMar>
            <w:vAlign w:val="center"/>
          </w:tcPr>
          <w:p w14:paraId="3093D8FF">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5孔10位，国标插排。</w:t>
            </w:r>
          </w:p>
        </w:tc>
        <w:tc>
          <w:tcPr>
            <w:tcW w:w="288" w:type="pct"/>
            <w:shd w:val="clear" w:color="auto" w:fill="auto"/>
            <w:noWrap w:val="0"/>
            <w:tcMar>
              <w:top w:w="15" w:type="dxa"/>
              <w:left w:w="15" w:type="dxa"/>
              <w:right w:w="15" w:type="dxa"/>
            </w:tcMar>
            <w:vAlign w:val="center"/>
          </w:tcPr>
          <w:p w14:paraId="79A05D8E">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60</w:t>
            </w:r>
          </w:p>
        </w:tc>
        <w:tc>
          <w:tcPr>
            <w:tcW w:w="517" w:type="pct"/>
            <w:shd w:val="clear" w:color="auto" w:fill="auto"/>
            <w:noWrap w:val="0"/>
            <w:tcMar>
              <w:top w:w="15" w:type="dxa"/>
              <w:left w:w="15" w:type="dxa"/>
              <w:right w:w="15" w:type="dxa"/>
            </w:tcMar>
            <w:vAlign w:val="center"/>
          </w:tcPr>
          <w:p w14:paraId="132146B6">
            <w:pPr>
              <w:keepNext w:val="0"/>
              <w:keepLines w:val="0"/>
              <w:widowControl/>
              <w:suppressLineNumbers w:val="0"/>
              <w:jc w:val="center"/>
              <w:textAlignment w:val="center"/>
              <w:rPr>
                <w:rFonts w:hint="eastAsia" w:ascii="仿宋" w:hAnsi="仿宋" w:eastAsia="仿宋" w:cs="仿宋"/>
                <w:i w:val="0"/>
                <w:iCs w:val="0"/>
                <w:color w:val="auto"/>
                <w:kern w:val="2"/>
                <w:sz w:val="24"/>
                <w:szCs w:val="24"/>
                <w:highlight w:val="none"/>
                <w:u w:val="none"/>
                <w:lang w:val="en-US" w:eastAsia="zh-CN" w:bidi="ar-SA"/>
              </w:rPr>
            </w:pPr>
            <w:r>
              <w:rPr>
                <w:rFonts w:hint="eastAsia" w:ascii="仿宋" w:hAnsi="仿宋" w:eastAsia="仿宋" w:cs="仿宋"/>
                <w:i w:val="0"/>
                <w:iCs w:val="0"/>
                <w:color w:val="auto"/>
                <w:kern w:val="0"/>
                <w:sz w:val="24"/>
                <w:szCs w:val="24"/>
                <w:highlight w:val="none"/>
                <w:u w:val="none"/>
                <w:lang w:val="en-US" w:eastAsia="zh-CN" w:bidi="ar"/>
              </w:rPr>
              <w:t>个</w:t>
            </w:r>
          </w:p>
        </w:tc>
        <w:tc>
          <w:tcPr>
            <w:tcW w:w="517" w:type="pct"/>
            <w:shd w:val="clear" w:color="auto" w:fill="auto"/>
            <w:noWrap w:val="0"/>
            <w:tcMar>
              <w:top w:w="15" w:type="dxa"/>
              <w:left w:w="15" w:type="dxa"/>
              <w:right w:w="15" w:type="dxa"/>
            </w:tcMar>
            <w:vAlign w:val="center"/>
          </w:tcPr>
          <w:p w14:paraId="05CB46E7">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704DC0F7">
            <w:pPr>
              <w:keepNext w:val="0"/>
              <w:keepLines w:val="0"/>
              <w:widowControl/>
              <w:suppressLineNumbers w:val="0"/>
              <w:jc w:val="center"/>
              <w:textAlignment w:val="center"/>
              <w:rPr>
                <w:rFonts w:hint="eastAsia" w:ascii="仿宋" w:hAnsi="仿宋" w:eastAsia="仿宋" w:cs="仿宋"/>
                <w:i w:val="0"/>
                <w:iCs w:val="0"/>
                <w:color w:val="auto"/>
                <w:kern w:val="0"/>
                <w:sz w:val="24"/>
                <w:szCs w:val="24"/>
                <w:highlight w:val="none"/>
                <w:u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r>
      <w:tr w14:paraId="1561C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 w:hRule="atLeast"/>
        </w:trPr>
        <w:tc>
          <w:tcPr>
            <w:tcW w:w="276" w:type="pct"/>
            <w:shd w:val="clear" w:color="auto" w:fill="FFFFFF"/>
            <w:noWrap w:val="0"/>
            <w:tcMar>
              <w:top w:w="15" w:type="dxa"/>
              <w:left w:w="15" w:type="dxa"/>
              <w:right w:w="15" w:type="dxa"/>
            </w:tcMar>
            <w:vAlign w:val="center"/>
          </w:tcPr>
          <w:p w14:paraId="380B77D2">
            <w:pPr>
              <w:pageBreakBefore w:val="0"/>
              <w:widowControl/>
              <w:kinsoku/>
              <w:overflowPunct/>
              <w:topLinePunct w:val="0"/>
              <w:bidi w:val="0"/>
              <w:snapToGrid/>
              <w:spacing w:line="360" w:lineRule="auto"/>
              <w:jc w:val="center"/>
              <w:textAlignment w:val="center"/>
              <w:rPr>
                <w:rFonts w:hint="default"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17</w:t>
            </w:r>
          </w:p>
        </w:tc>
        <w:tc>
          <w:tcPr>
            <w:tcW w:w="565" w:type="pct"/>
            <w:shd w:val="clear" w:color="auto" w:fill="auto"/>
            <w:noWrap w:val="0"/>
            <w:tcMar>
              <w:top w:w="15" w:type="dxa"/>
              <w:left w:w="15" w:type="dxa"/>
              <w:right w:w="15" w:type="dxa"/>
            </w:tcMar>
            <w:vAlign w:val="center"/>
          </w:tcPr>
          <w:p w14:paraId="3B9B1491">
            <w:pPr>
              <w:keepNext w:val="0"/>
              <w:keepLines w:val="0"/>
              <w:widowControl/>
              <w:suppressLineNumbers w:val="0"/>
              <w:jc w:val="center"/>
              <w:textAlignment w:val="center"/>
              <w:rPr>
                <w:rFonts w:hint="default"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投影机</w:t>
            </w:r>
          </w:p>
        </w:tc>
        <w:tc>
          <w:tcPr>
            <w:tcW w:w="2316" w:type="pct"/>
            <w:shd w:val="clear" w:color="auto" w:fill="FFFFFF"/>
            <w:noWrap w:val="0"/>
            <w:tcMar>
              <w:top w:w="15" w:type="dxa"/>
              <w:left w:w="15" w:type="dxa"/>
              <w:right w:w="15" w:type="dxa"/>
            </w:tcMar>
            <w:vAlign w:val="center"/>
          </w:tcPr>
          <w:p w14:paraId="20A85CB4">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1、★投影/显示系统：DLP；芯片尺寸：≥0.67"；光源类型：激光；亮度≥7500lm；分辨率：≥1920×1200。（须提供第三方出具的具有CMA标识的检测/检验/试验/测试报告复印件并加盖公章或CNAS标识的检测/检验/试验/测试报告复印件并加盖公章）</w:t>
            </w:r>
          </w:p>
          <w:p w14:paraId="6ED378F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2、显示模式需要包含：中国红、标准、明亮、HDR、高光 、DICOM  SIM、影院 、sRGB 、 用户、融合、 3D 、2D高速等模式。</w:t>
            </w:r>
          </w:p>
          <w:p w14:paraId="3BC94977">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3、●显示比例需至少包含：4:3、16:9、16:10、Auto、LBX、Native、16:6、2.35:1；分辨率兼容 4096x2160，3840x2160，1920×1080，1280×800，1024×768；</w:t>
            </w:r>
          </w:p>
          <w:p w14:paraId="35DFF39C">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4、原厂电动镜头，投射比：1.2-2.0，镜头支持电动位移/聚焦/变焦功能，镜头位移范围：H≥ +/-30% ，V≥ +/-100% 。</w:t>
            </w:r>
          </w:p>
          <w:p w14:paraId="2731F1E6">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5、●输入接口：HDMI (V2.0兼容4K支持HDCP ≥2、Audio≥1、3D-Sync≥1 、HDBaseT≥1 ；控制接口：RJ45≥1（用于网络控制）、RS232≥1、Wired IR≥1 ；输出接口：USB-A≥1、3D-Sync ≥1、12V 触发器 ≥1。</w:t>
            </w:r>
          </w:p>
          <w:p w14:paraId="316BCEA6">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6、●远心架构平台设计；具有光源备份技术，保证其中一激光器停止工作显示画面也可正常显示。</w:t>
            </w:r>
          </w:p>
          <w:p w14:paraId="35CDBE3E">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7、●具备色彩调整功能：可调颜色包括：红色、洋红色、绿色、蓝色、白色、青色、黄色。通过调整图像的各个颜色分量来改变投影图像的颜色。支持不少于7种颜色HSG色彩调整，可解决多台机器出现的色差。</w:t>
            </w:r>
          </w:p>
          <w:p w14:paraId="6F7757D3">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8、支持720度安装,支持垂直安装，7*24小时不间断连续工作，可远程锁定投影机、通过授权时间自动上锁。网络集中控制支持AMX、Telnet、Crestron、PJ-Link协议、HTTP。</w:t>
            </w:r>
          </w:p>
          <w:p w14:paraId="6B250B39">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9、●光学系统防尘等级IP6X，整机防尘IP5X。</w:t>
            </w:r>
          </w:p>
          <w:p w14:paraId="1AB103CF">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10、●具有运行时日志存储功能，可快速读取查看错误日志并进行数据分析。</w:t>
            </w:r>
          </w:p>
          <w:p w14:paraId="3727DC30">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仿宋" w:hAnsi="仿宋" w:eastAsia="仿宋" w:cs="仿宋"/>
                <w:color w:val="auto"/>
                <w:sz w:val="24"/>
                <w:szCs w:val="24"/>
                <w:highlight w:val="none"/>
                <w:lang w:val="en-US" w:eastAsia="zh-CN" w:bidi="ar"/>
              </w:rPr>
            </w:pPr>
            <w:r>
              <w:rPr>
                <w:rFonts w:hint="default" w:ascii="仿宋" w:hAnsi="仿宋" w:eastAsia="仿宋" w:cs="仿宋"/>
                <w:color w:val="auto"/>
                <w:sz w:val="24"/>
                <w:szCs w:val="24"/>
                <w:highlight w:val="none"/>
                <w:lang w:val="en-US" w:eastAsia="zh-CN" w:bidi="ar"/>
              </w:rPr>
              <w:t>1</w:t>
            </w:r>
            <w:r>
              <w:rPr>
                <w:rFonts w:hint="eastAsia" w:ascii="仿宋" w:hAnsi="仿宋" w:eastAsia="仿宋" w:cs="仿宋"/>
                <w:color w:val="auto"/>
                <w:sz w:val="24"/>
                <w:szCs w:val="24"/>
                <w:highlight w:val="none"/>
                <w:lang w:val="en-US" w:eastAsia="zh-CN" w:bidi="ar"/>
              </w:rPr>
              <w:t>1、●具有运行时数据存储功能，通过软件读取采集并进行读取运行数据。</w:t>
            </w:r>
          </w:p>
          <w:p w14:paraId="03FAA4D2">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12、内置无线投屏功能，支持macOS/iPadOS/iOS/Android/Windows10以上系统智能手机、平板电脑、笔记本电脑等；</w:t>
            </w:r>
          </w:p>
          <w:p w14:paraId="577A6EF7">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13、内置Wi-Fi及4G-LTE网络接入，支持远程运维、支持OTA远程升级；</w:t>
            </w:r>
          </w:p>
          <w:p w14:paraId="02A6AD86">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14、内置光线传感器，可根据环境光照强度的变化自动调整投射画面的画质色彩；</w:t>
            </w:r>
          </w:p>
          <w:p w14:paraId="0D0B205D">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15、内置气压传感器，开机后自动检测气压密度，自动调整整机散热工作状态，能适应更为复杂的工况条件。</w:t>
            </w:r>
          </w:p>
        </w:tc>
        <w:tc>
          <w:tcPr>
            <w:tcW w:w="288" w:type="pct"/>
            <w:shd w:val="clear" w:color="auto" w:fill="auto"/>
            <w:noWrap w:val="0"/>
            <w:tcMar>
              <w:top w:w="15" w:type="dxa"/>
              <w:left w:w="15" w:type="dxa"/>
              <w:right w:w="15" w:type="dxa"/>
            </w:tcMar>
            <w:vAlign w:val="center"/>
          </w:tcPr>
          <w:p w14:paraId="6351F1A4">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leftChars="0" w:right="0" w:rightChars="0"/>
              <w:jc w:val="center"/>
              <w:textAlignment w:val="center"/>
              <w:rPr>
                <w:rFonts w:hint="default"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13</w:t>
            </w:r>
          </w:p>
        </w:tc>
        <w:tc>
          <w:tcPr>
            <w:tcW w:w="517" w:type="pct"/>
            <w:shd w:val="clear" w:color="auto" w:fill="auto"/>
            <w:noWrap w:val="0"/>
            <w:tcMar>
              <w:top w:w="15" w:type="dxa"/>
              <w:left w:w="15" w:type="dxa"/>
              <w:right w:w="15" w:type="dxa"/>
            </w:tcMar>
            <w:vAlign w:val="center"/>
          </w:tcPr>
          <w:p w14:paraId="381F8EE4">
            <w:pPr>
              <w:keepNext w:val="0"/>
              <w:keepLines w:val="0"/>
              <w:widowControl/>
              <w:suppressLineNumbers w:val="0"/>
              <w:jc w:val="center"/>
              <w:textAlignment w:val="center"/>
              <w:rPr>
                <w:rFonts w:hint="default"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台</w:t>
            </w:r>
          </w:p>
        </w:tc>
        <w:tc>
          <w:tcPr>
            <w:tcW w:w="517" w:type="pct"/>
            <w:shd w:val="clear" w:color="auto" w:fill="auto"/>
            <w:noWrap w:val="0"/>
            <w:tcMar>
              <w:top w:w="15" w:type="dxa"/>
              <w:left w:w="15" w:type="dxa"/>
              <w:right w:w="15" w:type="dxa"/>
            </w:tcMar>
            <w:vAlign w:val="center"/>
          </w:tcPr>
          <w:p w14:paraId="1DFEF741">
            <w:pPr>
              <w:keepNext w:val="0"/>
              <w:keepLines w:val="0"/>
              <w:widowControl/>
              <w:suppressLineNumbers w:val="0"/>
              <w:jc w:val="center"/>
              <w:textAlignment w:val="center"/>
              <w:rPr>
                <w:rFonts w:hint="eastAsia" w:ascii="仿宋" w:hAnsi="仿宋" w:eastAsia="仿宋" w:cs="仿宋"/>
                <w:color w:val="auto"/>
                <w:sz w:val="24"/>
                <w:szCs w:val="24"/>
                <w:highlight w:val="none"/>
                <w:lang w:val="en-US" w:eastAsia="zh-CN" w:bidi="ar"/>
              </w:rPr>
            </w:pPr>
            <w:r>
              <w:rPr>
                <w:rFonts w:hint="eastAsia" w:ascii="仿宋" w:hAnsi="仿宋" w:eastAsia="仿宋" w:cs="仿宋"/>
                <w:i w:val="0"/>
                <w:iCs w:val="0"/>
                <w:color w:val="auto"/>
                <w:kern w:val="0"/>
                <w:sz w:val="24"/>
                <w:szCs w:val="24"/>
                <w:highlight w:val="none"/>
                <w:u w:val="none"/>
                <w:lang w:val="en-US" w:eastAsia="zh-CN" w:bidi="ar"/>
              </w:rPr>
              <w:t>否</w:t>
            </w:r>
          </w:p>
        </w:tc>
        <w:tc>
          <w:tcPr>
            <w:tcW w:w="517" w:type="pct"/>
            <w:shd w:val="clear" w:color="auto" w:fill="auto"/>
            <w:noWrap w:val="0"/>
            <w:tcMar>
              <w:top w:w="15" w:type="dxa"/>
              <w:left w:w="15" w:type="dxa"/>
              <w:right w:w="15" w:type="dxa"/>
            </w:tcMar>
            <w:vAlign w:val="center"/>
          </w:tcPr>
          <w:p w14:paraId="50D90025">
            <w:pPr>
              <w:keepNext w:val="0"/>
              <w:keepLines w:val="0"/>
              <w:widowControl/>
              <w:suppressLineNumbers w:val="0"/>
              <w:jc w:val="center"/>
              <w:textAlignment w:val="center"/>
              <w:rPr>
                <w:rFonts w:hint="default" w:ascii="仿宋" w:hAnsi="仿宋" w:eastAsia="仿宋" w:cs="仿宋"/>
                <w:color w:val="auto"/>
                <w:sz w:val="24"/>
                <w:szCs w:val="24"/>
                <w:highlight w:val="none"/>
                <w:lang w:val="en-US" w:eastAsia="zh-CN" w:bidi="ar"/>
              </w:rPr>
            </w:pPr>
            <w:r>
              <w:rPr>
                <w:rFonts w:hint="eastAsia" w:ascii="仿宋" w:hAnsi="仿宋" w:eastAsia="仿宋" w:cs="仿宋"/>
                <w:color w:val="auto"/>
                <w:sz w:val="24"/>
                <w:szCs w:val="24"/>
                <w:highlight w:val="none"/>
                <w:lang w:val="en-US" w:eastAsia="zh-CN" w:bidi="ar"/>
              </w:rPr>
              <w:t>是</w:t>
            </w:r>
          </w:p>
        </w:tc>
      </w:tr>
    </w:tbl>
    <w:p w14:paraId="30D01122">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center"/>
        <w:rPr>
          <w:rFonts w:hint="eastAsia" w:ascii="仿宋" w:hAnsi="仿宋" w:eastAsia="仿宋" w:cs="仿宋"/>
          <w:i w:val="0"/>
          <w:iCs w:val="0"/>
          <w:color w:val="auto"/>
          <w:kern w:val="2"/>
          <w:sz w:val="28"/>
          <w:szCs w:val="28"/>
          <w:highlight w:val="none"/>
          <w:u w:val="none"/>
          <w:lang w:val="en-US" w:eastAsia="zh-CN" w:bidi="ar-SA"/>
        </w:rPr>
      </w:pPr>
    </w:p>
    <w:p w14:paraId="509D2143">
      <w:pPr>
        <w:keepNext w:val="0"/>
        <w:keepLines w:val="0"/>
        <w:pageBreakBefore w:val="0"/>
        <w:widowControl/>
        <w:suppressLineNumbers w:val="0"/>
        <w:kinsoku/>
        <w:wordWrap/>
        <w:overflowPunct/>
        <w:topLinePunct w:val="0"/>
        <w:autoSpaceDE/>
        <w:autoSpaceDN/>
        <w:bidi w:val="0"/>
        <w:adjustRightInd/>
        <w:snapToGrid/>
        <w:spacing w:line="360" w:lineRule="auto"/>
        <w:ind w:firstLine="560" w:firstLineChars="200"/>
        <w:jc w:val="left"/>
        <w:textAlignment w:val="center"/>
        <w:rPr>
          <w:rFonts w:hint="eastAsia" w:ascii="仿宋" w:hAnsi="仿宋" w:eastAsia="仿宋" w:cs="仿宋"/>
          <w:b w:val="0"/>
          <w:bCs w:val="0"/>
          <w:kern w:val="2"/>
          <w:sz w:val="28"/>
          <w:szCs w:val="28"/>
          <w:lang w:val="en-US" w:eastAsia="zh-CN" w:bidi="ar-SA"/>
        </w:rPr>
      </w:pPr>
      <w:r>
        <w:rPr>
          <w:rFonts w:hint="eastAsia" w:ascii="仿宋" w:hAnsi="仿宋" w:eastAsia="仿宋" w:cs="仿宋"/>
          <w:i w:val="0"/>
          <w:iCs w:val="0"/>
          <w:color w:val="auto"/>
          <w:kern w:val="2"/>
          <w:sz w:val="28"/>
          <w:szCs w:val="28"/>
          <w:highlight w:val="none"/>
          <w:u w:val="none"/>
          <w:lang w:val="en-US" w:eastAsia="zh-CN" w:bidi="ar-SA"/>
        </w:rPr>
        <w:t>备注：</w:t>
      </w:r>
    </w:p>
    <w:p w14:paraId="7FDB8EE3">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1.加注“▲”号的产品为核心产品。</w:t>
      </w:r>
    </w:p>
    <w:p w14:paraId="7293799C">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default"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2.加注“★”号条款为实质性条款，不得出现负偏离，发生负偏离即做无效标处理。</w:t>
      </w:r>
    </w:p>
    <w:p w14:paraId="6C52CB07">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sz w:val="28"/>
          <w:szCs w:val="28"/>
          <w:highlight w:val="none"/>
        </w:rPr>
      </w:pPr>
      <w:r>
        <w:rPr>
          <w:rFonts w:hint="eastAsia" w:ascii="仿宋" w:hAnsi="仿宋" w:eastAsia="仿宋" w:cs="仿宋"/>
          <w:b w:val="0"/>
          <w:bCs w:val="0"/>
          <w:kern w:val="2"/>
          <w:sz w:val="28"/>
          <w:szCs w:val="28"/>
          <w:highlight w:val="none"/>
          <w:lang w:val="en-US" w:eastAsia="zh-CN" w:bidi="ar-SA"/>
        </w:rPr>
        <w:t>3.加注“●”号条款为重要参数条款，</w:t>
      </w:r>
      <w:r>
        <w:rPr>
          <w:rFonts w:hint="eastAsia" w:ascii="仿宋" w:hAnsi="仿宋" w:eastAsia="仿宋" w:cs="仿宋"/>
          <w:b w:val="0"/>
          <w:bCs w:val="0"/>
          <w:color w:val="auto"/>
          <w:kern w:val="2"/>
          <w:sz w:val="28"/>
          <w:szCs w:val="28"/>
          <w:highlight w:val="none"/>
          <w:lang w:val="en-US" w:eastAsia="zh-CN" w:bidi="ar-SA"/>
        </w:rPr>
        <w:t>需提供具有CMA标识检测/检验/试验/测试报告复印件</w:t>
      </w:r>
      <w:r>
        <w:rPr>
          <w:rFonts w:hint="eastAsia" w:ascii="仿宋" w:hAnsi="仿宋" w:eastAsia="仿宋" w:cs="仿宋"/>
          <w:b w:val="0"/>
          <w:bCs w:val="0"/>
          <w:kern w:val="2"/>
          <w:sz w:val="28"/>
          <w:szCs w:val="28"/>
          <w:highlight w:val="none"/>
          <w:lang w:val="en-US" w:eastAsia="zh-CN" w:bidi="ar-SA"/>
        </w:rPr>
        <w:t>并加盖公章</w:t>
      </w:r>
      <w:r>
        <w:rPr>
          <w:rFonts w:hint="eastAsia" w:ascii="仿宋" w:hAnsi="仿宋" w:eastAsia="仿宋" w:cs="仿宋"/>
          <w:b w:val="0"/>
          <w:bCs w:val="0"/>
          <w:color w:val="auto"/>
          <w:kern w:val="2"/>
          <w:sz w:val="28"/>
          <w:szCs w:val="28"/>
          <w:highlight w:val="none"/>
          <w:lang w:val="en-US" w:eastAsia="zh-CN" w:bidi="ar-SA"/>
        </w:rPr>
        <w:t>或提供具有CNAS标识的检测/检验/试验/测试报告复印件</w:t>
      </w:r>
      <w:r>
        <w:rPr>
          <w:rFonts w:hint="eastAsia" w:ascii="仿宋" w:hAnsi="仿宋" w:eastAsia="仿宋" w:cs="仿宋"/>
          <w:b w:val="0"/>
          <w:bCs w:val="0"/>
          <w:kern w:val="2"/>
          <w:sz w:val="28"/>
          <w:szCs w:val="28"/>
          <w:highlight w:val="none"/>
          <w:lang w:val="en-US" w:eastAsia="zh-CN" w:bidi="ar-SA"/>
        </w:rPr>
        <w:t>并加盖公章。（技术点对点应答与评分部分“产品技术证明材料”不重复扣分）。</w:t>
      </w:r>
    </w:p>
    <w:p w14:paraId="0AEEF5AB">
      <w:pPr>
        <w:ind w:firstLine="653"/>
        <w:rPr>
          <w:rFonts w:ascii="仿宋" w:hAnsi="仿宋" w:eastAsia="仿宋"/>
          <w:b/>
          <w:bCs/>
          <w:sz w:val="32"/>
          <w:szCs w:val="32"/>
        </w:rPr>
      </w:pPr>
      <w:r>
        <w:rPr>
          <w:rFonts w:hint="eastAsia" w:ascii="仿宋" w:hAnsi="仿宋" w:eastAsia="仿宋"/>
          <w:b/>
          <w:bCs/>
          <w:sz w:val="32"/>
          <w:szCs w:val="32"/>
        </w:rPr>
        <w:t>（2）商务要求</w:t>
      </w:r>
    </w:p>
    <w:p w14:paraId="7FF3530A">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lang w:val="en-US" w:eastAsia="zh-CN" w:bidi="ar-SA"/>
        </w:rPr>
      </w:pPr>
      <w:r>
        <w:rPr>
          <w:rFonts w:hint="eastAsia" w:ascii="仿宋" w:hAnsi="仿宋" w:eastAsia="仿宋" w:cs="仿宋"/>
          <w:b w:val="0"/>
          <w:bCs w:val="0"/>
          <w:kern w:val="2"/>
          <w:sz w:val="28"/>
          <w:szCs w:val="28"/>
          <w:lang w:val="en-US" w:eastAsia="zh-CN" w:bidi="ar-SA"/>
        </w:rPr>
        <w:t>（一）报价要求</w:t>
      </w:r>
    </w:p>
    <w:p w14:paraId="56FED609">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lang w:val="en-US" w:eastAsia="zh-CN" w:bidi="ar-SA"/>
        </w:rPr>
      </w:pPr>
      <w:r>
        <w:rPr>
          <w:rFonts w:hint="eastAsia" w:ascii="仿宋" w:hAnsi="仿宋" w:eastAsia="仿宋" w:cs="仿宋"/>
          <w:b w:val="0"/>
          <w:bCs w:val="0"/>
          <w:kern w:val="2"/>
          <w:sz w:val="28"/>
          <w:szCs w:val="28"/>
          <w:lang w:val="en-US" w:eastAsia="zh-CN" w:bidi="ar-SA"/>
        </w:rPr>
        <w:t>1.投标报价以人民币填列。</w:t>
      </w:r>
    </w:p>
    <w:p w14:paraId="5E5931AA">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lang w:val="en-US" w:eastAsia="zh-CN" w:bidi="ar-SA"/>
        </w:rPr>
      </w:pPr>
      <w:r>
        <w:rPr>
          <w:rFonts w:hint="eastAsia" w:ascii="仿宋" w:hAnsi="仿宋" w:eastAsia="仿宋" w:cs="仿宋"/>
          <w:b w:val="0"/>
          <w:bCs w:val="0"/>
          <w:kern w:val="2"/>
          <w:sz w:val="28"/>
          <w:szCs w:val="28"/>
          <w:lang w:val="en-US" w:eastAsia="zh-CN" w:bidi="ar-SA"/>
        </w:rPr>
        <w:t>2.投标人的报价应包括：设备主机及附件的货款、运输费、运输保险费、装卸费、安装调试费及其他应有的费用。投标人所报价格为货到现场安装调试完成并验收合格交付使用的最终优惠价格。</w:t>
      </w:r>
    </w:p>
    <w:p w14:paraId="1E471EC4">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default" w:ascii="仿宋" w:hAnsi="仿宋" w:eastAsia="仿宋" w:cs="仿宋"/>
          <w:b w:val="0"/>
          <w:bCs w:val="0"/>
          <w:kern w:val="2"/>
          <w:sz w:val="28"/>
          <w:szCs w:val="28"/>
          <w:lang w:val="en-US" w:eastAsia="zh-CN" w:bidi="ar-SA"/>
        </w:rPr>
      </w:pPr>
      <w:r>
        <w:rPr>
          <w:rFonts w:hint="eastAsia" w:ascii="仿宋" w:hAnsi="仿宋" w:eastAsia="仿宋" w:cs="仿宋"/>
          <w:b w:val="0"/>
          <w:bCs w:val="0"/>
          <w:kern w:val="2"/>
          <w:sz w:val="28"/>
          <w:szCs w:val="28"/>
          <w:lang w:val="en-US" w:eastAsia="zh-CN" w:bidi="ar-SA"/>
        </w:rPr>
        <w:t>3.验收及相关费用由投标人负责。</w:t>
      </w:r>
    </w:p>
    <w:p w14:paraId="40EE856A">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lang w:val="en-US" w:eastAsia="zh-CN" w:bidi="ar-SA"/>
        </w:rPr>
      </w:pPr>
      <w:r>
        <w:rPr>
          <w:rFonts w:hint="eastAsia" w:ascii="仿宋" w:hAnsi="仿宋" w:eastAsia="仿宋" w:cs="仿宋"/>
          <w:b w:val="0"/>
          <w:bCs w:val="0"/>
          <w:kern w:val="2"/>
          <w:sz w:val="28"/>
          <w:szCs w:val="28"/>
          <w:highlight w:val="none"/>
          <w:lang w:val="en-US" w:eastAsia="zh-CN" w:bidi="ar-SA"/>
        </w:rPr>
        <w:t>★</w:t>
      </w:r>
      <w:r>
        <w:rPr>
          <w:rFonts w:hint="eastAsia" w:ascii="仿宋" w:hAnsi="仿宋" w:eastAsia="仿宋" w:cs="仿宋"/>
          <w:b w:val="0"/>
          <w:bCs w:val="0"/>
          <w:kern w:val="2"/>
          <w:sz w:val="28"/>
          <w:szCs w:val="28"/>
          <w:lang w:val="en-US" w:eastAsia="zh-CN" w:bidi="ar-SA"/>
        </w:rPr>
        <w:t>（二）交货要求</w:t>
      </w:r>
    </w:p>
    <w:p w14:paraId="73DB555F">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lang w:val="en-US" w:eastAsia="zh-CN" w:bidi="ar-SA"/>
        </w:rPr>
      </w:pPr>
      <w:r>
        <w:rPr>
          <w:rFonts w:hint="eastAsia" w:ascii="仿宋" w:hAnsi="仿宋" w:eastAsia="仿宋" w:cs="仿宋"/>
          <w:b w:val="0"/>
          <w:bCs w:val="0"/>
          <w:kern w:val="2"/>
          <w:sz w:val="28"/>
          <w:szCs w:val="28"/>
          <w:lang w:val="en-US" w:eastAsia="zh-CN" w:bidi="ar-SA"/>
        </w:rPr>
        <w:t>1. 交货期：</w:t>
      </w:r>
    </w:p>
    <w:p w14:paraId="51887CE7">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货到时间：签订合同之日起7日内（特殊情况以合同为准）。</w:t>
      </w:r>
    </w:p>
    <w:p w14:paraId="5B37A62A">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安装完成：货到之日起7日内（特殊情况以合同为准）。</w:t>
      </w:r>
    </w:p>
    <w:p w14:paraId="1EB35B80">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2. 交货地点：天津财经大学。</w:t>
      </w:r>
    </w:p>
    <w:p w14:paraId="41DAE696">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3. 提供制造商完整的随机资料，包括完整的使用和维修手册等。</w:t>
      </w:r>
    </w:p>
    <w:p w14:paraId="35326E37">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07C944AE">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★（三）付款方式</w:t>
      </w:r>
    </w:p>
    <w:p w14:paraId="314274FB">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签订合同后货到现场并安装完毕验收合格15天内支付合同总额的100%。（特殊情况以合同为准）。</w:t>
      </w:r>
    </w:p>
    <w:p w14:paraId="660A6508">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（四）验收方法及标准</w:t>
      </w:r>
    </w:p>
    <w:p w14:paraId="4B98D136">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40F506E9">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p>
    <w:p w14:paraId="6AB04C94">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highlight w:val="none"/>
          <w:lang w:val="en-US" w:eastAsia="zh-CN" w:bidi="ar-SA"/>
        </w:rPr>
        <w:t>★（五）服务要求</w:t>
      </w:r>
    </w:p>
    <w:p w14:paraId="61306AF9">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lang w:val="en-US" w:eastAsia="zh-CN" w:bidi="ar-SA"/>
        </w:rPr>
      </w:pPr>
      <w:r>
        <w:rPr>
          <w:rFonts w:hint="eastAsia" w:ascii="仿宋" w:hAnsi="仿宋" w:eastAsia="仿宋" w:cs="仿宋"/>
          <w:b w:val="0"/>
          <w:bCs w:val="0"/>
          <w:kern w:val="2"/>
          <w:sz w:val="28"/>
          <w:szCs w:val="28"/>
          <w:lang w:val="en-US" w:eastAsia="zh-CN" w:bidi="ar-SA"/>
        </w:rPr>
        <w:t>1. 提供所投产品至少5年的免费上门保修，终身维修。</w:t>
      </w:r>
    </w:p>
    <w:p w14:paraId="5ECB557C">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lang w:val="en-US" w:eastAsia="zh-CN" w:bidi="ar-SA"/>
        </w:rPr>
      </w:pPr>
      <w:r>
        <w:rPr>
          <w:rFonts w:hint="eastAsia" w:ascii="仿宋" w:hAnsi="仿宋" w:eastAsia="仿宋" w:cs="仿宋"/>
          <w:b w:val="0"/>
          <w:bCs w:val="0"/>
          <w:kern w:val="2"/>
          <w:sz w:val="28"/>
          <w:szCs w:val="28"/>
          <w:lang w:val="en-US" w:eastAsia="zh-CN" w:bidi="ar-SA"/>
        </w:rPr>
        <w:t xml:space="preserve">2. </w:t>
      </w:r>
      <w:r>
        <w:rPr>
          <w:rFonts w:hint="eastAsia" w:ascii="仿宋" w:hAnsi="仿宋" w:eastAsia="仿宋" w:cs="仿宋"/>
          <w:b w:val="0"/>
          <w:bCs w:val="0"/>
          <w:kern w:val="2"/>
          <w:sz w:val="28"/>
          <w:szCs w:val="28"/>
          <w:highlight w:val="none"/>
          <w:lang w:val="en-US" w:eastAsia="zh-CN" w:bidi="ar-SA"/>
        </w:rPr>
        <w:t>保修期内免费更换零配件以及根据使用过程中的需求及时免费响应并更新相关功能，7×24小时技术响应，24小时内维修工程师到达维修现场。保修期自验收合格之日起计算。</w:t>
      </w:r>
    </w:p>
    <w:p w14:paraId="61F6518D">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lang w:val="en-US" w:eastAsia="zh-CN" w:bidi="ar-SA"/>
        </w:rPr>
      </w:pPr>
      <w:r>
        <w:rPr>
          <w:rFonts w:hint="eastAsia" w:ascii="仿宋" w:hAnsi="仿宋" w:eastAsia="仿宋" w:cs="仿宋"/>
          <w:b w:val="0"/>
          <w:bCs w:val="0"/>
          <w:kern w:val="2"/>
          <w:sz w:val="28"/>
          <w:szCs w:val="28"/>
          <w:lang w:val="en-US" w:eastAsia="zh-CN" w:bidi="ar-SA"/>
        </w:rPr>
        <w:t>3. 提供所投产品制造商服务机构情况，包括地址、联系方式及技术人员数量等。</w:t>
      </w:r>
    </w:p>
    <w:p w14:paraId="5C6CEB4F">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lang w:val="en-US" w:eastAsia="zh-CN" w:bidi="ar-SA"/>
        </w:rPr>
      </w:pPr>
      <w:r>
        <w:rPr>
          <w:rFonts w:hint="eastAsia" w:ascii="仿宋" w:hAnsi="仿宋" w:eastAsia="仿宋" w:cs="仿宋"/>
          <w:b w:val="0"/>
          <w:bCs w:val="0"/>
          <w:kern w:val="2"/>
          <w:sz w:val="28"/>
          <w:szCs w:val="28"/>
          <w:lang w:val="en-US" w:eastAsia="zh-CN" w:bidi="ar-SA"/>
        </w:rPr>
        <w:t>4. 提供原厂标准的核心部件、易耗品、消耗材料价格清单以及保修期后设备维修的价格清单。</w:t>
      </w:r>
    </w:p>
    <w:p w14:paraId="223A2211">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b w:val="0"/>
          <w:bCs w:val="0"/>
          <w:kern w:val="2"/>
          <w:sz w:val="28"/>
          <w:szCs w:val="28"/>
          <w:lang w:val="en-US" w:eastAsia="zh-CN" w:bidi="ar-SA"/>
        </w:rPr>
        <w:t>5. 提供现场技术培训。</w:t>
      </w:r>
    </w:p>
    <w:p w14:paraId="72918E37">
      <w:pPr>
        <w:keepNext w:val="0"/>
        <w:keepLines w:val="0"/>
        <w:pageBreakBefore w:val="0"/>
        <w:widowControl/>
        <w:kinsoku/>
        <w:wordWrap/>
        <w:overflowPunct/>
        <w:topLinePunct w:val="0"/>
        <w:autoSpaceDE/>
        <w:autoSpaceDN/>
        <w:bidi w:val="0"/>
        <w:adjustRightInd/>
        <w:snapToGrid/>
        <w:textAlignment w:val="auto"/>
        <w:rPr>
          <w:rFonts w:hint="eastAsia" w:ascii="仿宋" w:hAnsi="仿宋" w:eastAsia="仿宋" w:cs="仿宋"/>
          <w:b/>
          <w:bCs/>
          <w:sz w:val="32"/>
          <w:szCs w:val="32"/>
          <w:lang w:val="en-US" w:eastAsia="zh-CN"/>
        </w:rPr>
      </w:pPr>
    </w:p>
    <w:p w14:paraId="7EE7ED9C">
      <w:pPr>
        <w:keepNext w:val="0"/>
        <w:keepLines w:val="0"/>
        <w:pageBreakBefore w:val="0"/>
        <w:widowControl/>
        <w:kinsoku/>
        <w:wordWrap/>
        <w:overflowPunct/>
        <w:topLinePunct w:val="0"/>
        <w:autoSpaceDE/>
        <w:autoSpaceDN/>
        <w:bidi w:val="0"/>
        <w:adjustRightInd/>
        <w:snapToGrid/>
        <w:textAlignment w:val="auto"/>
        <w:rPr>
          <w:rFonts w:hint="eastAsia" w:ascii="仿宋" w:hAnsi="仿宋" w:eastAsia="仿宋" w:cs="仿宋"/>
          <w:b/>
          <w:bCs/>
          <w:sz w:val="32"/>
          <w:szCs w:val="32"/>
          <w:lang w:val="en-US" w:eastAsia="zh-CN"/>
        </w:rPr>
      </w:pPr>
    </w:p>
    <w:p w14:paraId="4EC7E101">
      <w:pPr>
        <w:keepNext w:val="0"/>
        <w:keepLines w:val="0"/>
        <w:pageBreakBefore w:val="0"/>
        <w:widowControl/>
        <w:kinsoku/>
        <w:wordWrap/>
        <w:overflowPunct/>
        <w:topLinePunct w:val="0"/>
        <w:autoSpaceDE/>
        <w:autoSpaceDN/>
        <w:bidi w:val="0"/>
        <w:adjustRightInd/>
        <w:snapToGrid/>
        <w:textAlignment w:val="auto"/>
        <w:rPr>
          <w:rFonts w:hint="eastAsia" w:ascii="仿宋" w:hAnsi="仿宋" w:eastAsia="仿宋" w:cs="仿宋"/>
          <w:b/>
          <w:bCs/>
          <w:sz w:val="32"/>
          <w:szCs w:val="32"/>
          <w:lang w:val="en-US" w:eastAsia="zh-CN"/>
        </w:rPr>
      </w:pPr>
    </w:p>
    <w:p w14:paraId="4EA19A30">
      <w:pPr>
        <w:keepNext w:val="0"/>
        <w:keepLines w:val="0"/>
        <w:pageBreakBefore w:val="0"/>
        <w:widowControl/>
        <w:kinsoku/>
        <w:wordWrap/>
        <w:overflowPunct/>
        <w:topLinePunct w:val="0"/>
        <w:autoSpaceDE/>
        <w:autoSpaceDN/>
        <w:bidi w:val="0"/>
        <w:adjustRightInd/>
        <w:snapToGrid/>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 包</w:t>
      </w:r>
      <w:r>
        <w:rPr>
          <w:rFonts w:hint="eastAsia" w:ascii="仿宋" w:hAnsi="仿宋" w:eastAsia="仿宋" w:cs="仿宋"/>
          <w:b/>
          <w:bCs/>
          <w:sz w:val="32"/>
          <w:szCs w:val="32"/>
          <w:lang w:val="en-US" w:eastAsia="zh-CN"/>
        </w:rPr>
        <w:t>2</w:t>
      </w:r>
    </w:p>
    <w:p w14:paraId="1A334558">
      <w:pPr>
        <w:rPr>
          <w:rFonts w:hint="eastAsia" w:ascii="仿宋" w:hAnsi="仿宋" w:eastAsia="仿宋"/>
          <w:b/>
          <w:bCs/>
          <w:sz w:val="32"/>
          <w:szCs w:val="32"/>
        </w:rPr>
      </w:pPr>
      <w:r>
        <w:rPr>
          <w:rFonts w:hint="eastAsia" w:ascii="仿宋" w:hAnsi="仿宋" w:eastAsia="仿宋"/>
          <w:b/>
          <w:bCs/>
          <w:sz w:val="32"/>
          <w:szCs w:val="32"/>
        </w:rPr>
        <w:t>（1）技术要求</w:t>
      </w:r>
    </w:p>
    <w:tbl>
      <w:tblPr>
        <w:tblStyle w:val="13"/>
        <w:tblW w:w="0" w:type="auto"/>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53"/>
        <w:gridCol w:w="889"/>
        <w:gridCol w:w="3900"/>
        <w:gridCol w:w="729"/>
        <w:gridCol w:w="696"/>
        <w:gridCol w:w="1039"/>
        <w:gridCol w:w="1054"/>
      </w:tblGrid>
      <w:tr w14:paraId="76B23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3" w:hRule="atLeast"/>
        </w:trPr>
        <w:tc>
          <w:tcPr>
            <w:tcW w:w="653" w:type="dxa"/>
            <w:tcBorders>
              <w:top w:val="single" w:color="000000" w:sz="4" w:space="0"/>
              <w:left w:val="single" w:color="000000" w:sz="4" w:space="0"/>
              <w:bottom w:val="single" w:color="000000" w:sz="4" w:space="0"/>
              <w:right w:val="single" w:color="000000" w:sz="4" w:space="0"/>
            </w:tcBorders>
            <w:noWrap/>
            <w:vAlign w:val="center"/>
          </w:tcPr>
          <w:p w14:paraId="64625ED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名称</w:t>
            </w:r>
          </w:p>
        </w:tc>
        <w:tc>
          <w:tcPr>
            <w:tcW w:w="889" w:type="dxa"/>
            <w:tcBorders>
              <w:top w:val="single" w:color="000000" w:sz="4" w:space="0"/>
              <w:left w:val="single" w:color="000000" w:sz="4" w:space="0"/>
              <w:bottom w:val="single" w:color="000000" w:sz="4" w:space="0"/>
              <w:right w:val="single" w:color="000000" w:sz="4" w:space="0"/>
            </w:tcBorders>
            <w:noWrap/>
            <w:vAlign w:val="center"/>
          </w:tcPr>
          <w:p w14:paraId="365044E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指标项</w:t>
            </w: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746C55D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参数要求</w:t>
            </w:r>
          </w:p>
        </w:tc>
        <w:tc>
          <w:tcPr>
            <w:tcW w:w="729" w:type="dxa"/>
            <w:tcBorders>
              <w:top w:val="single" w:color="000000" w:sz="4" w:space="0"/>
              <w:left w:val="single" w:color="000000" w:sz="4" w:space="0"/>
              <w:bottom w:val="single" w:color="000000" w:sz="4" w:space="0"/>
              <w:right w:val="single" w:color="000000" w:sz="4" w:space="0"/>
            </w:tcBorders>
            <w:noWrap/>
            <w:vAlign w:val="center"/>
          </w:tcPr>
          <w:p w14:paraId="2B21816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数量</w:t>
            </w:r>
          </w:p>
        </w:tc>
        <w:tc>
          <w:tcPr>
            <w:tcW w:w="696" w:type="dxa"/>
            <w:tcBorders>
              <w:top w:val="single" w:color="000000" w:sz="4" w:space="0"/>
              <w:left w:val="single" w:color="000000" w:sz="4" w:space="0"/>
              <w:bottom w:val="single" w:color="000000" w:sz="4" w:space="0"/>
              <w:right w:val="single" w:color="000000" w:sz="4" w:space="0"/>
            </w:tcBorders>
            <w:noWrap/>
            <w:vAlign w:val="center"/>
          </w:tcPr>
          <w:p w14:paraId="40A7AC3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单位</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7F4BE2">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是否属于现行节能产品政府采购清单强制采购范围</w:t>
            </w:r>
          </w:p>
        </w:tc>
        <w:tc>
          <w:tcPr>
            <w:tcW w:w="105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E97900">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是否属于集采目录内产品</w:t>
            </w:r>
          </w:p>
        </w:tc>
      </w:tr>
      <w:tr w14:paraId="07CB5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53"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717A5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入室有线无线一体化设备</w:t>
            </w:r>
          </w:p>
        </w:tc>
        <w:tc>
          <w:tcPr>
            <w:tcW w:w="88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9F6CD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硬件</w:t>
            </w: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39F4B9E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★支持802.11be标准，采用双射频设计，整机4条空间流。</w:t>
            </w:r>
          </w:p>
        </w:tc>
        <w:tc>
          <w:tcPr>
            <w:tcW w:w="729" w:type="dxa"/>
            <w:vMerge w:val="restart"/>
            <w:tcBorders>
              <w:top w:val="single" w:color="000000" w:sz="4" w:space="0"/>
              <w:left w:val="single" w:color="000000" w:sz="4" w:space="0"/>
              <w:bottom w:val="single" w:color="000000" w:sz="4" w:space="0"/>
              <w:right w:val="single" w:color="000000" w:sz="4" w:space="0"/>
            </w:tcBorders>
            <w:noWrap/>
            <w:vAlign w:val="center"/>
          </w:tcPr>
          <w:p w14:paraId="4B9AEB5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65</w:t>
            </w:r>
          </w:p>
        </w:tc>
        <w:tc>
          <w:tcPr>
            <w:tcW w:w="696" w:type="dxa"/>
            <w:vMerge w:val="restart"/>
            <w:tcBorders>
              <w:top w:val="single" w:color="000000" w:sz="4" w:space="0"/>
              <w:left w:val="single" w:color="000000" w:sz="4" w:space="0"/>
              <w:bottom w:val="single" w:color="000000" w:sz="4" w:space="0"/>
              <w:right w:val="single" w:color="000000" w:sz="4" w:space="0"/>
            </w:tcBorders>
            <w:noWrap/>
            <w:vAlign w:val="center"/>
          </w:tcPr>
          <w:p w14:paraId="79422D6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台</w:t>
            </w:r>
          </w:p>
        </w:tc>
        <w:tc>
          <w:tcPr>
            <w:tcW w:w="1039" w:type="dxa"/>
            <w:vMerge w:val="restart"/>
            <w:tcBorders>
              <w:top w:val="single" w:color="000000" w:sz="4" w:space="0"/>
              <w:left w:val="single" w:color="000000" w:sz="4" w:space="0"/>
              <w:right w:val="single" w:color="000000" w:sz="4" w:space="0"/>
            </w:tcBorders>
            <w:noWrap/>
            <w:vAlign w:val="center"/>
          </w:tcPr>
          <w:p w14:paraId="4BC40681">
            <w:pPr>
              <w:keepNext w:val="0"/>
              <w:keepLines w:val="0"/>
              <w:widowControl/>
              <w:suppressLineNumbers w:val="0"/>
              <w:jc w:val="center"/>
              <w:textAlignment w:val="center"/>
              <w:rPr>
                <w:rFonts w:hint="default"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否</w:t>
            </w:r>
          </w:p>
        </w:tc>
        <w:tc>
          <w:tcPr>
            <w:tcW w:w="1054" w:type="dxa"/>
            <w:vMerge w:val="restart"/>
            <w:tcBorders>
              <w:top w:val="single" w:color="000000" w:sz="4" w:space="0"/>
              <w:left w:val="single" w:color="000000" w:sz="4" w:space="0"/>
              <w:right w:val="single" w:color="000000" w:sz="4" w:space="0"/>
            </w:tcBorders>
            <w:noWrap/>
            <w:vAlign w:val="center"/>
          </w:tcPr>
          <w:p w14:paraId="5611F788">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否</w:t>
            </w:r>
          </w:p>
        </w:tc>
      </w:tr>
      <w:tr w14:paraId="5977A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3"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B52B1F">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030225">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1CEF555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★整机最大接入速率≥3.57Gbps，5GHz单射频支持2*2 MIMO，且单射频最大接入速率≥2.88Gbps；</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3EA82D6C">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553324E5">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335F0290">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4CD4B904">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p>
        </w:tc>
      </w:tr>
      <w:tr w14:paraId="46594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149C45">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F441F0">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4B762E6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★1个2.5G以太网光口上联，4个1G以太网电口下联。</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20A8EACD">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4B542E20">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49162904">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0DAC20F4">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p>
        </w:tc>
      </w:tr>
      <w:tr w14:paraId="71B9A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C35F8F">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9D906C">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6AB2987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支持蓝牙5.3。</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759B8C28">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26367064">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2497E6DA">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69A465A6">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p>
        </w:tc>
      </w:tr>
      <w:tr w14:paraId="6D2FC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333B67">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DD4622">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7E5DB08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支持</w:t>
            </w:r>
            <w:r>
              <w:rPr>
                <w:rStyle w:val="47"/>
                <w:rFonts w:hint="eastAsia" w:ascii="仿宋" w:hAnsi="仿宋" w:eastAsia="仿宋" w:cs="仿宋"/>
                <w:sz w:val="21"/>
                <w:szCs w:val="21"/>
                <w:lang w:val="en-US" w:eastAsia="zh-CN" w:bidi="ar"/>
              </w:rPr>
              <w:t>即插即用，更换设备后，无需做任何配置，即可替换使用。</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1440570E">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66DF1E58">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5FFBF2DA">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5459F3CA">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p>
        </w:tc>
      </w:tr>
      <w:tr w14:paraId="18D52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E79077">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196603">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21E77937">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支持</w:t>
            </w:r>
            <w:r>
              <w:rPr>
                <w:rStyle w:val="47"/>
                <w:rFonts w:hint="eastAsia" w:ascii="仿宋" w:hAnsi="仿宋" w:eastAsia="仿宋" w:cs="仿宋"/>
                <w:sz w:val="21"/>
                <w:szCs w:val="21"/>
                <w:lang w:val="en-US" w:eastAsia="zh-CN" w:bidi="ar"/>
              </w:rPr>
              <w:t>光口统一运维，在配合网管软件可以排查链路情况、光模块光衰情况。</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3D0B0878">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5E057F91">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19C62B25">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29F9E4EE">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p>
        </w:tc>
      </w:tr>
      <w:tr w14:paraId="5D903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22BBF0">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AACF27">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5EF43C6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避免无线网络中私接非法AP，所投AP具有</w:t>
            </w:r>
            <w:r>
              <w:rPr>
                <w:rStyle w:val="47"/>
                <w:rFonts w:hint="eastAsia" w:ascii="仿宋" w:hAnsi="仿宋" w:eastAsia="仿宋" w:cs="仿宋"/>
                <w:sz w:val="21"/>
                <w:szCs w:val="21"/>
                <w:lang w:val="en-US" w:eastAsia="zh-CN" w:bidi="ar"/>
              </w:rPr>
              <w:t>非法AP的精确反制和模糊反制功能，能够主动识别非法设备并令非法设备不能使用。</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14767761">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61A59711">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11F893D9">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30F2D2DA">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p>
        </w:tc>
      </w:tr>
      <w:tr w14:paraId="35677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1AFE32">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4DBC3A">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55E3CD5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★每台设备配置一个本地供电DC电源适配器，满足48V/0.5A。</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71E03CFF">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36027428">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bottom w:val="single" w:color="000000" w:sz="4" w:space="0"/>
              <w:right w:val="single" w:color="000000" w:sz="4" w:space="0"/>
            </w:tcBorders>
            <w:noWrap/>
            <w:vAlign w:val="center"/>
          </w:tcPr>
          <w:p w14:paraId="11ADA155">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bottom w:val="single" w:color="000000" w:sz="4" w:space="0"/>
              <w:right w:val="single" w:color="000000" w:sz="4" w:space="0"/>
            </w:tcBorders>
            <w:noWrap/>
            <w:vAlign w:val="center"/>
          </w:tcPr>
          <w:p w14:paraId="18802D37">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p>
        </w:tc>
      </w:tr>
      <w:tr w14:paraId="777C1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53"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E65D6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透明汇聚设备</w:t>
            </w:r>
          </w:p>
        </w:tc>
        <w:tc>
          <w:tcPr>
            <w:tcW w:w="88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EC91B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硬件</w:t>
            </w: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62C586FD">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汇聚设备的各光链路通道应实现物理隔离，无分光，带宽1：1独享。</w:t>
            </w:r>
          </w:p>
        </w:tc>
        <w:tc>
          <w:tcPr>
            <w:tcW w:w="729" w:type="dxa"/>
            <w:vMerge w:val="restart"/>
            <w:tcBorders>
              <w:top w:val="single" w:color="000000" w:sz="4" w:space="0"/>
              <w:left w:val="single" w:color="000000" w:sz="4" w:space="0"/>
              <w:bottom w:val="single" w:color="000000" w:sz="4" w:space="0"/>
              <w:right w:val="single" w:color="000000" w:sz="4" w:space="0"/>
            </w:tcBorders>
            <w:noWrap/>
            <w:vAlign w:val="center"/>
          </w:tcPr>
          <w:p w14:paraId="2CFD5EE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w:t>
            </w:r>
          </w:p>
        </w:tc>
        <w:tc>
          <w:tcPr>
            <w:tcW w:w="696" w:type="dxa"/>
            <w:vMerge w:val="restart"/>
            <w:tcBorders>
              <w:top w:val="single" w:color="000000" w:sz="4" w:space="0"/>
              <w:left w:val="single" w:color="000000" w:sz="4" w:space="0"/>
              <w:bottom w:val="single" w:color="000000" w:sz="4" w:space="0"/>
              <w:right w:val="single" w:color="000000" w:sz="4" w:space="0"/>
            </w:tcBorders>
            <w:noWrap/>
            <w:vAlign w:val="center"/>
          </w:tcPr>
          <w:p w14:paraId="23C0491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台</w:t>
            </w:r>
          </w:p>
        </w:tc>
        <w:tc>
          <w:tcPr>
            <w:tcW w:w="1039" w:type="dxa"/>
            <w:vMerge w:val="restart"/>
            <w:tcBorders>
              <w:top w:val="single" w:color="000000" w:sz="4" w:space="0"/>
              <w:left w:val="single" w:color="000000" w:sz="4" w:space="0"/>
              <w:right w:val="single" w:color="000000" w:sz="4" w:space="0"/>
            </w:tcBorders>
            <w:noWrap/>
            <w:vAlign w:val="center"/>
          </w:tcPr>
          <w:p w14:paraId="3BB91355">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否</w:t>
            </w:r>
          </w:p>
        </w:tc>
        <w:tc>
          <w:tcPr>
            <w:tcW w:w="1054" w:type="dxa"/>
            <w:vMerge w:val="restart"/>
            <w:tcBorders>
              <w:top w:val="single" w:color="000000" w:sz="4" w:space="0"/>
              <w:left w:val="single" w:color="000000" w:sz="4" w:space="0"/>
              <w:right w:val="single" w:color="000000" w:sz="4" w:space="0"/>
            </w:tcBorders>
            <w:noWrap/>
            <w:vAlign w:val="center"/>
          </w:tcPr>
          <w:p w14:paraId="20105E92">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否</w:t>
            </w:r>
          </w:p>
        </w:tc>
      </w:tr>
      <w:tr w14:paraId="6737A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438BD8">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E9E7FB">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476E45C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汇聚设备需支持集中机柜安装、壁挂等安装方式</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3CEBCB91">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1B6C37FE">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1E2D2AD8">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1DDB1CD2">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p>
        </w:tc>
      </w:tr>
      <w:tr w14:paraId="6ED9E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33C7E4">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AC6F2E">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5899839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 汇聚器件完全无源，无需插电即可正常工作</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5AC71FA0">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0D28642D">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3CD35504">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5CADFCCA">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p>
        </w:tc>
      </w:tr>
      <w:tr w14:paraId="108CC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A1ABC9">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0A1D5D">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6639D50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 汇聚设备固化端口数≥16</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07530D50">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79BBFFF0">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bottom w:val="single" w:color="000000" w:sz="4" w:space="0"/>
              <w:right w:val="single" w:color="000000" w:sz="4" w:space="0"/>
            </w:tcBorders>
            <w:noWrap/>
            <w:vAlign w:val="center"/>
          </w:tcPr>
          <w:p w14:paraId="74DD4BE7">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bottom w:val="single" w:color="000000" w:sz="4" w:space="0"/>
              <w:right w:val="single" w:color="000000" w:sz="4" w:space="0"/>
            </w:tcBorders>
            <w:noWrap/>
            <w:vAlign w:val="center"/>
          </w:tcPr>
          <w:p w14:paraId="7FCCEE5D">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p>
        </w:tc>
      </w:tr>
      <w:tr w14:paraId="42908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53" w:type="dxa"/>
            <w:vMerge w:val="restart"/>
            <w:tcBorders>
              <w:top w:val="single" w:color="000000" w:sz="4" w:space="0"/>
              <w:left w:val="single" w:color="000000" w:sz="4" w:space="0"/>
              <w:right w:val="single" w:color="000000" w:sz="4" w:space="0"/>
            </w:tcBorders>
            <w:shd w:val="clear" w:color="auto" w:fill="FFFFFF"/>
            <w:noWrap w:val="0"/>
            <w:vAlign w:val="center"/>
          </w:tcPr>
          <w:p w14:paraId="7975FDC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核心业务板卡</w:t>
            </w:r>
          </w:p>
        </w:tc>
        <w:tc>
          <w:tcPr>
            <w:tcW w:w="889" w:type="dxa"/>
            <w:vMerge w:val="restart"/>
            <w:tcBorders>
              <w:top w:val="single" w:color="000000" w:sz="4" w:space="0"/>
              <w:left w:val="single" w:color="000000" w:sz="4" w:space="0"/>
              <w:right w:val="single" w:color="000000" w:sz="4" w:space="0"/>
            </w:tcBorders>
            <w:shd w:val="clear" w:color="auto" w:fill="FFFFFF"/>
            <w:noWrap w:val="0"/>
            <w:vAlign w:val="center"/>
          </w:tcPr>
          <w:p w14:paraId="1F8FFD9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硬件</w:t>
            </w: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595C324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★满足10G/2.5G/1G逻辑接口数≥128个，每逻辑接口均可最高达到10G速率。</w:t>
            </w:r>
          </w:p>
        </w:tc>
        <w:tc>
          <w:tcPr>
            <w:tcW w:w="729" w:type="dxa"/>
            <w:vMerge w:val="restart"/>
            <w:tcBorders>
              <w:top w:val="single" w:color="000000" w:sz="4" w:space="0"/>
              <w:left w:val="single" w:color="000000" w:sz="4" w:space="0"/>
              <w:right w:val="single" w:color="000000" w:sz="4" w:space="0"/>
            </w:tcBorders>
            <w:noWrap/>
            <w:vAlign w:val="center"/>
          </w:tcPr>
          <w:p w14:paraId="1C04089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696" w:type="dxa"/>
            <w:vMerge w:val="restart"/>
            <w:tcBorders>
              <w:top w:val="single" w:color="000000" w:sz="4" w:space="0"/>
              <w:left w:val="single" w:color="000000" w:sz="4" w:space="0"/>
              <w:right w:val="single" w:color="000000" w:sz="4" w:space="0"/>
            </w:tcBorders>
            <w:noWrap/>
            <w:vAlign w:val="center"/>
          </w:tcPr>
          <w:p w14:paraId="0EE777E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块</w:t>
            </w:r>
          </w:p>
        </w:tc>
        <w:tc>
          <w:tcPr>
            <w:tcW w:w="1039" w:type="dxa"/>
            <w:vMerge w:val="restart"/>
            <w:tcBorders>
              <w:top w:val="single" w:color="000000" w:sz="4" w:space="0"/>
              <w:left w:val="single" w:color="000000" w:sz="4" w:space="0"/>
              <w:right w:val="single" w:color="000000" w:sz="4" w:space="0"/>
            </w:tcBorders>
            <w:noWrap/>
            <w:vAlign w:val="center"/>
          </w:tcPr>
          <w:p w14:paraId="3C633CE3">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否</w:t>
            </w:r>
          </w:p>
        </w:tc>
        <w:tc>
          <w:tcPr>
            <w:tcW w:w="1054" w:type="dxa"/>
            <w:vMerge w:val="restart"/>
            <w:tcBorders>
              <w:top w:val="single" w:color="000000" w:sz="4" w:space="0"/>
              <w:left w:val="single" w:color="000000" w:sz="4" w:space="0"/>
              <w:right w:val="single" w:color="000000" w:sz="4" w:space="0"/>
            </w:tcBorders>
            <w:noWrap/>
            <w:vAlign w:val="center"/>
          </w:tcPr>
          <w:p w14:paraId="00562336">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否</w:t>
            </w:r>
          </w:p>
        </w:tc>
      </w:tr>
      <w:tr w14:paraId="565EB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85" w:hRule="atLeast"/>
        </w:trPr>
        <w:tc>
          <w:tcPr>
            <w:tcW w:w="653" w:type="dxa"/>
            <w:vMerge w:val="continue"/>
            <w:tcBorders>
              <w:left w:val="single" w:color="000000" w:sz="4" w:space="0"/>
              <w:right w:val="single" w:color="000000" w:sz="4" w:space="0"/>
            </w:tcBorders>
            <w:shd w:val="clear" w:color="auto" w:fill="FFFFFF"/>
            <w:noWrap w:val="0"/>
            <w:vAlign w:val="center"/>
          </w:tcPr>
          <w:p w14:paraId="2AAB53D1">
            <w:pPr>
              <w:jc w:val="center"/>
              <w:rPr>
                <w:rFonts w:hint="eastAsia" w:ascii="仿宋" w:hAnsi="仿宋" w:eastAsia="仿宋" w:cs="仿宋"/>
                <w:i w:val="0"/>
                <w:iCs w:val="0"/>
                <w:color w:val="000000"/>
                <w:sz w:val="21"/>
                <w:szCs w:val="21"/>
                <w:u w:val="none"/>
              </w:rPr>
            </w:pPr>
          </w:p>
        </w:tc>
        <w:tc>
          <w:tcPr>
            <w:tcW w:w="889" w:type="dxa"/>
            <w:vMerge w:val="continue"/>
            <w:tcBorders>
              <w:left w:val="single" w:color="000000" w:sz="4" w:space="0"/>
              <w:right w:val="single" w:color="000000" w:sz="4" w:space="0"/>
            </w:tcBorders>
            <w:shd w:val="clear" w:color="auto" w:fill="FFFFFF"/>
            <w:noWrap w:val="0"/>
            <w:vAlign w:val="center"/>
          </w:tcPr>
          <w:p w14:paraId="4BEEB6C0">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30164EA6">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支持配置在学校核心交换机上；如无法配置在学校现有核心交换机上，需额外提供一台交换容量至少为1900Tbps，包转发率至少为460000Mpps，且具备双引擎、双电源、双交换网板，10G端口数量不少于180个，40G/100G接口不少于12个的设备。</w:t>
            </w:r>
          </w:p>
        </w:tc>
        <w:tc>
          <w:tcPr>
            <w:tcW w:w="729" w:type="dxa"/>
            <w:vMerge w:val="continue"/>
            <w:tcBorders>
              <w:left w:val="single" w:color="000000" w:sz="4" w:space="0"/>
              <w:right w:val="single" w:color="000000" w:sz="4" w:space="0"/>
            </w:tcBorders>
            <w:noWrap/>
            <w:vAlign w:val="center"/>
          </w:tcPr>
          <w:p w14:paraId="7539493C">
            <w:pPr>
              <w:jc w:val="center"/>
              <w:rPr>
                <w:rFonts w:hint="eastAsia" w:ascii="仿宋" w:hAnsi="仿宋" w:eastAsia="仿宋" w:cs="仿宋"/>
                <w:i w:val="0"/>
                <w:iCs w:val="0"/>
                <w:color w:val="000000"/>
                <w:sz w:val="21"/>
                <w:szCs w:val="21"/>
                <w:u w:val="none"/>
              </w:rPr>
            </w:pPr>
          </w:p>
        </w:tc>
        <w:tc>
          <w:tcPr>
            <w:tcW w:w="696" w:type="dxa"/>
            <w:vMerge w:val="continue"/>
            <w:tcBorders>
              <w:left w:val="single" w:color="000000" w:sz="4" w:space="0"/>
              <w:right w:val="single" w:color="000000" w:sz="4" w:space="0"/>
            </w:tcBorders>
            <w:noWrap/>
            <w:vAlign w:val="center"/>
          </w:tcPr>
          <w:p w14:paraId="7E967560">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5F3A5410">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1CA06789">
            <w:pPr>
              <w:jc w:val="center"/>
              <w:rPr>
                <w:rFonts w:hint="eastAsia" w:ascii="仿宋" w:hAnsi="仿宋" w:eastAsia="仿宋" w:cs="仿宋"/>
                <w:i w:val="0"/>
                <w:iCs w:val="0"/>
                <w:color w:val="000000"/>
                <w:sz w:val="21"/>
                <w:szCs w:val="21"/>
                <w:u w:val="none"/>
              </w:rPr>
            </w:pPr>
          </w:p>
        </w:tc>
      </w:tr>
      <w:tr w14:paraId="0F926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8" w:hRule="atLeast"/>
        </w:trPr>
        <w:tc>
          <w:tcPr>
            <w:tcW w:w="653" w:type="dxa"/>
            <w:vMerge w:val="continue"/>
            <w:tcBorders>
              <w:left w:val="single" w:color="000000" w:sz="4" w:space="0"/>
              <w:bottom w:val="single" w:color="auto" w:sz="4" w:space="0"/>
              <w:right w:val="single" w:color="000000" w:sz="4" w:space="0"/>
            </w:tcBorders>
            <w:shd w:val="clear" w:color="auto" w:fill="FFFFFF"/>
            <w:noWrap w:val="0"/>
            <w:vAlign w:val="center"/>
          </w:tcPr>
          <w:p w14:paraId="34E6D6C5">
            <w:pPr>
              <w:jc w:val="center"/>
              <w:rPr>
                <w:rFonts w:hint="eastAsia" w:ascii="仿宋" w:hAnsi="仿宋" w:eastAsia="仿宋" w:cs="仿宋"/>
                <w:i w:val="0"/>
                <w:iCs w:val="0"/>
                <w:color w:val="000000"/>
                <w:sz w:val="21"/>
                <w:szCs w:val="21"/>
                <w:u w:val="none"/>
              </w:rPr>
            </w:pPr>
          </w:p>
        </w:tc>
        <w:tc>
          <w:tcPr>
            <w:tcW w:w="889" w:type="dxa"/>
            <w:vMerge w:val="continue"/>
            <w:tcBorders>
              <w:left w:val="single" w:color="000000" w:sz="4" w:space="0"/>
              <w:bottom w:val="single" w:color="auto" w:sz="4" w:space="0"/>
              <w:right w:val="single" w:color="000000" w:sz="4" w:space="0"/>
            </w:tcBorders>
            <w:shd w:val="clear" w:color="auto" w:fill="FFFFFF"/>
            <w:noWrap w:val="0"/>
            <w:vAlign w:val="center"/>
          </w:tcPr>
          <w:p w14:paraId="751E9F00">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3D7F0097">
            <w:pPr>
              <w:keepNext w:val="0"/>
              <w:keepLines w:val="0"/>
              <w:widowControl/>
              <w:suppressLineNumbers w:val="0"/>
              <w:jc w:val="left"/>
              <w:textAlignment w:val="center"/>
              <w:rPr>
                <w:rFonts w:hint="eastAsia" w:ascii="微软雅黑" w:hAnsi="微软雅黑" w:eastAsia="微软雅黑" w:cs="微软雅黑"/>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支持配置常见动态路由协议、端口参数、安全策略；支持CLI命令行管理，兼容SSH v2.0和 Telnet。</w:t>
            </w:r>
          </w:p>
        </w:tc>
        <w:tc>
          <w:tcPr>
            <w:tcW w:w="729" w:type="dxa"/>
            <w:vMerge w:val="continue"/>
            <w:tcBorders>
              <w:left w:val="single" w:color="000000" w:sz="4" w:space="0"/>
              <w:bottom w:val="single" w:color="auto" w:sz="4" w:space="0"/>
              <w:right w:val="single" w:color="000000" w:sz="4" w:space="0"/>
            </w:tcBorders>
            <w:noWrap/>
            <w:vAlign w:val="center"/>
          </w:tcPr>
          <w:p w14:paraId="7CBB5D8A">
            <w:pPr>
              <w:jc w:val="center"/>
              <w:rPr>
                <w:rFonts w:hint="eastAsia" w:ascii="仿宋" w:hAnsi="仿宋" w:eastAsia="仿宋" w:cs="仿宋"/>
                <w:i w:val="0"/>
                <w:iCs w:val="0"/>
                <w:color w:val="000000"/>
                <w:sz w:val="21"/>
                <w:szCs w:val="21"/>
                <w:u w:val="none"/>
              </w:rPr>
            </w:pPr>
          </w:p>
        </w:tc>
        <w:tc>
          <w:tcPr>
            <w:tcW w:w="696" w:type="dxa"/>
            <w:vMerge w:val="continue"/>
            <w:tcBorders>
              <w:left w:val="single" w:color="000000" w:sz="4" w:space="0"/>
              <w:bottom w:val="single" w:color="auto" w:sz="4" w:space="0"/>
              <w:right w:val="single" w:color="000000" w:sz="4" w:space="0"/>
            </w:tcBorders>
            <w:noWrap/>
            <w:vAlign w:val="center"/>
          </w:tcPr>
          <w:p w14:paraId="6CF8EFFA">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bottom w:val="single" w:color="auto" w:sz="4" w:space="0"/>
              <w:right w:val="single" w:color="000000" w:sz="4" w:space="0"/>
            </w:tcBorders>
            <w:noWrap/>
            <w:vAlign w:val="center"/>
          </w:tcPr>
          <w:p w14:paraId="793D1BD7">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bottom w:val="single" w:color="auto" w:sz="4" w:space="0"/>
              <w:right w:val="single" w:color="000000" w:sz="4" w:space="0"/>
            </w:tcBorders>
            <w:noWrap/>
            <w:vAlign w:val="center"/>
          </w:tcPr>
          <w:p w14:paraId="22F8FF8F">
            <w:pPr>
              <w:jc w:val="center"/>
              <w:rPr>
                <w:rFonts w:hint="eastAsia" w:ascii="仿宋" w:hAnsi="仿宋" w:eastAsia="仿宋" w:cs="仿宋"/>
                <w:i w:val="0"/>
                <w:iCs w:val="0"/>
                <w:color w:val="000000"/>
                <w:sz w:val="21"/>
                <w:szCs w:val="21"/>
                <w:u w:val="none"/>
              </w:rPr>
            </w:pPr>
          </w:p>
        </w:tc>
      </w:tr>
      <w:tr w14:paraId="1B7F9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3" w:hRule="atLeast"/>
        </w:trPr>
        <w:tc>
          <w:tcPr>
            <w:tcW w:w="653"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69D4A4">
            <w:pPr>
              <w:jc w:val="center"/>
              <w:rPr>
                <w:rFonts w:hint="default" w:ascii="仿宋" w:hAnsi="仿宋" w:eastAsia="仿宋" w:cs="仿宋"/>
                <w:i w:val="0"/>
                <w:iCs w:val="0"/>
                <w:color w:val="000000"/>
                <w:sz w:val="21"/>
                <w:szCs w:val="21"/>
                <w:u w:val="none"/>
                <w:lang w:val="en-US" w:eastAsia="zh-CN"/>
              </w:rPr>
            </w:pPr>
            <w:r>
              <w:rPr>
                <w:rFonts w:hint="eastAsia" w:ascii="仿宋" w:hAnsi="仿宋" w:eastAsia="仿宋" w:cs="仿宋"/>
                <w:i w:val="0"/>
                <w:iCs w:val="0"/>
                <w:color w:val="000000"/>
                <w:sz w:val="21"/>
                <w:szCs w:val="21"/>
                <w:u w:val="none"/>
                <w:lang w:val="en-US" w:eastAsia="zh-CN"/>
              </w:rPr>
              <w:t>核心侧模块</w:t>
            </w:r>
          </w:p>
        </w:tc>
        <w:tc>
          <w:tcPr>
            <w:tcW w:w="889"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637B814">
            <w:pPr>
              <w:jc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硬件</w:t>
            </w:r>
          </w:p>
        </w:tc>
        <w:tc>
          <w:tcPr>
            <w:tcW w:w="3900" w:type="dxa"/>
            <w:tcBorders>
              <w:top w:val="single" w:color="000000" w:sz="4" w:space="0"/>
              <w:left w:val="single" w:color="auto" w:sz="4" w:space="0"/>
              <w:bottom w:val="single" w:color="000000" w:sz="4" w:space="0"/>
              <w:right w:val="single" w:color="auto" w:sz="4" w:space="0"/>
            </w:tcBorders>
            <w:noWrap w:val="0"/>
            <w:vAlign w:val="center"/>
          </w:tcPr>
          <w:p w14:paraId="354A8629">
            <w:pPr>
              <w:keepNext w:val="0"/>
              <w:keepLines w:val="0"/>
              <w:widowControl/>
              <w:suppressLineNumbers w:val="0"/>
              <w:jc w:val="left"/>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 40G高密超聚合模块，支持≥16种不同波长适配接入设备2.5G连接；传输距离≥10KM，支持单芯LC/APC。</w:t>
            </w:r>
          </w:p>
        </w:tc>
        <w:tc>
          <w:tcPr>
            <w:tcW w:w="729" w:type="dxa"/>
            <w:tcBorders>
              <w:top w:val="single" w:color="auto" w:sz="4" w:space="0"/>
              <w:left w:val="single" w:color="auto" w:sz="4" w:space="0"/>
              <w:bottom w:val="single" w:color="auto" w:sz="4" w:space="0"/>
              <w:right w:val="single" w:color="auto" w:sz="4" w:space="0"/>
            </w:tcBorders>
            <w:noWrap/>
            <w:vAlign w:val="center"/>
          </w:tcPr>
          <w:p w14:paraId="1D500A5C">
            <w:pPr>
              <w:jc w:val="center"/>
              <w:rPr>
                <w:rFonts w:hint="eastAsia" w:ascii="仿宋" w:hAnsi="仿宋" w:eastAsia="仿宋" w:cs="仿宋"/>
                <w:i w:val="0"/>
                <w:iCs w:val="0"/>
                <w:color w:val="000000"/>
                <w:sz w:val="21"/>
                <w:szCs w:val="21"/>
                <w:u w:val="none"/>
                <w:lang w:val="en-US" w:eastAsia="zh-CN"/>
              </w:rPr>
            </w:pPr>
            <w:r>
              <w:rPr>
                <w:rFonts w:hint="eastAsia" w:ascii="仿宋" w:hAnsi="仿宋" w:eastAsia="仿宋" w:cs="仿宋"/>
                <w:i w:val="0"/>
                <w:iCs w:val="0"/>
                <w:color w:val="000000"/>
                <w:sz w:val="21"/>
                <w:szCs w:val="21"/>
                <w:u w:val="none"/>
                <w:lang w:val="en-US" w:eastAsia="zh-CN"/>
              </w:rPr>
              <w:t>5</w:t>
            </w:r>
          </w:p>
        </w:tc>
        <w:tc>
          <w:tcPr>
            <w:tcW w:w="696" w:type="dxa"/>
            <w:tcBorders>
              <w:top w:val="single" w:color="auto" w:sz="4" w:space="0"/>
              <w:left w:val="single" w:color="auto" w:sz="4" w:space="0"/>
              <w:bottom w:val="single" w:color="auto" w:sz="4" w:space="0"/>
              <w:right w:val="single" w:color="auto" w:sz="4" w:space="0"/>
            </w:tcBorders>
            <w:noWrap/>
            <w:vAlign w:val="center"/>
          </w:tcPr>
          <w:p w14:paraId="770E74C5">
            <w:pPr>
              <w:jc w:val="center"/>
              <w:rPr>
                <w:rFonts w:hint="default" w:ascii="仿宋" w:hAnsi="仿宋" w:eastAsia="仿宋" w:cs="仿宋"/>
                <w:i w:val="0"/>
                <w:iCs w:val="0"/>
                <w:color w:val="000000"/>
                <w:sz w:val="21"/>
                <w:szCs w:val="21"/>
                <w:u w:val="none"/>
                <w:lang w:val="en-US" w:eastAsia="zh-CN"/>
              </w:rPr>
            </w:pPr>
            <w:r>
              <w:rPr>
                <w:rFonts w:hint="eastAsia" w:ascii="仿宋" w:hAnsi="仿宋" w:eastAsia="仿宋" w:cs="仿宋"/>
                <w:i w:val="0"/>
                <w:iCs w:val="0"/>
                <w:color w:val="000000"/>
                <w:sz w:val="21"/>
                <w:szCs w:val="21"/>
                <w:u w:val="none"/>
                <w:lang w:val="en-US" w:eastAsia="zh-CN"/>
              </w:rPr>
              <w:t>个</w:t>
            </w:r>
          </w:p>
        </w:tc>
        <w:tc>
          <w:tcPr>
            <w:tcW w:w="1039" w:type="dxa"/>
            <w:tcBorders>
              <w:top w:val="single" w:color="auto" w:sz="4" w:space="0"/>
              <w:left w:val="single" w:color="auto" w:sz="4" w:space="0"/>
              <w:bottom w:val="single" w:color="auto" w:sz="4" w:space="0"/>
              <w:right w:val="single" w:color="auto" w:sz="4" w:space="0"/>
            </w:tcBorders>
            <w:noWrap/>
            <w:vAlign w:val="center"/>
          </w:tcPr>
          <w:p w14:paraId="205A0981">
            <w:pPr>
              <w:jc w:val="center"/>
              <w:rPr>
                <w:rFonts w:hint="eastAsia" w:ascii="仿宋" w:hAnsi="仿宋" w:eastAsia="仿宋" w:cs="仿宋"/>
                <w:i w:val="0"/>
                <w:iCs w:val="0"/>
                <w:color w:val="000000"/>
                <w:sz w:val="21"/>
                <w:szCs w:val="21"/>
                <w:u w:val="none"/>
                <w:lang w:val="en-US" w:eastAsia="zh-CN"/>
              </w:rPr>
            </w:pPr>
            <w:r>
              <w:rPr>
                <w:rFonts w:hint="eastAsia" w:ascii="仿宋" w:hAnsi="仿宋" w:eastAsia="仿宋" w:cs="仿宋"/>
                <w:i w:val="0"/>
                <w:iCs w:val="0"/>
                <w:color w:val="000000"/>
                <w:kern w:val="0"/>
                <w:sz w:val="21"/>
                <w:szCs w:val="21"/>
                <w:u w:val="none"/>
                <w:lang w:val="en-US" w:eastAsia="zh-CN" w:bidi="ar"/>
              </w:rPr>
              <w:t>否</w:t>
            </w:r>
          </w:p>
        </w:tc>
        <w:tc>
          <w:tcPr>
            <w:tcW w:w="1054" w:type="dxa"/>
            <w:tcBorders>
              <w:top w:val="single" w:color="auto" w:sz="4" w:space="0"/>
              <w:left w:val="single" w:color="auto" w:sz="4" w:space="0"/>
              <w:bottom w:val="single" w:color="auto" w:sz="4" w:space="0"/>
              <w:right w:val="single" w:color="auto" w:sz="4" w:space="0"/>
            </w:tcBorders>
            <w:noWrap/>
            <w:vAlign w:val="center"/>
          </w:tcPr>
          <w:p w14:paraId="69B14708">
            <w:pPr>
              <w:jc w:val="center"/>
              <w:rPr>
                <w:rFonts w:hint="eastAsia" w:ascii="仿宋" w:hAnsi="仿宋" w:eastAsia="仿宋" w:cs="仿宋"/>
                <w:i w:val="0"/>
                <w:iCs w:val="0"/>
                <w:color w:val="000000"/>
                <w:sz w:val="21"/>
                <w:szCs w:val="21"/>
                <w:u w:val="none"/>
                <w:lang w:val="en-US" w:eastAsia="zh-CN"/>
              </w:rPr>
            </w:pPr>
            <w:r>
              <w:rPr>
                <w:rFonts w:hint="eastAsia" w:ascii="仿宋" w:hAnsi="仿宋" w:eastAsia="仿宋" w:cs="仿宋"/>
                <w:i w:val="0"/>
                <w:iCs w:val="0"/>
                <w:color w:val="000000"/>
                <w:kern w:val="0"/>
                <w:sz w:val="21"/>
                <w:szCs w:val="21"/>
                <w:u w:val="none"/>
                <w:lang w:val="en-US" w:eastAsia="zh-CN" w:bidi="ar"/>
              </w:rPr>
              <w:t>否</w:t>
            </w:r>
          </w:p>
        </w:tc>
      </w:tr>
      <w:tr w14:paraId="60F4A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3" w:hRule="atLeast"/>
        </w:trPr>
        <w:tc>
          <w:tcPr>
            <w:tcW w:w="653" w:type="dxa"/>
            <w:tcBorders>
              <w:top w:val="single" w:color="auto" w:sz="4" w:space="0"/>
              <w:left w:val="single" w:color="000000" w:sz="4" w:space="0"/>
              <w:bottom w:val="single" w:color="000000" w:sz="4" w:space="0"/>
              <w:right w:val="single" w:color="000000" w:sz="4" w:space="0"/>
            </w:tcBorders>
            <w:shd w:val="clear" w:color="auto" w:fill="FFFFFF"/>
            <w:noWrap w:val="0"/>
            <w:vAlign w:val="center"/>
          </w:tcPr>
          <w:p w14:paraId="391FA9B3">
            <w:pPr>
              <w:jc w:val="center"/>
              <w:rPr>
                <w:rFonts w:hint="default" w:ascii="仿宋" w:hAnsi="仿宋" w:eastAsia="仿宋" w:cs="仿宋"/>
                <w:i w:val="0"/>
                <w:iCs w:val="0"/>
                <w:color w:val="000000"/>
                <w:sz w:val="21"/>
                <w:szCs w:val="21"/>
                <w:u w:val="none"/>
                <w:lang w:val="en-US" w:eastAsia="zh-CN"/>
              </w:rPr>
            </w:pPr>
            <w:r>
              <w:rPr>
                <w:rFonts w:hint="eastAsia" w:ascii="仿宋" w:hAnsi="仿宋" w:eastAsia="仿宋" w:cs="仿宋"/>
                <w:i w:val="0"/>
                <w:iCs w:val="0"/>
                <w:color w:val="000000"/>
                <w:sz w:val="21"/>
                <w:szCs w:val="21"/>
                <w:u w:val="none"/>
                <w:lang w:val="en-US" w:eastAsia="zh-CN"/>
              </w:rPr>
              <w:t>接入侧模块</w:t>
            </w:r>
          </w:p>
        </w:tc>
        <w:tc>
          <w:tcPr>
            <w:tcW w:w="889" w:type="dxa"/>
            <w:tcBorders>
              <w:top w:val="single" w:color="auto" w:sz="4" w:space="0"/>
              <w:left w:val="single" w:color="000000" w:sz="4" w:space="0"/>
              <w:bottom w:val="single" w:color="000000" w:sz="4" w:space="0"/>
              <w:right w:val="single" w:color="000000" w:sz="4" w:space="0"/>
            </w:tcBorders>
            <w:shd w:val="clear" w:color="auto" w:fill="FFFFFF"/>
            <w:noWrap w:val="0"/>
            <w:vAlign w:val="center"/>
          </w:tcPr>
          <w:p w14:paraId="11BF1C0D">
            <w:pPr>
              <w:jc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硬件</w:t>
            </w: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66A1BDBC">
            <w:pPr>
              <w:keepNext w:val="0"/>
              <w:keepLines w:val="0"/>
              <w:widowControl/>
              <w:suppressLineNumbers w:val="0"/>
              <w:jc w:val="left"/>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 2.5G模块，包含≥16个不同波长独立光模块；模块传输距离不少于10km，支持单芯LC/UPC。</w:t>
            </w:r>
          </w:p>
        </w:tc>
        <w:tc>
          <w:tcPr>
            <w:tcW w:w="729" w:type="dxa"/>
            <w:tcBorders>
              <w:top w:val="single" w:color="auto" w:sz="4" w:space="0"/>
              <w:left w:val="single" w:color="000000" w:sz="4" w:space="0"/>
              <w:bottom w:val="single" w:color="000000" w:sz="4" w:space="0"/>
              <w:right w:val="single" w:color="000000" w:sz="4" w:space="0"/>
            </w:tcBorders>
            <w:noWrap/>
            <w:vAlign w:val="center"/>
          </w:tcPr>
          <w:p w14:paraId="6C18B58C">
            <w:pPr>
              <w:jc w:val="center"/>
              <w:rPr>
                <w:rFonts w:hint="eastAsia" w:ascii="仿宋" w:hAnsi="仿宋" w:eastAsia="仿宋" w:cs="仿宋"/>
                <w:i w:val="0"/>
                <w:iCs w:val="0"/>
                <w:color w:val="000000"/>
                <w:sz w:val="21"/>
                <w:szCs w:val="21"/>
                <w:u w:val="none"/>
                <w:lang w:val="en-US" w:eastAsia="zh-CN"/>
              </w:rPr>
            </w:pPr>
            <w:r>
              <w:rPr>
                <w:rFonts w:hint="eastAsia" w:ascii="仿宋" w:hAnsi="仿宋" w:eastAsia="仿宋" w:cs="仿宋"/>
                <w:i w:val="0"/>
                <w:iCs w:val="0"/>
                <w:color w:val="000000"/>
                <w:sz w:val="21"/>
                <w:szCs w:val="21"/>
                <w:u w:val="none"/>
                <w:lang w:val="en-US" w:eastAsia="zh-CN"/>
              </w:rPr>
              <w:t>5</w:t>
            </w:r>
          </w:p>
        </w:tc>
        <w:tc>
          <w:tcPr>
            <w:tcW w:w="696" w:type="dxa"/>
            <w:tcBorders>
              <w:top w:val="single" w:color="auto" w:sz="4" w:space="0"/>
              <w:left w:val="single" w:color="000000" w:sz="4" w:space="0"/>
              <w:bottom w:val="single" w:color="000000" w:sz="4" w:space="0"/>
              <w:right w:val="single" w:color="000000" w:sz="4" w:space="0"/>
            </w:tcBorders>
            <w:noWrap/>
            <w:vAlign w:val="center"/>
          </w:tcPr>
          <w:p w14:paraId="3A7BD887">
            <w:pPr>
              <w:jc w:val="center"/>
              <w:rPr>
                <w:rFonts w:hint="eastAsia" w:ascii="仿宋" w:hAnsi="仿宋" w:eastAsia="仿宋" w:cs="仿宋"/>
                <w:i w:val="0"/>
                <w:iCs w:val="0"/>
                <w:color w:val="000000"/>
                <w:sz w:val="21"/>
                <w:szCs w:val="21"/>
                <w:u w:val="none"/>
                <w:lang w:val="en-US" w:eastAsia="zh-CN"/>
              </w:rPr>
            </w:pPr>
            <w:r>
              <w:rPr>
                <w:rFonts w:hint="eastAsia" w:ascii="仿宋" w:hAnsi="仿宋" w:eastAsia="仿宋" w:cs="仿宋"/>
                <w:i w:val="0"/>
                <w:iCs w:val="0"/>
                <w:color w:val="000000"/>
                <w:sz w:val="21"/>
                <w:szCs w:val="21"/>
                <w:u w:val="none"/>
                <w:lang w:val="en-US" w:eastAsia="zh-CN"/>
              </w:rPr>
              <w:t>组</w:t>
            </w:r>
          </w:p>
        </w:tc>
        <w:tc>
          <w:tcPr>
            <w:tcW w:w="1039" w:type="dxa"/>
            <w:tcBorders>
              <w:top w:val="single" w:color="auto" w:sz="4" w:space="0"/>
              <w:left w:val="single" w:color="000000" w:sz="4" w:space="0"/>
              <w:bottom w:val="single" w:color="000000" w:sz="4" w:space="0"/>
              <w:right w:val="single" w:color="000000" w:sz="4" w:space="0"/>
            </w:tcBorders>
            <w:noWrap/>
            <w:vAlign w:val="center"/>
          </w:tcPr>
          <w:p w14:paraId="0E63922E">
            <w:pPr>
              <w:jc w:val="center"/>
              <w:rPr>
                <w:rFonts w:hint="eastAsia" w:ascii="仿宋" w:hAnsi="仿宋" w:eastAsia="仿宋" w:cs="仿宋"/>
                <w:i w:val="0"/>
                <w:iCs w:val="0"/>
                <w:color w:val="000000"/>
                <w:sz w:val="21"/>
                <w:szCs w:val="21"/>
                <w:u w:val="none"/>
                <w:lang w:val="en-US" w:eastAsia="zh-CN"/>
              </w:rPr>
            </w:pPr>
            <w:r>
              <w:rPr>
                <w:rFonts w:hint="eastAsia" w:ascii="仿宋" w:hAnsi="仿宋" w:eastAsia="仿宋" w:cs="仿宋"/>
                <w:i w:val="0"/>
                <w:iCs w:val="0"/>
                <w:color w:val="000000"/>
                <w:kern w:val="0"/>
                <w:sz w:val="21"/>
                <w:szCs w:val="21"/>
                <w:u w:val="none"/>
                <w:lang w:val="en-US" w:eastAsia="zh-CN" w:bidi="ar"/>
              </w:rPr>
              <w:t>否</w:t>
            </w:r>
          </w:p>
        </w:tc>
        <w:tc>
          <w:tcPr>
            <w:tcW w:w="1054" w:type="dxa"/>
            <w:tcBorders>
              <w:top w:val="single" w:color="auto" w:sz="4" w:space="0"/>
              <w:left w:val="single" w:color="000000" w:sz="4" w:space="0"/>
              <w:bottom w:val="single" w:color="000000" w:sz="4" w:space="0"/>
              <w:right w:val="single" w:color="000000" w:sz="4" w:space="0"/>
            </w:tcBorders>
            <w:noWrap/>
            <w:vAlign w:val="center"/>
          </w:tcPr>
          <w:p w14:paraId="4B50E817">
            <w:pPr>
              <w:jc w:val="center"/>
              <w:rPr>
                <w:rFonts w:hint="eastAsia" w:ascii="仿宋" w:hAnsi="仿宋" w:eastAsia="仿宋" w:cs="仿宋"/>
                <w:i w:val="0"/>
                <w:iCs w:val="0"/>
                <w:color w:val="000000"/>
                <w:sz w:val="21"/>
                <w:szCs w:val="21"/>
                <w:u w:val="none"/>
                <w:lang w:val="en-US" w:eastAsia="zh-CN"/>
              </w:rPr>
            </w:pPr>
            <w:r>
              <w:rPr>
                <w:rFonts w:hint="eastAsia" w:ascii="仿宋" w:hAnsi="仿宋" w:eastAsia="仿宋" w:cs="仿宋"/>
                <w:i w:val="0"/>
                <w:iCs w:val="0"/>
                <w:color w:val="000000"/>
                <w:kern w:val="0"/>
                <w:sz w:val="21"/>
                <w:szCs w:val="21"/>
                <w:u w:val="none"/>
                <w:lang w:val="en-US" w:eastAsia="zh-CN" w:bidi="ar"/>
              </w:rPr>
              <w:t>否</w:t>
            </w:r>
          </w:p>
        </w:tc>
      </w:tr>
      <w:tr w14:paraId="7C87D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53"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0B010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b w:val="0"/>
                <w:bCs w:val="0"/>
                <w:kern w:val="2"/>
                <w:sz w:val="21"/>
                <w:szCs w:val="21"/>
                <w:highlight w:val="none"/>
                <w:lang w:val="en-US" w:eastAsia="zh-CN" w:bidi="ar-SA"/>
              </w:rPr>
              <w:t>▲</w:t>
            </w:r>
            <w:r>
              <w:rPr>
                <w:rFonts w:hint="eastAsia" w:ascii="仿宋" w:hAnsi="仿宋" w:eastAsia="仿宋" w:cs="仿宋"/>
                <w:i w:val="0"/>
                <w:iCs w:val="0"/>
                <w:color w:val="000000"/>
                <w:kern w:val="0"/>
                <w:sz w:val="21"/>
                <w:szCs w:val="21"/>
                <w:u w:val="none"/>
                <w:lang w:val="en-US" w:eastAsia="zh-CN" w:bidi="ar"/>
              </w:rPr>
              <w:t>无线控制器</w:t>
            </w:r>
          </w:p>
        </w:tc>
        <w:tc>
          <w:tcPr>
            <w:tcW w:w="88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FEF6F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硬件</w:t>
            </w: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5B38F5A2">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 固化千兆电口数≥16，固化10G万兆接口数≥12个，40G光口≥2个。</w:t>
            </w:r>
          </w:p>
        </w:tc>
        <w:tc>
          <w:tcPr>
            <w:tcW w:w="729" w:type="dxa"/>
            <w:vMerge w:val="restart"/>
            <w:tcBorders>
              <w:top w:val="single" w:color="000000" w:sz="4" w:space="0"/>
              <w:left w:val="single" w:color="000000" w:sz="4" w:space="0"/>
              <w:bottom w:val="single" w:color="000000" w:sz="4" w:space="0"/>
              <w:right w:val="single" w:color="000000" w:sz="4" w:space="0"/>
            </w:tcBorders>
            <w:noWrap/>
            <w:vAlign w:val="center"/>
          </w:tcPr>
          <w:p w14:paraId="0B32191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696" w:type="dxa"/>
            <w:vMerge w:val="restart"/>
            <w:tcBorders>
              <w:top w:val="single" w:color="000000" w:sz="4" w:space="0"/>
              <w:left w:val="single" w:color="000000" w:sz="4" w:space="0"/>
              <w:bottom w:val="single" w:color="000000" w:sz="4" w:space="0"/>
              <w:right w:val="single" w:color="000000" w:sz="4" w:space="0"/>
            </w:tcBorders>
            <w:noWrap/>
            <w:vAlign w:val="center"/>
          </w:tcPr>
          <w:p w14:paraId="53AD1A0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台</w:t>
            </w:r>
          </w:p>
        </w:tc>
        <w:tc>
          <w:tcPr>
            <w:tcW w:w="1039" w:type="dxa"/>
            <w:vMerge w:val="restart"/>
            <w:tcBorders>
              <w:top w:val="single" w:color="000000" w:sz="4" w:space="0"/>
              <w:left w:val="single" w:color="000000" w:sz="4" w:space="0"/>
              <w:right w:val="single" w:color="000000" w:sz="4" w:space="0"/>
            </w:tcBorders>
            <w:noWrap/>
            <w:vAlign w:val="center"/>
          </w:tcPr>
          <w:p w14:paraId="7B9C602E">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否</w:t>
            </w:r>
          </w:p>
        </w:tc>
        <w:tc>
          <w:tcPr>
            <w:tcW w:w="1054" w:type="dxa"/>
            <w:vMerge w:val="restart"/>
            <w:tcBorders>
              <w:top w:val="single" w:color="000000" w:sz="4" w:space="0"/>
              <w:left w:val="single" w:color="000000" w:sz="4" w:space="0"/>
              <w:right w:val="single" w:color="000000" w:sz="4" w:space="0"/>
            </w:tcBorders>
            <w:noWrap/>
            <w:vAlign w:val="center"/>
          </w:tcPr>
          <w:p w14:paraId="2A838C42">
            <w:pPr>
              <w:keepNext w:val="0"/>
              <w:keepLines w:val="0"/>
              <w:widowControl/>
              <w:suppressLineNumbers w:val="0"/>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否</w:t>
            </w:r>
          </w:p>
        </w:tc>
      </w:tr>
      <w:tr w14:paraId="2BB73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749C71">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7F03CA">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3FF38F7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 默认可管理AP数≥128个，最大可支持管理10240个AP。</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1409E2A1">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18457344">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16380AE3">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53C0187B">
            <w:pPr>
              <w:jc w:val="center"/>
              <w:rPr>
                <w:rFonts w:hint="eastAsia" w:ascii="仿宋" w:hAnsi="仿宋" w:eastAsia="仿宋" w:cs="仿宋"/>
                <w:i w:val="0"/>
                <w:iCs w:val="0"/>
                <w:color w:val="000000"/>
                <w:sz w:val="21"/>
                <w:szCs w:val="21"/>
                <w:u w:val="none"/>
              </w:rPr>
            </w:pPr>
          </w:p>
        </w:tc>
      </w:tr>
      <w:tr w14:paraId="59490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9D09B5">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DC2698">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383FB78F">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 802.11转发性能≥120G 。</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556944D4">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2CDC3974">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18DEEDA3">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354026F5">
            <w:pPr>
              <w:jc w:val="center"/>
              <w:rPr>
                <w:rFonts w:hint="eastAsia" w:ascii="仿宋" w:hAnsi="仿宋" w:eastAsia="仿宋" w:cs="仿宋"/>
                <w:i w:val="0"/>
                <w:iCs w:val="0"/>
                <w:color w:val="000000"/>
                <w:sz w:val="21"/>
                <w:szCs w:val="21"/>
                <w:u w:val="none"/>
              </w:rPr>
            </w:pPr>
          </w:p>
        </w:tc>
      </w:tr>
      <w:tr w14:paraId="02A0C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85"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88C155">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978ED4">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1A46A61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支持AC分级功能，中心AC可对分支AC起到备份作用，中心AC可以统一监控各个分支AC的运行状态、AP和用户信息；中心AC可以统一对分支AC进行软件升级，分支AC可以共享中心AC的AP容量License；中心AC支持虚拟化，提高整网的稳定性。。</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4A8F1946">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6612599F">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7AA284ED">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200DD5C6">
            <w:pPr>
              <w:jc w:val="center"/>
              <w:rPr>
                <w:rFonts w:hint="eastAsia" w:ascii="仿宋" w:hAnsi="仿宋" w:eastAsia="仿宋" w:cs="仿宋"/>
                <w:i w:val="0"/>
                <w:iCs w:val="0"/>
                <w:color w:val="000000"/>
                <w:sz w:val="21"/>
                <w:szCs w:val="21"/>
                <w:u w:val="none"/>
              </w:rPr>
            </w:pPr>
          </w:p>
        </w:tc>
      </w:tr>
      <w:tr w14:paraId="79880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7E493F">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471C61">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4139963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AC设备多账户分权管理功能，实现一台物理AC设备或多台物理AC设备虚拟成一台AC设备后，均能受多账户管理，各账户分别管理不同的无线信息。</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1760127B">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7BD4CB8E">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23873FA4">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4F42F1EB">
            <w:pPr>
              <w:jc w:val="center"/>
              <w:rPr>
                <w:rFonts w:hint="eastAsia" w:ascii="仿宋" w:hAnsi="仿宋" w:eastAsia="仿宋" w:cs="仿宋"/>
                <w:i w:val="0"/>
                <w:iCs w:val="0"/>
                <w:color w:val="000000"/>
                <w:sz w:val="21"/>
                <w:szCs w:val="21"/>
                <w:u w:val="none"/>
              </w:rPr>
            </w:pPr>
          </w:p>
        </w:tc>
      </w:tr>
      <w:tr w14:paraId="1560E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D79920">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C71C3C">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659B69C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为快速建立高度隔离的安全网络，设备应支持实现AP虚拟化功能，实现一台AP虚拟为多台AP，分别受不同AC设备独立管理，互不影响。不同虚拟 AP之间数据隔离，虚拟AP在AC上不占用AP License。</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1348E222">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24EA1706">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67B108A4">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5B782D34">
            <w:pPr>
              <w:jc w:val="center"/>
              <w:rPr>
                <w:rFonts w:hint="eastAsia" w:ascii="仿宋" w:hAnsi="仿宋" w:eastAsia="仿宋" w:cs="仿宋"/>
                <w:i w:val="0"/>
                <w:iCs w:val="0"/>
                <w:color w:val="000000"/>
                <w:sz w:val="21"/>
                <w:szCs w:val="21"/>
                <w:u w:val="none"/>
              </w:rPr>
            </w:pPr>
          </w:p>
        </w:tc>
      </w:tr>
      <w:tr w14:paraId="09B28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3DD9D2">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8130E2">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4B9F3901">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支持802.11k、802.11v协议，实现BSTM主动漫游切换请求指令。</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7442842E">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2C66CEF6">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31BB4421">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158B7C17">
            <w:pPr>
              <w:jc w:val="center"/>
              <w:rPr>
                <w:rFonts w:hint="eastAsia" w:ascii="仿宋" w:hAnsi="仿宋" w:eastAsia="仿宋" w:cs="仿宋"/>
                <w:i w:val="0"/>
                <w:iCs w:val="0"/>
                <w:color w:val="000000"/>
                <w:sz w:val="21"/>
                <w:szCs w:val="21"/>
                <w:u w:val="none"/>
              </w:rPr>
            </w:pPr>
          </w:p>
        </w:tc>
      </w:tr>
      <w:tr w14:paraId="71168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A4FA03">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5494F4">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73F641CC">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要求设备可配置AP的本地数据转发技术模式，即可根据网络的SSID和用户VLAN的规划，决定数据是否需要全部经过无线AC转发或直接进入有线网络进行本地交换，从而更好的适应未来无线网络更高流量传输的要求。</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136D5717">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7DAE3DBD">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42D5C60E">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57ECC862">
            <w:pPr>
              <w:jc w:val="center"/>
              <w:rPr>
                <w:rFonts w:hint="eastAsia" w:ascii="仿宋" w:hAnsi="仿宋" w:eastAsia="仿宋" w:cs="仿宋"/>
                <w:i w:val="0"/>
                <w:iCs w:val="0"/>
                <w:color w:val="000000"/>
                <w:sz w:val="21"/>
                <w:szCs w:val="21"/>
                <w:u w:val="none"/>
              </w:rPr>
            </w:pPr>
          </w:p>
        </w:tc>
      </w:tr>
      <w:tr w14:paraId="477F0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5FC887">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6EE832">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243CC105">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支持应用识别功能，实现无线应用的流量统计和无线应用QOS优先级的控制。</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1FC74818">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6E0C7B1A">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6A618777">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18F5FE2B">
            <w:pPr>
              <w:jc w:val="center"/>
              <w:rPr>
                <w:rFonts w:hint="eastAsia" w:ascii="仿宋" w:hAnsi="仿宋" w:eastAsia="仿宋" w:cs="仿宋"/>
                <w:i w:val="0"/>
                <w:iCs w:val="0"/>
                <w:color w:val="000000"/>
                <w:sz w:val="21"/>
                <w:szCs w:val="21"/>
                <w:u w:val="none"/>
              </w:rPr>
            </w:pPr>
          </w:p>
        </w:tc>
      </w:tr>
      <w:tr w14:paraId="74A05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AFE833">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0EA3FB">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50ED043A">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支持MAC认证、WEB认证、802.1X认证，认证后能实现IP、MAC、WLAN等元素的绑定信息，保证只有合法的用户才能进入网络。</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78C17B82">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441B3BC2">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00CCDC80">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072A19C1">
            <w:pPr>
              <w:jc w:val="center"/>
              <w:rPr>
                <w:rFonts w:hint="eastAsia" w:ascii="仿宋" w:hAnsi="仿宋" w:eastAsia="仿宋" w:cs="仿宋"/>
                <w:i w:val="0"/>
                <w:iCs w:val="0"/>
                <w:color w:val="000000"/>
                <w:sz w:val="21"/>
                <w:szCs w:val="21"/>
                <w:u w:val="none"/>
              </w:rPr>
            </w:pPr>
          </w:p>
        </w:tc>
      </w:tr>
      <w:tr w14:paraId="3270B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5C7CCF">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5A0092">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0D096A10">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支持根据用户需求定制化设计认证页面及用户自定义设计。</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7E7624CB">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24EAF180">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right w:val="single" w:color="000000" w:sz="4" w:space="0"/>
            </w:tcBorders>
            <w:noWrap/>
            <w:vAlign w:val="center"/>
          </w:tcPr>
          <w:p w14:paraId="5D6EE8B9">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right w:val="single" w:color="000000" w:sz="4" w:space="0"/>
            </w:tcBorders>
            <w:noWrap/>
            <w:vAlign w:val="center"/>
          </w:tcPr>
          <w:p w14:paraId="2D9921E4">
            <w:pPr>
              <w:jc w:val="center"/>
              <w:rPr>
                <w:rFonts w:hint="eastAsia" w:ascii="仿宋" w:hAnsi="仿宋" w:eastAsia="仿宋" w:cs="仿宋"/>
                <w:i w:val="0"/>
                <w:iCs w:val="0"/>
                <w:color w:val="000000"/>
                <w:sz w:val="21"/>
                <w:szCs w:val="21"/>
                <w:u w:val="none"/>
              </w:rPr>
            </w:pPr>
          </w:p>
        </w:tc>
      </w:tr>
      <w:tr w14:paraId="64A69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53"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4C9FB7">
            <w:pPr>
              <w:jc w:val="center"/>
              <w:rPr>
                <w:rFonts w:hint="eastAsia" w:ascii="仿宋" w:hAnsi="仿宋" w:eastAsia="仿宋" w:cs="仿宋"/>
                <w:i w:val="0"/>
                <w:iCs w:val="0"/>
                <w:color w:val="000000"/>
                <w:sz w:val="21"/>
                <w:szCs w:val="21"/>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26C12C">
            <w:pPr>
              <w:jc w:val="center"/>
              <w:rPr>
                <w:rFonts w:hint="eastAsia" w:ascii="仿宋" w:hAnsi="仿宋" w:eastAsia="仿宋" w:cs="仿宋"/>
                <w:i w:val="0"/>
                <w:iCs w:val="0"/>
                <w:color w:val="000000"/>
                <w:sz w:val="21"/>
                <w:szCs w:val="21"/>
                <w:u w:val="none"/>
              </w:rPr>
            </w:pPr>
          </w:p>
        </w:tc>
        <w:tc>
          <w:tcPr>
            <w:tcW w:w="3900" w:type="dxa"/>
            <w:tcBorders>
              <w:top w:val="single" w:color="000000" w:sz="4" w:space="0"/>
              <w:left w:val="single" w:color="000000" w:sz="4" w:space="0"/>
              <w:bottom w:val="single" w:color="000000" w:sz="4" w:space="0"/>
              <w:right w:val="single" w:color="000000" w:sz="4" w:space="0"/>
            </w:tcBorders>
            <w:noWrap w:val="0"/>
            <w:vAlign w:val="center"/>
          </w:tcPr>
          <w:p w14:paraId="09321814">
            <w:pPr>
              <w:keepNext w:val="0"/>
              <w:keepLines w:val="0"/>
              <w:widowControl/>
              <w:suppressLineNumbers w:val="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★配置要求：配置满足不少于304个AP的管理授权；40G多模光模块≥2个。</w:t>
            </w:r>
          </w:p>
        </w:tc>
        <w:tc>
          <w:tcPr>
            <w:tcW w:w="729" w:type="dxa"/>
            <w:vMerge w:val="continue"/>
            <w:tcBorders>
              <w:top w:val="single" w:color="000000" w:sz="4" w:space="0"/>
              <w:left w:val="single" w:color="000000" w:sz="4" w:space="0"/>
              <w:bottom w:val="single" w:color="000000" w:sz="4" w:space="0"/>
              <w:right w:val="single" w:color="000000" w:sz="4" w:space="0"/>
            </w:tcBorders>
            <w:noWrap/>
            <w:vAlign w:val="center"/>
          </w:tcPr>
          <w:p w14:paraId="1A5D5F21">
            <w:pPr>
              <w:jc w:val="center"/>
              <w:rPr>
                <w:rFonts w:hint="eastAsia" w:ascii="仿宋" w:hAnsi="仿宋" w:eastAsia="仿宋" w:cs="仿宋"/>
                <w:i w:val="0"/>
                <w:iCs w:val="0"/>
                <w:color w:val="000000"/>
                <w:sz w:val="21"/>
                <w:szCs w:val="21"/>
                <w:u w:val="none"/>
              </w:rPr>
            </w:pPr>
          </w:p>
        </w:tc>
        <w:tc>
          <w:tcPr>
            <w:tcW w:w="696" w:type="dxa"/>
            <w:vMerge w:val="continue"/>
            <w:tcBorders>
              <w:top w:val="single" w:color="000000" w:sz="4" w:space="0"/>
              <w:left w:val="single" w:color="000000" w:sz="4" w:space="0"/>
              <w:bottom w:val="single" w:color="000000" w:sz="4" w:space="0"/>
              <w:right w:val="single" w:color="000000" w:sz="4" w:space="0"/>
            </w:tcBorders>
            <w:noWrap/>
            <w:vAlign w:val="center"/>
          </w:tcPr>
          <w:p w14:paraId="6AA9D1B3">
            <w:pPr>
              <w:jc w:val="center"/>
              <w:rPr>
                <w:rFonts w:hint="eastAsia" w:ascii="仿宋" w:hAnsi="仿宋" w:eastAsia="仿宋" w:cs="仿宋"/>
                <w:i w:val="0"/>
                <w:iCs w:val="0"/>
                <w:color w:val="000000"/>
                <w:sz w:val="21"/>
                <w:szCs w:val="21"/>
                <w:u w:val="none"/>
              </w:rPr>
            </w:pPr>
          </w:p>
        </w:tc>
        <w:tc>
          <w:tcPr>
            <w:tcW w:w="1039" w:type="dxa"/>
            <w:vMerge w:val="continue"/>
            <w:tcBorders>
              <w:left w:val="single" w:color="000000" w:sz="4" w:space="0"/>
              <w:bottom w:val="single" w:color="000000" w:sz="4" w:space="0"/>
              <w:right w:val="single" w:color="000000" w:sz="4" w:space="0"/>
            </w:tcBorders>
            <w:noWrap/>
            <w:vAlign w:val="center"/>
          </w:tcPr>
          <w:p w14:paraId="119BE524">
            <w:pPr>
              <w:jc w:val="center"/>
              <w:rPr>
                <w:rFonts w:hint="eastAsia" w:ascii="仿宋" w:hAnsi="仿宋" w:eastAsia="仿宋" w:cs="仿宋"/>
                <w:i w:val="0"/>
                <w:iCs w:val="0"/>
                <w:color w:val="000000"/>
                <w:sz w:val="21"/>
                <w:szCs w:val="21"/>
                <w:u w:val="none"/>
              </w:rPr>
            </w:pPr>
          </w:p>
        </w:tc>
        <w:tc>
          <w:tcPr>
            <w:tcW w:w="1054" w:type="dxa"/>
            <w:vMerge w:val="continue"/>
            <w:tcBorders>
              <w:left w:val="single" w:color="000000" w:sz="4" w:space="0"/>
              <w:bottom w:val="single" w:color="000000" w:sz="4" w:space="0"/>
              <w:right w:val="single" w:color="000000" w:sz="4" w:space="0"/>
            </w:tcBorders>
            <w:noWrap/>
            <w:vAlign w:val="center"/>
          </w:tcPr>
          <w:p w14:paraId="3A4E83BC">
            <w:pPr>
              <w:jc w:val="center"/>
              <w:rPr>
                <w:rFonts w:hint="eastAsia" w:ascii="仿宋" w:hAnsi="仿宋" w:eastAsia="仿宋" w:cs="仿宋"/>
                <w:i w:val="0"/>
                <w:iCs w:val="0"/>
                <w:color w:val="000000"/>
                <w:sz w:val="21"/>
                <w:szCs w:val="21"/>
                <w:u w:val="none"/>
              </w:rPr>
            </w:pPr>
          </w:p>
        </w:tc>
      </w:tr>
    </w:tbl>
    <w:p w14:paraId="3530C6FD">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仿宋" w:hAnsi="仿宋" w:eastAsia="仿宋" w:cs="仿宋"/>
          <w:b w:val="0"/>
          <w:bCs w:val="0"/>
          <w:kern w:val="2"/>
          <w:sz w:val="28"/>
          <w:szCs w:val="28"/>
          <w:highlight w:val="none"/>
          <w:lang w:val="en-US" w:eastAsia="zh-CN" w:bidi="ar-SA"/>
        </w:rPr>
      </w:pPr>
      <w:r>
        <w:rPr>
          <w:rFonts w:hint="eastAsia" w:ascii="仿宋" w:hAnsi="仿宋" w:eastAsia="仿宋" w:cs="仿宋"/>
          <w:i w:val="0"/>
          <w:iCs w:val="0"/>
          <w:color w:val="auto"/>
          <w:kern w:val="2"/>
          <w:sz w:val="28"/>
          <w:szCs w:val="28"/>
          <w:highlight w:val="none"/>
          <w:u w:val="none"/>
          <w:lang w:val="en-US" w:eastAsia="zh-CN" w:bidi="ar-SA"/>
        </w:rPr>
        <w:t>备注：</w:t>
      </w:r>
      <w:r>
        <w:rPr>
          <w:rFonts w:hint="eastAsia" w:ascii="仿宋" w:hAnsi="仿宋" w:eastAsia="仿宋" w:cs="仿宋"/>
          <w:b w:val="0"/>
          <w:bCs w:val="0"/>
          <w:kern w:val="2"/>
          <w:sz w:val="28"/>
          <w:szCs w:val="28"/>
          <w:highlight w:val="none"/>
          <w:lang w:val="en-US" w:eastAsia="zh-CN" w:bidi="ar-SA"/>
        </w:rPr>
        <w:t>1.加注“▲”号的产品为核心产品。</w:t>
      </w:r>
    </w:p>
    <w:p w14:paraId="7707B56A">
      <w:pPr>
        <w:numPr>
          <w:ilvl w:val="0"/>
          <w:numId w:val="0"/>
        </w:numPr>
        <w:spacing w:line="560" w:lineRule="exact"/>
        <w:ind w:firstLine="840" w:firstLineChars="300"/>
        <w:jc w:val="left"/>
        <w:rPr>
          <w:rFonts w:hint="eastAsia" w:ascii="仿宋" w:hAnsi="仿宋" w:eastAsia="仿宋"/>
          <w:color w:val="000000"/>
          <w:sz w:val="32"/>
          <w:szCs w:val="32"/>
          <w:highlight w:val="none"/>
        </w:rPr>
      </w:pPr>
      <w:r>
        <w:rPr>
          <w:rFonts w:hint="eastAsia" w:ascii="仿宋" w:hAnsi="仿宋" w:eastAsia="仿宋" w:cs="仿宋"/>
          <w:b w:val="0"/>
          <w:bCs w:val="0"/>
          <w:kern w:val="2"/>
          <w:sz w:val="28"/>
          <w:szCs w:val="28"/>
          <w:highlight w:val="none"/>
          <w:lang w:val="en-US" w:eastAsia="zh-CN" w:bidi="ar-SA"/>
        </w:rPr>
        <w:t>2.加注“★”号条款为实质性条款，不得出现负偏离，发生负偏离即做无效标处理。</w:t>
      </w:r>
    </w:p>
    <w:p w14:paraId="5E4D199A">
      <w:pPr>
        <w:numPr>
          <w:ilvl w:val="0"/>
          <w:numId w:val="1"/>
        </w:numPr>
        <w:spacing w:line="560" w:lineRule="exact"/>
        <w:ind w:firstLine="640" w:firstLineChars="200"/>
        <w:jc w:val="left"/>
        <w:rPr>
          <w:rFonts w:hint="eastAsia" w:ascii="仿宋" w:hAnsi="仿宋" w:eastAsia="仿宋"/>
          <w:color w:val="000000"/>
          <w:sz w:val="32"/>
          <w:szCs w:val="32"/>
          <w:highlight w:val="none"/>
        </w:rPr>
      </w:pPr>
      <w:r>
        <w:rPr>
          <w:rFonts w:hint="eastAsia" w:ascii="仿宋" w:hAnsi="仿宋" w:eastAsia="仿宋"/>
          <w:color w:val="000000"/>
          <w:sz w:val="32"/>
          <w:szCs w:val="32"/>
          <w:highlight w:val="none"/>
        </w:rPr>
        <w:t>商务要求</w:t>
      </w:r>
    </w:p>
    <w:tbl>
      <w:tblPr>
        <w:tblStyle w:val="13"/>
        <w:tblW w:w="4832"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507"/>
        <w:gridCol w:w="1267"/>
        <w:gridCol w:w="6982"/>
      </w:tblGrid>
      <w:tr w14:paraId="36179EB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5" w:hRule="atLeast"/>
          <w:jc w:val="center"/>
        </w:trPr>
        <w:tc>
          <w:tcPr>
            <w:tcW w:w="290" w:type="pct"/>
            <w:noWrap w:val="0"/>
            <w:vAlign w:val="center"/>
          </w:tcPr>
          <w:p w14:paraId="7978D173">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序号</w:t>
            </w:r>
          </w:p>
        </w:tc>
        <w:tc>
          <w:tcPr>
            <w:tcW w:w="723" w:type="pct"/>
            <w:noWrap w:val="0"/>
            <w:vAlign w:val="center"/>
          </w:tcPr>
          <w:p w14:paraId="68356C9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需求条款</w:t>
            </w:r>
          </w:p>
        </w:tc>
        <w:tc>
          <w:tcPr>
            <w:tcW w:w="3985" w:type="pct"/>
            <w:noWrap w:val="0"/>
            <w:vAlign w:val="center"/>
          </w:tcPr>
          <w:p w14:paraId="3B5D63C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具体要求</w:t>
            </w:r>
          </w:p>
        </w:tc>
      </w:tr>
      <w:tr w14:paraId="4201DBA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290" w:type="pct"/>
            <w:noWrap w:val="0"/>
            <w:vAlign w:val="center"/>
          </w:tcPr>
          <w:p w14:paraId="305C5E06">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1</w:t>
            </w:r>
          </w:p>
        </w:tc>
        <w:tc>
          <w:tcPr>
            <w:tcW w:w="723" w:type="pct"/>
            <w:noWrap w:val="0"/>
            <w:vAlign w:val="center"/>
          </w:tcPr>
          <w:p w14:paraId="068CAB8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实质性资格要求</w:t>
            </w:r>
          </w:p>
        </w:tc>
        <w:tc>
          <w:tcPr>
            <w:tcW w:w="3985" w:type="pct"/>
            <w:noWrap w:val="0"/>
            <w:vAlign w:val="center"/>
          </w:tcPr>
          <w:p w14:paraId="12A332D3">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eastAsia" w:ascii="仿宋" w:hAnsi="仿宋" w:eastAsia="仿宋" w:cs="仿宋"/>
                <w:sz w:val="28"/>
                <w:szCs w:val="28"/>
              </w:rPr>
            </w:pPr>
            <w:r>
              <w:rPr>
                <w:rFonts w:hint="eastAsia" w:ascii="仿宋" w:hAnsi="仿宋" w:eastAsia="仿宋" w:cs="仿宋"/>
                <w:sz w:val="28"/>
                <w:szCs w:val="28"/>
              </w:rPr>
              <w:t>1.投标人必须是具有独立承担民事责任的能力的在中华人民共和国境内注册的企业法人或其分支机构。</w:t>
            </w:r>
          </w:p>
          <w:p w14:paraId="4A07700C">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eastAsia" w:ascii="仿宋" w:hAnsi="仿宋" w:eastAsia="仿宋" w:cs="仿宋"/>
                <w:sz w:val="28"/>
                <w:szCs w:val="28"/>
              </w:rPr>
            </w:pPr>
            <w:r>
              <w:rPr>
                <w:rFonts w:hint="eastAsia" w:ascii="仿宋" w:hAnsi="仿宋" w:eastAsia="仿宋" w:cs="仿宋"/>
                <w:sz w:val="28"/>
                <w:szCs w:val="28"/>
              </w:rPr>
              <w:t>2.投标人具有良好的商业信誉和健全的财务会计制度。</w:t>
            </w:r>
          </w:p>
          <w:p w14:paraId="2DFD45C7">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eastAsia" w:ascii="仿宋" w:hAnsi="仿宋" w:eastAsia="仿宋" w:cs="仿宋"/>
                <w:sz w:val="28"/>
                <w:szCs w:val="28"/>
              </w:rPr>
            </w:pPr>
            <w:r>
              <w:rPr>
                <w:rFonts w:hint="eastAsia" w:ascii="仿宋" w:hAnsi="仿宋" w:eastAsia="仿宋" w:cs="仿宋"/>
                <w:sz w:val="28"/>
                <w:szCs w:val="28"/>
              </w:rPr>
              <w:t>3.投标人必须具有依法缴纳税收和社会保障资金的良好记录。</w:t>
            </w:r>
          </w:p>
          <w:p w14:paraId="0F1CAEA9">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eastAsia" w:ascii="仿宋" w:hAnsi="仿宋" w:eastAsia="仿宋" w:cs="仿宋"/>
                <w:sz w:val="28"/>
                <w:szCs w:val="28"/>
              </w:rPr>
            </w:pPr>
            <w:r>
              <w:rPr>
                <w:rFonts w:hint="eastAsia" w:ascii="仿宋" w:hAnsi="仿宋" w:eastAsia="仿宋" w:cs="仿宋"/>
                <w:sz w:val="28"/>
                <w:szCs w:val="28"/>
              </w:rPr>
              <w:t>4.投标人参加政府采购活动前三年内，在经营活动中没有重大违法记录。</w:t>
            </w:r>
          </w:p>
        </w:tc>
      </w:tr>
      <w:tr w14:paraId="62857EE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290" w:type="pct"/>
            <w:noWrap w:val="0"/>
            <w:vAlign w:val="center"/>
          </w:tcPr>
          <w:p w14:paraId="7EBFA115">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2</w:t>
            </w:r>
          </w:p>
        </w:tc>
        <w:tc>
          <w:tcPr>
            <w:tcW w:w="723" w:type="pct"/>
            <w:noWrap w:val="0"/>
            <w:vAlign w:val="center"/>
          </w:tcPr>
          <w:p w14:paraId="2612E57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kern w:val="0"/>
                <w:sz w:val="28"/>
                <w:szCs w:val="28"/>
              </w:rPr>
            </w:pPr>
            <w:r>
              <w:rPr>
                <w:rFonts w:hint="eastAsia" w:ascii="仿宋" w:hAnsi="仿宋" w:eastAsia="仿宋" w:cs="仿宋"/>
                <w:sz w:val="28"/>
                <w:szCs w:val="28"/>
              </w:rPr>
              <w:t>服务要求</w:t>
            </w:r>
          </w:p>
        </w:tc>
        <w:tc>
          <w:tcPr>
            <w:tcW w:w="3985" w:type="pct"/>
            <w:noWrap w:val="0"/>
            <w:vAlign w:val="center"/>
          </w:tcPr>
          <w:p w14:paraId="4D690C64">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eastAsia" w:ascii="仿宋" w:hAnsi="仿宋" w:eastAsia="仿宋" w:cs="仿宋"/>
                <w:sz w:val="28"/>
                <w:szCs w:val="28"/>
              </w:rPr>
            </w:pPr>
            <w:r>
              <w:rPr>
                <w:rFonts w:hint="eastAsia" w:ascii="仿宋" w:hAnsi="仿宋" w:eastAsia="仿宋" w:cs="仿宋"/>
                <w:sz w:val="28"/>
                <w:szCs w:val="28"/>
              </w:rPr>
              <w:t>1.提供所投产品3年质保期，终身维修，质保期内免费维修更换零配件，保修期自验收合格之日起计算。</w:t>
            </w:r>
          </w:p>
          <w:p w14:paraId="29AB8039">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eastAsia="zh-CN"/>
              </w:rPr>
              <w:t>.</w:t>
            </w:r>
            <w:r>
              <w:rPr>
                <w:rFonts w:hint="eastAsia" w:ascii="仿宋" w:hAnsi="仿宋" w:eastAsia="仿宋" w:cs="仿宋"/>
                <w:sz w:val="28"/>
                <w:szCs w:val="28"/>
              </w:rPr>
              <w:t>提供保修期内7×24小时技术响应，2小时内维修工程师到达维修现场</w:t>
            </w:r>
            <w:r>
              <w:rPr>
                <w:rFonts w:hint="eastAsia" w:ascii="仿宋" w:hAnsi="仿宋" w:eastAsia="仿宋" w:cs="仿宋"/>
                <w:kern w:val="0"/>
                <w:sz w:val="28"/>
                <w:szCs w:val="28"/>
              </w:rPr>
              <w:t>解决故障</w:t>
            </w:r>
            <w:r>
              <w:rPr>
                <w:rFonts w:hint="eastAsia" w:ascii="仿宋" w:hAnsi="仿宋" w:eastAsia="仿宋" w:cs="仿宋"/>
                <w:sz w:val="28"/>
                <w:szCs w:val="28"/>
              </w:rPr>
              <w:t>。</w:t>
            </w:r>
          </w:p>
          <w:p w14:paraId="1CFD98BF">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eastAsia" w:ascii="仿宋" w:hAnsi="仿宋" w:eastAsia="仿宋" w:cs="仿宋"/>
                <w:sz w:val="28"/>
                <w:szCs w:val="28"/>
              </w:rPr>
            </w:pPr>
            <w:r>
              <w:rPr>
                <w:rFonts w:hint="eastAsia" w:ascii="仿宋" w:hAnsi="仿宋" w:eastAsia="仿宋" w:cs="仿宋"/>
                <w:kern w:val="0"/>
                <w:sz w:val="28"/>
                <w:szCs w:val="28"/>
              </w:rPr>
              <w:t>3.提供所投产品的技术培训。</w:t>
            </w:r>
          </w:p>
        </w:tc>
      </w:tr>
      <w:tr w14:paraId="5F749E6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290" w:type="pct"/>
            <w:noWrap w:val="0"/>
            <w:vAlign w:val="center"/>
          </w:tcPr>
          <w:p w14:paraId="71B3E860">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3</w:t>
            </w:r>
          </w:p>
        </w:tc>
        <w:tc>
          <w:tcPr>
            <w:tcW w:w="723" w:type="pct"/>
            <w:noWrap w:val="0"/>
            <w:vAlign w:val="center"/>
          </w:tcPr>
          <w:p w14:paraId="01F232BC">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 w:hAnsi="仿宋" w:eastAsia="仿宋" w:cs="仿宋"/>
                <w:kern w:val="0"/>
                <w:sz w:val="28"/>
                <w:szCs w:val="28"/>
              </w:rPr>
            </w:pPr>
            <w:r>
              <w:rPr>
                <w:rFonts w:hint="eastAsia" w:ascii="仿宋" w:hAnsi="仿宋" w:eastAsia="仿宋" w:cs="仿宋"/>
                <w:sz w:val="28"/>
                <w:szCs w:val="28"/>
              </w:rPr>
              <w:t>交货要求</w:t>
            </w:r>
          </w:p>
        </w:tc>
        <w:tc>
          <w:tcPr>
            <w:tcW w:w="3985" w:type="pct"/>
            <w:noWrap w:val="0"/>
            <w:vAlign w:val="center"/>
          </w:tcPr>
          <w:p w14:paraId="2E361ED4">
            <w:pPr>
              <w:keepNext w:val="0"/>
              <w:keepLines w:val="0"/>
              <w:pageBreakBefore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28"/>
                <w:szCs w:val="28"/>
              </w:rPr>
            </w:pPr>
            <w:r>
              <w:rPr>
                <w:rFonts w:hint="eastAsia" w:ascii="仿宋" w:hAnsi="仿宋" w:eastAsia="仿宋" w:cs="仿宋"/>
                <w:sz w:val="28"/>
                <w:szCs w:val="28"/>
              </w:rPr>
              <w:t>1.货到时间：签订合同之日起30日内（特殊情况以合同为准）。</w:t>
            </w:r>
          </w:p>
          <w:p w14:paraId="5BE1FFED">
            <w:pPr>
              <w:keepNext w:val="0"/>
              <w:keepLines w:val="0"/>
              <w:pageBreakBefore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28"/>
                <w:szCs w:val="28"/>
              </w:rPr>
            </w:pPr>
            <w:r>
              <w:rPr>
                <w:rFonts w:hint="eastAsia" w:ascii="仿宋" w:hAnsi="仿宋" w:eastAsia="仿宋" w:cs="仿宋"/>
                <w:sz w:val="28"/>
                <w:szCs w:val="28"/>
              </w:rPr>
              <w:t>2.安装完成：货到之日起30日内（特殊情况以合同为准）。</w:t>
            </w:r>
          </w:p>
          <w:p w14:paraId="5CC7D1A8">
            <w:pPr>
              <w:keepNext w:val="0"/>
              <w:keepLines w:val="0"/>
              <w:pageBreakBefore w:val="0"/>
              <w:kinsoku/>
              <w:wordWrap/>
              <w:overflowPunct/>
              <w:topLinePunct w:val="0"/>
              <w:autoSpaceDE/>
              <w:autoSpaceDN/>
              <w:bidi w:val="0"/>
              <w:adjustRightInd/>
              <w:snapToGrid/>
              <w:spacing w:line="560" w:lineRule="exact"/>
              <w:jc w:val="left"/>
              <w:textAlignment w:val="auto"/>
              <w:rPr>
                <w:rFonts w:hint="eastAsia" w:ascii="仿宋" w:hAnsi="仿宋" w:eastAsia="仿宋" w:cs="仿宋"/>
                <w:kern w:val="0"/>
                <w:sz w:val="28"/>
                <w:szCs w:val="28"/>
              </w:rPr>
            </w:pPr>
            <w:r>
              <w:rPr>
                <w:rFonts w:hint="eastAsia" w:ascii="仿宋" w:hAnsi="仿宋" w:eastAsia="仿宋" w:cs="仿宋"/>
                <w:sz w:val="28"/>
                <w:szCs w:val="28"/>
              </w:rPr>
              <w:t>3.交货地点：天津市</w:t>
            </w:r>
            <w:r>
              <w:rPr>
                <w:rFonts w:hint="eastAsia" w:ascii="仿宋" w:hAnsi="仿宋" w:eastAsia="仿宋" w:cs="仿宋"/>
                <w:sz w:val="28"/>
                <w:szCs w:val="28"/>
                <w:lang w:val="en-US" w:eastAsia="zh-CN"/>
              </w:rPr>
              <w:t>河西区珠江道25号</w:t>
            </w:r>
            <w:r>
              <w:rPr>
                <w:rFonts w:hint="eastAsia" w:ascii="仿宋" w:hAnsi="仿宋" w:eastAsia="仿宋" w:cs="仿宋"/>
                <w:sz w:val="28"/>
                <w:szCs w:val="28"/>
              </w:rPr>
              <w:t>（特殊情况以合同为准）。</w:t>
            </w:r>
          </w:p>
        </w:tc>
      </w:tr>
      <w:tr w14:paraId="223DEB6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0" w:hRule="atLeast"/>
          <w:jc w:val="center"/>
        </w:trPr>
        <w:tc>
          <w:tcPr>
            <w:tcW w:w="290" w:type="pct"/>
            <w:noWrap w:val="0"/>
            <w:vAlign w:val="center"/>
          </w:tcPr>
          <w:p w14:paraId="4D87A452">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4</w:t>
            </w:r>
          </w:p>
        </w:tc>
        <w:tc>
          <w:tcPr>
            <w:tcW w:w="723" w:type="pct"/>
            <w:noWrap w:val="0"/>
            <w:vAlign w:val="center"/>
          </w:tcPr>
          <w:p w14:paraId="18C98F7D">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28"/>
                <w:szCs w:val="28"/>
              </w:rPr>
            </w:pPr>
            <w:r>
              <w:rPr>
                <w:rFonts w:hint="eastAsia" w:ascii="仿宋" w:hAnsi="仿宋" w:eastAsia="仿宋" w:cs="仿宋"/>
                <w:color w:val="000000"/>
                <w:kern w:val="0"/>
                <w:sz w:val="28"/>
                <w:szCs w:val="28"/>
              </w:rPr>
              <w:t>付款方式</w:t>
            </w:r>
          </w:p>
        </w:tc>
        <w:tc>
          <w:tcPr>
            <w:tcW w:w="3985" w:type="pct"/>
            <w:noWrap w:val="0"/>
            <w:vAlign w:val="center"/>
          </w:tcPr>
          <w:p w14:paraId="1D22A88D">
            <w:pPr>
              <w:keepNext w:val="0"/>
              <w:keepLines w:val="0"/>
              <w:pageBreakBefore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28"/>
                <w:szCs w:val="28"/>
              </w:rPr>
            </w:pPr>
            <w:r>
              <w:rPr>
                <w:rFonts w:hint="eastAsia" w:ascii="仿宋" w:hAnsi="仿宋" w:eastAsia="仿宋" w:cs="仿宋"/>
                <w:sz w:val="28"/>
                <w:szCs w:val="28"/>
              </w:rPr>
              <w:t>货到现场安装、调试完毕</w:t>
            </w:r>
            <w:r>
              <w:rPr>
                <w:rFonts w:hint="eastAsia" w:ascii="仿宋" w:hAnsi="仿宋" w:eastAsia="仿宋" w:cs="仿宋"/>
                <w:sz w:val="28"/>
                <w:szCs w:val="28"/>
                <w:lang w:val="en-US" w:eastAsia="zh-CN"/>
              </w:rPr>
              <w:t>后，</w:t>
            </w:r>
            <w:r>
              <w:rPr>
                <w:rFonts w:hint="eastAsia" w:ascii="仿宋" w:hAnsi="仿宋" w:eastAsia="仿宋" w:cs="仿宋"/>
                <w:sz w:val="28"/>
                <w:szCs w:val="28"/>
              </w:rPr>
              <w:t>所有设备使用无质量问题，验收合格后15个工作日内支付合同总额的</w:t>
            </w:r>
            <w:r>
              <w:rPr>
                <w:rFonts w:hint="eastAsia" w:ascii="仿宋" w:hAnsi="仿宋" w:eastAsia="仿宋" w:cs="仿宋"/>
                <w:sz w:val="28"/>
                <w:szCs w:val="28"/>
                <w:lang w:val="en-US" w:eastAsia="zh-CN"/>
              </w:rPr>
              <w:t>100</w:t>
            </w:r>
            <w:r>
              <w:rPr>
                <w:rFonts w:hint="eastAsia" w:ascii="仿宋" w:hAnsi="仿宋" w:eastAsia="仿宋" w:cs="仿宋"/>
                <w:sz w:val="28"/>
                <w:szCs w:val="28"/>
              </w:rPr>
              <w:t>%（特殊情况以合同为准）。</w:t>
            </w:r>
          </w:p>
        </w:tc>
      </w:tr>
    </w:tbl>
    <w:p w14:paraId="558D1F0D">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b w:val="0"/>
          <w:bCs w:val="0"/>
          <w:kern w:val="2"/>
          <w:sz w:val="28"/>
          <w:szCs w:val="28"/>
          <w:lang w:val="en-US" w:eastAsia="zh-CN" w:bidi="ar-SA"/>
        </w:rPr>
      </w:pPr>
    </w:p>
    <w:sectPr>
      <w:footerReference r:id="rId3" w:type="default"/>
      <w:footerReference r:id="rId4" w:type="even"/>
      <w:pgSz w:w="11906" w:h="16838"/>
      <w:pgMar w:top="2098" w:right="1474" w:bottom="1985" w:left="1588" w:header="851" w:footer="1588"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serif">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swiss"/>
    <w:pitch w:val="default"/>
    <w:sig w:usb0="80000287" w:usb1="2ACF3C50" w:usb2="00000016" w:usb3="00000000" w:csb0="0004001F" w:csb1="00000000"/>
    <w:embedRegular r:id="rId1" w:fontKey="{C0AA8A70-34E2-489E-A53E-2B0FA483A699}"/>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embedRegular r:id="rId2" w:fontKey="{32531AA5-CB33-402D-9200-5A0E993950EA}"/>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FangSong_GB2312">
    <w:altName w:val="仿宋_GB2312"/>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5C2BF2">
    <w:pPr>
      <w:pStyle w:val="8"/>
      <w:framePr w:wrap="around" w:vAnchor="text" w:hAnchor="margin" w:xAlign="outside" w:y="1"/>
      <w:ind w:firstLine="560"/>
      <w:rPr>
        <w:rStyle w:val="17"/>
        <w:rFonts w:hint="eastAsia"/>
        <w:sz w:val="28"/>
        <w:szCs w:val="28"/>
      </w:rPr>
    </w:pPr>
    <w:r>
      <w:rPr>
        <w:rStyle w:val="17"/>
        <w:rFonts w:hint="eastAsia"/>
        <w:sz w:val="28"/>
        <w:szCs w:val="28"/>
      </w:rPr>
      <w:t xml:space="preserve">— </w:t>
    </w:r>
    <w:r>
      <w:rPr>
        <w:sz w:val="28"/>
        <w:szCs w:val="28"/>
      </w:rPr>
      <w:fldChar w:fldCharType="begin"/>
    </w:r>
    <w:r>
      <w:rPr>
        <w:rStyle w:val="17"/>
        <w:sz w:val="28"/>
        <w:szCs w:val="28"/>
      </w:rPr>
      <w:instrText xml:space="preserve">PAGE  </w:instrText>
    </w:r>
    <w:r>
      <w:rPr>
        <w:sz w:val="28"/>
        <w:szCs w:val="28"/>
      </w:rPr>
      <w:fldChar w:fldCharType="separate"/>
    </w:r>
    <w:r>
      <w:rPr>
        <w:rStyle w:val="17"/>
        <w:sz w:val="28"/>
        <w:szCs w:val="28"/>
      </w:rPr>
      <w:t>29</w:t>
    </w:r>
    <w:r>
      <w:rPr>
        <w:sz w:val="28"/>
        <w:szCs w:val="28"/>
      </w:rPr>
      <w:fldChar w:fldCharType="end"/>
    </w:r>
    <w:r>
      <w:rPr>
        <w:rStyle w:val="17"/>
        <w:rFonts w:hint="eastAsia"/>
        <w:sz w:val="28"/>
        <w:szCs w:val="28"/>
      </w:rPr>
      <w:t xml:space="preserve"> — </w:t>
    </w:r>
  </w:p>
  <w:p w14:paraId="3367D79F">
    <w:pPr>
      <w:pStyle w:val="8"/>
      <w:ind w:right="360" w:firstLine="360"/>
      <w:rPr>
        <w:rFonts w:hint="eastAsia"/>
      </w:rPr>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436925">
    <w:pPr>
      <w:pStyle w:val="8"/>
      <w:framePr w:wrap="around" w:vAnchor="text" w:hAnchor="margin" w:xAlign="outside" w:y="1"/>
      <w:ind w:firstLine="560"/>
      <w:rPr>
        <w:rStyle w:val="17"/>
        <w:sz w:val="28"/>
        <w:szCs w:val="28"/>
      </w:rPr>
    </w:pPr>
    <w:r>
      <w:rPr>
        <w:rStyle w:val="17"/>
        <w:rFonts w:hint="eastAsia"/>
        <w:sz w:val="28"/>
        <w:szCs w:val="28"/>
      </w:rPr>
      <w:t xml:space="preserve">— </w:t>
    </w:r>
    <w:r>
      <w:rPr>
        <w:sz w:val="28"/>
        <w:szCs w:val="28"/>
      </w:rPr>
      <w:fldChar w:fldCharType="begin"/>
    </w:r>
    <w:r>
      <w:rPr>
        <w:rStyle w:val="17"/>
        <w:sz w:val="28"/>
        <w:szCs w:val="28"/>
      </w:rPr>
      <w:instrText xml:space="preserve">PAGE  </w:instrText>
    </w:r>
    <w:r>
      <w:rPr>
        <w:sz w:val="28"/>
        <w:szCs w:val="28"/>
      </w:rPr>
      <w:fldChar w:fldCharType="separate"/>
    </w:r>
    <w:r>
      <w:rPr>
        <w:rStyle w:val="17"/>
        <w:sz w:val="28"/>
        <w:szCs w:val="28"/>
      </w:rPr>
      <w:t>28</w:t>
    </w:r>
    <w:r>
      <w:rPr>
        <w:sz w:val="28"/>
        <w:szCs w:val="28"/>
      </w:rPr>
      <w:fldChar w:fldCharType="end"/>
    </w:r>
    <w:r>
      <w:rPr>
        <w:rStyle w:val="17"/>
        <w:rFonts w:hint="eastAsia"/>
        <w:sz w:val="28"/>
        <w:szCs w:val="28"/>
      </w:rPr>
      <w:t xml:space="preserve"> —</w:t>
    </w:r>
  </w:p>
  <w:p w14:paraId="6511E93B">
    <w:pPr>
      <w:pStyle w:val="8"/>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F6400A"/>
    <w:multiLevelType w:val="singleLevel"/>
    <w:tmpl w:val="36F6400A"/>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VhODMzZTJkMGM0MTc0OThlM2JhODczMDM0OTQ2YTQifQ=="/>
  </w:docVars>
  <w:rsids>
    <w:rsidRoot w:val="00172A27"/>
    <w:rsid w:val="0000243A"/>
    <w:rsid w:val="00007262"/>
    <w:rsid w:val="00007C85"/>
    <w:rsid w:val="00012205"/>
    <w:rsid w:val="00020CF2"/>
    <w:rsid w:val="00021224"/>
    <w:rsid w:val="0003018D"/>
    <w:rsid w:val="000311FD"/>
    <w:rsid w:val="00040C94"/>
    <w:rsid w:val="000420BA"/>
    <w:rsid w:val="00064AB1"/>
    <w:rsid w:val="00073FC8"/>
    <w:rsid w:val="000762A8"/>
    <w:rsid w:val="00081441"/>
    <w:rsid w:val="00093ECD"/>
    <w:rsid w:val="000A21F1"/>
    <w:rsid w:val="000C549A"/>
    <w:rsid w:val="000E0C1C"/>
    <w:rsid w:val="000E6747"/>
    <w:rsid w:val="00101501"/>
    <w:rsid w:val="00102EF0"/>
    <w:rsid w:val="00130D5C"/>
    <w:rsid w:val="00137EC3"/>
    <w:rsid w:val="001407F2"/>
    <w:rsid w:val="0014618C"/>
    <w:rsid w:val="00153C34"/>
    <w:rsid w:val="00154DF5"/>
    <w:rsid w:val="00162ECF"/>
    <w:rsid w:val="00171454"/>
    <w:rsid w:val="00175816"/>
    <w:rsid w:val="0017709A"/>
    <w:rsid w:val="001A6F93"/>
    <w:rsid w:val="001B6C3E"/>
    <w:rsid w:val="001C5914"/>
    <w:rsid w:val="001C6ECD"/>
    <w:rsid w:val="001E5D08"/>
    <w:rsid w:val="001F1F3E"/>
    <w:rsid w:val="001F4006"/>
    <w:rsid w:val="00211273"/>
    <w:rsid w:val="00231A87"/>
    <w:rsid w:val="00260751"/>
    <w:rsid w:val="002678A2"/>
    <w:rsid w:val="00270252"/>
    <w:rsid w:val="002964A8"/>
    <w:rsid w:val="002B4B6D"/>
    <w:rsid w:val="00316BDC"/>
    <w:rsid w:val="00321278"/>
    <w:rsid w:val="00330A9D"/>
    <w:rsid w:val="003568DA"/>
    <w:rsid w:val="00371C4D"/>
    <w:rsid w:val="00376BE6"/>
    <w:rsid w:val="00377B76"/>
    <w:rsid w:val="00385C93"/>
    <w:rsid w:val="00394259"/>
    <w:rsid w:val="003A0A2E"/>
    <w:rsid w:val="003A1465"/>
    <w:rsid w:val="003A6301"/>
    <w:rsid w:val="003C1640"/>
    <w:rsid w:val="003E1384"/>
    <w:rsid w:val="00402791"/>
    <w:rsid w:val="00415972"/>
    <w:rsid w:val="00423DB3"/>
    <w:rsid w:val="00425358"/>
    <w:rsid w:val="00427428"/>
    <w:rsid w:val="00444723"/>
    <w:rsid w:val="00452495"/>
    <w:rsid w:val="00461A04"/>
    <w:rsid w:val="00471291"/>
    <w:rsid w:val="00472DE7"/>
    <w:rsid w:val="004917B8"/>
    <w:rsid w:val="00494247"/>
    <w:rsid w:val="004978DB"/>
    <w:rsid w:val="004A0291"/>
    <w:rsid w:val="004A3FE4"/>
    <w:rsid w:val="004A503C"/>
    <w:rsid w:val="004C55A9"/>
    <w:rsid w:val="004D1C7D"/>
    <w:rsid w:val="004D37D3"/>
    <w:rsid w:val="004E0087"/>
    <w:rsid w:val="004E6097"/>
    <w:rsid w:val="00501E4A"/>
    <w:rsid w:val="00506D54"/>
    <w:rsid w:val="005226E4"/>
    <w:rsid w:val="00544F1F"/>
    <w:rsid w:val="005505C3"/>
    <w:rsid w:val="005545A0"/>
    <w:rsid w:val="005545EC"/>
    <w:rsid w:val="00586E91"/>
    <w:rsid w:val="005A796A"/>
    <w:rsid w:val="005D1578"/>
    <w:rsid w:val="005D39F1"/>
    <w:rsid w:val="005E51DC"/>
    <w:rsid w:val="005E56A4"/>
    <w:rsid w:val="005E571C"/>
    <w:rsid w:val="005F12BC"/>
    <w:rsid w:val="005F59AE"/>
    <w:rsid w:val="005F66B5"/>
    <w:rsid w:val="00601EDD"/>
    <w:rsid w:val="0062515F"/>
    <w:rsid w:val="006360D5"/>
    <w:rsid w:val="00637C1F"/>
    <w:rsid w:val="0065544C"/>
    <w:rsid w:val="00667F8C"/>
    <w:rsid w:val="00681CB9"/>
    <w:rsid w:val="006974FC"/>
    <w:rsid w:val="006A21C9"/>
    <w:rsid w:val="006B1A4C"/>
    <w:rsid w:val="006B1C9C"/>
    <w:rsid w:val="006C4E0E"/>
    <w:rsid w:val="006D5BF7"/>
    <w:rsid w:val="006F0877"/>
    <w:rsid w:val="006F0E4F"/>
    <w:rsid w:val="00705BEA"/>
    <w:rsid w:val="0070739D"/>
    <w:rsid w:val="00720EBE"/>
    <w:rsid w:val="00721F76"/>
    <w:rsid w:val="00732D62"/>
    <w:rsid w:val="007412DE"/>
    <w:rsid w:val="00743265"/>
    <w:rsid w:val="007638AD"/>
    <w:rsid w:val="0077783E"/>
    <w:rsid w:val="00786AD3"/>
    <w:rsid w:val="007A5EE4"/>
    <w:rsid w:val="007B050E"/>
    <w:rsid w:val="007B40DB"/>
    <w:rsid w:val="007B658E"/>
    <w:rsid w:val="007D73BF"/>
    <w:rsid w:val="007E2A7D"/>
    <w:rsid w:val="007F5AC9"/>
    <w:rsid w:val="0080466B"/>
    <w:rsid w:val="00814F5F"/>
    <w:rsid w:val="00821CA0"/>
    <w:rsid w:val="008229E2"/>
    <w:rsid w:val="00823618"/>
    <w:rsid w:val="00840D73"/>
    <w:rsid w:val="008438B0"/>
    <w:rsid w:val="0084778A"/>
    <w:rsid w:val="00860B37"/>
    <w:rsid w:val="0087065E"/>
    <w:rsid w:val="00872956"/>
    <w:rsid w:val="008770C4"/>
    <w:rsid w:val="00877153"/>
    <w:rsid w:val="008927A2"/>
    <w:rsid w:val="0089598D"/>
    <w:rsid w:val="008A1075"/>
    <w:rsid w:val="008A40C0"/>
    <w:rsid w:val="008A45A5"/>
    <w:rsid w:val="008A6FD2"/>
    <w:rsid w:val="008C35E8"/>
    <w:rsid w:val="008E27A0"/>
    <w:rsid w:val="008E5E6B"/>
    <w:rsid w:val="008E6AC0"/>
    <w:rsid w:val="008F2B45"/>
    <w:rsid w:val="008F6509"/>
    <w:rsid w:val="00903A4F"/>
    <w:rsid w:val="00906B3A"/>
    <w:rsid w:val="00911C14"/>
    <w:rsid w:val="00913031"/>
    <w:rsid w:val="009139CC"/>
    <w:rsid w:val="009368F1"/>
    <w:rsid w:val="00946734"/>
    <w:rsid w:val="00965B87"/>
    <w:rsid w:val="009723D7"/>
    <w:rsid w:val="0097336F"/>
    <w:rsid w:val="0098651F"/>
    <w:rsid w:val="00997FFA"/>
    <w:rsid w:val="009A7DC4"/>
    <w:rsid w:val="00A0305A"/>
    <w:rsid w:val="00A41D37"/>
    <w:rsid w:val="00A50AAD"/>
    <w:rsid w:val="00A53A20"/>
    <w:rsid w:val="00A63E98"/>
    <w:rsid w:val="00AB22F8"/>
    <w:rsid w:val="00AC07BD"/>
    <w:rsid w:val="00AC4B5A"/>
    <w:rsid w:val="00AD4CE2"/>
    <w:rsid w:val="00AD6DF8"/>
    <w:rsid w:val="00B003A8"/>
    <w:rsid w:val="00B1692D"/>
    <w:rsid w:val="00B24BA3"/>
    <w:rsid w:val="00B258BC"/>
    <w:rsid w:val="00B45010"/>
    <w:rsid w:val="00B46C03"/>
    <w:rsid w:val="00B51695"/>
    <w:rsid w:val="00B54120"/>
    <w:rsid w:val="00B7671D"/>
    <w:rsid w:val="00B8316D"/>
    <w:rsid w:val="00B92A2E"/>
    <w:rsid w:val="00BA1CBD"/>
    <w:rsid w:val="00BC1492"/>
    <w:rsid w:val="00BD234C"/>
    <w:rsid w:val="00C042D9"/>
    <w:rsid w:val="00C10333"/>
    <w:rsid w:val="00C14B36"/>
    <w:rsid w:val="00C20BEB"/>
    <w:rsid w:val="00C36EFD"/>
    <w:rsid w:val="00C421F6"/>
    <w:rsid w:val="00C46438"/>
    <w:rsid w:val="00C626F7"/>
    <w:rsid w:val="00C75072"/>
    <w:rsid w:val="00C80176"/>
    <w:rsid w:val="00C96A38"/>
    <w:rsid w:val="00CA73D5"/>
    <w:rsid w:val="00CB7952"/>
    <w:rsid w:val="00CC25A1"/>
    <w:rsid w:val="00CC34E4"/>
    <w:rsid w:val="00CD0002"/>
    <w:rsid w:val="00CD0639"/>
    <w:rsid w:val="00CD2662"/>
    <w:rsid w:val="00CE54B1"/>
    <w:rsid w:val="00CF0261"/>
    <w:rsid w:val="00CF3BD6"/>
    <w:rsid w:val="00D00409"/>
    <w:rsid w:val="00D07C3A"/>
    <w:rsid w:val="00D22B95"/>
    <w:rsid w:val="00D27CD0"/>
    <w:rsid w:val="00D3294B"/>
    <w:rsid w:val="00D35830"/>
    <w:rsid w:val="00D41F89"/>
    <w:rsid w:val="00D75432"/>
    <w:rsid w:val="00D77007"/>
    <w:rsid w:val="00DA2D04"/>
    <w:rsid w:val="00DB40FC"/>
    <w:rsid w:val="00DB5D33"/>
    <w:rsid w:val="00DB62DC"/>
    <w:rsid w:val="00DB750A"/>
    <w:rsid w:val="00DC2B29"/>
    <w:rsid w:val="00DE4F42"/>
    <w:rsid w:val="00E07A74"/>
    <w:rsid w:val="00E224A9"/>
    <w:rsid w:val="00E40F50"/>
    <w:rsid w:val="00E43F2D"/>
    <w:rsid w:val="00E46912"/>
    <w:rsid w:val="00E548E3"/>
    <w:rsid w:val="00E55E24"/>
    <w:rsid w:val="00E80868"/>
    <w:rsid w:val="00E90B36"/>
    <w:rsid w:val="00E9153A"/>
    <w:rsid w:val="00EA5322"/>
    <w:rsid w:val="00EB05DF"/>
    <w:rsid w:val="00EB221B"/>
    <w:rsid w:val="00EB34AE"/>
    <w:rsid w:val="00EC4CDB"/>
    <w:rsid w:val="00ED697F"/>
    <w:rsid w:val="00EE112D"/>
    <w:rsid w:val="00EE1A43"/>
    <w:rsid w:val="00EF737D"/>
    <w:rsid w:val="00F033E0"/>
    <w:rsid w:val="00F054EE"/>
    <w:rsid w:val="00F34B45"/>
    <w:rsid w:val="00F501A6"/>
    <w:rsid w:val="00F6161E"/>
    <w:rsid w:val="00F8299F"/>
    <w:rsid w:val="00F83884"/>
    <w:rsid w:val="00F90050"/>
    <w:rsid w:val="00FA7C41"/>
    <w:rsid w:val="00FC3796"/>
    <w:rsid w:val="00FC7516"/>
    <w:rsid w:val="00FD5087"/>
    <w:rsid w:val="00FE1824"/>
    <w:rsid w:val="00FE433C"/>
    <w:rsid w:val="00FF7BC3"/>
    <w:rsid w:val="01916C5A"/>
    <w:rsid w:val="01D373F9"/>
    <w:rsid w:val="032E15F5"/>
    <w:rsid w:val="04700DA8"/>
    <w:rsid w:val="051F0A97"/>
    <w:rsid w:val="058645FB"/>
    <w:rsid w:val="062D102C"/>
    <w:rsid w:val="06FB4CE4"/>
    <w:rsid w:val="07865749"/>
    <w:rsid w:val="07CE79B1"/>
    <w:rsid w:val="07DE071F"/>
    <w:rsid w:val="07E06245"/>
    <w:rsid w:val="07F4584C"/>
    <w:rsid w:val="07FB4E2D"/>
    <w:rsid w:val="08744C38"/>
    <w:rsid w:val="0A12645E"/>
    <w:rsid w:val="0B827EE3"/>
    <w:rsid w:val="0B8A7AB7"/>
    <w:rsid w:val="0B931810"/>
    <w:rsid w:val="0BBC1FB1"/>
    <w:rsid w:val="0BD41D20"/>
    <w:rsid w:val="0CAA5073"/>
    <w:rsid w:val="0CD748EF"/>
    <w:rsid w:val="0CFD1647"/>
    <w:rsid w:val="0D334492"/>
    <w:rsid w:val="0D34345A"/>
    <w:rsid w:val="0E760DED"/>
    <w:rsid w:val="0E806DD8"/>
    <w:rsid w:val="0EED1247"/>
    <w:rsid w:val="0F0E7B3C"/>
    <w:rsid w:val="100978B7"/>
    <w:rsid w:val="1048381B"/>
    <w:rsid w:val="1105322F"/>
    <w:rsid w:val="125C6E10"/>
    <w:rsid w:val="12C64545"/>
    <w:rsid w:val="138B1E4E"/>
    <w:rsid w:val="13C0517C"/>
    <w:rsid w:val="142300A5"/>
    <w:rsid w:val="14511BD0"/>
    <w:rsid w:val="15DA0777"/>
    <w:rsid w:val="1669604D"/>
    <w:rsid w:val="16C62AAA"/>
    <w:rsid w:val="173E1742"/>
    <w:rsid w:val="178070FD"/>
    <w:rsid w:val="17E85B8D"/>
    <w:rsid w:val="1804388A"/>
    <w:rsid w:val="188960C3"/>
    <w:rsid w:val="18E060DA"/>
    <w:rsid w:val="19B258BE"/>
    <w:rsid w:val="1AB1581F"/>
    <w:rsid w:val="1B1F1508"/>
    <w:rsid w:val="1B881B2E"/>
    <w:rsid w:val="1C0463D2"/>
    <w:rsid w:val="1C05786F"/>
    <w:rsid w:val="1C580648"/>
    <w:rsid w:val="1D8B1ECB"/>
    <w:rsid w:val="1D8D60CF"/>
    <w:rsid w:val="1DCB9AB2"/>
    <w:rsid w:val="1E693EC0"/>
    <w:rsid w:val="1EAE6487"/>
    <w:rsid w:val="1EDD0A70"/>
    <w:rsid w:val="1F6B7C8C"/>
    <w:rsid w:val="1F89225F"/>
    <w:rsid w:val="1FA15E62"/>
    <w:rsid w:val="20427645"/>
    <w:rsid w:val="20A96959"/>
    <w:rsid w:val="21B300CF"/>
    <w:rsid w:val="21F32267"/>
    <w:rsid w:val="221072CF"/>
    <w:rsid w:val="2219252B"/>
    <w:rsid w:val="225E215B"/>
    <w:rsid w:val="22813D29"/>
    <w:rsid w:val="22923B1D"/>
    <w:rsid w:val="22D4654E"/>
    <w:rsid w:val="22EB2532"/>
    <w:rsid w:val="23203542"/>
    <w:rsid w:val="232B0864"/>
    <w:rsid w:val="25421E95"/>
    <w:rsid w:val="25513E86"/>
    <w:rsid w:val="256E50BB"/>
    <w:rsid w:val="25A61C71"/>
    <w:rsid w:val="25DD571A"/>
    <w:rsid w:val="26BA5CA1"/>
    <w:rsid w:val="26C24390"/>
    <w:rsid w:val="26C82798"/>
    <w:rsid w:val="27B33C90"/>
    <w:rsid w:val="27D05536"/>
    <w:rsid w:val="28787DA9"/>
    <w:rsid w:val="29220392"/>
    <w:rsid w:val="292745AD"/>
    <w:rsid w:val="295201CD"/>
    <w:rsid w:val="296F0D7F"/>
    <w:rsid w:val="29AC3D81"/>
    <w:rsid w:val="2AD1089D"/>
    <w:rsid w:val="2C2E3173"/>
    <w:rsid w:val="2DB81892"/>
    <w:rsid w:val="2DE633E5"/>
    <w:rsid w:val="2E9C3118"/>
    <w:rsid w:val="2EE10029"/>
    <w:rsid w:val="30586A11"/>
    <w:rsid w:val="30906DB7"/>
    <w:rsid w:val="30A23D59"/>
    <w:rsid w:val="30C22D2D"/>
    <w:rsid w:val="30DD6C58"/>
    <w:rsid w:val="326E5C4D"/>
    <w:rsid w:val="334E7C57"/>
    <w:rsid w:val="33913843"/>
    <w:rsid w:val="33E81E5A"/>
    <w:rsid w:val="34B85CD0"/>
    <w:rsid w:val="352B483A"/>
    <w:rsid w:val="356C2617"/>
    <w:rsid w:val="35A9287F"/>
    <w:rsid w:val="35BA15D4"/>
    <w:rsid w:val="36A30DC9"/>
    <w:rsid w:val="36CD5F99"/>
    <w:rsid w:val="37B06E98"/>
    <w:rsid w:val="37B7401D"/>
    <w:rsid w:val="380D6333"/>
    <w:rsid w:val="388163D9"/>
    <w:rsid w:val="396226AE"/>
    <w:rsid w:val="39EC4FCB"/>
    <w:rsid w:val="3A15327D"/>
    <w:rsid w:val="3AE956A1"/>
    <w:rsid w:val="3B00217F"/>
    <w:rsid w:val="3B135A0E"/>
    <w:rsid w:val="3BFF4BD0"/>
    <w:rsid w:val="3C017F5D"/>
    <w:rsid w:val="3CEE3985"/>
    <w:rsid w:val="3EC96F9D"/>
    <w:rsid w:val="3ED5122D"/>
    <w:rsid w:val="3FF74091"/>
    <w:rsid w:val="406960D0"/>
    <w:rsid w:val="40D46884"/>
    <w:rsid w:val="413E050C"/>
    <w:rsid w:val="415E7BFF"/>
    <w:rsid w:val="41A73354"/>
    <w:rsid w:val="41DA54D8"/>
    <w:rsid w:val="424712F2"/>
    <w:rsid w:val="42F97B4F"/>
    <w:rsid w:val="43171E14"/>
    <w:rsid w:val="43786ACB"/>
    <w:rsid w:val="43DC738C"/>
    <w:rsid w:val="445F3A72"/>
    <w:rsid w:val="44915014"/>
    <w:rsid w:val="44A81B16"/>
    <w:rsid w:val="44C91833"/>
    <w:rsid w:val="44F206DC"/>
    <w:rsid w:val="4509797E"/>
    <w:rsid w:val="45F86CA9"/>
    <w:rsid w:val="46957C1F"/>
    <w:rsid w:val="46A303B3"/>
    <w:rsid w:val="46B34549"/>
    <w:rsid w:val="474A6C5C"/>
    <w:rsid w:val="476240E0"/>
    <w:rsid w:val="47745A86"/>
    <w:rsid w:val="477D3B17"/>
    <w:rsid w:val="481E59F2"/>
    <w:rsid w:val="48427933"/>
    <w:rsid w:val="484323D8"/>
    <w:rsid w:val="48897310"/>
    <w:rsid w:val="48931F3C"/>
    <w:rsid w:val="493D634C"/>
    <w:rsid w:val="498B4FAA"/>
    <w:rsid w:val="4A80114D"/>
    <w:rsid w:val="4BA6467C"/>
    <w:rsid w:val="4BED46D7"/>
    <w:rsid w:val="4C742EFD"/>
    <w:rsid w:val="4DAD3AA0"/>
    <w:rsid w:val="4DC31537"/>
    <w:rsid w:val="4ED8573A"/>
    <w:rsid w:val="4F561F16"/>
    <w:rsid w:val="4FCE00D4"/>
    <w:rsid w:val="500A0449"/>
    <w:rsid w:val="50952F83"/>
    <w:rsid w:val="50F20037"/>
    <w:rsid w:val="51937451"/>
    <w:rsid w:val="519D40CC"/>
    <w:rsid w:val="51A76C82"/>
    <w:rsid w:val="527A3833"/>
    <w:rsid w:val="52F10396"/>
    <w:rsid w:val="5302488E"/>
    <w:rsid w:val="533662E6"/>
    <w:rsid w:val="54851A9F"/>
    <w:rsid w:val="54996B2C"/>
    <w:rsid w:val="55AA2FBB"/>
    <w:rsid w:val="55FC2763"/>
    <w:rsid w:val="56095F34"/>
    <w:rsid w:val="566E3FE9"/>
    <w:rsid w:val="5693042E"/>
    <w:rsid w:val="57265AD6"/>
    <w:rsid w:val="573B76AA"/>
    <w:rsid w:val="59DB402D"/>
    <w:rsid w:val="5A1F5D26"/>
    <w:rsid w:val="5A5A43A0"/>
    <w:rsid w:val="5A6B49DA"/>
    <w:rsid w:val="5AAD1584"/>
    <w:rsid w:val="5AD2138E"/>
    <w:rsid w:val="5B0C0D16"/>
    <w:rsid w:val="5C1E2368"/>
    <w:rsid w:val="5CE3529A"/>
    <w:rsid w:val="5E48511F"/>
    <w:rsid w:val="5E541D16"/>
    <w:rsid w:val="5E8C5954"/>
    <w:rsid w:val="5ED13367"/>
    <w:rsid w:val="5F8B1768"/>
    <w:rsid w:val="601C6864"/>
    <w:rsid w:val="61722BDF"/>
    <w:rsid w:val="61954B1F"/>
    <w:rsid w:val="62CD2EA7"/>
    <w:rsid w:val="63065CD5"/>
    <w:rsid w:val="63284F69"/>
    <w:rsid w:val="633873AA"/>
    <w:rsid w:val="64277D30"/>
    <w:rsid w:val="64395C36"/>
    <w:rsid w:val="64831EB5"/>
    <w:rsid w:val="64976216"/>
    <w:rsid w:val="652026A4"/>
    <w:rsid w:val="656E5DB3"/>
    <w:rsid w:val="65AA03FC"/>
    <w:rsid w:val="65BC6578"/>
    <w:rsid w:val="65E6567C"/>
    <w:rsid w:val="662F5A97"/>
    <w:rsid w:val="667A00DB"/>
    <w:rsid w:val="67513D5A"/>
    <w:rsid w:val="67AC7E24"/>
    <w:rsid w:val="67FB72EE"/>
    <w:rsid w:val="68036AD2"/>
    <w:rsid w:val="6888718C"/>
    <w:rsid w:val="68FC2932"/>
    <w:rsid w:val="68FC5484"/>
    <w:rsid w:val="692A53C9"/>
    <w:rsid w:val="697C61BE"/>
    <w:rsid w:val="699274F5"/>
    <w:rsid w:val="6A4C28F4"/>
    <w:rsid w:val="6A8E0FBE"/>
    <w:rsid w:val="6B0638BC"/>
    <w:rsid w:val="6B4D1417"/>
    <w:rsid w:val="6B5D66AE"/>
    <w:rsid w:val="6B717414"/>
    <w:rsid w:val="6BA21A0D"/>
    <w:rsid w:val="6C8934D3"/>
    <w:rsid w:val="6CEC6C65"/>
    <w:rsid w:val="6E2214E9"/>
    <w:rsid w:val="6EA939B8"/>
    <w:rsid w:val="6EB35DDC"/>
    <w:rsid w:val="6F5A2F04"/>
    <w:rsid w:val="6F64080A"/>
    <w:rsid w:val="6F7A03C2"/>
    <w:rsid w:val="6F8306AD"/>
    <w:rsid w:val="6FAF059E"/>
    <w:rsid w:val="6FF02FF0"/>
    <w:rsid w:val="7161057A"/>
    <w:rsid w:val="716828B7"/>
    <w:rsid w:val="72A61429"/>
    <w:rsid w:val="738A1B7C"/>
    <w:rsid w:val="751528D4"/>
    <w:rsid w:val="75F57E3E"/>
    <w:rsid w:val="76171EA7"/>
    <w:rsid w:val="76B84387"/>
    <w:rsid w:val="76B8746B"/>
    <w:rsid w:val="77C95EBD"/>
    <w:rsid w:val="7899684C"/>
    <w:rsid w:val="79274DF0"/>
    <w:rsid w:val="79A6524B"/>
    <w:rsid w:val="79F35279"/>
    <w:rsid w:val="7A08012D"/>
    <w:rsid w:val="7AC51C49"/>
    <w:rsid w:val="7B2E3BC3"/>
    <w:rsid w:val="7C817D22"/>
    <w:rsid w:val="7CB4634A"/>
    <w:rsid w:val="7D7E183F"/>
    <w:rsid w:val="7DA0242A"/>
    <w:rsid w:val="7E70004F"/>
    <w:rsid w:val="7EE751BE"/>
    <w:rsid w:val="7F005876"/>
    <w:rsid w:val="7F0864D9"/>
    <w:rsid w:val="7FA33F49"/>
    <w:rsid w:val="7FB0104A"/>
    <w:rsid w:val="7FBBB80F"/>
    <w:rsid w:val="D8DD4955"/>
    <w:rsid w:val="ED4F43D5"/>
    <w:rsid w:val="EFF3ED88"/>
    <w:rsid w:val="FFDAB3F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宋体" w:hAnsi="宋体" w:eastAsia="宋体" w:cs="宋体"/>
      <w:sz w:val="24"/>
      <w:szCs w:val="24"/>
      <w:lang w:val="en-US" w:eastAsia="zh-CN" w:bidi="ar-SA"/>
    </w:rPr>
  </w:style>
  <w:style w:type="paragraph" w:styleId="2">
    <w:name w:val="heading 1"/>
    <w:basedOn w:val="1"/>
    <w:next w:val="1"/>
    <w:link w:val="25"/>
    <w:qFormat/>
    <w:uiPriority w:val="0"/>
    <w:pPr>
      <w:keepNext/>
      <w:keepLines/>
      <w:ind w:firstLine="0" w:firstLineChars="0"/>
      <w:outlineLvl w:val="0"/>
    </w:pPr>
    <w:rPr>
      <w:rFonts w:eastAsia="黑体"/>
      <w:bCs/>
      <w:kern w:val="44"/>
      <w:sz w:val="32"/>
      <w:szCs w:val="44"/>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26"/>
    <w:qFormat/>
    <w:uiPriority w:val="0"/>
    <w:pPr>
      <w:jc w:val="left"/>
    </w:pPr>
  </w:style>
  <w:style w:type="paragraph" w:styleId="5">
    <w:name w:val="Body Text"/>
    <w:basedOn w:val="1"/>
    <w:next w:val="1"/>
    <w:qFormat/>
    <w:uiPriority w:val="0"/>
    <w:pPr>
      <w:spacing w:line="360" w:lineRule="auto"/>
      <w:ind w:firstLine="1648" w:firstLineChars="200"/>
    </w:pPr>
    <w:rPr>
      <w:sz w:val="32"/>
      <w:szCs w:val="20"/>
    </w:rPr>
  </w:style>
  <w:style w:type="paragraph" w:styleId="6">
    <w:name w:val="Date"/>
    <w:basedOn w:val="1"/>
    <w:next w:val="1"/>
    <w:qFormat/>
    <w:uiPriority w:val="0"/>
    <w:pPr>
      <w:ind w:left="100" w:leftChars="2500"/>
    </w:pPr>
  </w:style>
  <w:style w:type="paragraph" w:styleId="7">
    <w:name w:val="Balloon Text"/>
    <w:basedOn w:val="1"/>
    <w:semiHidden/>
    <w:qFormat/>
    <w:uiPriority w:val="0"/>
    <w:rPr>
      <w:sz w:val="18"/>
      <w:szCs w:val="18"/>
    </w:rPr>
  </w:style>
  <w:style w:type="paragraph" w:styleId="8">
    <w:name w:val="footer"/>
    <w:basedOn w:val="1"/>
    <w:link w:val="27"/>
    <w:qFormat/>
    <w:uiPriority w:val="99"/>
    <w:pPr>
      <w:tabs>
        <w:tab w:val="center" w:pos="4153"/>
        <w:tab w:val="right" w:pos="8306"/>
      </w:tabs>
      <w:snapToGrid w:val="0"/>
      <w:jc w:val="left"/>
    </w:pPr>
    <w:rPr>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0">
    <w:name w:val="Subtitle"/>
    <w:basedOn w:val="1"/>
    <w:next w:val="1"/>
    <w:link w:val="28"/>
    <w:qFormat/>
    <w:uiPriority w:val="0"/>
    <w:pPr>
      <w:spacing w:before="240" w:after="60" w:line="312" w:lineRule="auto"/>
      <w:jc w:val="center"/>
      <w:outlineLvl w:val="1"/>
    </w:pPr>
    <w:rPr>
      <w:rFonts w:ascii="等线 Light" w:hAnsi="等线 Light" w:cs="Times New Roman"/>
      <w:b/>
      <w:bCs/>
      <w:kern w:val="28"/>
      <w:sz w:val="32"/>
      <w:szCs w:val="32"/>
    </w:rPr>
  </w:style>
  <w:style w:type="paragraph" w:styleId="11">
    <w:name w:val="Title"/>
    <w:basedOn w:val="1"/>
    <w:next w:val="1"/>
    <w:link w:val="29"/>
    <w:qFormat/>
    <w:uiPriority w:val="0"/>
    <w:pPr>
      <w:spacing w:before="240" w:after="60"/>
      <w:jc w:val="center"/>
      <w:outlineLvl w:val="0"/>
    </w:pPr>
    <w:rPr>
      <w:rFonts w:ascii="等线 Light" w:hAnsi="等线 Light" w:cs="Times New Roman"/>
      <w:b/>
      <w:bCs/>
      <w:sz w:val="32"/>
      <w:szCs w:val="32"/>
    </w:rPr>
  </w:style>
  <w:style w:type="paragraph" w:styleId="12">
    <w:name w:val="annotation subject"/>
    <w:basedOn w:val="4"/>
    <w:next w:val="4"/>
    <w:link w:val="30"/>
    <w:qFormat/>
    <w:uiPriority w:val="0"/>
    <w:rPr>
      <w:b/>
      <w:bCs/>
    </w:rPr>
  </w:style>
  <w:style w:type="table" w:styleId="14">
    <w:name w:val="Table Grid"/>
    <w:basedOn w:val="13"/>
    <w:qFormat/>
    <w:uiPriority w:val="59"/>
    <w:rPr>
      <w:rFonts w:ascii="Calibri" w:hAnsi="Calibri" w:eastAsia="宋体" w:cs="Times New Roman"/>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6">
    <w:name w:val="Strong"/>
    <w:qFormat/>
    <w:uiPriority w:val="0"/>
    <w:rPr>
      <w:b/>
    </w:rPr>
  </w:style>
  <w:style w:type="character" w:styleId="17">
    <w:name w:val="page number"/>
    <w:qFormat/>
    <w:uiPriority w:val="0"/>
  </w:style>
  <w:style w:type="character" w:styleId="18">
    <w:name w:val="FollowedHyperlink"/>
    <w:qFormat/>
    <w:uiPriority w:val="0"/>
    <w:rPr>
      <w:color w:val="800080"/>
      <w:u w:val="none"/>
    </w:rPr>
  </w:style>
  <w:style w:type="character" w:styleId="19">
    <w:name w:val="HTML Definition"/>
    <w:qFormat/>
    <w:uiPriority w:val="0"/>
    <w:rPr>
      <w:i/>
    </w:rPr>
  </w:style>
  <w:style w:type="character" w:styleId="20">
    <w:name w:val="Hyperlink"/>
    <w:qFormat/>
    <w:uiPriority w:val="0"/>
    <w:rPr>
      <w:color w:val="0000FF"/>
      <w:u w:val="none"/>
    </w:rPr>
  </w:style>
  <w:style w:type="character" w:styleId="21">
    <w:name w:val="HTML Code"/>
    <w:qFormat/>
    <w:uiPriority w:val="0"/>
    <w:rPr>
      <w:rFonts w:ascii="serif" w:hAnsi="serif" w:eastAsia="serif" w:cs="serif"/>
      <w:sz w:val="21"/>
      <w:szCs w:val="21"/>
    </w:rPr>
  </w:style>
  <w:style w:type="character" w:styleId="22">
    <w:name w:val="annotation reference"/>
    <w:qFormat/>
    <w:uiPriority w:val="0"/>
    <w:rPr>
      <w:sz w:val="21"/>
      <w:szCs w:val="21"/>
    </w:rPr>
  </w:style>
  <w:style w:type="character" w:styleId="23">
    <w:name w:val="HTML Keyboard"/>
    <w:qFormat/>
    <w:uiPriority w:val="0"/>
    <w:rPr>
      <w:rFonts w:hint="default" w:ascii="serif" w:hAnsi="serif" w:eastAsia="serif" w:cs="serif"/>
      <w:sz w:val="21"/>
      <w:szCs w:val="21"/>
    </w:rPr>
  </w:style>
  <w:style w:type="character" w:styleId="24">
    <w:name w:val="HTML Sample"/>
    <w:qFormat/>
    <w:uiPriority w:val="0"/>
    <w:rPr>
      <w:rFonts w:hint="default" w:ascii="serif" w:hAnsi="serif" w:eastAsia="serif" w:cs="serif"/>
      <w:sz w:val="21"/>
      <w:szCs w:val="21"/>
    </w:rPr>
  </w:style>
  <w:style w:type="character" w:customStyle="1" w:styleId="25">
    <w:name w:val="标题 1 字符"/>
    <w:link w:val="2"/>
    <w:qFormat/>
    <w:uiPriority w:val="0"/>
    <w:rPr>
      <w:rFonts w:eastAsia="黑体"/>
      <w:bCs/>
      <w:kern w:val="44"/>
      <w:sz w:val="32"/>
      <w:szCs w:val="44"/>
    </w:rPr>
  </w:style>
  <w:style w:type="character" w:customStyle="1" w:styleId="26">
    <w:name w:val="批注文字 字符"/>
    <w:link w:val="4"/>
    <w:qFormat/>
    <w:uiPriority w:val="0"/>
    <w:rPr>
      <w:kern w:val="2"/>
      <w:sz w:val="21"/>
      <w:szCs w:val="24"/>
    </w:rPr>
  </w:style>
  <w:style w:type="character" w:customStyle="1" w:styleId="27">
    <w:name w:val="页脚 字符"/>
    <w:link w:val="8"/>
    <w:qFormat/>
    <w:uiPriority w:val="99"/>
    <w:rPr>
      <w:kern w:val="2"/>
      <w:sz w:val="18"/>
      <w:szCs w:val="18"/>
    </w:rPr>
  </w:style>
  <w:style w:type="character" w:customStyle="1" w:styleId="28">
    <w:name w:val="副标题 字符"/>
    <w:link w:val="10"/>
    <w:qFormat/>
    <w:uiPriority w:val="0"/>
    <w:rPr>
      <w:rFonts w:ascii="等线 Light" w:hAnsi="等线 Light" w:cs="Times New Roman"/>
      <w:b/>
      <w:bCs/>
      <w:kern w:val="28"/>
      <w:sz w:val="32"/>
      <w:szCs w:val="32"/>
    </w:rPr>
  </w:style>
  <w:style w:type="character" w:customStyle="1" w:styleId="29">
    <w:name w:val="标题 字符"/>
    <w:link w:val="11"/>
    <w:qFormat/>
    <w:uiPriority w:val="0"/>
    <w:rPr>
      <w:rFonts w:ascii="等线 Light" w:hAnsi="等线 Light" w:cs="Times New Roman"/>
      <w:b/>
      <w:bCs/>
      <w:kern w:val="2"/>
      <w:sz w:val="32"/>
      <w:szCs w:val="32"/>
    </w:rPr>
  </w:style>
  <w:style w:type="character" w:customStyle="1" w:styleId="30">
    <w:name w:val="批注主题 字符"/>
    <w:link w:val="12"/>
    <w:qFormat/>
    <w:uiPriority w:val="0"/>
    <w:rPr>
      <w:b/>
      <w:bCs/>
      <w:kern w:val="2"/>
      <w:sz w:val="21"/>
      <w:szCs w:val="24"/>
    </w:rPr>
  </w:style>
  <w:style w:type="character" w:customStyle="1" w:styleId="31">
    <w:name w:val="first-child"/>
    <w:qFormat/>
    <w:uiPriority w:val="0"/>
  </w:style>
  <w:style w:type="character" w:customStyle="1" w:styleId="32">
    <w:name w:val="required"/>
    <w:qFormat/>
    <w:uiPriority w:val="0"/>
    <w:rPr>
      <w:color w:val="FF0000"/>
    </w:rPr>
  </w:style>
  <w:style w:type="character" w:customStyle="1" w:styleId="33">
    <w:name w:val="first-child1"/>
    <w:qFormat/>
    <w:uiPriority w:val="0"/>
  </w:style>
  <w:style w:type="paragraph" w:customStyle="1" w:styleId="34">
    <w:name w:val="列出段落1"/>
    <w:qFormat/>
    <w:uiPriority w:val="34"/>
    <w:pPr>
      <w:widowControl w:val="0"/>
      <w:ind w:firstLine="420"/>
      <w:jc w:val="both"/>
    </w:pPr>
    <w:rPr>
      <w:rFonts w:ascii="Calibri" w:hAnsi="Calibri" w:eastAsia="Calibri" w:cs="Calibri"/>
      <w:color w:val="000000"/>
      <w:kern w:val="2"/>
      <w:sz w:val="21"/>
      <w:szCs w:val="21"/>
      <w:lang w:val="en-US" w:eastAsia="zh-CN" w:bidi="ar-SA"/>
    </w:rPr>
  </w:style>
  <w:style w:type="paragraph" w:customStyle="1" w:styleId="35">
    <w:name w:val="正文 New New New New"/>
    <w:qFormat/>
    <w:uiPriority w:val="0"/>
    <w:pPr>
      <w:widowControl w:val="0"/>
      <w:jc w:val="both"/>
    </w:pPr>
    <w:rPr>
      <w:rFonts w:ascii="Times New Roman" w:hAnsi="Times New Roman" w:eastAsia="宋体" w:cs="Times New Roman"/>
      <w:szCs w:val="24"/>
      <w:lang w:val="en-US" w:eastAsia="zh-CN" w:bidi="ar-SA"/>
    </w:rPr>
  </w:style>
  <w:style w:type="paragraph" w:customStyle="1" w:styleId="36">
    <w:name w:val="_Style 41"/>
    <w:basedOn w:val="1"/>
    <w:next w:val="37"/>
    <w:qFormat/>
    <w:uiPriority w:val="34"/>
    <w:pPr>
      <w:ind w:firstLine="420" w:firstLineChars="200"/>
    </w:pPr>
  </w:style>
  <w:style w:type="paragraph" w:styleId="37">
    <w:name w:val="List Paragraph"/>
    <w:basedOn w:val="1"/>
    <w:qFormat/>
    <w:uiPriority w:val="34"/>
    <w:pPr>
      <w:ind w:firstLine="420" w:firstLineChars="200"/>
    </w:pPr>
  </w:style>
  <w:style w:type="paragraph" w:customStyle="1" w:styleId="38">
    <w:name w:val="标题2"/>
    <w:basedOn w:val="1"/>
    <w:link w:val="39"/>
    <w:qFormat/>
    <w:uiPriority w:val="0"/>
    <w:pPr>
      <w:jc w:val="left"/>
      <w:outlineLvl w:val="1"/>
    </w:pPr>
    <w:rPr>
      <w:rFonts w:ascii="楷体" w:hAnsi="楷体" w:eastAsia="楷体"/>
      <w:color w:val="000000"/>
      <w:sz w:val="32"/>
      <w:szCs w:val="32"/>
    </w:rPr>
  </w:style>
  <w:style w:type="character" w:customStyle="1" w:styleId="39">
    <w:name w:val="标题2 字符"/>
    <w:link w:val="38"/>
    <w:qFormat/>
    <w:uiPriority w:val="0"/>
    <w:rPr>
      <w:rFonts w:ascii="楷体" w:hAnsi="楷体" w:eastAsia="楷体"/>
      <w:color w:val="000000"/>
      <w:kern w:val="2"/>
      <w:sz w:val="32"/>
      <w:szCs w:val="32"/>
    </w:rPr>
  </w:style>
  <w:style w:type="paragraph" w:customStyle="1" w:styleId="40">
    <w:name w:val="标题3"/>
    <w:basedOn w:val="1"/>
    <w:link w:val="41"/>
    <w:qFormat/>
    <w:uiPriority w:val="0"/>
    <w:pPr>
      <w:jc w:val="left"/>
      <w:outlineLvl w:val="2"/>
    </w:pPr>
    <w:rPr>
      <w:rFonts w:ascii="仿宋" w:hAnsi="仿宋" w:eastAsia="仿宋"/>
      <w:color w:val="000000"/>
      <w:sz w:val="32"/>
      <w:szCs w:val="32"/>
    </w:rPr>
  </w:style>
  <w:style w:type="character" w:customStyle="1" w:styleId="41">
    <w:name w:val="标题3 字符"/>
    <w:link w:val="40"/>
    <w:qFormat/>
    <w:uiPriority w:val="0"/>
    <w:rPr>
      <w:rFonts w:ascii="仿宋" w:hAnsi="仿宋" w:eastAsia="仿宋"/>
      <w:color w:val="000000"/>
      <w:kern w:val="2"/>
      <w:sz w:val="32"/>
      <w:szCs w:val="32"/>
    </w:rPr>
  </w:style>
  <w:style w:type="paragraph" w:customStyle="1" w:styleId="42">
    <w:name w:val="标题4"/>
    <w:basedOn w:val="1"/>
    <w:link w:val="43"/>
    <w:qFormat/>
    <w:uiPriority w:val="0"/>
    <w:pPr>
      <w:jc w:val="left"/>
      <w:outlineLvl w:val="3"/>
    </w:pPr>
    <w:rPr>
      <w:rFonts w:eastAsia="仿宋"/>
      <w:bCs/>
      <w:color w:val="000000"/>
      <w:sz w:val="30"/>
      <w:szCs w:val="30"/>
    </w:rPr>
  </w:style>
  <w:style w:type="character" w:customStyle="1" w:styleId="43">
    <w:name w:val="标题4 字符"/>
    <w:link w:val="42"/>
    <w:qFormat/>
    <w:uiPriority w:val="0"/>
    <w:rPr>
      <w:rFonts w:eastAsia="仿宋"/>
      <w:bCs/>
      <w:color w:val="000000"/>
      <w:kern w:val="2"/>
      <w:sz w:val="30"/>
      <w:szCs w:val="30"/>
    </w:rPr>
  </w:style>
  <w:style w:type="character" w:customStyle="1" w:styleId="44">
    <w:name w:val="font31"/>
    <w:qFormat/>
    <w:uiPriority w:val="0"/>
    <w:rPr>
      <w:rFonts w:hint="eastAsia" w:ascii="仿宋" w:hAnsi="仿宋" w:eastAsia="仿宋"/>
      <w:color w:val="000000"/>
      <w:sz w:val="20"/>
      <w:szCs w:val="20"/>
      <w:u w:val="none"/>
    </w:rPr>
  </w:style>
  <w:style w:type="character" w:customStyle="1" w:styleId="45">
    <w:name w:val="font21"/>
    <w:basedOn w:val="15"/>
    <w:qFormat/>
    <w:uiPriority w:val="0"/>
    <w:rPr>
      <w:rFonts w:hint="eastAsia" w:ascii="宋体" w:hAnsi="宋体" w:eastAsia="宋体" w:cs="宋体"/>
      <w:color w:val="000000"/>
      <w:sz w:val="24"/>
      <w:szCs w:val="24"/>
      <w:u w:val="none"/>
    </w:rPr>
  </w:style>
  <w:style w:type="paragraph" w:customStyle="1" w:styleId="46">
    <w:name w:val="首行缩进"/>
    <w:basedOn w:val="1"/>
    <w:qFormat/>
    <w:uiPriority w:val="0"/>
    <w:pPr>
      <w:ind w:firstLine="480"/>
    </w:pPr>
    <w:rPr>
      <w:rFonts w:asciiTheme="minorHAnsi" w:hAnsiTheme="minorHAnsi" w:cstheme="minorBidi"/>
      <w:szCs w:val="22"/>
      <w:lang w:val="zh-CN"/>
    </w:rPr>
  </w:style>
  <w:style w:type="character" w:customStyle="1" w:styleId="47">
    <w:name w:val="font61"/>
    <w:basedOn w:val="15"/>
    <w:qFormat/>
    <w:uiPriority w:val="0"/>
    <w:rPr>
      <w:rFonts w:hint="eastAsia" w:ascii="仿宋" w:hAnsi="仿宋" w:eastAsia="仿宋" w:cs="仿宋"/>
      <w:color w:val="000000"/>
      <w:sz w:val="18"/>
      <w:szCs w:val="18"/>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MC SYSTEM</Company>
  <Pages>17</Pages>
  <Words>5267</Words>
  <Characters>5827</Characters>
  <Lines>366</Lines>
  <Paragraphs>103</Paragraphs>
  <TotalTime>9</TotalTime>
  <ScaleCrop>false</ScaleCrop>
  <LinksUpToDate>false</LinksUpToDate>
  <CharactersWithSpaces>5997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2024-09-03T13:47:00Z</dcterms:created>
  <dc:creator>MC SYSTEM</dc:creator>
  <cp:lastModifiedBy>Lin</cp:lastModifiedBy>
  <cp:lastPrinted>2021-07-24T17:17:00Z</cp:lastPrinted>
  <dcterms:modified xsi:type="dcterms:W3CDTF">2025-10-23T03:47:42Z</dcterms:modified>
  <dc:title>厦财采〔2021〕9号</dc:title>
  <cp:revision>109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F16FADBFE5B549A3934B98FA65119949_13</vt:lpwstr>
  </property>
  <property fmtid="{D5CDD505-2E9C-101B-9397-08002B2CF9AE}" pid="4" name="KSOTemplateDocerSaveRecord">
    <vt:lpwstr>eyJoZGlkIjoiNzJiNWQ2NDYxNjMyZjMyNjg5NzU4Mzk3MzM0YTk1ODQiLCJ1c2VySWQiOiI2NzI5MTcyNDcifQ==</vt:lpwstr>
  </property>
</Properties>
</file>