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spacing w:line="360" w:lineRule="auto"/>
        <w:ind w:firstLine="482" w:firstLineChars="200"/>
        <w:jc w:val="both"/>
        <w:rPr>
          <w:rFonts w:ascii="Times New Roman" w:hAnsi="Times New Roman" w:eastAsia="宋体" w:cs="Times New Roman"/>
          <w:b/>
          <w:bCs/>
          <w:color w:val="auto"/>
        </w:rPr>
      </w:pPr>
      <w:r>
        <w:rPr>
          <w:rFonts w:ascii="Times New Roman" w:hAnsi="Times New Roman" w:eastAsia="宋体" w:cs="Times New Roman"/>
          <w:b/>
          <w:bCs/>
          <w:color w:val="auto"/>
        </w:rPr>
        <w:t>供应商资格要求（实质性要求）</w:t>
      </w:r>
    </w:p>
    <w:p>
      <w:pPr>
        <w:pStyle w:val="1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（一）投标人须具备《中华人民共和国政府采购法》第二十二条第一款规定的条件，提供以下材料：</w:t>
      </w:r>
    </w:p>
    <w:p>
      <w:pPr>
        <w:pStyle w:val="1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pPr>
        <w:pStyle w:val="1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财务状况报告等相关材料：</w:t>
      </w:r>
    </w:p>
    <w:p>
      <w:pPr>
        <w:pStyle w:val="1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A.经第三方会计师事务所审计的2022年度或</w:t>
      </w:r>
      <w:r>
        <w:rPr>
          <w:rFonts w:ascii="Times New Roman" w:hAnsi="Times New Roman" w:eastAsia="宋体" w:cs="Times New Roman"/>
          <w:color w:val="auto"/>
        </w:rPr>
        <w:t>2023</w:t>
      </w:r>
      <w:r>
        <w:rPr>
          <w:rFonts w:hint="eastAsia" w:ascii="Times New Roman" w:hAnsi="Times New Roman" w:eastAsia="宋体" w:cs="Times New Roman"/>
          <w:color w:val="auto"/>
        </w:rPr>
        <w:t>年度财务报告扫描件。</w:t>
      </w:r>
    </w:p>
    <w:p>
      <w:pPr>
        <w:pStyle w:val="1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pPr>
        <w:pStyle w:val="1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pPr>
        <w:pStyle w:val="1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pPr>
        <w:pStyle w:val="10"/>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4. 投标截止日前3年在经营活动中没有重大违法记录的书面声明（截至开标日成立不足3年的供应商可提供自</w:t>
      </w:r>
      <w:r>
        <w:rPr>
          <w:rFonts w:hint="eastAsia" w:ascii="Times New Roman" w:hAnsi="Times New Roman" w:eastAsia="宋体" w:cs="Times New Roman"/>
          <w:color w:val="auto"/>
          <w:highlight w:val="none"/>
        </w:rPr>
        <w:t>成立以来无重大违法记录的书面声明）。</w:t>
      </w:r>
    </w:p>
    <w:p>
      <w:pPr>
        <w:pStyle w:val="10"/>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 提交具备履行合同所必需的设备和专业技术能力证明材料。</w:t>
      </w:r>
    </w:p>
    <w:p>
      <w:pPr>
        <w:pStyle w:val="5"/>
        <w:shd w:val="clear" w:color="auto" w:fill="FFFFFF"/>
        <w:spacing w:before="0" w:beforeAutospacing="0" w:after="0" w:afterAutospacing="0" w:line="360" w:lineRule="auto"/>
        <w:ind w:firstLine="480" w:firstLineChars="200"/>
        <w:jc w:val="both"/>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（二）本项目不接受联合体投标。</w:t>
      </w:r>
    </w:p>
    <w:p>
      <w:pPr>
        <w:autoSpaceDE w:val="0"/>
        <w:autoSpaceDN w:val="0"/>
        <w:adjustRightInd w:val="0"/>
        <w:spacing w:line="360" w:lineRule="auto"/>
        <w:ind w:firstLine="482" w:firstLineChars="200"/>
        <w:rPr>
          <w:rFonts w:hint="eastAsia"/>
          <w:b/>
          <w:bCs/>
          <w:sz w:val="24"/>
        </w:rPr>
      </w:pPr>
    </w:p>
    <w:p>
      <w:pPr>
        <w:autoSpaceDE w:val="0"/>
        <w:autoSpaceDN w:val="0"/>
        <w:adjustRightInd w:val="0"/>
        <w:spacing w:line="360" w:lineRule="auto"/>
        <w:ind w:firstLine="482" w:firstLineChars="200"/>
        <w:rPr>
          <w:b/>
          <w:bCs/>
          <w:sz w:val="24"/>
        </w:rPr>
      </w:pPr>
      <w:r>
        <w:rPr>
          <w:rFonts w:hint="eastAsia"/>
          <w:b/>
          <w:bCs/>
          <w:sz w:val="24"/>
        </w:rPr>
        <w:t>验收方法及标准</w:t>
      </w:r>
    </w:p>
    <w:p>
      <w:pPr>
        <w:autoSpaceDE w:val="0"/>
        <w:autoSpaceDN w:val="0"/>
        <w:adjustRightInd w:val="0"/>
        <w:spacing w:line="360" w:lineRule="auto"/>
        <w:ind w:firstLine="480"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pPr>
        <w:pStyle w:val="5"/>
        <w:shd w:val="clear" w:color="auto" w:fill="FFFFFF"/>
        <w:spacing w:before="0" w:beforeAutospacing="0" w:after="0" w:afterAutospacing="0" w:line="360" w:lineRule="auto"/>
        <w:ind w:firstLine="480" w:firstLineChars="200"/>
        <w:jc w:val="both"/>
        <w:rPr>
          <w:rFonts w:hint="default" w:ascii="Times New Roman" w:hAnsi="Times New Roman" w:eastAsia="宋体" w:cs="Times New Roman"/>
          <w:color w:val="auto"/>
          <w:highlight w:val="none"/>
          <w:lang w:val="en-US" w:eastAsia="zh-CN"/>
        </w:rPr>
      </w:pPr>
    </w:p>
    <w:p>
      <w:pPr>
        <w:pStyle w:val="2"/>
        <w:numPr>
          <w:ilvl w:val="0"/>
          <w:numId w:val="0"/>
        </w:numPr>
        <w:adjustRightInd w:val="0"/>
        <w:snapToGrid w:val="0"/>
        <w:spacing w:before="140" w:after="130" w:line="480" w:lineRule="auto"/>
        <w:ind w:left="0" w:leftChars="0" w:firstLine="420" w:firstLineChars="0"/>
        <w:rPr>
          <w:sz w:val="30"/>
          <w:szCs w:val="30"/>
        </w:rPr>
      </w:pPr>
      <w:r>
        <w:rPr>
          <w:rFonts w:hint="eastAsia"/>
          <w:sz w:val="30"/>
          <w:szCs w:val="30"/>
        </w:rPr>
        <w:t>采购明细</w:t>
      </w:r>
    </w:p>
    <w:tbl>
      <w:tblPr>
        <w:tblStyle w:val="7"/>
        <w:tblW w:w="8238" w:type="dxa"/>
        <w:tblInd w:w="93" w:type="dxa"/>
        <w:tblLayout w:type="fixed"/>
        <w:tblCellMar>
          <w:top w:w="0" w:type="dxa"/>
          <w:left w:w="108" w:type="dxa"/>
          <w:bottom w:w="0" w:type="dxa"/>
          <w:right w:w="108" w:type="dxa"/>
        </w:tblCellMar>
      </w:tblPr>
      <w:tblGrid>
        <w:gridCol w:w="1491"/>
        <w:gridCol w:w="2856"/>
        <w:gridCol w:w="2189"/>
        <w:gridCol w:w="1702"/>
      </w:tblGrid>
      <w:tr>
        <w:tblPrEx>
          <w:tblLayout w:type="fixed"/>
          <w:tblCellMar>
            <w:top w:w="0" w:type="dxa"/>
            <w:left w:w="108" w:type="dxa"/>
            <w:bottom w:w="0" w:type="dxa"/>
            <w:right w:w="108" w:type="dxa"/>
          </w:tblCellMar>
        </w:tblPrEx>
        <w:trPr>
          <w:trHeight w:val="590" w:hRule="atLeast"/>
        </w:trPr>
        <w:tc>
          <w:tcPr>
            <w:tcW w:w="1491"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ascii="宋体" w:hAnsi="宋体" w:eastAsia="宋体" w:cs="宋体"/>
                <w:b/>
                <w:bCs/>
                <w:sz w:val="24"/>
              </w:rPr>
            </w:pPr>
            <w:r>
              <w:rPr>
                <w:rFonts w:hint="eastAsia" w:ascii="宋体" w:hAnsi="宋体" w:eastAsia="宋体" w:cs="宋体"/>
                <w:b/>
                <w:bCs/>
                <w:kern w:val="0"/>
                <w:sz w:val="24"/>
                <w:lang w:bidi="ar"/>
              </w:rPr>
              <w:t>序号</w:t>
            </w:r>
          </w:p>
        </w:tc>
        <w:tc>
          <w:tcPr>
            <w:tcW w:w="2856"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ascii="宋体" w:hAnsi="宋体" w:eastAsia="宋体" w:cs="宋体"/>
                <w:b/>
                <w:bCs/>
                <w:sz w:val="24"/>
              </w:rPr>
            </w:pPr>
            <w:r>
              <w:rPr>
                <w:rFonts w:hint="eastAsia" w:ascii="宋体" w:hAnsi="宋体" w:eastAsia="宋体" w:cs="宋体"/>
                <w:b/>
                <w:bCs/>
                <w:kern w:val="0"/>
                <w:sz w:val="24"/>
                <w:lang w:bidi="ar"/>
              </w:rPr>
              <w:t>产品名称</w:t>
            </w:r>
          </w:p>
        </w:tc>
        <w:tc>
          <w:tcPr>
            <w:tcW w:w="2189"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ascii="宋体" w:hAnsi="宋体" w:eastAsia="宋体" w:cs="宋体"/>
                <w:b/>
                <w:bCs/>
                <w:sz w:val="24"/>
              </w:rPr>
            </w:pPr>
            <w:r>
              <w:rPr>
                <w:rFonts w:hint="eastAsia" w:ascii="宋体" w:hAnsi="宋体" w:eastAsia="宋体" w:cs="宋体"/>
                <w:b/>
                <w:bCs/>
                <w:kern w:val="0"/>
                <w:sz w:val="24"/>
                <w:lang w:bidi="ar"/>
              </w:rPr>
              <w:t>数量</w:t>
            </w:r>
          </w:p>
        </w:tc>
        <w:tc>
          <w:tcPr>
            <w:tcW w:w="1702"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ascii="宋体" w:hAnsi="宋体" w:eastAsia="宋体" w:cs="宋体"/>
                <w:b/>
                <w:bCs/>
                <w:sz w:val="24"/>
              </w:rPr>
            </w:pPr>
            <w:r>
              <w:rPr>
                <w:rFonts w:hint="eastAsia" w:ascii="宋体" w:hAnsi="宋体" w:eastAsia="宋体" w:cs="宋体"/>
                <w:b/>
                <w:bCs/>
                <w:kern w:val="0"/>
                <w:sz w:val="24"/>
                <w:lang w:bidi="ar"/>
              </w:rPr>
              <w:t>单位</w:t>
            </w:r>
          </w:p>
        </w:tc>
      </w:tr>
      <w:tr>
        <w:tblPrEx>
          <w:tblLayout w:type="fixed"/>
          <w:tblCellMar>
            <w:top w:w="0" w:type="dxa"/>
            <w:left w:w="108" w:type="dxa"/>
            <w:bottom w:w="0" w:type="dxa"/>
            <w:right w:w="108" w:type="dxa"/>
          </w:tblCellMar>
        </w:tblPrEx>
        <w:trPr>
          <w:trHeight w:val="590" w:hRule="atLeast"/>
        </w:trPr>
        <w:tc>
          <w:tcPr>
            <w:tcW w:w="1491"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ascii="宋体" w:hAnsi="宋体" w:eastAsia="宋体" w:cs="宋体"/>
                <w:kern w:val="0"/>
                <w:sz w:val="24"/>
                <w:lang w:bidi="ar"/>
              </w:rPr>
            </w:pPr>
            <w:r>
              <w:rPr>
                <w:rFonts w:hint="eastAsia" w:ascii="宋体" w:hAnsi="宋体" w:eastAsia="宋体" w:cs="宋体"/>
                <w:kern w:val="0"/>
                <w:sz w:val="24"/>
                <w:lang w:bidi="ar"/>
              </w:rPr>
              <w:t>1</w:t>
            </w:r>
          </w:p>
        </w:tc>
        <w:tc>
          <w:tcPr>
            <w:tcW w:w="2856"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ascii="宋体" w:hAnsi="宋体" w:eastAsia="宋体" w:cs="宋体"/>
                <w:sz w:val="24"/>
              </w:rPr>
            </w:pPr>
            <w:r>
              <w:rPr>
                <w:rFonts w:hint="eastAsia" w:ascii="宋体" w:hAnsi="宋体" w:eastAsia="宋体" w:cs="宋体"/>
                <w:sz w:val="24"/>
              </w:rPr>
              <w:t>外网防火墙</w:t>
            </w:r>
          </w:p>
        </w:tc>
        <w:tc>
          <w:tcPr>
            <w:tcW w:w="2189"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ascii="宋体" w:hAnsi="宋体" w:eastAsia="宋体" w:cs="宋体"/>
                <w:sz w:val="24"/>
              </w:rPr>
            </w:pPr>
            <w:r>
              <w:rPr>
                <w:rFonts w:hint="eastAsia" w:ascii="宋体" w:hAnsi="宋体" w:eastAsia="宋体" w:cs="宋体"/>
                <w:kern w:val="0"/>
                <w:sz w:val="24"/>
                <w:lang w:bidi="ar"/>
              </w:rPr>
              <w:t>1</w:t>
            </w:r>
          </w:p>
        </w:tc>
        <w:tc>
          <w:tcPr>
            <w:tcW w:w="1702"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ascii="宋体" w:hAnsi="宋体" w:eastAsia="宋体" w:cs="宋体"/>
                <w:sz w:val="24"/>
              </w:rPr>
            </w:pPr>
            <w:r>
              <w:rPr>
                <w:rFonts w:hint="eastAsia" w:ascii="宋体" w:hAnsi="宋体" w:eastAsia="宋体" w:cs="宋体"/>
                <w:kern w:val="0"/>
                <w:sz w:val="24"/>
                <w:lang w:bidi="ar"/>
              </w:rPr>
              <w:t>台</w:t>
            </w:r>
          </w:p>
        </w:tc>
      </w:tr>
      <w:tr>
        <w:tblPrEx>
          <w:tblLayout w:type="fixed"/>
          <w:tblCellMar>
            <w:top w:w="0" w:type="dxa"/>
            <w:left w:w="108" w:type="dxa"/>
            <w:bottom w:w="0" w:type="dxa"/>
            <w:right w:w="108" w:type="dxa"/>
          </w:tblCellMar>
        </w:tblPrEx>
        <w:trPr>
          <w:trHeight w:val="590" w:hRule="atLeast"/>
        </w:trPr>
        <w:tc>
          <w:tcPr>
            <w:tcW w:w="1491"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ascii="宋体" w:hAnsi="宋体" w:eastAsia="宋体" w:cs="宋体"/>
                <w:sz w:val="24"/>
              </w:rPr>
            </w:pPr>
            <w:r>
              <w:rPr>
                <w:rFonts w:hint="eastAsia" w:ascii="宋体" w:hAnsi="宋体" w:eastAsia="宋体" w:cs="宋体"/>
                <w:kern w:val="0"/>
                <w:sz w:val="24"/>
                <w:lang w:bidi="ar"/>
              </w:rPr>
              <w:t>2</w:t>
            </w:r>
          </w:p>
        </w:tc>
        <w:tc>
          <w:tcPr>
            <w:tcW w:w="2856"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ascii="宋体" w:hAnsi="宋体" w:eastAsia="宋体" w:cs="宋体"/>
                <w:sz w:val="24"/>
              </w:rPr>
            </w:pPr>
            <w:r>
              <w:rPr>
                <w:rFonts w:hint="eastAsia" w:ascii="宋体" w:hAnsi="宋体" w:eastAsia="宋体" w:cs="宋体"/>
                <w:kern w:val="0"/>
                <w:sz w:val="24"/>
                <w:lang w:bidi="ar"/>
              </w:rPr>
              <w:t>内网防火墙</w:t>
            </w:r>
          </w:p>
        </w:tc>
        <w:tc>
          <w:tcPr>
            <w:tcW w:w="2189"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ascii="宋体" w:hAnsi="宋体" w:eastAsia="宋体" w:cs="宋体"/>
                <w:sz w:val="24"/>
              </w:rPr>
            </w:pPr>
            <w:r>
              <w:rPr>
                <w:rFonts w:hint="eastAsia" w:ascii="宋体" w:hAnsi="宋体" w:eastAsia="宋体" w:cs="宋体"/>
                <w:kern w:val="0"/>
                <w:sz w:val="24"/>
                <w:lang w:bidi="ar"/>
              </w:rPr>
              <w:t>2</w:t>
            </w:r>
          </w:p>
        </w:tc>
        <w:tc>
          <w:tcPr>
            <w:tcW w:w="1702"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ascii="宋体" w:hAnsi="宋体" w:eastAsia="宋体" w:cs="宋体"/>
                <w:sz w:val="24"/>
              </w:rPr>
            </w:pPr>
            <w:r>
              <w:rPr>
                <w:rFonts w:hint="eastAsia" w:ascii="宋体" w:hAnsi="宋体" w:eastAsia="宋体" w:cs="宋体"/>
                <w:kern w:val="0"/>
                <w:sz w:val="24"/>
                <w:lang w:bidi="ar"/>
              </w:rPr>
              <w:t>台</w:t>
            </w:r>
          </w:p>
        </w:tc>
      </w:tr>
      <w:tr>
        <w:tblPrEx>
          <w:tblLayout w:type="fixed"/>
          <w:tblCellMar>
            <w:top w:w="0" w:type="dxa"/>
            <w:left w:w="108" w:type="dxa"/>
            <w:bottom w:w="0" w:type="dxa"/>
            <w:right w:w="108" w:type="dxa"/>
          </w:tblCellMar>
        </w:tblPrEx>
        <w:trPr>
          <w:trHeight w:val="590" w:hRule="atLeast"/>
        </w:trPr>
        <w:tc>
          <w:tcPr>
            <w:tcW w:w="1491"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hint="eastAsia" w:ascii="宋体" w:hAnsi="宋体" w:eastAsia="宋体" w:cs="宋体"/>
                <w:kern w:val="0"/>
                <w:sz w:val="24"/>
                <w:lang w:bidi="ar"/>
              </w:rPr>
            </w:pPr>
            <w:r>
              <w:rPr>
                <w:rFonts w:hint="eastAsia" w:ascii="宋体" w:hAnsi="宋体" w:cs="宋体"/>
                <w:sz w:val="24"/>
              </w:rPr>
              <w:t>3</w:t>
            </w:r>
          </w:p>
        </w:tc>
        <w:tc>
          <w:tcPr>
            <w:tcW w:w="2856"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hint="eastAsia" w:ascii="宋体" w:hAnsi="宋体" w:eastAsia="宋体" w:cs="宋体"/>
                <w:kern w:val="0"/>
                <w:sz w:val="24"/>
                <w:lang w:bidi="ar"/>
              </w:rPr>
            </w:pPr>
            <w:r>
              <w:rPr>
                <w:rFonts w:hint="eastAsia" w:ascii="宋体" w:hAnsi="宋体" w:cs="宋体"/>
                <w:sz w:val="24"/>
              </w:rPr>
              <w:t>堡垒机</w:t>
            </w:r>
          </w:p>
        </w:tc>
        <w:tc>
          <w:tcPr>
            <w:tcW w:w="2189"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hint="eastAsia" w:ascii="宋体" w:hAnsi="宋体" w:eastAsia="宋体" w:cs="宋体"/>
                <w:kern w:val="0"/>
                <w:sz w:val="24"/>
                <w:lang w:bidi="ar"/>
              </w:rPr>
            </w:pPr>
            <w:r>
              <w:rPr>
                <w:rFonts w:hint="eastAsia" w:ascii="宋体" w:hAnsi="宋体" w:cs="宋体"/>
                <w:sz w:val="24"/>
              </w:rPr>
              <w:t>1</w:t>
            </w:r>
          </w:p>
        </w:tc>
        <w:tc>
          <w:tcPr>
            <w:tcW w:w="1702"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hint="eastAsia" w:ascii="宋体" w:hAnsi="宋体" w:eastAsia="宋体" w:cs="宋体"/>
                <w:kern w:val="0"/>
                <w:sz w:val="24"/>
                <w:lang w:bidi="ar"/>
              </w:rPr>
            </w:pPr>
            <w:r>
              <w:rPr>
                <w:rFonts w:hint="eastAsia" w:ascii="宋体" w:hAnsi="宋体" w:cs="宋体"/>
                <w:sz w:val="24"/>
              </w:rPr>
              <w:t>台</w:t>
            </w:r>
          </w:p>
        </w:tc>
      </w:tr>
      <w:tr>
        <w:tblPrEx>
          <w:tblLayout w:type="fixed"/>
          <w:tblCellMar>
            <w:top w:w="0" w:type="dxa"/>
            <w:left w:w="108" w:type="dxa"/>
            <w:bottom w:w="0" w:type="dxa"/>
            <w:right w:w="108" w:type="dxa"/>
          </w:tblCellMar>
        </w:tblPrEx>
        <w:trPr>
          <w:trHeight w:val="590" w:hRule="atLeast"/>
        </w:trPr>
        <w:tc>
          <w:tcPr>
            <w:tcW w:w="1491"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hint="eastAsia" w:ascii="宋体" w:hAnsi="宋体" w:eastAsia="宋体" w:cs="宋体"/>
                <w:kern w:val="0"/>
                <w:sz w:val="24"/>
                <w:lang w:bidi="ar"/>
              </w:rPr>
            </w:pPr>
            <w:r>
              <w:rPr>
                <w:rFonts w:hint="eastAsia" w:ascii="宋体" w:hAnsi="宋体" w:cs="宋体"/>
                <w:sz w:val="24"/>
              </w:rPr>
              <w:t>4</w:t>
            </w:r>
          </w:p>
        </w:tc>
        <w:tc>
          <w:tcPr>
            <w:tcW w:w="2856"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hint="eastAsia" w:ascii="宋体" w:hAnsi="宋体" w:eastAsia="宋体" w:cs="宋体"/>
                <w:kern w:val="0"/>
                <w:sz w:val="24"/>
                <w:lang w:bidi="ar"/>
              </w:rPr>
            </w:pPr>
            <w:r>
              <w:rPr>
                <w:rFonts w:hint="eastAsia" w:ascii="宋体" w:hAnsi="宋体" w:cs="宋体"/>
                <w:sz w:val="24"/>
              </w:rPr>
              <w:t>准入控制系统</w:t>
            </w:r>
          </w:p>
        </w:tc>
        <w:tc>
          <w:tcPr>
            <w:tcW w:w="2189"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hint="eastAsia" w:ascii="宋体" w:hAnsi="宋体" w:eastAsia="宋体" w:cs="宋体"/>
                <w:kern w:val="0"/>
                <w:sz w:val="24"/>
                <w:lang w:bidi="ar"/>
              </w:rPr>
            </w:pPr>
            <w:r>
              <w:rPr>
                <w:rFonts w:hint="eastAsia" w:ascii="宋体" w:hAnsi="宋体" w:cs="宋体"/>
                <w:sz w:val="24"/>
              </w:rPr>
              <w:t>1</w:t>
            </w:r>
          </w:p>
        </w:tc>
        <w:tc>
          <w:tcPr>
            <w:tcW w:w="1702"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hint="eastAsia" w:ascii="宋体" w:hAnsi="宋体" w:eastAsia="宋体" w:cs="宋体"/>
                <w:kern w:val="0"/>
                <w:sz w:val="24"/>
                <w:lang w:bidi="ar"/>
              </w:rPr>
            </w:pPr>
            <w:r>
              <w:rPr>
                <w:rFonts w:hint="eastAsia" w:ascii="宋体" w:hAnsi="宋体" w:cs="宋体"/>
                <w:sz w:val="24"/>
              </w:rPr>
              <w:t>套</w:t>
            </w:r>
          </w:p>
        </w:tc>
      </w:tr>
      <w:tr>
        <w:tblPrEx>
          <w:tblLayout w:type="fixed"/>
          <w:tblCellMar>
            <w:top w:w="0" w:type="dxa"/>
            <w:left w:w="108" w:type="dxa"/>
            <w:bottom w:w="0" w:type="dxa"/>
            <w:right w:w="108" w:type="dxa"/>
          </w:tblCellMar>
        </w:tblPrEx>
        <w:trPr>
          <w:trHeight w:val="590" w:hRule="atLeast"/>
        </w:trPr>
        <w:tc>
          <w:tcPr>
            <w:tcW w:w="1491"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ascii="宋体" w:hAnsi="宋体" w:eastAsia="宋体" w:cs="宋体"/>
                <w:sz w:val="24"/>
              </w:rPr>
            </w:pPr>
            <w:r>
              <w:rPr>
                <w:rFonts w:hint="eastAsia" w:ascii="宋体" w:hAnsi="宋体" w:eastAsia="宋体" w:cs="宋体"/>
                <w:sz w:val="24"/>
              </w:rPr>
              <w:t>5</w:t>
            </w:r>
          </w:p>
        </w:tc>
        <w:tc>
          <w:tcPr>
            <w:tcW w:w="2856"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ascii="宋体" w:hAnsi="宋体" w:eastAsia="宋体" w:cs="宋体"/>
                <w:sz w:val="24"/>
              </w:rPr>
            </w:pPr>
            <w:r>
              <w:rPr>
                <w:rFonts w:hint="eastAsia" w:ascii="宋体" w:hAnsi="宋体" w:eastAsia="宋体" w:cs="宋体"/>
                <w:kern w:val="0"/>
                <w:sz w:val="24"/>
                <w:lang w:bidi="ar"/>
              </w:rPr>
              <w:t>安全运营服务</w:t>
            </w:r>
          </w:p>
        </w:tc>
        <w:tc>
          <w:tcPr>
            <w:tcW w:w="2189"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ascii="宋体" w:hAnsi="宋体" w:eastAsia="宋体" w:cs="宋体"/>
                <w:sz w:val="24"/>
              </w:rPr>
            </w:pPr>
            <w:r>
              <w:rPr>
                <w:rFonts w:hint="eastAsia" w:ascii="宋体" w:hAnsi="宋体" w:eastAsia="宋体" w:cs="宋体"/>
                <w:kern w:val="0"/>
                <w:sz w:val="24"/>
                <w:lang w:bidi="ar"/>
              </w:rPr>
              <w:t>1</w:t>
            </w:r>
          </w:p>
        </w:tc>
        <w:tc>
          <w:tcPr>
            <w:tcW w:w="1702" w:type="dxa"/>
            <w:tcBorders>
              <w:top w:val="single" w:color="000000" w:sz="4" w:space="0"/>
              <w:left w:val="single" w:color="000000" w:sz="4" w:space="0"/>
              <w:bottom w:val="single" w:color="000000" w:sz="4" w:space="0"/>
              <w:right w:val="single" w:color="000000" w:sz="4" w:space="0"/>
            </w:tcBorders>
            <w:vAlign w:val="center"/>
          </w:tcPr>
          <w:p>
            <w:pPr>
              <w:widowControl/>
              <w:adjustRightInd w:val="0"/>
              <w:snapToGrid w:val="0"/>
              <w:spacing w:line="360" w:lineRule="auto"/>
              <w:jc w:val="center"/>
              <w:textAlignment w:val="center"/>
              <w:rPr>
                <w:rFonts w:hint="eastAsia" w:ascii="宋体" w:hAnsi="宋体" w:eastAsia="宋体" w:cs="宋体"/>
                <w:sz w:val="24"/>
                <w:lang w:eastAsia="zh-CN"/>
              </w:rPr>
            </w:pPr>
            <w:r>
              <w:rPr>
                <w:rFonts w:hint="eastAsia" w:ascii="宋体" w:hAnsi="宋体" w:eastAsia="宋体" w:cs="宋体"/>
                <w:sz w:val="24"/>
                <w:lang w:val="en-US" w:eastAsia="zh-CN"/>
              </w:rPr>
              <w:t>年</w:t>
            </w:r>
          </w:p>
        </w:tc>
      </w:tr>
    </w:tbl>
    <w:p/>
    <w:p>
      <w:pPr>
        <w:pStyle w:val="2"/>
        <w:numPr>
          <w:ilvl w:val="0"/>
          <w:numId w:val="0"/>
        </w:numPr>
        <w:adjustRightInd w:val="0"/>
        <w:snapToGrid w:val="0"/>
        <w:spacing w:before="140" w:after="130" w:line="480" w:lineRule="auto"/>
        <w:ind w:left="0" w:leftChars="0" w:firstLine="420" w:firstLineChars="0"/>
        <w:rPr>
          <w:rFonts w:hint="eastAsia"/>
          <w:sz w:val="30"/>
          <w:szCs w:val="30"/>
        </w:rPr>
      </w:pPr>
      <w:r>
        <w:rPr>
          <w:rFonts w:hint="eastAsia"/>
          <w:sz w:val="30"/>
          <w:szCs w:val="30"/>
        </w:rPr>
        <w:t>技术参数需求</w:t>
      </w:r>
    </w:p>
    <w:p>
      <w:pPr>
        <w:rPr>
          <w:rFonts w:hint="default" w:eastAsiaTheme="minorEastAsia"/>
          <w:lang w:val="en-US" w:eastAsia="zh-CN"/>
        </w:rPr>
      </w:pPr>
      <w:r>
        <w:rPr>
          <w:rFonts w:hint="eastAsia" w:ascii="宋体" w:hAnsi="宋体" w:eastAsia="宋体" w:cs="宋体"/>
          <w:b/>
          <w:bCs/>
          <w:sz w:val="24"/>
        </w:rPr>
        <w:t>★</w:t>
      </w:r>
      <w:r>
        <w:rPr>
          <w:rFonts w:hint="eastAsia"/>
          <w:sz w:val="30"/>
          <w:szCs w:val="30"/>
          <w:lang w:val="en-US" w:eastAsia="zh-CN"/>
        </w:rPr>
        <w:t>所投产品均需符合信创要求</w:t>
      </w:r>
    </w:p>
    <w:tbl>
      <w:tblPr>
        <w:tblStyle w:val="7"/>
        <w:tblW w:w="836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5"/>
        <w:gridCol w:w="1429"/>
        <w:gridCol w:w="62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25" w:type="dxa"/>
            <w:vAlign w:val="center"/>
          </w:tcPr>
          <w:p>
            <w:pPr>
              <w:spacing w:line="360" w:lineRule="auto"/>
              <w:jc w:val="center"/>
              <w:rPr>
                <w:rFonts w:ascii="宋体" w:hAnsi="宋体" w:eastAsia="宋体" w:cs="宋体"/>
                <w:sz w:val="24"/>
              </w:rPr>
            </w:pPr>
            <w:r>
              <w:rPr>
                <w:rFonts w:hint="eastAsia" w:ascii="宋体" w:hAnsi="宋体" w:eastAsia="宋体" w:cs="宋体"/>
                <w:sz w:val="24"/>
              </w:rPr>
              <w:t>序号</w:t>
            </w:r>
          </w:p>
        </w:tc>
        <w:tc>
          <w:tcPr>
            <w:tcW w:w="1429" w:type="dxa"/>
            <w:vAlign w:val="center"/>
          </w:tcPr>
          <w:p>
            <w:pPr>
              <w:spacing w:line="360" w:lineRule="auto"/>
              <w:jc w:val="center"/>
              <w:rPr>
                <w:rFonts w:ascii="宋体" w:hAnsi="宋体" w:eastAsia="宋体" w:cs="宋体"/>
                <w:sz w:val="24"/>
              </w:rPr>
            </w:pPr>
            <w:r>
              <w:rPr>
                <w:rFonts w:hint="eastAsia" w:ascii="宋体" w:hAnsi="宋体" w:eastAsia="宋体" w:cs="宋体"/>
                <w:sz w:val="24"/>
              </w:rPr>
              <w:t>标的名称</w:t>
            </w:r>
          </w:p>
        </w:tc>
        <w:tc>
          <w:tcPr>
            <w:tcW w:w="6215" w:type="dxa"/>
            <w:vAlign w:val="center"/>
          </w:tcPr>
          <w:p>
            <w:pPr>
              <w:spacing w:line="360" w:lineRule="auto"/>
              <w:jc w:val="center"/>
              <w:rPr>
                <w:rFonts w:ascii="宋体" w:hAnsi="宋体" w:eastAsia="宋体" w:cs="宋体"/>
                <w:sz w:val="24"/>
              </w:rPr>
            </w:pPr>
            <w:r>
              <w:rPr>
                <w:rFonts w:hint="eastAsia" w:ascii="宋体" w:hAnsi="宋体" w:eastAsia="宋体" w:cs="宋体"/>
                <w:sz w:val="24"/>
              </w:rPr>
              <w:t>技术要求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25" w:type="dxa"/>
            <w:vAlign w:val="center"/>
          </w:tcPr>
          <w:p>
            <w:pPr>
              <w:spacing w:line="360" w:lineRule="auto"/>
              <w:jc w:val="center"/>
              <w:rPr>
                <w:rFonts w:ascii="宋体" w:hAnsi="宋体" w:eastAsia="宋体" w:cs="宋体"/>
                <w:sz w:val="24"/>
              </w:rPr>
            </w:pPr>
            <w:r>
              <w:rPr>
                <w:rFonts w:hint="eastAsia" w:ascii="宋体" w:hAnsi="宋体" w:eastAsia="宋体" w:cs="宋体"/>
                <w:sz w:val="24"/>
              </w:rPr>
              <w:t>1</w:t>
            </w:r>
          </w:p>
        </w:tc>
        <w:tc>
          <w:tcPr>
            <w:tcW w:w="1429" w:type="dxa"/>
            <w:vAlign w:val="center"/>
          </w:tcPr>
          <w:p>
            <w:pPr>
              <w:spacing w:line="360" w:lineRule="auto"/>
              <w:jc w:val="center"/>
              <w:rPr>
                <w:rFonts w:ascii="宋体" w:hAnsi="宋体" w:eastAsia="宋体" w:cs="宋体"/>
                <w:sz w:val="24"/>
              </w:rPr>
            </w:pPr>
            <w:r>
              <w:rPr>
                <w:rFonts w:hint="eastAsia" w:ascii="宋体" w:hAnsi="宋体" w:eastAsia="宋体" w:cs="宋体"/>
                <w:sz w:val="24"/>
              </w:rPr>
              <w:t>外网防火墙</w:t>
            </w:r>
          </w:p>
        </w:tc>
        <w:tc>
          <w:tcPr>
            <w:tcW w:w="6215" w:type="dxa"/>
            <w:vAlign w:val="center"/>
          </w:tcPr>
          <w:p>
            <w:pPr>
              <w:spacing w:line="360" w:lineRule="auto"/>
              <w:rPr>
                <w:rFonts w:ascii="宋体" w:hAnsi="宋体" w:eastAsia="宋体" w:cs="宋体"/>
                <w:sz w:val="24"/>
              </w:rPr>
            </w:pPr>
            <w:r>
              <w:rPr>
                <w:rFonts w:hint="eastAsia" w:ascii="宋体" w:hAnsi="宋体" w:eastAsia="宋体" w:cs="宋体"/>
                <w:sz w:val="24"/>
              </w:rPr>
              <w:t>★1.采用国产处理器和国产操作系统，网络层吞吐量≥10G，并发连接数≥400万，千兆电口≥6个；提供3年产品质保及软件升级服务。</w:t>
            </w:r>
          </w:p>
          <w:p>
            <w:pPr>
              <w:spacing w:line="360" w:lineRule="auto"/>
              <w:rPr>
                <w:rFonts w:ascii="宋体" w:hAnsi="宋体" w:eastAsia="宋体" w:cs="宋体"/>
                <w:sz w:val="24"/>
              </w:rPr>
            </w:pPr>
            <w:r>
              <w:rPr>
                <w:rFonts w:hint="eastAsia" w:ascii="宋体" w:hAnsi="宋体" w:eastAsia="宋体" w:cs="宋体"/>
                <w:sz w:val="24"/>
              </w:rPr>
              <w:t>2．防火墙产品须支持虚拟防火墙功能，具备独立的接口、会话管理、应用控制策略、NAT等资源；支持IPSec VPN智能选路功能，根据线路质量和应用实现自动链路切换；</w:t>
            </w:r>
          </w:p>
          <w:p>
            <w:pPr>
              <w:spacing w:line="360" w:lineRule="auto"/>
              <w:rPr>
                <w:rFonts w:ascii="宋体" w:hAnsi="宋体" w:eastAsia="宋体" w:cs="宋体"/>
                <w:sz w:val="24"/>
              </w:rPr>
            </w:pPr>
            <w:r>
              <w:rPr>
                <w:rFonts w:hint="eastAsia" w:ascii="宋体" w:hAnsi="宋体" w:eastAsia="宋体" w:cs="宋体"/>
                <w:sz w:val="24"/>
              </w:rPr>
              <w:t>3.产品支持多对一、一对多和一对一等多种地址转换方式；支持NAT44 、NAT64、NAT66地址转换方式；支持NAT穿透技术ALG，支持FTP、TFTP、SQLNET、PPTP、RTSP、SIP、H.323等协议；支持IPv4/IPv6双栈工作模式，以适应IPv6发展趋势；</w:t>
            </w:r>
          </w:p>
          <w:p>
            <w:pPr>
              <w:spacing w:line="360" w:lineRule="auto"/>
              <w:rPr>
                <w:rFonts w:ascii="宋体" w:hAnsi="宋体" w:eastAsia="宋体" w:cs="宋体"/>
                <w:sz w:val="24"/>
              </w:rPr>
            </w:pPr>
            <w:r>
              <w:rPr>
                <w:rFonts w:hint="eastAsia" w:ascii="宋体" w:hAnsi="宋体" w:eastAsia="宋体" w:cs="宋体"/>
                <w:sz w:val="24"/>
              </w:rPr>
              <w:t>4.产品支持基于文件传输方式、文件类型等维度的管控策略配置。产品支持https解密功能，支持TCP代理和SSL代理；</w:t>
            </w:r>
          </w:p>
          <w:p>
            <w:pPr>
              <w:spacing w:line="360" w:lineRule="auto"/>
              <w:rPr>
                <w:rFonts w:ascii="宋体" w:hAnsi="宋体" w:eastAsia="宋体" w:cs="宋体"/>
                <w:sz w:val="24"/>
              </w:rPr>
            </w:pPr>
            <w:r>
              <w:rPr>
                <w:rFonts w:hint="eastAsia" w:ascii="宋体" w:hAnsi="宋体" w:eastAsia="宋体" w:cs="宋体"/>
                <w:sz w:val="24"/>
              </w:rPr>
              <w:t>5.支持对压缩病毒文件进行检测和拦截，压缩层数支持15层及以上。支持杀毒白名单设置，可以例外排除特定MD5和URL的病毒文件，针对特定文件不进行查杀，需提供产品功能截图证明；</w:t>
            </w:r>
          </w:p>
          <w:p>
            <w:pPr>
              <w:spacing w:line="360" w:lineRule="auto"/>
              <w:rPr>
                <w:rFonts w:ascii="宋体" w:hAnsi="宋体" w:eastAsia="宋体" w:cs="宋体"/>
                <w:sz w:val="24"/>
              </w:rPr>
            </w:pPr>
            <w:r>
              <w:rPr>
                <w:rFonts w:hint="eastAsia" w:ascii="宋体" w:hAnsi="宋体" w:eastAsia="宋体" w:cs="宋体"/>
                <w:sz w:val="24"/>
              </w:rPr>
              <w:t>6.支持TP、FTP、SMB、POP3、HTTPS、IMAP等协议进行病毒防御；</w:t>
            </w:r>
          </w:p>
          <w:p>
            <w:pPr>
              <w:spacing w:line="360" w:lineRule="auto"/>
              <w:rPr>
                <w:rFonts w:ascii="宋体" w:hAnsi="宋体" w:eastAsia="宋体" w:cs="宋体"/>
                <w:sz w:val="24"/>
              </w:rPr>
            </w:pPr>
            <w:r>
              <w:rPr>
                <w:rFonts w:hint="eastAsia" w:ascii="宋体" w:hAnsi="宋体" w:eastAsia="宋体" w:cs="宋体"/>
                <w:sz w:val="24"/>
              </w:rPr>
              <w:t>7.产品支持对ICMP、UDP、DNS、SYN等协议进行DDOS防护；支持管控非法、违规网站的访问行为，具备海量的URL分类库；</w:t>
            </w:r>
          </w:p>
          <w:p>
            <w:pPr>
              <w:spacing w:line="360" w:lineRule="auto"/>
              <w:rPr>
                <w:rFonts w:ascii="宋体" w:hAnsi="宋体" w:eastAsia="宋体" w:cs="宋体"/>
                <w:sz w:val="24"/>
              </w:rPr>
            </w:pPr>
            <w:r>
              <w:rPr>
                <w:rFonts w:hint="eastAsia" w:ascii="宋体" w:hAnsi="宋体" w:eastAsia="宋体" w:cs="宋体"/>
                <w:sz w:val="24"/>
              </w:rPr>
              <w:t>8.产品支持异常数据包攻击防御，防护类型包括IP数据块分片传输防护、Teardrop攻击防护、Smurf攻击防护、Land攻击防护、WinNuke攻击防护等攻击类型；</w:t>
            </w:r>
          </w:p>
          <w:p>
            <w:pPr>
              <w:spacing w:line="360" w:lineRule="auto"/>
              <w:rPr>
                <w:rFonts w:ascii="宋体" w:hAnsi="宋体" w:eastAsia="宋体" w:cs="宋体"/>
                <w:sz w:val="24"/>
              </w:rPr>
            </w:pPr>
            <w:r>
              <w:rPr>
                <w:rFonts w:hint="eastAsia" w:ascii="宋体" w:hAnsi="宋体" w:eastAsia="宋体" w:cs="宋体"/>
                <w:sz w:val="24"/>
              </w:rPr>
              <w:t>9.为保障医院对外业务安全访问，产品须提供未知威胁检测能力，能够主动向目的IP+端口发送多种挖矿、黑客工具协议请求包，若服务器对任意请求包有相应返回，则鉴定该目的IP+端口开启相关恶意服务，将结果下发并5min内同步防火墙厂商所在全球安全设备；同时通过识别到的全部未知DNS、IP、URL流量在防火墙厂商的共享情报库上进行检测并获取情报，实现实时拦截挖矿主机外联矿池、僵木蠕主机C2外联、黑客工具远控外联行为，达到100MS内实现已知威胁拦截，且提供在5分钟内0day、C2等未知威胁在全网情报同步获取并实现自动拦截，有效应对钓鱼URL、挖矿、恶意软件、APT等新型威胁，同时针对监管合规需求做好及时响应，防通报并及时阻断攻击、溯源闭环；需提供产品功能截图证明；</w:t>
            </w:r>
          </w:p>
          <w:p>
            <w:pPr>
              <w:spacing w:line="360" w:lineRule="auto"/>
              <w:rPr>
                <w:rFonts w:ascii="宋体" w:hAnsi="宋体" w:eastAsia="宋体" w:cs="宋体"/>
                <w:sz w:val="24"/>
              </w:rPr>
            </w:pPr>
            <w:r>
              <w:rPr>
                <w:rFonts w:hint="eastAsia" w:ascii="宋体" w:hAnsi="宋体" w:eastAsia="宋体" w:cs="宋体"/>
                <w:sz w:val="24"/>
              </w:rPr>
              <w:t>10.产品内置漏洞规则库，同时支持在控制台界面通过漏洞ID、漏洞名称、危险等级、漏洞CVE标识、漏洞描述等条件查询漏洞特征信息，支持用户自定义IPS规则；产品支持僵尸主机检测功能，产品内置僵尸网络特征库，可识别主机的异常外联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725" w:type="dxa"/>
            <w:vAlign w:val="center"/>
          </w:tcPr>
          <w:p>
            <w:pPr>
              <w:spacing w:line="360" w:lineRule="auto"/>
              <w:jc w:val="left"/>
              <w:rPr>
                <w:rFonts w:ascii="宋体" w:hAnsi="宋体" w:eastAsia="宋体" w:cs="宋体"/>
                <w:sz w:val="24"/>
              </w:rPr>
            </w:pPr>
            <w:r>
              <w:rPr>
                <w:rFonts w:hint="eastAsia" w:ascii="宋体" w:hAnsi="宋体" w:eastAsia="宋体" w:cs="宋体"/>
                <w:sz w:val="24"/>
              </w:rPr>
              <w:t>2</w:t>
            </w:r>
          </w:p>
        </w:tc>
        <w:tc>
          <w:tcPr>
            <w:tcW w:w="1429" w:type="dxa"/>
            <w:vAlign w:val="center"/>
          </w:tcPr>
          <w:p>
            <w:pPr>
              <w:spacing w:line="360" w:lineRule="auto"/>
              <w:jc w:val="center"/>
              <w:rPr>
                <w:rFonts w:ascii="宋体" w:hAnsi="宋体" w:eastAsia="宋体" w:cs="宋体"/>
                <w:sz w:val="24"/>
              </w:rPr>
            </w:pPr>
            <w:r>
              <w:rPr>
                <w:rFonts w:hint="eastAsia" w:ascii="宋体" w:hAnsi="宋体" w:eastAsia="宋体" w:cs="宋体"/>
                <w:sz w:val="24"/>
              </w:rPr>
              <w:t>内网防火墙</w:t>
            </w:r>
          </w:p>
        </w:tc>
        <w:tc>
          <w:tcPr>
            <w:tcW w:w="6215" w:type="dxa"/>
            <w:vAlign w:val="center"/>
          </w:tcPr>
          <w:p>
            <w:pPr>
              <w:spacing w:line="360" w:lineRule="auto"/>
              <w:rPr>
                <w:rFonts w:ascii="宋体" w:hAnsi="宋体" w:eastAsia="宋体" w:cs="宋体"/>
                <w:sz w:val="24"/>
              </w:rPr>
            </w:pPr>
            <w:r>
              <w:rPr>
                <w:rFonts w:hint="eastAsia" w:ascii="宋体" w:hAnsi="宋体" w:eastAsia="宋体" w:cs="宋体"/>
                <w:sz w:val="24"/>
              </w:rPr>
              <w:t>★1.采用国产处理器和国产操作系统，网络层吞吐量≥20G，并发连接数≥800万，千兆电口≥6个，万兆光口≥2个，提供3年产品质保及软件升级服务</w:t>
            </w:r>
          </w:p>
          <w:p>
            <w:pPr>
              <w:spacing w:line="360" w:lineRule="auto"/>
              <w:rPr>
                <w:rFonts w:ascii="宋体" w:hAnsi="宋体" w:eastAsia="宋体" w:cs="宋体"/>
                <w:sz w:val="24"/>
              </w:rPr>
            </w:pPr>
            <w:r>
              <w:rPr>
                <w:rFonts w:hint="eastAsia" w:ascii="宋体" w:hAnsi="宋体" w:eastAsia="宋体" w:cs="宋体"/>
                <w:sz w:val="24"/>
              </w:rPr>
              <w:t>2.产品支持展示终端资产列表，可查看终端指纹信息和状态，如IP、MAC、类型、系统、厂商、终端名称、在线状态、审核状态等</w:t>
            </w:r>
          </w:p>
          <w:p>
            <w:pPr>
              <w:spacing w:line="360" w:lineRule="auto"/>
              <w:rPr>
                <w:rFonts w:ascii="宋体" w:hAnsi="宋体" w:eastAsia="宋体" w:cs="宋体"/>
                <w:sz w:val="24"/>
              </w:rPr>
            </w:pPr>
            <w:r>
              <w:rPr>
                <w:rFonts w:hint="eastAsia" w:ascii="宋体" w:hAnsi="宋体" w:eastAsia="宋体" w:cs="宋体"/>
                <w:sz w:val="24"/>
              </w:rPr>
              <w:t xml:space="preserve">3.产品内置WEB应用攻击特征库，支持对跨站脚本（XSS）攻击、SQL注入、文件包含攻击、信息泄露攻击、WEBSHELL、网站扫描、网页木马等攻击类型进行防护，需提供产品功能截图证明； </w:t>
            </w:r>
          </w:p>
          <w:p>
            <w:pPr>
              <w:spacing w:line="360" w:lineRule="auto"/>
              <w:rPr>
                <w:rFonts w:ascii="宋体" w:hAnsi="宋体" w:eastAsia="宋体" w:cs="宋体"/>
                <w:sz w:val="24"/>
              </w:rPr>
            </w:pPr>
            <w:r>
              <w:rPr>
                <w:rFonts w:hint="eastAsia" w:ascii="宋体" w:hAnsi="宋体" w:eastAsia="宋体" w:cs="宋体"/>
                <w:sz w:val="24"/>
              </w:rPr>
              <w:t>4.产品支持僵尸主机检测功能，可识别主机的异常外联行为。产品内置漏洞规则库，同时支持在控制台界面通过漏洞ID、漏洞名称、危险等级、漏洞CVE标识、漏洞描述等条件查询漏洞特征信息，支持用户自定义IPS规则。</w:t>
            </w:r>
          </w:p>
          <w:p>
            <w:pPr>
              <w:spacing w:line="360" w:lineRule="auto"/>
              <w:rPr>
                <w:rFonts w:ascii="宋体" w:hAnsi="宋体" w:eastAsia="宋体" w:cs="宋体"/>
                <w:sz w:val="24"/>
              </w:rPr>
            </w:pPr>
            <w:r>
              <w:rPr>
                <w:rFonts w:hint="eastAsia" w:ascii="宋体" w:hAnsi="宋体" w:eastAsia="宋体" w:cs="宋体"/>
                <w:sz w:val="24"/>
              </w:rPr>
              <w:t>5.产品支持多维度流量控制功能，支持基于IP地址、用户、应用、时间设置流量控制策略，保证关键业务带宽日常需求。</w:t>
            </w:r>
          </w:p>
          <w:p>
            <w:pPr>
              <w:spacing w:line="360" w:lineRule="auto"/>
              <w:rPr>
                <w:rFonts w:ascii="宋体" w:hAnsi="宋体" w:eastAsia="宋体" w:cs="宋体"/>
                <w:sz w:val="24"/>
              </w:rPr>
            </w:pPr>
            <w:r>
              <w:rPr>
                <w:rFonts w:hint="eastAsia" w:ascii="宋体" w:hAnsi="宋体" w:eastAsia="宋体" w:cs="宋体"/>
                <w:sz w:val="24"/>
              </w:rPr>
              <w:t>6..支持Cookie攻击防护功能，并通过日志记录Cookie被篡改。需提供产品功能截图证明；</w:t>
            </w:r>
          </w:p>
          <w:p>
            <w:pPr>
              <w:spacing w:line="360" w:lineRule="auto"/>
              <w:rPr>
                <w:rFonts w:ascii="宋体" w:hAnsi="宋体" w:eastAsia="宋体" w:cs="宋体"/>
                <w:sz w:val="24"/>
              </w:rPr>
            </w:pPr>
            <w:r>
              <w:rPr>
                <w:rFonts w:hint="eastAsia" w:ascii="宋体" w:hAnsi="宋体" w:eastAsia="宋体" w:cs="宋体"/>
                <w:sz w:val="24"/>
              </w:rPr>
              <w:t>7.支持路由类型、协议类型、网络对象、国家地区等条件进行自动选路的策略路由，支持基于网络区域、网络对象、MAC地址、服务、应用、域名等维度进行访问控制策略设置。</w:t>
            </w:r>
          </w:p>
          <w:p>
            <w:pPr>
              <w:spacing w:line="360" w:lineRule="auto"/>
              <w:rPr>
                <w:rFonts w:ascii="宋体" w:hAnsi="宋体" w:eastAsia="宋体" w:cs="宋体"/>
                <w:sz w:val="24"/>
              </w:rPr>
            </w:pPr>
            <w:r>
              <w:rPr>
                <w:rFonts w:hint="eastAsia" w:ascii="宋体" w:hAnsi="宋体" w:eastAsia="宋体" w:cs="宋体"/>
                <w:sz w:val="24"/>
              </w:rPr>
              <w:t>8.支持服务器漏洞防扫描功能，并对扫描源IP进行日志记录和联动封锁。</w:t>
            </w:r>
          </w:p>
          <w:p>
            <w:pPr>
              <w:spacing w:line="360" w:lineRule="auto"/>
              <w:rPr>
                <w:rFonts w:ascii="宋体" w:hAnsi="宋体" w:eastAsia="宋体" w:cs="宋体"/>
                <w:sz w:val="24"/>
              </w:rPr>
            </w:pPr>
            <w:r>
              <w:rPr>
                <w:rFonts w:hint="eastAsia" w:ascii="宋体" w:hAnsi="宋体" w:eastAsia="宋体" w:cs="宋体"/>
                <w:sz w:val="24"/>
              </w:rPr>
              <w:t>9.支持基于文件传输方式、文件类型等维度的管控策略配置。产品支持https解密功能，支持TCP代理和SSL代理；</w:t>
            </w:r>
          </w:p>
          <w:p>
            <w:pPr>
              <w:spacing w:line="360" w:lineRule="auto"/>
              <w:rPr>
                <w:rFonts w:ascii="宋体" w:hAnsi="宋体" w:eastAsia="宋体" w:cs="宋体"/>
                <w:sz w:val="24"/>
              </w:rPr>
            </w:pPr>
            <w:r>
              <w:rPr>
                <w:rFonts w:hint="eastAsia" w:ascii="宋体" w:hAnsi="宋体" w:eastAsia="宋体" w:cs="宋体"/>
                <w:sz w:val="24"/>
              </w:rPr>
              <w:t>10.产品支持用户账号全生命周期保护功能，包括用户账号多余入口检测、用户账号弱口令检测、用户账号暴力破解检测、失陷账号检测，防止因账号被暴力破解导致的非法提权情况发生。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50" w:hRule="atLeast"/>
          <w:jc w:val="center"/>
        </w:trPr>
        <w:tc>
          <w:tcPr>
            <w:tcW w:w="725" w:type="dxa"/>
            <w:vAlign w:val="center"/>
          </w:tcPr>
          <w:p>
            <w:pPr>
              <w:spacing w:line="360" w:lineRule="auto"/>
              <w:jc w:val="center"/>
              <w:rPr>
                <w:rFonts w:ascii="宋体" w:hAnsi="宋体" w:eastAsia="宋体" w:cs="宋体"/>
                <w:sz w:val="24"/>
              </w:rPr>
            </w:pPr>
            <w:r>
              <w:rPr>
                <w:rFonts w:hint="eastAsia" w:ascii="宋体" w:hAnsi="宋体" w:eastAsia="宋体" w:cs="宋体"/>
                <w:sz w:val="24"/>
              </w:rPr>
              <w:t>3</w:t>
            </w:r>
          </w:p>
        </w:tc>
        <w:tc>
          <w:tcPr>
            <w:tcW w:w="1429" w:type="dxa"/>
            <w:vAlign w:val="center"/>
          </w:tcPr>
          <w:p>
            <w:pPr>
              <w:spacing w:line="360" w:lineRule="auto"/>
              <w:jc w:val="center"/>
              <w:rPr>
                <w:rFonts w:ascii="宋体" w:hAnsi="宋体" w:eastAsia="宋体" w:cs="宋体"/>
                <w:kern w:val="0"/>
                <w:sz w:val="24"/>
              </w:rPr>
            </w:pPr>
            <w:r>
              <w:rPr>
                <w:rFonts w:hint="eastAsia" w:ascii="宋体" w:hAnsi="宋体" w:eastAsia="宋体" w:cs="宋体"/>
                <w:sz w:val="24"/>
              </w:rPr>
              <w:t>堡垒机</w:t>
            </w:r>
          </w:p>
        </w:tc>
        <w:tc>
          <w:tcPr>
            <w:tcW w:w="6215" w:type="dxa"/>
            <w:vAlign w:val="center"/>
          </w:tcPr>
          <w:p>
            <w:pPr>
              <w:spacing w:line="360" w:lineRule="auto"/>
              <w:rPr>
                <w:rFonts w:ascii="宋体" w:hAnsi="宋体" w:eastAsia="宋体" w:cs="宋体"/>
                <w:sz w:val="24"/>
              </w:rPr>
            </w:pPr>
            <w:r>
              <w:rPr>
                <w:rFonts w:hint="eastAsia" w:ascii="宋体" w:hAnsi="宋体" w:eastAsia="宋体" w:cs="宋体"/>
                <w:sz w:val="24"/>
              </w:rPr>
              <w:t>★1.≥2U机架式；国产化操作系统及CPU；内存≥16G，硬盘≥500G SSD+2T；双电源，千兆电口≥6个，千兆光口≥4个。授权资产数≥500个；并发字符连接最大数≥200个；并发图形连接最大数≥30个。</w:t>
            </w:r>
          </w:p>
          <w:p>
            <w:pPr>
              <w:spacing w:line="360" w:lineRule="auto"/>
              <w:rPr>
                <w:rFonts w:ascii="宋体" w:hAnsi="宋体" w:eastAsia="宋体" w:cs="宋体"/>
                <w:sz w:val="24"/>
              </w:rPr>
            </w:pPr>
            <w:r>
              <w:rPr>
                <w:rFonts w:hint="eastAsia" w:ascii="宋体" w:hAnsi="宋体" w:eastAsia="宋体" w:cs="宋体"/>
                <w:sz w:val="24"/>
              </w:rPr>
              <w:t>2.支持标准化对接CAS、JWT、SAML2、OAuth2单点登录认证，且支持配置是否自动创建堡垒机中不存在用户。（需提供相关截图证明）</w:t>
            </w:r>
          </w:p>
          <w:p>
            <w:pPr>
              <w:spacing w:line="360" w:lineRule="auto"/>
              <w:rPr>
                <w:rFonts w:ascii="宋体" w:hAnsi="宋体" w:eastAsia="宋体" w:cs="宋体"/>
                <w:sz w:val="24"/>
              </w:rPr>
            </w:pPr>
            <w:r>
              <w:rPr>
                <w:rFonts w:hint="eastAsia" w:ascii="宋体" w:hAnsi="宋体" w:eastAsia="宋体" w:cs="宋体"/>
                <w:sz w:val="24"/>
              </w:rPr>
              <w:t>3.支持自动收集设备IP、运维协议、端口号、账号、密码、与用户的权限关系，可自动完成授权。（需提供相关截图证明）</w:t>
            </w:r>
          </w:p>
          <w:p>
            <w:pPr>
              <w:spacing w:line="360" w:lineRule="auto"/>
              <w:rPr>
                <w:rFonts w:ascii="宋体" w:hAnsi="宋体" w:eastAsia="宋体" w:cs="宋体"/>
                <w:sz w:val="24"/>
              </w:rPr>
            </w:pPr>
            <w:r>
              <w:rPr>
                <w:rFonts w:hint="eastAsia" w:ascii="宋体" w:hAnsi="宋体" w:eastAsia="宋体" w:cs="宋体"/>
                <w:sz w:val="24"/>
              </w:rPr>
              <w:t>4.支持对数据库运维会话的上行和下行命令进行审计。</w:t>
            </w:r>
          </w:p>
          <w:p>
            <w:pPr>
              <w:spacing w:line="360" w:lineRule="auto"/>
              <w:rPr>
                <w:rFonts w:ascii="宋体" w:hAnsi="宋体" w:eastAsia="宋体" w:cs="宋体"/>
                <w:sz w:val="24"/>
              </w:rPr>
            </w:pPr>
            <w:r>
              <w:rPr>
                <w:rFonts w:hint="eastAsia" w:ascii="宋体" w:hAnsi="宋体" w:eastAsia="宋体" w:cs="宋体"/>
                <w:sz w:val="24"/>
              </w:rPr>
              <w:t>5.支持对Web应用的自动改密功能，并且支持随堡垒机提供的改密插件录制向导，通过改密插件自动生成web应用的改密脚本。（需提供相关截图证明）</w:t>
            </w:r>
          </w:p>
          <w:p>
            <w:pPr>
              <w:spacing w:line="360" w:lineRule="auto"/>
              <w:rPr>
                <w:rFonts w:ascii="宋体" w:hAnsi="宋体" w:eastAsia="宋体" w:cs="宋体"/>
                <w:sz w:val="24"/>
              </w:rPr>
            </w:pPr>
            <w:r>
              <w:rPr>
                <w:rFonts w:hint="eastAsia" w:ascii="宋体" w:hAnsi="宋体" w:eastAsia="宋体" w:cs="宋体"/>
                <w:sz w:val="24"/>
              </w:rPr>
              <w:t>6.支持提供禁止审计功能，可对部分设定策略的会话不审计录像，防止机密信息二次泄漏。（需提供相关截图证明）</w:t>
            </w:r>
          </w:p>
          <w:p>
            <w:pPr>
              <w:spacing w:line="360" w:lineRule="auto"/>
              <w:rPr>
                <w:rFonts w:ascii="宋体" w:hAnsi="宋体" w:eastAsia="宋体" w:cs="宋体"/>
                <w:sz w:val="24"/>
              </w:rPr>
            </w:pPr>
            <w:r>
              <w:rPr>
                <w:rFonts w:hint="eastAsia" w:ascii="宋体" w:hAnsi="宋体" w:eastAsia="宋体" w:cs="宋体"/>
                <w:sz w:val="24"/>
              </w:rPr>
              <w:t>7.具备自动化编排能力，通过编排动作流的方式，对目标资产进行定时或周期性的自动化运维。动作流可包括：上传文件、执行命令、下载文件等。动作流会按设定好的顺序进行执行，对于常见的运维工作，如升级、巡检等，均可通过此能力快速执行。（需提供相关截图证明）</w:t>
            </w:r>
          </w:p>
          <w:p>
            <w:pPr>
              <w:spacing w:line="360" w:lineRule="auto"/>
              <w:jc w:val="left"/>
              <w:rPr>
                <w:rFonts w:ascii="宋体" w:hAnsi="宋体" w:eastAsia="宋体" w:cs="宋体"/>
                <w:sz w:val="24"/>
              </w:rPr>
            </w:pPr>
            <w:r>
              <w:rPr>
                <w:rFonts w:hint="eastAsia" w:ascii="宋体" w:hAnsi="宋体" w:eastAsia="宋体" w:cs="宋体"/>
                <w:sz w:val="24"/>
              </w:rPr>
              <w:t>8.支持手机APP动态口令认证方式登录堡垒机，新用户首次登录后需强制绑定APP动态口令；支持钉钉/企业微信扫码认证方式登录堡垒机；支持AD、LDAP、RADIUS、吉大正元、北京CA、深圳CA、认证系统联动登录堡垒机；支持多个AD域认证源；支持自动同步AD/LDAP用户。（需提供相关截图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725" w:type="dxa"/>
            <w:vAlign w:val="center"/>
          </w:tcPr>
          <w:p>
            <w:pPr>
              <w:spacing w:line="360" w:lineRule="auto"/>
              <w:jc w:val="center"/>
              <w:rPr>
                <w:rFonts w:ascii="宋体" w:hAnsi="宋体" w:eastAsia="宋体" w:cs="宋体"/>
                <w:sz w:val="24"/>
              </w:rPr>
            </w:pPr>
            <w:r>
              <w:rPr>
                <w:rFonts w:hint="eastAsia" w:ascii="宋体" w:hAnsi="宋体" w:eastAsia="宋体" w:cs="宋体"/>
                <w:sz w:val="24"/>
              </w:rPr>
              <w:t>4</w:t>
            </w:r>
          </w:p>
        </w:tc>
        <w:tc>
          <w:tcPr>
            <w:tcW w:w="1429" w:type="dxa"/>
            <w:vAlign w:val="center"/>
          </w:tcPr>
          <w:p>
            <w:pPr>
              <w:spacing w:line="360" w:lineRule="auto"/>
              <w:jc w:val="center"/>
              <w:rPr>
                <w:rFonts w:ascii="宋体" w:hAnsi="宋体" w:eastAsia="宋体" w:cs="宋体"/>
                <w:kern w:val="0"/>
                <w:sz w:val="24"/>
              </w:rPr>
            </w:pPr>
            <w:r>
              <w:rPr>
                <w:rFonts w:hint="eastAsia" w:ascii="宋体" w:hAnsi="宋体" w:eastAsia="宋体" w:cs="宋体"/>
                <w:sz w:val="24"/>
              </w:rPr>
              <w:t>准入控制系统</w:t>
            </w:r>
          </w:p>
        </w:tc>
        <w:tc>
          <w:tcPr>
            <w:tcW w:w="6215" w:type="dxa"/>
            <w:vAlign w:val="center"/>
          </w:tcPr>
          <w:p>
            <w:pPr>
              <w:spacing w:line="360" w:lineRule="auto"/>
              <w:jc w:val="left"/>
              <w:rPr>
                <w:rFonts w:ascii="宋体" w:hAnsi="宋体" w:eastAsia="宋体" w:cs="宋体"/>
                <w:sz w:val="24"/>
              </w:rPr>
            </w:pPr>
            <w:r>
              <w:rPr>
                <w:rFonts w:hint="eastAsia" w:ascii="宋体" w:hAnsi="宋体" w:eastAsia="宋体" w:cs="宋体"/>
                <w:sz w:val="24"/>
              </w:rPr>
              <w:t>★1.≥2U机架式；国产化操作系统及CPU；内存≥128G，硬盘≥16T；双电源，千兆电口≥2个，万兆光口≥2个。授权资产数</w:t>
            </w:r>
            <w:bookmarkStart w:id="0" w:name="OLE_LINK12"/>
            <w:r>
              <w:rPr>
                <w:rFonts w:hint="eastAsia" w:ascii="宋体" w:hAnsi="宋体" w:eastAsia="宋体" w:cs="宋体"/>
                <w:sz w:val="24"/>
              </w:rPr>
              <w:t>≥</w:t>
            </w:r>
            <w:bookmarkEnd w:id="0"/>
            <w:r>
              <w:rPr>
                <w:rFonts w:hint="eastAsia" w:ascii="宋体" w:hAnsi="宋体" w:eastAsia="宋体" w:cs="宋体"/>
                <w:sz w:val="24"/>
              </w:rPr>
              <w:t>1000个 ，准入并发≥1000个。</w:t>
            </w:r>
          </w:p>
          <w:p>
            <w:pPr>
              <w:spacing w:line="360" w:lineRule="auto"/>
              <w:jc w:val="left"/>
              <w:rPr>
                <w:rFonts w:ascii="宋体" w:hAnsi="宋体" w:eastAsia="宋体" w:cs="宋体"/>
                <w:sz w:val="24"/>
              </w:rPr>
            </w:pPr>
            <w:r>
              <w:rPr>
                <w:rFonts w:hint="eastAsia" w:ascii="宋体" w:hAnsi="宋体" w:eastAsia="宋体" w:cs="宋体"/>
                <w:sz w:val="24"/>
              </w:rPr>
              <w:t>2.支持展示网络准入认证通过用户，信息包括用户名、用户IP、账号来源、主机标识，能对账号进行下线操作，阻断访问网络。</w:t>
            </w:r>
          </w:p>
          <w:p>
            <w:pPr>
              <w:spacing w:line="360" w:lineRule="auto"/>
              <w:jc w:val="left"/>
              <w:rPr>
                <w:rFonts w:ascii="宋体" w:hAnsi="宋体" w:eastAsia="宋体" w:cs="宋体"/>
                <w:sz w:val="24"/>
              </w:rPr>
            </w:pPr>
            <w:r>
              <w:rPr>
                <w:rFonts w:hint="eastAsia" w:ascii="宋体" w:hAnsi="宋体" w:eastAsia="宋体" w:cs="宋体"/>
                <w:sz w:val="24"/>
              </w:rPr>
              <w:t>3.支持通过IP配置网络准入黑白名单，可单独配置过滤协议包括FTP、SSH、SFTP，实现对配置IP和对应协议流量利用黑白名单规则实现网络放通和阻断。</w:t>
            </w:r>
          </w:p>
          <w:p>
            <w:pPr>
              <w:spacing w:line="360" w:lineRule="auto"/>
              <w:jc w:val="left"/>
              <w:rPr>
                <w:rFonts w:ascii="宋体" w:hAnsi="宋体" w:eastAsia="宋体" w:cs="宋体"/>
                <w:sz w:val="24"/>
              </w:rPr>
            </w:pPr>
            <w:r>
              <w:rPr>
                <w:rFonts w:hint="eastAsia" w:ascii="宋体" w:hAnsi="宋体" w:eastAsia="宋体" w:cs="宋体"/>
                <w:sz w:val="24"/>
              </w:rPr>
              <w:t>4.支持旁路认证配置认证URL地址。</w:t>
            </w:r>
          </w:p>
          <w:p>
            <w:pPr>
              <w:spacing w:line="360" w:lineRule="auto"/>
              <w:jc w:val="left"/>
              <w:rPr>
                <w:rFonts w:ascii="宋体" w:hAnsi="宋体" w:eastAsia="宋体" w:cs="宋体"/>
                <w:sz w:val="24"/>
              </w:rPr>
            </w:pPr>
            <w:r>
              <w:rPr>
                <w:rFonts w:hint="eastAsia" w:ascii="宋体" w:hAnsi="宋体" w:eastAsia="宋体" w:cs="宋体"/>
                <w:sz w:val="24"/>
              </w:rPr>
              <w:t>5.支持配置旁路端口，包括镜像口、阻断口、阻断口IP和阻断路由。</w:t>
            </w:r>
          </w:p>
          <w:p>
            <w:pPr>
              <w:spacing w:line="360" w:lineRule="auto"/>
              <w:jc w:val="left"/>
              <w:rPr>
                <w:rFonts w:ascii="宋体" w:hAnsi="宋体" w:eastAsia="宋体" w:cs="宋体"/>
                <w:sz w:val="24"/>
              </w:rPr>
            </w:pPr>
            <w:r>
              <w:rPr>
                <w:rFonts w:hint="eastAsia" w:ascii="宋体" w:hAnsi="宋体" w:eastAsia="宋体" w:cs="宋体"/>
                <w:sz w:val="24"/>
              </w:rPr>
              <w:t>6.集成账号管理和认证管理功能，支持多因子认证方式，实现针对不同组织采用不同认证方式。（需提供相关截图证明）</w:t>
            </w:r>
          </w:p>
          <w:p>
            <w:pPr>
              <w:spacing w:line="360" w:lineRule="auto"/>
              <w:jc w:val="left"/>
              <w:rPr>
                <w:rFonts w:ascii="宋体" w:hAnsi="宋体" w:eastAsia="宋体" w:cs="宋体"/>
                <w:sz w:val="24"/>
              </w:rPr>
            </w:pPr>
            <w:r>
              <w:rPr>
                <w:rFonts w:hint="eastAsia" w:ascii="宋体" w:hAnsi="宋体" w:eastAsia="宋体" w:cs="宋体"/>
                <w:sz w:val="24"/>
              </w:rPr>
              <w:t>7.支持针对终端和用户风险行为分析，作为上网动态准入条件。（需提供相关截图证明）</w:t>
            </w:r>
          </w:p>
          <w:p>
            <w:pPr>
              <w:spacing w:line="360" w:lineRule="auto"/>
              <w:jc w:val="left"/>
              <w:rPr>
                <w:rFonts w:ascii="宋体" w:hAnsi="宋体" w:eastAsia="宋体" w:cs="宋体"/>
                <w:sz w:val="24"/>
              </w:rPr>
            </w:pPr>
            <w:r>
              <w:rPr>
                <w:rFonts w:hint="eastAsia" w:ascii="宋体" w:hAnsi="宋体" w:eastAsia="宋体" w:cs="宋体"/>
                <w:sz w:val="24"/>
              </w:rPr>
              <w:t>8. 支持在终端和用户存在风险行为时，进行用户下线，能够及时回收网络准入权限，有效保护网络安全。（需提供相关截图证明）</w:t>
            </w:r>
          </w:p>
          <w:p>
            <w:pPr>
              <w:spacing w:line="360" w:lineRule="auto"/>
              <w:jc w:val="left"/>
              <w:rPr>
                <w:rFonts w:ascii="宋体" w:hAnsi="宋体" w:eastAsia="宋体" w:cs="宋体"/>
                <w:sz w:val="24"/>
              </w:rPr>
            </w:pPr>
            <w:r>
              <w:rPr>
                <w:rFonts w:hint="eastAsia" w:ascii="宋体" w:hAnsi="宋体" w:eastAsia="宋体" w:cs="宋体"/>
                <w:sz w:val="24"/>
              </w:rPr>
              <w:t>9.支持展示网络准入认证通过用户，信息包括用户名、用户IP、账号来源、主机标识，能对账号进行下线操作，阻断访问网络。</w:t>
            </w:r>
          </w:p>
          <w:p>
            <w:pPr>
              <w:spacing w:line="360" w:lineRule="auto"/>
              <w:jc w:val="left"/>
              <w:rPr>
                <w:rFonts w:ascii="宋体" w:hAnsi="宋体" w:eastAsia="宋体" w:cs="宋体"/>
                <w:sz w:val="24"/>
              </w:rPr>
            </w:pPr>
            <w:r>
              <w:rPr>
                <w:rFonts w:hint="eastAsia" w:ascii="宋体" w:hAnsi="宋体" w:eastAsia="宋体" w:cs="宋体"/>
                <w:sz w:val="24"/>
              </w:rPr>
              <w:t>10. 集成账号管理和认证管理功能，支持多因子认证方式，实现针对不同组织采用不同认证方式。（需提供相关截图证明）</w:t>
            </w:r>
          </w:p>
          <w:p>
            <w:pPr>
              <w:spacing w:line="360" w:lineRule="auto"/>
              <w:jc w:val="left"/>
              <w:rPr>
                <w:rFonts w:ascii="宋体" w:hAnsi="宋体" w:eastAsia="宋体" w:cs="宋体"/>
                <w:sz w:val="24"/>
              </w:rPr>
            </w:pPr>
            <w:r>
              <w:rPr>
                <w:rFonts w:hint="eastAsia" w:ascii="宋体" w:hAnsi="宋体" w:eastAsia="宋体" w:cs="宋体"/>
                <w:sz w:val="24"/>
              </w:rPr>
              <w:t>11. 支持在终端和用户存在风险行为时，进行用户下线，能够及时回收网络准入权限，有效保护网络安全。（需提供相关截图证明）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725" w:type="dxa"/>
            <w:vAlign w:val="center"/>
          </w:tcPr>
          <w:p>
            <w:pPr>
              <w:spacing w:line="360" w:lineRule="auto"/>
              <w:jc w:val="center"/>
              <w:rPr>
                <w:rFonts w:ascii="宋体" w:hAnsi="宋体" w:eastAsia="宋体" w:cs="宋体"/>
                <w:sz w:val="24"/>
              </w:rPr>
            </w:pPr>
            <w:r>
              <w:rPr>
                <w:rFonts w:hint="eastAsia" w:ascii="宋体" w:hAnsi="宋体" w:eastAsia="宋体" w:cs="宋体"/>
                <w:sz w:val="24"/>
              </w:rPr>
              <w:t>5</w:t>
            </w:r>
          </w:p>
        </w:tc>
        <w:tc>
          <w:tcPr>
            <w:tcW w:w="1429" w:type="dxa"/>
            <w:vAlign w:val="center"/>
          </w:tcPr>
          <w:p>
            <w:pPr>
              <w:spacing w:line="360" w:lineRule="auto"/>
              <w:jc w:val="center"/>
              <w:rPr>
                <w:rFonts w:ascii="宋体" w:hAnsi="宋体" w:eastAsia="宋体" w:cs="宋体"/>
                <w:sz w:val="24"/>
              </w:rPr>
            </w:pPr>
            <w:r>
              <w:rPr>
                <w:rFonts w:hint="eastAsia" w:ascii="宋体" w:hAnsi="宋体" w:eastAsia="宋体" w:cs="宋体"/>
                <w:sz w:val="24"/>
              </w:rPr>
              <w:t>安全运营服务</w:t>
            </w:r>
          </w:p>
        </w:tc>
        <w:tc>
          <w:tcPr>
            <w:tcW w:w="6215" w:type="dxa"/>
            <w:vAlign w:val="center"/>
          </w:tcPr>
          <w:p>
            <w:pPr>
              <w:spacing w:line="360" w:lineRule="auto"/>
              <w:jc w:val="left"/>
              <w:rPr>
                <w:rFonts w:ascii="宋体" w:hAnsi="宋体" w:eastAsia="宋体" w:cs="宋体"/>
                <w:sz w:val="24"/>
              </w:rPr>
            </w:pPr>
            <w:r>
              <w:rPr>
                <w:rFonts w:hint="eastAsia" w:ascii="宋体" w:hAnsi="宋体" w:eastAsia="宋体" w:cs="宋体"/>
                <w:sz w:val="24"/>
              </w:rPr>
              <w:t>★1.为保障医院诊疗服务高效运转、患者信息安全及业务系统稳定，须提供为期一年的不少于10个业务资产的全维度安全保障。</w:t>
            </w:r>
          </w:p>
          <w:p>
            <w:pPr>
              <w:spacing w:line="360" w:lineRule="auto"/>
              <w:jc w:val="left"/>
              <w:rPr>
                <w:rFonts w:ascii="宋体" w:hAnsi="宋体" w:eastAsia="宋体" w:cs="宋体"/>
                <w:sz w:val="24"/>
              </w:rPr>
            </w:pPr>
            <w:r>
              <w:rPr>
                <w:rFonts w:hint="eastAsia" w:ascii="宋体" w:hAnsi="宋体" w:eastAsia="宋体" w:cs="宋体"/>
                <w:sz w:val="24"/>
              </w:rPr>
              <w:t>2.须提供专属服务经理提供在线服务，创建客户专属服务微信群，对用户咨询或上报的安全问题进行及时响应；提供应急专线联系方式，非工作时间客户可随时直接电话呼叫专家应急。</w:t>
            </w:r>
          </w:p>
          <w:p>
            <w:pPr>
              <w:spacing w:line="360" w:lineRule="auto"/>
              <w:jc w:val="left"/>
              <w:rPr>
                <w:rFonts w:ascii="宋体" w:hAnsi="宋体" w:eastAsia="宋体" w:cs="宋体"/>
                <w:sz w:val="24"/>
              </w:rPr>
            </w:pPr>
            <w:r>
              <w:rPr>
                <w:rFonts w:hint="eastAsia" w:ascii="宋体" w:hAnsi="宋体" w:eastAsia="宋体" w:cs="宋体"/>
                <w:sz w:val="24"/>
              </w:rPr>
              <w:t>3.在业务资产服务前，须从源头规避风险，开展全面安全检测；在系统运行中持续进行业务漏洞管理，须建立发现、评估、修复、验证的闭环机制，动态消除隐患，定期梳理业务系统暴露面</w:t>
            </w:r>
          </w:p>
          <w:p>
            <w:pPr>
              <w:spacing w:line="360" w:lineRule="auto"/>
              <w:jc w:val="left"/>
              <w:rPr>
                <w:rFonts w:ascii="宋体" w:hAnsi="宋体" w:eastAsia="宋体" w:cs="宋体"/>
                <w:sz w:val="24"/>
              </w:rPr>
            </w:pPr>
            <w:r>
              <w:rPr>
                <w:rFonts w:hint="eastAsia" w:ascii="宋体" w:hAnsi="宋体" w:eastAsia="宋体" w:cs="宋体"/>
                <w:sz w:val="24"/>
              </w:rPr>
              <w:t>4.精准识别对外开放端口、服务及数据接口等潜在风险点，针对性强化防护</w:t>
            </w:r>
          </w:p>
          <w:p>
            <w:pPr>
              <w:spacing w:line="360" w:lineRule="auto"/>
              <w:jc w:val="left"/>
              <w:rPr>
                <w:rFonts w:ascii="宋体" w:hAnsi="宋体" w:eastAsia="宋体" w:cs="宋体"/>
                <w:sz w:val="24"/>
              </w:rPr>
            </w:pPr>
            <w:r>
              <w:rPr>
                <w:rFonts w:hint="eastAsia" w:ascii="宋体" w:hAnsi="宋体" w:eastAsia="宋体" w:cs="宋体"/>
                <w:sz w:val="24"/>
              </w:rPr>
              <w:t>5.须定期进行本地安全设备策略检查调优，提供7*24小时安全专家团队实时值守服务，并结合本地已有的安全设备组件，实时统一收集、分析各类安全日志，针对安全日志进行精确的分析研判，主动响应并快速处置各类安全事件，并输出相关问题处置报告，最大限度降低安全风险对诊疗工作的影响</w:t>
            </w:r>
          </w:p>
          <w:p>
            <w:pPr>
              <w:spacing w:line="360" w:lineRule="auto"/>
              <w:jc w:val="left"/>
              <w:rPr>
                <w:rFonts w:ascii="宋体" w:hAnsi="宋体" w:eastAsia="宋体" w:cs="宋体"/>
                <w:sz w:val="24"/>
              </w:rPr>
            </w:pPr>
            <w:r>
              <w:rPr>
                <w:rFonts w:hint="eastAsia" w:ascii="宋体" w:hAnsi="宋体" w:eastAsia="宋体" w:cs="宋体"/>
                <w:sz w:val="24"/>
              </w:rPr>
              <w:t>6.一般事件快速处置：安全专家工作时间在线响应，帮助医院对网络内服务资产爆发的一般安全事件（如：病毒攻击、恶意攻击等）进行清除，帮助医院快速恢复业务，消除或减轻影响，闭环事件工单。</w:t>
            </w:r>
          </w:p>
          <w:p>
            <w:pPr>
              <w:spacing w:line="360" w:lineRule="auto"/>
              <w:jc w:val="left"/>
              <w:rPr>
                <w:rFonts w:ascii="宋体" w:hAnsi="宋体" w:eastAsia="宋体" w:cs="宋体"/>
                <w:sz w:val="24"/>
              </w:rPr>
            </w:pPr>
            <w:r>
              <w:rPr>
                <w:rFonts w:hint="eastAsia" w:ascii="宋体" w:hAnsi="宋体" w:eastAsia="宋体" w:cs="宋体"/>
                <w:sz w:val="24"/>
              </w:rPr>
              <w:t>7.重大事件7*24H应急响应：重大事件应急专家7*24H在线快速响应，帮助医院对事件进行紧急遏制、分析事件的影响范围、针对事件发生原因进行溯源排查、提供对应的安全加固方案等。</w:t>
            </w:r>
          </w:p>
          <w:p>
            <w:pPr>
              <w:spacing w:line="360" w:lineRule="auto"/>
              <w:jc w:val="left"/>
              <w:rPr>
                <w:rFonts w:ascii="宋体" w:hAnsi="宋体" w:eastAsia="宋体" w:cs="宋体"/>
                <w:sz w:val="24"/>
              </w:rPr>
            </w:pPr>
            <w:r>
              <w:rPr>
                <w:rFonts w:hint="eastAsia" w:ascii="宋体" w:hAnsi="宋体" w:eastAsia="宋体" w:cs="宋体"/>
                <w:sz w:val="24"/>
              </w:rPr>
              <w:t>8.在重要时期，须强化保障机制，加大监测频次与防护力度；定期组织攻防演练，提升应急处置能力。</w:t>
            </w:r>
          </w:p>
          <w:p>
            <w:pPr>
              <w:spacing w:line="360" w:lineRule="auto"/>
              <w:jc w:val="left"/>
              <w:rPr>
                <w:rFonts w:ascii="宋体" w:hAnsi="宋体" w:eastAsia="宋体" w:cs="宋体"/>
                <w:sz w:val="24"/>
              </w:rPr>
            </w:pPr>
            <w:r>
              <w:rPr>
                <w:rFonts w:hint="eastAsia" w:ascii="宋体" w:hAnsi="宋体" w:eastAsia="宋体" w:cs="宋体"/>
                <w:sz w:val="24"/>
              </w:rPr>
              <w:t>9.为了患者在线咨询、预约挂号等服务能够有可靠保障，全力守护医患双方权益与医院信息系统安全。须针对医院互联网业务系统，定期输出专项服务报告，持续监测运营安。</w:t>
            </w:r>
          </w:p>
          <w:p>
            <w:pPr>
              <w:spacing w:line="360" w:lineRule="auto"/>
              <w:jc w:val="left"/>
              <w:rPr>
                <w:rFonts w:ascii="宋体" w:hAnsi="宋体" w:eastAsia="宋体" w:cs="宋体"/>
                <w:sz w:val="24"/>
              </w:rPr>
            </w:pPr>
            <w:r>
              <w:rPr>
                <w:rFonts w:hint="eastAsia" w:ascii="宋体" w:hAnsi="宋体" w:eastAsia="宋体" w:cs="宋体"/>
                <w:sz w:val="24"/>
              </w:rPr>
              <w:t>★10.安全运营服务须与本次所投内网防火墙与外网防火墙实现联动响应；线上专家持续守护，通过统一安全流量分析研判，实现数据分析、溯源取证，全面应对攻防对抗。</w:t>
            </w:r>
          </w:p>
        </w:tc>
      </w:tr>
    </w:tbl>
    <w:p>
      <w:pPr>
        <w:spacing w:line="360" w:lineRule="auto"/>
        <w:rPr>
          <w:rFonts w:ascii="宋体" w:hAnsi="宋体" w:eastAsia="宋体" w:cs="宋体"/>
          <w:sz w:val="24"/>
        </w:rPr>
      </w:pPr>
      <w:r>
        <w:rPr>
          <w:rFonts w:hint="eastAsia" w:ascii="宋体" w:hAnsi="宋体" w:eastAsia="宋体" w:cs="宋体"/>
          <w:b/>
          <w:bCs/>
          <w:sz w:val="24"/>
        </w:rPr>
        <w:t>★验证要求：</w:t>
      </w:r>
      <w:r>
        <w:rPr>
          <w:rFonts w:hint="eastAsia" w:ascii="宋体" w:hAnsi="宋体" w:eastAsia="宋体" w:cs="宋体"/>
          <w:sz w:val="24"/>
        </w:rPr>
        <w:t>中标后3个工作日内，采购人有权利要求成交供应提供所响应产品样品按照响应功能进行逐一测试验证，全部通过后执行合同流程，测试中若发现样品与应答不符，将予以无效成交处理并保留对成交商追究相关责任的权利。</w:t>
      </w:r>
    </w:p>
    <w:p/>
    <w:p>
      <w:pPr>
        <w:pStyle w:val="2"/>
        <w:numPr>
          <w:ilvl w:val="0"/>
          <w:numId w:val="0"/>
        </w:numPr>
        <w:adjustRightInd w:val="0"/>
        <w:snapToGrid w:val="0"/>
        <w:spacing w:before="140" w:after="130" w:line="480" w:lineRule="auto"/>
        <w:ind w:left="0" w:leftChars="0" w:firstLine="420" w:firstLineChars="0"/>
        <w:rPr>
          <w:sz w:val="30"/>
          <w:szCs w:val="30"/>
        </w:rPr>
      </w:pPr>
      <w:bookmarkStart w:id="1" w:name="_GoBack"/>
      <w:bookmarkEnd w:id="1"/>
      <w:r>
        <w:rPr>
          <w:rFonts w:hint="eastAsia"/>
          <w:sz w:val="30"/>
          <w:szCs w:val="30"/>
        </w:rPr>
        <w:t>服务要求</w:t>
      </w:r>
    </w:p>
    <w:p>
      <w:pPr>
        <w:spacing w:line="360" w:lineRule="auto"/>
        <w:rPr>
          <w:rFonts w:ascii="宋体" w:hAnsi="宋体" w:eastAsia="宋体" w:cs="宋体"/>
          <w:sz w:val="24"/>
        </w:rPr>
      </w:pPr>
      <w:r>
        <w:rPr>
          <w:rFonts w:hint="eastAsia" w:ascii="宋体" w:hAnsi="宋体" w:eastAsia="宋体" w:cs="宋体"/>
          <w:sz w:val="24"/>
        </w:rPr>
        <w:t>★</w:t>
      </w:r>
      <w:r>
        <w:rPr>
          <w:rFonts w:hint="eastAsia" w:ascii="宋体" w:hAnsi="宋体" w:eastAsia="宋体" w:cs="宋体"/>
          <w:b/>
          <w:bCs/>
          <w:sz w:val="28"/>
          <w:szCs w:val="28"/>
          <w:lang w:val="en-US" w:eastAsia="zh-CN"/>
        </w:rPr>
        <w:t>一、</w:t>
      </w:r>
      <w:r>
        <w:rPr>
          <w:rFonts w:hint="eastAsia" w:ascii="宋体" w:hAnsi="宋体" w:eastAsia="宋体" w:cs="宋体"/>
          <w:b/>
          <w:bCs/>
          <w:sz w:val="28"/>
          <w:szCs w:val="28"/>
        </w:rPr>
        <w:t>技术服务要求</w:t>
      </w:r>
      <w:r>
        <w:rPr>
          <w:rFonts w:hint="eastAsia" w:ascii="宋体" w:hAnsi="宋体" w:eastAsia="宋体" w:cs="宋体"/>
          <w:sz w:val="24"/>
        </w:rPr>
        <w:t>：提供所投产品配套服务，服务内容需满足以下几点（需投标人提供书面承诺函）：</w:t>
      </w:r>
    </w:p>
    <w:p>
      <w:pPr>
        <w:numPr>
          <w:ilvl w:val="0"/>
          <w:numId w:val="1"/>
        </w:numPr>
        <w:adjustRightInd w:val="0"/>
        <w:snapToGrid w:val="0"/>
        <w:spacing w:line="360" w:lineRule="auto"/>
        <w:ind w:left="210" w:leftChars="100" w:firstLine="480" w:firstLineChars="200"/>
        <w:rPr>
          <w:rFonts w:ascii="宋体" w:hAnsi="宋体" w:eastAsia="宋体" w:cs="宋体"/>
          <w:sz w:val="24"/>
        </w:rPr>
      </w:pPr>
      <w:r>
        <w:rPr>
          <w:rFonts w:hint="eastAsia" w:ascii="宋体" w:hAnsi="宋体" w:eastAsia="宋体" w:cs="宋体"/>
          <w:sz w:val="24"/>
        </w:rPr>
        <w:t>投标人须配合招标人完成本项目实施前的机房环境等准备工作；</w:t>
      </w:r>
    </w:p>
    <w:p>
      <w:pPr>
        <w:numPr>
          <w:ilvl w:val="0"/>
          <w:numId w:val="1"/>
        </w:numPr>
        <w:adjustRightInd w:val="0"/>
        <w:snapToGrid w:val="0"/>
        <w:spacing w:line="360" w:lineRule="auto"/>
        <w:ind w:left="210" w:leftChars="100" w:firstLine="480" w:firstLineChars="200"/>
        <w:rPr>
          <w:rFonts w:ascii="宋体" w:hAnsi="宋体" w:eastAsia="宋体" w:cs="宋体"/>
          <w:sz w:val="24"/>
        </w:rPr>
      </w:pPr>
      <w:r>
        <w:rPr>
          <w:rFonts w:hint="eastAsia" w:ascii="宋体" w:hAnsi="宋体" w:eastAsia="宋体" w:cs="宋体"/>
          <w:sz w:val="24"/>
        </w:rPr>
        <w:t>项目实施阶段，投标人应根据实施方案进行设备上架安装工作及网络接入等配套工作、完成硬件的加电测试、在招标人要求的指定时间内安排工程师完成硬件的安装配置、完成硬件安装和调试。</w:t>
      </w:r>
    </w:p>
    <w:p>
      <w:pPr>
        <w:numPr>
          <w:ilvl w:val="0"/>
          <w:numId w:val="1"/>
        </w:numPr>
        <w:adjustRightInd w:val="0"/>
        <w:snapToGrid w:val="0"/>
        <w:spacing w:line="360" w:lineRule="auto"/>
        <w:ind w:left="210" w:leftChars="100" w:firstLine="480" w:firstLineChars="200"/>
        <w:rPr>
          <w:rFonts w:ascii="宋体" w:hAnsi="宋体" w:eastAsia="宋体" w:cs="宋体"/>
          <w:sz w:val="24"/>
        </w:rPr>
      </w:pPr>
      <w:r>
        <w:rPr>
          <w:rFonts w:hint="eastAsia" w:ascii="宋体" w:hAnsi="宋体" w:eastAsia="宋体" w:cs="宋体"/>
          <w:sz w:val="24"/>
        </w:rPr>
        <w:t>系统试运行阶段应完善所有产品的配置，并完成验收工作；</w:t>
      </w:r>
    </w:p>
    <w:p>
      <w:pPr>
        <w:numPr>
          <w:ilvl w:val="0"/>
          <w:numId w:val="1"/>
        </w:numPr>
        <w:adjustRightInd w:val="0"/>
        <w:snapToGrid w:val="0"/>
        <w:spacing w:line="360" w:lineRule="auto"/>
        <w:ind w:left="210" w:leftChars="100" w:firstLine="480" w:firstLineChars="200"/>
        <w:rPr>
          <w:rFonts w:ascii="宋体" w:hAnsi="宋体" w:eastAsia="宋体" w:cs="宋体"/>
          <w:sz w:val="24"/>
        </w:rPr>
      </w:pPr>
      <w:r>
        <w:rPr>
          <w:rFonts w:hint="eastAsia" w:ascii="宋体" w:hAnsi="宋体" w:eastAsia="宋体" w:cs="宋体"/>
          <w:sz w:val="24"/>
        </w:rPr>
        <w:t>所投外网防火墙须与医院原有外网防火墙同步策略迁移，保证现有医院防火墙设备实现到新购防火墙设备的功能及策略配置同步，窗口切换时间短，减少业务中断。如因策略匹配不一致导致业务中断或造成影响，院方可追究投标方相关责任。</w:t>
      </w:r>
    </w:p>
    <w:p>
      <w:pPr>
        <w:numPr>
          <w:ilvl w:val="0"/>
          <w:numId w:val="1"/>
        </w:numPr>
        <w:adjustRightInd w:val="0"/>
        <w:snapToGrid w:val="0"/>
        <w:spacing w:line="360" w:lineRule="auto"/>
        <w:ind w:left="210" w:leftChars="100" w:firstLine="480" w:firstLineChars="200"/>
      </w:pPr>
      <w:r>
        <w:rPr>
          <w:rFonts w:hint="eastAsia" w:ascii="宋体" w:hAnsi="宋体" w:eastAsia="宋体" w:cs="宋体"/>
          <w:sz w:val="24"/>
        </w:rPr>
        <w:t>本次所投内网防火墙与外网防火墙</w:t>
      </w:r>
      <w:r>
        <w:rPr>
          <w:rFonts w:ascii="宋体" w:hAnsi="宋体" w:eastAsia="宋体" w:cs="宋体"/>
          <w:sz w:val="24"/>
        </w:rPr>
        <w:t>须与医院现有安全感知运营平台的</w:t>
      </w:r>
      <w:r>
        <w:rPr>
          <w:rFonts w:hint="eastAsia" w:ascii="宋体" w:hAnsi="宋体" w:eastAsia="宋体" w:cs="宋体"/>
          <w:sz w:val="24"/>
        </w:rPr>
        <w:t>SNMP协议</w:t>
      </w:r>
      <w:r>
        <w:rPr>
          <w:rFonts w:ascii="宋体" w:hAnsi="宋体" w:eastAsia="宋体" w:cs="宋体"/>
          <w:sz w:val="24"/>
        </w:rPr>
        <w:t>接口对接和功能定制服务，定制开发服务和技术支持服务涉及费用由投标人提供并包含到报价中。具体开发定制服务要求为：所投防火墙产生的安全日志等数据上报到医院现有安全感知运营平台，在此平台进行</w:t>
      </w:r>
      <w:r>
        <w:rPr>
          <w:rFonts w:hint="eastAsia" w:ascii="宋体" w:hAnsi="宋体" w:eastAsia="宋体" w:cs="宋体"/>
          <w:sz w:val="24"/>
        </w:rPr>
        <w:t>日志的</w:t>
      </w:r>
      <w:r>
        <w:rPr>
          <w:rFonts w:ascii="宋体" w:hAnsi="宋体" w:eastAsia="宋体" w:cs="宋体"/>
          <w:sz w:val="24"/>
        </w:rPr>
        <w:t>集中分析和</w:t>
      </w:r>
      <w:r>
        <w:rPr>
          <w:rFonts w:hint="eastAsia" w:ascii="宋体" w:hAnsi="宋体" w:eastAsia="宋体" w:cs="宋体"/>
          <w:sz w:val="24"/>
        </w:rPr>
        <w:t>攻击威胁的</w:t>
      </w:r>
      <w:r>
        <w:rPr>
          <w:rFonts w:ascii="宋体" w:hAnsi="宋体" w:eastAsia="宋体" w:cs="宋体"/>
          <w:sz w:val="24"/>
        </w:rPr>
        <w:t>统一大屏展示，院内安全管理员可实时掌握医院业务网络的安全态势，实现医院整体网络安全态势感知、分析和可视化呈现，当院内安全感知运营平台检测到边界安全风险时，可联动所投防火墙下发策略（包括封锁源IP、访问控制、隔离主机、封锁域名/URL/IP、封锁攻击者IP等），阻断安全风险，提升整体安全运营能力，以保证医院整体业务安全统一管理和分析效果</w:t>
      </w:r>
      <w:r>
        <w:rPr>
          <w:rFonts w:hint="eastAsia" w:ascii="宋体" w:hAnsi="宋体" w:eastAsia="宋体" w:cs="宋体"/>
          <w:sz w:val="24"/>
        </w:rPr>
        <w:t>。</w:t>
      </w:r>
    </w:p>
    <w:p>
      <w:pPr>
        <w:numPr>
          <w:ilvl w:val="0"/>
          <w:numId w:val="0"/>
        </w:numPr>
        <w:adjustRightInd w:val="0"/>
        <w:snapToGrid w:val="0"/>
        <w:spacing w:line="360" w:lineRule="auto"/>
        <w:rPr>
          <w:rFonts w:hint="eastAsia" w:eastAsia="宋体"/>
          <w:b/>
          <w:bCs/>
          <w:sz w:val="28"/>
          <w:szCs w:val="28"/>
          <w:lang w:val="en-US" w:eastAsia="zh-CN"/>
        </w:rPr>
      </w:pPr>
      <w:r>
        <w:rPr>
          <w:rFonts w:hint="eastAsia" w:eastAsia="宋体"/>
          <w:b/>
          <w:bCs/>
          <w:sz w:val="28"/>
          <w:szCs w:val="28"/>
          <w:lang w:val="en-US" w:eastAsia="zh-CN"/>
        </w:rPr>
        <w:t>二、其他服务要求</w:t>
      </w:r>
    </w:p>
    <w:p>
      <w:pPr>
        <w:numPr>
          <w:ilvl w:val="0"/>
          <w:numId w:val="0"/>
        </w:numPr>
        <w:spacing w:line="360" w:lineRule="auto"/>
        <w:ind w:leftChars="0" w:firstLine="482" w:firstLineChars="200"/>
        <w:outlineLvl w:val="0"/>
        <w:rPr>
          <w:sz w:val="24"/>
          <w:highlight w:val="none"/>
        </w:rPr>
      </w:pPr>
      <w:r>
        <w:rPr>
          <w:rFonts w:hint="eastAsia" w:ascii="宋体" w:hAnsi="宋体" w:eastAsia="宋体" w:cs="宋体"/>
          <w:b/>
          <w:bCs/>
          <w:sz w:val="24"/>
        </w:rPr>
        <w:t>★</w:t>
      </w:r>
      <w:r>
        <w:rPr>
          <w:rFonts w:hint="eastAsia"/>
          <w:sz w:val="24"/>
          <w:highlight w:val="none"/>
        </w:rPr>
        <w:t>1. 提供所投产品至少</w:t>
      </w:r>
      <w:r>
        <w:rPr>
          <w:rFonts w:hint="eastAsia"/>
          <w:sz w:val="24"/>
          <w:highlight w:val="none"/>
          <w:lang w:val="en-US" w:eastAsia="zh-CN"/>
        </w:rPr>
        <w:t>3</w:t>
      </w:r>
      <w:r>
        <w:rPr>
          <w:rFonts w:hint="eastAsia"/>
          <w:sz w:val="24"/>
          <w:highlight w:val="none"/>
        </w:rPr>
        <w:t>年的免费上门保修，终身维修。</w:t>
      </w:r>
    </w:p>
    <w:p>
      <w:pPr>
        <w:spacing w:line="360" w:lineRule="auto"/>
        <w:ind w:firstLine="482" w:firstLineChars="200"/>
        <w:outlineLvl w:val="0"/>
        <w:rPr>
          <w:sz w:val="24"/>
          <w:highlight w:val="none"/>
        </w:rPr>
      </w:pPr>
      <w:r>
        <w:rPr>
          <w:rFonts w:hint="eastAsia" w:ascii="宋体" w:hAnsi="宋体" w:eastAsia="宋体" w:cs="宋体"/>
          <w:b/>
          <w:bCs/>
          <w:sz w:val="24"/>
        </w:rPr>
        <w:t>★</w:t>
      </w:r>
      <w:r>
        <w:rPr>
          <w:rFonts w:hint="eastAsia"/>
          <w:sz w:val="24"/>
          <w:highlight w:val="none"/>
        </w:rPr>
        <w:t>2. 保修期内免费更换零配件，7×24小时技术响应，48小时内维修工程师到达维修现场。保修期自验收合格之日起计算。</w:t>
      </w:r>
    </w:p>
    <w:p>
      <w:pPr>
        <w:spacing w:line="360" w:lineRule="auto"/>
        <w:ind w:firstLine="480" w:firstLineChars="200"/>
        <w:outlineLvl w:val="0"/>
        <w:rPr>
          <w:sz w:val="24"/>
          <w:highlight w:val="none"/>
        </w:rPr>
      </w:pPr>
      <w:r>
        <w:rPr>
          <w:rFonts w:hint="eastAsia"/>
          <w:sz w:val="24"/>
          <w:highlight w:val="none"/>
        </w:rPr>
        <w:t>3. 提供所投产品制造商服务机构情况，包括地址、联系方式及技术人员数量等。</w:t>
      </w:r>
    </w:p>
    <w:p>
      <w:pPr>
        <w:spacing w:line="360" w:lineRule="auto"/>
        <w:ind w:firstLine="480" w:firstLineChars="200"/>
        <w:outlineLvl w:val="0"/>
        <w:rPr>
          <w:sz w:val="24"/>
          <w:highlight w:val="none"/>
        </w:rPr>
      </w:pPr>
      <w:r>
        <w:rPr>
          <w:rFonts w:hint="eastAsia"/>
          <w:sz w:val="24"/>
          <w:highlight w:val="none"/>
        </w:rPr>
        <w:t>4. 提供原厂标准的易耗品、消耗材料价格清单及折扣率，保修期后设备维修的价格清单及折扣率。</w:t>
      </w:r>
    </w:p>
    <w:p>
      <w:pPr>
        <w:spacing w:line="360" w:lineRule="auto"/>
        <w:ind w:firstLine="480" w:firstLineChars="200"/>
        <w:outlineLvl w:val="0"/>
        <w:rPr>
          <w:rFonts w:hint="eastAsia"/>
          <w:sz w:val="24"/>
          <w:highlight w:val="none"/>
        </w:rPr>
      </w:pPr>
      <w:r>
        <w:rPr>
          <w:rFonts w:hint="eastAsia"/>
          <w:sz w:val="24"/>
          <w:highlight w:val="none"/>
        </w:rPr>
        <w:t>5. 提供现场技术培训。</w:t>
      </w:r>
    </w:p>
    <w:p>
      <w:pPr>
        <w:spacing w:line="360" w:lineRule="auto"/>
        <w:ind w:firstLine="482" w:firstLineChars="200"/>
        <w:outlineLvl w:val="0"/>
        <w:rPr>
          <w:rFonts w:hint="eastAsia" w:ascii="宋体" w:hAnsi="宋体" w:eastAsia="宋体" w:cs="宋体"/>
          <w:sz w:val="24"/>
        </w:rPr>
      </w:pPr>
      <w:r>
        <w:rPr>
          <w:rFonts w:hint="eastAsia" w:ascii="宋体" w:hAnsi="宋体" w:eastAsia="宋体" w:cs="宋体"/>
          <w:b/>
          <w:bCs/>
          <w:sz w:val="24"/>
        </w:rPr>
        <w:t>★</w:t>
      </w:r>
      <w:r>
        <w:rPr>
          <w:rFonts w:hint="eastAsia" w:ascii="宋体" w:hAnsi="宋体" w:eastAsia="宋体" w:cs="宋体"/>
          <w:sz w:val="24"/>
          <w:lang w:val="en-US" w:eastAsia="zh-CN"/>
        </w:rPr>
        <w:t>6.</w:t>
      </w:r>
      <w:r>
        <w:rPr>
          <w:rFonts w:hint="eastAsia" w:ascii="宋体" w:hAnsi="宋体" w:eastAsia="宋体" w:cs="宋体"/>
          <w:sz w:val="24"/>
        </w:rPr>
        <w:t>所有设备原厂质保三年</w:t>
      </w:r>
    </w:p>
    <w:p>
      <w:pPr>
        <w:spacing w:line="360" w:lineRule="auto"/>
        <w:ind w:firstLine="480" w:firstLineChars="200"/>
        <w:outlineLvl w:val="0"/>
        <w:rPr>
          <w:rFonts w:hint="eastAsia"/>
          <w:sz w:val="24"/>
          <w:highlight w:val="none"/>
        </w:rPr>
      </w:pPr>
    </w:p>
    <w:p>
      <w:pPr>
        <w:numPr>
          <w:ilvl w:val="0"/>
          <w:numId w:val="0"/>
        </w:numPr>
        <w:adjustRightInd w:val="0"/>
        <w:snapToGrid w:val="0"/>
        <w:spacing w:line="360" w:lineRule="auto"/>
        <w:rPr>
          <w:rFonts w:hint="default" w:eastAsia="宋体"/>
          <w:lang w:val="en-US" w:eastAsia="zh-CN"/>
        </w:rPr>
      </w:pPr>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50623392"/>
      <w:docPartObj>
        <w:docPartGallery w:val="autotext"/>
      </w:docPartObj>
    </w:sdtPr>
    <w:sdtContent>
      <w:p>
        <w:pPr>
          <w:pStyle w:val="3"/>
          <w:jc w:val="center"/>
        </w:pPr>
        <w:r>
          <w:fldChar w:fldCharType="begin"/>
        </w:r>
        <w:r>
          <w:instrText xml:space="preserve">PAGE   \* MERGEFORMAT</w:instrText>
        </w:r>
        <w:r>
          <w:fldChar w:fldCharType="separate"/>
        </w:r>
        <w:r>
          <w:rPr>
            <w:lang w:val="zh-CN"/>
          </w:rPr>
          <w:t>2</w:t>
        </w:r>
        <w:r>
          <w:fldChar w:fldCharType="end"/>
        </w:r>
      </w:p>
    </w:sdtContent>
  </w:sdt>
  <w:p>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91D6C8C"/>
    <w:multiLevelType w:val="singleLevel"/>
    <w:tmpl w:val="A91D6C8C"/>
    <w:lvl w:ilvl="0" w:tentative="0">
      <w:start w:val="1"/>
      <w:numFmt w:val="decimal"/>
      <w:lvlText w:val="%1."/>
      <w:lvlJc w:val="left"/>
      <w:pPr>
        <w:ind w:left="425" w:hanging="425"/>
      </w:pPr>
      <w:rPr>
        <w:rFonts w:hint="default" w:ascii="宋体" w:hAnsi="宋体" w:eastAsia="宋体" w:cs="宋体"/>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AC77511"/>
    <w:rsid w:val="00117DD6"/>
    <w:rsid w:val="00313792"/>
    <w:rsid w:val="0048776D"/>
    <w:rsid w:val="00551425"/>
    <w:rsid w:val="0072537B"/>
    <w:rsid w:val="009C52BD"/>
    <w:rsid w:val="00E21A8B"/>
    <w:rsid w:val="19753377"/>
    <w:rsid w:val="3606023E"/>
    <w:rsid w:val="3E181B14"/>
    <w:rsid w:val="52D12EEC"/>
    <w:rsid w:val="5542271A"/>
    <w:rsid w:val="5AC77511"/>
    <w:rsid w:val="61C162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after="330" w:line="576" w:lineRule="auto"/>
      <w:outlineLvl w:val="0"/>
    </w:pPr>
    <w:rPr>
      <w:b/>
      <w:kern w:val="44"/>
      <w:sz w:val="44"/>
    </w:rPr>
  </w:style>
  <w:style w:type="character" w:default="1" w:styleId="6">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link w:val="8"/>
    <w:qFormat/>
    <w:uiPriority w:val="0"/>
    <w:pP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rPr>
  </w:style>
  <w:style w:type="character" w:customStyle="1" w:styleId="8">
    <w:name w:val="页眉 字符"/>
    <w:basedOn w:val="6"/>
    <w:link w:val="4"/>
    <w:qFormat/>
    <w:uiPriority w:val="0"/>
    <w:rPr>
      <w:rFonts w:asciiTheme="minorHAnsi" w:hAnsiTheme="minorHAnsi" w:eastAsiaTheme="minorEastAsia" w:cstheme="minorBidi"/>
      <w:kern w:val="2"/>
      <w:sz w:val="18"/>
      <w:szCs w:val="18"/>
    </w:rPr>
  </w:style>
  <w:style w:type="character" w:customStyle="1" w:styleId="9">
    <w:name w:val="页脚 字符"/>
    <w:basedOn w:val="6"/>
    <w:link w:val="3"/>
    <w:qFormat/>
    <w:uiPriority w:val="99"/>
    <w:rPr>
      <w:rFonts w:asciiTheme="minorHAnsi" w:hAnsiTheme="minorHAnsi" w:eastAsiaTheme="minorEastAsia" w:cstheme="minorBidi"/>
      <w:kern w:val="2"/>
      <w:sz w:val="18"/>
      <w:szCs w:val="18"/>
    </w:rPr>
  </w:style>
  <w:style w:type="paragraph" w:customStyle="1" w:styleId="10">
    <w:name w:val="Default"/>
    <w:qFormat/>
    <w:uiPriority w:val="0"/>
    <w:pPr>
      <w:widowControl w:val="0"/>
      <w:autoSpaceDE w:val="0"/>
      <w:autoSpaceDN w:val="0"/>
      <w:adjustRightInd w:val="0"/>
    </w:pPr>
    <w:rPr>
      <w:rFonts w:ascii="......." w:hAnsi="Calibri" w:eastAsia="......." w:cs="......."/>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4290</Words>
  <Characters>4654</Characters>
  <Lines>33</Lines>
  <Paragraphs>9</Paragraphs>
  <TotalTime>4</TotalTime>
  <ScaleCrop>false</ScaleCrop>
  <LinksUpToDate>false</LinksUpToDate>
  <CharactersWithSpaces>4662</CharactersWithSpaces>
  <Application>WPS Office_10.8.2.7090_F1E327BC-269C-435d-A152-05C5408002CA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2025-10-10T05:37:00Z</dcterms:created>
  <dc:creator>Admin</dc:creator>
  <cp:lastModifiedBy>jgkxhq</cp:lastModifiedBy>
  <dcterms:modified xsi:type="dcterms:W3CDTF">2025-10-17T03:42:43Z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2052-10.8.2.7090</vt:lpwstr>
  </property>
  <property fmtid="{D5CDD505-2E9C-101B-9397-08002B2CF9AE}" pid="3" name="ICV">
    <vt:lpwstr>1FB2202FCCDE4E1096F1AC6D86DA87BD_11</vt:lpwstr>
  </property>
  <property fmtid="{D5CDD505-2E9C-101B-9397-08002B2CF9AE}" pid="4" name="KSOTemplateDocerSaveRecord">
    <vt:lpwstr>eyJoZGlkIjoiMzg1NWFiYTg1MTcwOTNjMTlmMDVjNjBiYjlkZDQxZWYiLCJ1c2VySWQiOiI1MTc2Nzg0NzQifQ==</vt:lpwstr>
  </property>
</Properties>
</file>