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896E5">
      <w:pPr>
        <w:tabs>
          <w:tab w:val="left" w:pos="1260"/>
          <w:tab w:val="center" w:pos="4156"/>
        </w:tabs>
        <w:autoSpaceDE w:val="0"/>
        <w:autoSpaceDN w:val="0"/>
        <w:adjustRightInd w:val="0"/>
        <w:spacing w:before="240" w:after="240" w:line="360" w:lineRule="auto"/>
        <w:jc w:val="center"/>
        <w:rPr>
          <w:rFonts w:hint="eastAsia" w:cs="宋体" w:asciiTheme="minorEastAsia" w:hAnsiTheme="minorEastAsia" w:eastAsiaTheme="minorEastAsia"/>
          <w:b/>
          <w:bCs/>
          <w:color w:val="000000" w:themeColor="text1"/>
          <w:sz w:val="24"/>
          <w:szCs w:val="24"/>
          <w:highlight w:val="none"/>
          <w:lang w:val="zh-CN"/>
          <w14:textFill>
            <w14:solidFill>
              <w14:schemeClr w14:val="tx1"/>
            </w14:solidFill>
          </w14:textFill>
        </w:rPr>
      </w:pPr>
      <w:bookmarkStart w:id="0" w:name="OLE_LINK3"/>
      <w:r>
        <w:rPr>
          <w:rFonts w:hint="eastAsia" w:cs="宋体" w:asciiTheme="minorEastAsia" w:hAnsiTheme="minorEastAsia" w:eastAsiaTheme="minorEastAsia"/>
          <w:b/>
          <w:bCs/>
          <w:color w:val="000000" w:themeColor="text1"/>
          <w:sz w:val="24"/>
          <w:szCs w:val="24"/>
          <w:highlight w:val="none"/>
          <w:lang w:val="zh-CN"/>
          <w14:textFill>
            <w14:solidFill>
              <w14:schemeClr w14:val="tx1"/>
            </w14:solidFill>
          </w14:textFill>
        </w:rPr>
        <w:t>项目需求书</w:t>
      </w:r>
    </w:p>
    <w:bookmarkEnd w:id="0"/>
    <w:p w14:paraId="113D0882">
      <w:pPr>
        <w:spacing w:line="360" w:lineRule="auto"/>
        <w:rPr>
          <w:rFonts w:ascii="Times New Roman" w:hAnsi="Times New Roman" w:cs="Times New Roman"/>
          <w:b/>
          <w:sz w:val="24"/>
          <w:szCs w:val="24"/>
          <w:highlight w:val="none"/>
        </w:rPr>
      </w:pPr>
      <w:r>
        <w:rPr>
          <w:rFonts w:ascii="Times New Roman" w:hAnsi="Times New Roman" w:cs="Times New Roman"/>
          <w:b/>
          <w:sz w:val="24"/>
          <w:szCs w:val="24"/>
          <w:highlight w:val="none"/>
        </w:rPr>
        <w:t>一、项目背景</w:t>
      </w:r>
    </w:p>
    <w:p w14:paraId="1CAFC0DD">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cs="Times New Roman"/>
          <w:sz w:val="24"/>
          <w:szCs w:val="24"/>
          <w:highlight w:val="none"/>
          <w:lang w:val="en-US" w:eastAsia="zh-CN"/>
        </w:rPr>
        <w:t>天津市</w:t>
      </w:r>
      <w:r>
        <w:rPr>
          <w:rFonts w:ascii="Times New Roman" w:hAnsi="Times New Roman" w:cs="Times New Roman"/>
          <w:sz w:val="24"/>
          <w:szCs w:val="24"/>
          <w:highlight w:val="none"/>
        </w:rPr>
        <w:t>南开</w:t>
      </w:r>
      <w:r>
        <w:rPr>
          <w:rFonts w:hint="eastAsia" w:cs="Times New Roman"/>
          <w:sz w:val="24"/>
          <w:szCs w:val="24"/>
          <w:highlight w:val="none"/>
          <w:lang w:val="en-US" w:eastAsia="zh-CN"/>
        </w:rPr>
        <w:t>区</w:t>
      </w:r>
      <w:r>
        <w:rPr>
          <w:rFonts w:ascii="Times New Roman" w:hAnsi="Times New Roman" w:cs="Times New Roman"/>
          <w:sz w:val="24"/>
          <w:szCs w:val="24"/>
          <w:highlight w:val="none"/>
        </w:rPr>
        <w:t>实验学校</w:t>
      </w:r>
      <w:r>
        <w:rPr>
          <w:rFonts w:hint="eastAsia" w:ascii="Times New Roman" w:hAnsi="Times New Roman" w:cs="Times New Roman"/>
          <w:sz w:val="24"/>
          <w:szCs w:val="24"/>
          <w:highlight w:val="none"/>
          <w:lang w:val="en-US" w:eastAsia="zh-CN"/>
        </w:rPr>
        <w:t>位于</w:t>
      </w:r>
      <w:r>
        <w:rPr>
          <w:rFonts w:ascii="Times New Roman" w:hAnsi="Times New Roman" w:cs="Times New Roman"/>
          <w:sz w:val="24"/>
          <w:szCs w:val="24"/>
          <w:highlight w:val="none"/>
        </w:rPr>
        <w:t>天津市南开区华苑小区锦环道</w:t>
      </w:r>
      <w:r>
        <w:rPr>
          <w:rFonts w:hint="eastAsia" w:ascii="Times New Roman" w:hAnsi="Times New Roman" w:cs="Times New Roman"/>
          <w:sz w:val="24"/>
          <w:szCs w:val="24"/>
          <w:highlight w:val="none"/>
          <w:lang w:eastAsia="zh-CN"/>
        </w:rPr>
        <w:t>，</w:t>
      </w:r>
      <w:r>
        <w:rPr>
          <w:rFonts w:hint="eastAsia" w:ascii="Times New Roman" w:hAnsi="Times New Roman" w:cs="Times New Roman"/>
          <w:sz w:val="24"/>
          <w:szCs w:val="24"/>
          <w:highlight w:val="none"/>
          <w:lang w:val="en-US" w:eastAsia="zh-CN"/>
        </w:rPr>
        <w:t>是</w:t>
      </w:r>
      <w:r>
        <w:rPr>
          <w:rFonts w:hint="eastAsia" w:ascii="Times New Roman" w:hAnsi="Times New Roman" w:cs="Times New Roman"/>
          <w:sz w:val="24"/>
          <w:szCs w:val="24"/>
          <w:highlight w:val="none"/>
        </w:rPr>
        <w:t>天津市一所</w:t>
      </w:r>
      <w:r>
        <w:rPr>
          <w:rFonts w:hint="eastAsia" w:cs="Times New Roman"/>
          <w:sz w:val="24"/>
          <w:szCs w:val="24"/>
          <w:highlight w:val="none"/>
          <w:lang w:val="en-US" w:eastAsia="zh-CN"/>
        </w:rPr>
        <w:t>九年一贯制</w:t>
      </w:r>
      <w:r>
        <w:rPr>
          <w:rFonts w:hint="eastAsia" w:ascii="Times New Roman" w:hAnsi="Times New Roman" w:cs="Times New Roman"/>
          <w:sz w:val="24"/>
          <w:szCs w:val="24"/>
          <w:highlight w:val="none"/>
        </w:rPr>
        <w:t>的</w:t>
      </w:r>
      <w:r>
        <w:rPr>
          <w:rFonts w:hint="eastAsia" w:ascii="Times New Roman" w:hAnsi="Times New Roman" w:cs="Times New Roman"/>
          <w:sz w:val="24"/>
          <w:szCs w:val="24"/>
          <w:highlight w:val="none"/>
          <w:lang w:val="en-US" w:eastAsia="zh-CN"/>
        </w:rPr>
        <w:t>学校。现针对南开实验学校（三个</w:t>
      </w:r>
      <w:r>
        <w:rPr>
          <w:rFonts w:hint="eastAsia" w:ascii="Times New Roman" w:hAnsi="Times New Roman" w:cs="Times New Roman"/>
          <w:sz w:val="24"/>
          <w:szCs w:val="24"/>
          <w:highlight w:val="none"/>
        </w:rPr>
        <w:t>校区</w:t>
      </w:r>
      <w:r>
        <w:rPr>
          <w:rFonts w:hint="eastAsia" w:ascii="Times New Roman" w:hAnsi="Times New Roman" w:cs="Times New Roman"/>
          <w:sz w:val="24"/>
          <w:szCs w:val="24"/>
          <w:highlight w:val="none"/>
          <w:lang w:val="en-US" w:eastAsia="zh-CN"/>
        </w:rPr>
        <w:t>及华苑小学和附属实验中学校区）区域</w:t>
      </w:r>
      <w:r>
        <w:rPr>
          <w:rFonts w:hint="eastAsia" w:ascii="Times New Roman" w:hAnsi="Times New Roman" w:cs="Times New Roman"/>
          <w:sz w:val="24"/>
          <w:szCs w:val="24"/>
          <w:highlight w:val="none"/>
        </w:rPr>
        <w:t>保安服务进行招标</w:t>
      </w:r>
    </w:p>
    <w:p w14:paraId="50E894CE">
      <w:pPr>
        <w:spacing w:line="360" w:lineRule="auto"/>
        <w:rPr>
          <w:rFonts w:ascii="Times New Roman" w:hAnsi="Times New Roman" w:cs="Times New Roman"/>
          <w:b/>
          <w:sz w:val="24"/>
          <w:szCs w:val="24"/>
          <w:highlight w:val="none"/>
        </w:rPr>
      </w:pPr>
      <w:r>
        <w:rPr>
          <w:rFonts w:ascii="Times New Roman" w:hAnsi="Times New Roman" w:cs="Times New Roman"/>
          <w:b/>
          <w:sz w:val="24"/>
          <w:szCs w:val="24"/>
          <w:highlight w:val="none"/>
        </w:rPr>
        <w:t>二、项目总预算</w:t>
      </w:r>
    </w:p>
    <w:p w14:paraId="57A58F92">
      <w:pPr>
        <w:spacing w:line="360" w:lineRule="auto"/>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lang w:val="en-US" w:eastAsia="zh-CN"/>
        </w:rPr>
        <w:t>94.5万</w:t>
      </w:r>
      <w:r>
        <w:rPr>
          <w:rFonts w:ascii="Times New Roman" w:hAnsi="Times New Roman" w:cs="Times New Roman"/>
          <w:sz w:val="24"/>
          <w:szCs w:val="24"/>
          <w:highlight w:val="none"/>
        </w:rPr>
        <w:t>元；</w:t>
      </w:r>
    </w:p>
    <w:p w14:paraId="1ABD3445">
      <w:pPr>
        <w:spacing w:line="360" w:lineRule="auto"/>
        <w:rPr>
          <w:rFonts w:ascii="Times New Roman" w:hAnsi="Times New Roman" w:eastAsia="宋体" w:cs="Times New Roman"/>
          <w:b/>
          <w:kern w:val="0"/>
          <w:sz w:val="24"/>
          <w:szCs w:val="24"/>
          <w:highlight w:val="none"/>
        </w:rPr>
      </w:pPr>
      <w:r>
        <w:rPr>
          <w:rFonts w:hint="eastAsia" w:ascii="Times New Roman" w:hAnsi="Times New Roman" w:eastAsia="宋体" w:cs="Times New Roman"/>
          <w:b/>
          <w:kern w:val="0"/>
          <w:sz w:val="24"/>
          <w:szCs w:val="24"/>
          <w:highlight w:val="none"/>
        </w:rPr>
        <w:t>三、项目经理</w:t>
      </w:r>
    </w:p>
    <w:p w14:paraId="05982734">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本项目需求一个项目负责人。</w:t>
      </w:r>
    </w:p>
    <w:p w14:paraId="7DBC3F04">
      <w:pPr>
        <w:spacing w:line="360" w:lineRule="auto"/>
        <w:rPr>
          <w:rFonts w:ascii="Times New Roman" w:hAnsi="Times New Roman" w:cs="Times New Roman"/>
          <w:b/>
          <w:sz w:val="24"/>
          <w:szCs w:val="24"/>
          <w:highlight w:val="none"/>
        </w:rPr>
      </w:pPr>
      <w:r>
        <w:rPr>
          <w:rFonts w:hint="eastAsia" w:ascii="Times New Roman" w:hAnsi="Times New Roman" w:eastAsia="宋体" w:cs="Times New Roman"/>
          <w:b/>
          <w:kern w:val="0"/>
          <w:sz w:val="24"/>
          <w:szCs w:val="24"/>
          <w:highlight w:val="none"/>
        </w:rPr>
        <w:t>四</w:t>
      </w:r>
      <w:r>
        <w:rPr>
          <w:rFonts w:ascii="Times New Roman" w:hAnsi="Times New Roman" w:eastAsia="宋体" w:cs="Times New Roman"/>
          <w:b/>
          <w:kern w:val="0"/>
          <w:sz w:val="24"/>
          <w:szCs w:val="24"/>
          <w:highlight w:val="none"/>
        </w:rPr>
        <w:t>、</w:t>
      </w:r>
      <w:r>
        <w:rPr>
          <w:rFonts w:hint="eastAsia" w:ascii="Times New Roman" w:hAnsi="Times New Roman" w:eastAsia="宋体" w:cs="Times New Roman"/>
          <w:b/>
          <w:kern w:val="0"/>
          <w:sz w:val="24"/>
          <w:szCs w:val="24"/>
          <w:highlight w:val="none"/>
          <w:lang w:eastAsia="zh-CN"/>
        </w:rPr>
        <w:t>保安</w:t>
      </w:r>
      <w:r>
        <w:rPr>
          <w:rFonts w:ascii="Times New Roman" w:hAnsi="Times New Roman" w:eastAsia="宋体" w:cs="Times New Roman"/>
          <w:b/>
          <w:kern w:val="0"/>
          <w:sz w:val="24"/>
          <w:szCs w:val="24"/>
          <w:highlight w:val="none"/>
        </w:rPr>
        <w:t>投入人员岗位及每个岗位的需要人数</w:t>
      </w:r>
    </w:p>
    <w:tbl>
      <w:tblPr>
        <w:tblStyle w:val="5"/>
        <w:tblW w:w="93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2227"/>
        <w:gridCol w:w="1991"/>
        <w:gridCol w:w="1907"/>
        <w:gridCol w:w="1228"/>
        <w:gridCol w:w="1240"/>
      </w:tblGrid>
      <w:tr w14:paraId="2D9B9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245F5F4">
            <w:pPr>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序号</w:t>
            </w:r>
          </w:p>
        </w:tc>
        <w:tc>
          <w:tcPr>
            <w:tcW w:w="2227" w:type="dxa"/>
            <w:vAlign w:val="center"/>
          </w:tcPr>
          <w:p w14:paraId="4ED82E1C">
            <w:pPr>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岗位名称</w:t>
            </w:r>
          </w:p>
        </w:tc>
        <w:tc>
          <w:tcPr>
            <w:tcW w:w="1991" w:type="dxa"/>
            <w:vAlign w:val="center"/>
          </w:tcPr>
          <w:p w14:paraId="7AA6C8A5">
            <w:pPr>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人数</w:t>
            </w:r>
          </w:p>
        </w:tc>
        <w:tc>
          <w:tcPr>
            <w:tcW w:w="1907" w:type="dxa"/>
            <w:vAlign w:val="center"/>
          </w:tcPr>
          <w:p w14:paraId="2BD7874E">
            <w:pPr>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要求</w:t>
            </w:r>
          </w:p>
        </w:tc>
        <w:tc>
          <w:tcPr>
            <w:tcW w:w="1228" w:type="dxa"/>
            <w:vAlign w:val="center"/>
          </w:tcPr>
          <w:p w14:paraId="3A728C5B">
            <w:pPr>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是否接受退休人员</w:t>
            </w:r>
          </w:p>
        </w:tc>
        <w:tc>
          <w:tcPr>
            <w:tcW w:w="1240" w:type="dxa"/>
            <w:vAlign w:val="center"/>
          </w:tcPr>
          <w:p w14:paraId="3C7FE08D">
            <w:pPr>
              <w:spacing w:line="360" w:lineRule="auto"/>
              <w:jc w:val="center"/>
              <w:rPr>
                <w:rFonts w:ascii="Times New Roman" w:hAnsi="Times New Roman" w:cs="Times New Roman"/>
                <w:b/>
                <w:sz w:val="24"/>
                <w:szCs w:val="24"/>
                <w:highlight w:val="none"/>
              </w:rPr>
            </w:pPr>
            <w:r>
              <w:rPr>
                <w:rFonts w:ascii="Times New Roman" w:hAnsi="Times New Roman" w:cs="Times New Roman"/>
                <w:b/>
                <w:sz w:val="24"/>
                <w:szCs w:val="24"/>
                <w:highlight w:val="none"/>
              </w:rPr>
              <w:t>工作时间</w:t>
            </w:r>
          </w:p>
        </w:tc>
      </w:tr>
      <w:tr w14:paraId="47F81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03E43C3C">
            <w:pPr>
              <w:spacing w:line="360" w:lineRule="auto"/>
              <w:jc w:val="center"/>
              <w:rPr>
                <w:rFonts w:ascii="Times New Roman" w:hAnsi="Times New Roman" w:cs="Times New Roman"/>
                <w:sz w:val="24"/>
                <w:szCs w:val="24"/>
                <w:highlight w:val="none"/>
              </w:rPr>
            </w:pPr>
            <w:r>
              <w:rPr>
                <w:rFonts w:ascii="Times New Roman" w:hAnsi="Times New Roman" w:cs="Times New Roman"/>
                <w:sz w:val="24"/>
                <w:szCs w:val="24"/>
                <w:highlight w:val="none"/>
              </w:rPr>
              <w:t>1</w:t>
            </w:r>
          </w:p>
        </w:tc>
        <w:tc>
          <w:tcPr>
            <w:tcW w:w="2227" w:type="dxa"/>
            <w:vAlign w:val="center"/>
          </w:tcPr>
          <w:p w14:paraId="5188DE51">
            <w:pPr>
              <w:spacing w:line="360" w:lineRule="auto"/>
              <w:jc w:val="center"/>
              <w:rPr>
                <w:rFonts w:hint="default" w:ascii="Times New Roman" w:hAnsi="Times New Roman" w:cs="Times New Roman" w:eastAsiaTheme="minorEastAsia"/>
                <w:sz w:val="24"/>
                <w:szCs w:val="24"/>
                <w:highlight w:val="none"/>
                <w:lang w:val="en-US" w:eastAsia="zh-CN"/>
              </w:rPr>
            </w:pPr>
            <w:r>
              <w:rPr>
                <w:rFonts w:hint="eastAsia" w:ascii="Times New Roman" w:hAnsi="Times New Roman" w:cs="Times New Roman"/>
                <w:sz w:val="24"/>
                <w:szCs w:val="24"/>
                <w:highlight w:val="none"/>
                <w:lang w:val="en-US" w:eastAsia="zh-CN"/>
              </w:rPr>
              <w:t>保安员</w:t>
            </w:r>
          </w:p>
        </w:tc>
        <w:tc>
          <w:tcPr>
            <w:tcW w:w="1991" w:type="dxa"/>
            <w:vAlign w:val="center"/>
          </w:tcPr>
          <w:p w14:paraId="067CB9ED">
            <w:pPr>
              <w:spacing w:line="360" w:lineRule="auto"/>
              <w:jc w:val="center"/>
              <w:rPr>
                <w:rFonts w:hint="default" w:ascii="Times New Roman" w:hAnsi="Times New Roman" w:cs="Times New Roman" w:eastAsiaTheme="minorEastAsia"/>
                <w:sz w:val="24"/>
                <w:szCs w:val="24"/>
                <w:highlight w:val="none"/>
                <w:lang w:val="en-US" w:eastAsia="zh-CN"/>
              </w:rPr>
            </w:pPr>
            <w:r>
              <w:rPr>
                <w:rFonts w:hint="eastAsia" w:ascii="Times New Roman" w:hAnsi="Times New Roman" w:cs="Times New Roman"/>
                <w:sz w:val="24"/>
                <w:szCs w:val="24"/>
                <w:highlight w:val="none"/>
                <w:lang w:val="en-US" w:eastAsia="zh-CN"/>
              </w:rPr>
              <w:t>14</w:t>
            </w:r>
          </w:p>
        </w:tc>
        <w:tc>
          <w:tcPr>
            <w:tcW w:w="1907" w:type="dxa"/>
            <w:vAlign w:val="center"/>
          </w:tcPr>
          <w:p w14:paraId="0D9B878B">
            <w:pPr>
              <w:spacing w:line="360" w:lineRule="auto"/>
              <w:jc w:val="center"/>
              <w:rPr>
                <w:rFonts w:ascii="Times New Roman" w:hAnsi="Times New Roman" w:cs="Times New Roman"/>
                <w:sz w:val="24"/>
                <w:szCs w:val="24"/>
                <w:highlight w:val="none"/>
              </w:rPr>
            </w:pPr>
            <w:r>
              <w:rPr>
                <w:rFonts w:hint="eastAsia" w:ascii="Times New Roman" w:hAnsi="Times New Roman" w:cs="Times New Roman"/>
                <w:szCs w:val="21"/>
                <w:lang w:eastAsia="zh-CN"/>
              </w:rPr>
              <w:t>男女不限，</w:t>
            </w:r>
            <w:r>
              <w:rPr>
                <w:rFonts w:hint="eastAsia" w:ascii="Times New Roman" w:hAnsi="Times New Roman" w:cs="Times New Roman"/>
                <w:szCs w:val="21"/>
              </w:rPr>
              <w:t>50岁以下，</w:t>
            </w:r>
            <w:r>
              <w:rPr>
                <w:rFonts w:hint="eastAsia" w:ascii="Times New Roman" w:hAnsi="Times New Roman" w:eastAsia="宋体" w:cs="Times New Roman"/>
                <w:szCs w:val="21"/>
                <w:highlight w:val="none"/>
                <w:lang w:val="en-US" w:eastAsia="zh-CN"/>
              </w:rPr>
              <w:t>提供开标日前三个月中连续两个月的由投标单位或其分公司为该人员缴纳的社会保险证明扫描件，</w:t>
            </w:r>
            <w:r>
              <w:rPr>
                <w:rFonts w:hint="eastAsia" w:ascii="Times New Roman" w:hAnsi="Times New Roman" w:cs="Times New Roman"/>
                <w:szCs w:val="21"/>
                <w:lang w:val="en-US" w:eastAsia="zh-CN"/>
              </w:rPr>
              <w:t>持职业资格证书（保安员）或</w:t>
            </w:r>
            <w:r>
              <w:rPr>
                <w:rFonts w:hint="eastAsia" w:ascii="Times New Roman" w:hAnsi="Times New Roman" w:eastAsia="宋体" w:cs="Times New Roman"/>
                <w:szCs w:val="21"/>
                <w:highlight w:val="none"/>
                <w:lang w:val="en-US" w:eastAsia="zh-CN"/>
              </w:rPr>
              <w:t>公安机关盖章的保安员证上岗，责任心强，身体健康，有良好的沟通和处理突发情况能力。</w:t>
            </w:r>
          </w:p>
        </w:tc>
        <w:tc>
          <w:tcPr>
            <w:tcW w:w="1228" w:type="dxa"/>
            <w:vAlign w:val="center"/>
          </w:tcPr>
          <w:p w14:paraId="7F951D38">
            <w:pPr>
              <w:spacing w:line="360" w:lineRule="auto"/>
              <w:jc w:val="center"/>
              <w:rPr>
                <w:rFonts w:hint="eastAsia" w:ascii="Times New Roman" w:hAnsi="Times New Roman" w:cs="Times New Roman" w:eastAsiaTheme="minorEastAsia"/>
                <w:sz w:val="24"/>
                <w:szCs w:val="24"/>
                <w:highlight w:val="none"/>
                <w:lang w:val="en-US" w:eastAsia="zh-CN"/>
              </w:rPr>
            </w:pPr>
            <w:r>
              <w:rPr>
                <w:rFonts w:hint="eastAsia" w:ascii="Times New Roman" w:hAnsi="Times New Roman" w:cs="Times New Roman"/>
                <w:sz w:val="24"/>
                <w:szCs w:val="24"/>
                <w:highlight w:val="none"/>
                <w:lang w:val="en-US" w:eastAsia="zh-CN"/>
              </w:rPr>
              <w:t>否</w:t>
            </w:r>
          </w:p>
        </w:tc>
        <w:tc>
          <w:tcPr>
            <w:tcW w:w="1240" w:type="dxa"/>
            <w:vAlign w:val="center"/>
          </w:tcPr>
          <w:p w14:paraId="5852483C">
            <w:pPr>
              <w:spacing w:line="360" w:lineRule="auto"/>
              <w:jc w:val="center"/>
              <w:rPr>
                <w:rFonts w:hint="default" w:ascii="Times New Roman" w:hAnsi="Times New Roman" w:cs="Times New Roman" w:eastAsiaTheme="minorEastAsia"/>
                <w:sz w:val="24"/>
                <w:szCs w:val="24"/>
                <w:highlight w:val="none"/>
                <w:lang w:val="en-US" w:eastAsia="zh-CN"/>
              </w:rPr>
            </w:pPr>
            <w:r>
              <w:rPr>
                <w:rFonts w:hint="eastAsia"/>
                <w:sz w:val="24"/>
                <w:szCs w:val="24"/>
                <w:highlight w:val="none"/>
              </w:rPr>
              <w:t>24小时值守</w:t>
            </w:r>
            <w:r>
              <w:rPr>
                <w:rFonts w:hint="eastAsia"/>
                <w:sz w:val="24"/>
                <w:szCs w:val="24"/>
                <w:highlight w:val="none"/>
                <w:lang w:eastAsia="zh-CN"/>
              </w:rPr>
              <w:t>。</w:t>
            </w:r>
          </w:p>
        </w:tc>
      </w:tr>
      <w:tr w14:paraId="21F0A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953" w:type="dxa"/>
            <w:gridSpan w:val="2"/>
            <w:vAlign w:val="center"/>
          </w:tcPr>
          <w:p w14:paraId="29346BD6">
            <w:pPr>
              <w:spacing w:line="360" w:lineRule="auto"/>
              <w:jc w:val="center"/>
              <w:rPr>
                <w:rFonts w:ascii="Times New Roman" w:hAnsi="Times New Roman" w:cs="Times New Roman"/>
                <w:sz w:val="24"/>
                <w:szCs w:val="24"/>
                <w:highlight w:val="none"/>
              </w:rPr>
            </w:pPr>
            <w:r>
              <w:rPr>
                <w:rFonts w:hint="eastAsia" w:ascii="Times New Roman" w:hAnsi="Times New Roman" w:cs="Times New Roman"/>
                <w:sz w:val="24"/>
                <w:szCs w:val="24"/>
                <w:highlight w:val="none"/>
              </w:rPr>
              <w:t>合计人数</w:t>
            </w:r>
          </w:p>
        </w:tc>
        <w:tc>
          <w:tcPr>
            <w:tcW w:w="6366" w:type="dxa"/>
            <w:gridSpan w:val="4"/>
            <w:vAlign w:val="center"/>
          </w:tcPr>
          <w:p w14:paraId="03213C03">
            <w:pPr>
              <w:spacing w:line="360" w:lineRule="auto"/>
              <w:jc w:val="center"/>
              <w:rPr>
                <w:rFonts w:hint="default" w:ascii="Times New Roman" w:hAnsi="Times New Roman" w:cs="Times New Roman" w:eastAsiaTheme="minorEastAsia"/>
                <w:sz w:val="24"/>
                <w:szCs w:val="24"/>
                <w:highlight w:val="none"/>
                <w:lang w:val="en-US" w:eastAsia="zh-CN"/>
              </w:rPr>
            </w:pPr>
            <w:r>
              <w:rPr>
                <w:rFonts w:hint="eastAsia" w:ascii="Times New Roman" w:hAnsi="Times New Roman" w:cs="Times New Roman"/>
                <w:sz w:val="24"/>
                <w:szCs w:val="24"/>
                <w:highlight w:val="none"/>
                <w:lang w:val="en-US" w:eastAsia="zh-CN"/>
              </w:rPr>
              <w:t>14</w:t>
            </w:r>
            <w:r>
              <w:rPr>
                <w:rFonts w:hint="eastAsia" w:ascii="Times New Roman" w:hAnsi="Times New Roman" w:eastAsia="宋体" w:cs="Times New Roman"/>
                <w:b/>
                <w:bCs/>
                <w:szCs w:val="21"/>
                <w:highlight w:val="none"/>
                <w:lang w:val="en-US" w:eastAsia="zh-CN"/>
              </w:rPr>
              <w:t>（以上</w:t>
            </w:r>
            <w:r>
              <w:rPr>
                <w:rFonts w:hint="eastAsia" w:ascii="Times New Roman" w:hAnsi="Times New Roman" w:cs="Times New Roman"/>
                <w:b/>
                <w:bCs/>
                <w:szCs w:val="21"/>
                <w:highlight w:val="none"/>
                <w:lang w:val="en-US" w:eastAsia="zh-CN"/>
              </w:rPr>
              <w:t>全部</w:t>
            </w:r>
            <w:r>
              <w:rPr>
                <w:rFonts w:hint="eastAsia" w:ascii="Times New Roman" w:hAnsi="Times New Roman" w:eastAsia="宋体" w:cs="Times New Roman"/>
                <w:b/>
                <w:bCs/>
                <w:szCs w:val="21"/>
                <w:highlight w:val="none"/>
                <w:lang w:val="en-US" w:eastAsia="zh-CN"/>
              </w:rPr>
              <w:t>人员需</w:t>
            </w:r>
            <w:r>
              <w:rPr>
                <w:rFonts w:hint="eastAsia" w:ascii="Times New Roman" w:hAnsi="Times New Roman" w:cs="Times New Roman"/>
                <w:b/>
                <w:bCs/>
                <w:szCs w:val="21"/>
                <w:highlight w:val="none"/>
                <w:lang w:val="en-US" w:eastAsia="zh-CN"/>
              </w:rPr>
              <w:t>按各年龄要求提供</w:t>
            </w:r>
            <w:r>
              <w:rPr>
                <w:rFonts w:hint="eastAsia" w:ascii="Times New Roman" w:hAnsi="Times New Roman" w:eastAsia="宋体" w:cs="Times New Roman"/>
                <w:b/>
                <w:bCs/>
                <w:szCs w:val="21"/>
                <w:highlight w:val="none"/>
                <w:lang w:val="en-US" w:eastAsia="zh-CN"/>
              </w:rPr>
              <w:t>有效期内</w:t>
            </w:r>
            <w:r>
              <w:rPr>
                <w:rFonts w:hint="eastAsia" w:ascii="Times New Roman" w:hAnsi="Times New Roman" w:cs="Times New Roman"/>
                <w:b/>
                <w:bCs/>
                <w:szCs w:val="21"/>
                <w:highlight w:val="none"/>
                <w:lang w:val="en-US" w:eastAsia="zh-CN"/>
              </w:rPr>
              <w:t>身份证正反面扫描件，</w:t>
            </w:r>
            <w:r>
              <w:rPr>
                <w:rFonts w:hint="eastAsia" w:ascii="Times New Roman" w:hAnsi="Times New Roman" w:eastAsia="宋体" w:cs="Times New Roman"/>
                <w:b/>
                <w:bCs/>
                <w:szCs w:val="21"/>
                <w:highlight w:val="none"/>
                <w:lang w:val="en-US" w:eastAsia="zh-CN"/>
              </w:rPr>
              <w:t>否则不予认定加分，全部</w:t>
            </w:r>
            <w:r>
              <w:rPr>
                <w:rFonts w:hint="eastAsia" w:ascii="Times New Roman" w:hAnsi="Times New Roman" w:cs="Times New Roman"/>
                <w:b/>
                <w:bCs/>
                <w:szCs w:val="21"/>
                <w:highlight w:val="none"/>
                <w:lang w:val="en-US" w:eastAsia="zh-CN"/>
              </w:rPr>
              <w:t>人员需</w:t>
            </w:r>
            <w:r>
              <w:rPr>
                <w:rFonts w:hint="eastAsia" w:ascii="Times New Roman" w:hAnsi="Times New Roman" w:eastAsia="宋体" w:cs="Times New Roman"/>
                <w:b/>
                <w:bCs/>
                <w:szCs w:val="21"/>
                <w:highlight w:val="none"/>
                <w:lang w:val="en-US" w:eastAsia="zh-CN"/>
              </w:rPr>
              <w:t>提供有效期内的全时段无犯罪记录证明）</w:t>
            </w:r>
          </w:p>
        </w:tc>
      </w:tr>
    </w:tbl>
    <w:p w14:paraId="002D4318">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五、</w:t>
      </w:r>
      <w:r>
        <w:rPr>
          <w:rFonts w:hint="eastAsia"/>
          <w:b/>
          <w:color w:val="000000"/>
          <w:sz w:val="24"/>
          <w:szCs w:val="24"/>
          <w:highlight w:val="none"/>
        </w:rPr>
        <w:t>各岗位人员具体工作内容、职责及服务标准</w:t>
      </w:r>
    </w:p>
    <w:p w14:paraId="313EEA6D">
      <w:pPr>
        <w:spacing w:line="360" w:lineRule="auto"/>
        <w:ind w:firstLine="480" w:firstLineChars="200"/>
        <w:rPr>
          <w:rFonts w:hint="eastAsia" w:ascii="宋体" w:hAnsi="宋体" w:eastAsia="宋体" w:cs="宋体"/>
          <w:b w:val="0"/>
          <w:bCs w:val="0"/>
          <w:color w:val="auto"/>
          <w:kern w:val="0"/>
          <w:sz w:val="24"/>
          <w:szCs w:val="24"/>
          <w:highlight w:val="none"/>
          <w:lang w:eastAsia="zh-CN"/>
        </w:rPr>
      </w:pPr>
      <w:r>
        <w:rPr>
          <w:rFonts w:hint="eastAsia" w:ascii="宋体" w:hAnsi="宋体" w:eastAsia="宋体" w:cs="宋体"/>
          <w:b w:val="0"/>
          <w:bCs w:val="0"/>
          <w:color w:val="auto"/>
          <w:kern w:val="0"/>
          <w:sz w:val="24"/>
          <w:szCs w:val="24"/>
          <w:highlight w:val="none"/>
          <w:lang w:eastAsia="zh-CN"/>
        </w:rPr>
        <w:t>（1）人员配备基本标准：</w:t>
      </w:r>
    </w:p>
    <w:p w14:paraId="11803839">
      <w:pPr>
        <w:spacing w:line="360" w:lineRule="auto"/>
        <w:ind w:firstLine="480" w:firstLineChars="200"/>
        <w:rPr>
          <w:rFonts w:hint="eastAsia" w:ascii="宋体" w:hAnsi="宋体" w:eastAsia="宋体" w:cs="宋体"/>
          <w:b w:val="0"/>
          <w:bCs w:val="0"/>
          <w:color w:val="auto"/>
          <w:kern w:val="0"/>
          <w:sz w:val="24"/>
          <w:szCs w:val="24"/>
          <w:highlight w:val="none"/>
          <w:lang w:eastAsia="zh-CN"/>
        </w:rPr>
      </w:pPr>
      <w:r>
        <w:rPr>
          <w:rFonts w:hint="eastAsia" w:ascii="宋体" w:hAnsi="宋体" w:eastAsia="宋体" w:cs="宋体"/>
          <w:b w:val="0"/>
          <w:bCs w:val="0"/>
          <w:color w:val="auto"/>
          <w:kern w:val="0"/>
          <w:sz w:val="24"/>
          <w:szCs w:val="24"/>
          <w:highlight w:val="none"/>
          <w:lang w:val="en-US" w:eastAsia="zh-CN"/>
        </w:rPr>
        <w:t>1.</w:t>
      </w:r>
      <w:r>
        <w:rPr>
          <w:rFonts w:hint="eastAsia" w:ascii="宋体" w:hAnsi="宋体" w:eastAsia="宋体" w:cs="宋体"/>
          <w:b w:val="0"/>
          <w:bCs w:val="0"/>
          <w:color w:val="auto"/>
          <w:kern w:val="0"/>
          <w:sz w:val="24"/>
          <w:szCs w:val="24"/>
          <w:highlight w:val="none"/>
          <w:lang w:eastAsia="zh-CN"/>
        </w:rPr>
        <w:t>提供保安服务的保安员，品行良好；保安人员须统一配备经采购人认可的制式保安制服，并符合保安服务管理条例要求。</w:t>
      </w:r>
    </w:p>
    <w:p w14:paraId="78877343">
      <w:pPr>
        <w:spacing w:line="360" w:lineRule="auto"/>
        <w:ind w:firstLine="480" w:firstLineChars="200"/>
        <w:rPr>
          <w:rFonts w:hint="eastAsia" w:ascii="宋体" w:hAnsi="宋体" w:eastAsia="宋体" w:cs="宋体"/>
          <w:b w:val="0"/>
          <w:bCs w:val="0"/>
          <w:color w:val="auto"/>
          <w:kern w:val="0"/>
          <w:sz w:val="24"/>
          <w:szCs w:val="24"/>
          <w:highlight w:val="none"/>
          <w:lang w:eastAsia="zh-CN"/>
        </w:rPr>
      </w:pPr>
      <w:r>
        <w:rPr>
          <w:rFonts w:hint="eastAsia" w:ascii="宋体" w:hAnsi="宋体" w:eastAsia="宋体" w:cs="宋体"/>
          <w:b w:val="0"/>
          <w:bCs w:val="0"/>
          <w:color w:val="auto"/>
          <w:kern w:val="0"/>
          <w:sz w:val="24"/>
          <w:szCs w:val="24"/>
          <w:highlight w:val="none"/>
          <w:lang w:val="en-US" w:eastAsia="zh-CN"/>
        </w:rPr>
        <w:t>2.</w:t>
      </w:r>
      <w:r>
        <w:rPr>
          <w:rFonts w:hint="eastAsia" w:ascii="宋体" w:hAnsi="宋体" w:eastAsia="宋体" w:cs="宋体"/>
          <w:b w:val="0"/>
          <w:bCs w:val="0"/>
          <w:color w:val="auto"/>
          <w:kern w:val="0"/>
          <w:sz w:val="24"/>
          <w:szCs w:val="24"/>
          <w:highlight w:val="none"/>
          <w:lang w:eastAsia="zh-CN"/>
        </w:rPr>
        <w:t>为本项目配备的保安员不得有下列之情况，曾被收容教育、强制隔离戒毒、劳动教养或者3次以上行政拘留的；曾因故意犯罪被刑事处罚的；被吊销保安员证未满3年的；曾两次被吊销保安员证的。</w:t>
      </w:r>
    </w:p>
    <w:p w14:paraId="7F17420C">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宋体" w:hAnsi="宋体" w:eastAsia="宋体" w:cs="宋体"/>
          <w:b w:val="0"/>
          <w:bCs w:val="0"/>
          <w:color w:val="auto"/>
          <w:kern w:val="0"/>
          <w:sz w:val="24"/>
          <w:szCs w:val="24"/>
          <w:highlight w:val="none"/>
          <w:lang w:eastAsia="zh-CN"/>
        </w:rPr>
        <w:t>（</w:t>
      </w:r>
      <w:r>
        <w:rPr>
          <w:rFonts w:hint="eastAsia" w:ascii="宋体" w:hAnsi="宋体" w:eastAsia="宋体" w:cs="宋体"/>
          <w:b w:val="0"/>
          <w:bCs w:val="0"/>
          <w:color w:val="auto"/>
          <w:kern w:val="0"/>
          <w:sz w:val="24"/>
          <w:szCs w:val="24"/>
          <w:highlight w:val="none"/>
          <w:lang w:val="en-US" w:eastAsia="zh-CN"/>
        </w:rPr>
        <w:t>2</w:t>
      </w:r>
      <w:r>
        <w:rPr>
          <w:rFonts w:hint="eastAsia" w:ascii="宋体" w:hAnsi="宋体" w:eastAsia="宋体" w:cs="宋体"/>
          <w:b w:val="0"/>
          <w:bCs w:val="0"/>
          <w:color w:val="auto"/>
          <w:kern w:val="0"/>
          <w:sz w:val="24"/>
          <w:szCs w:val="24"/>
          <w:highlight w:val="none"/>
          <w:lang w:eastAsia="zh-CN"/>
        </w:rPr>
        <w:t>）具体岗位职责如下</w:t>
      </w:r>
    </w:p>
    <w:p w14:paraId="1CCE43BA">
      <w:pPr>
        <w:spacing w:line="360" w:lineRule="auto"/>
        <w:ind w:firstLine="480" w:firstLineChars="200"/>
        <w:rPr>
          <w:rFonts w:hint="eastAsia" w:ascii="Times New Roman" w:hAnsi="Times New Roman" w:cs="Times New Roman"/>
          <w:sz w:val="24"/>
          <w:szCs w:val="24"/>
          <w:highlight w:val="none"/>
        </w:rPr>
      </w:pPr>
      <w:r>
        <w:rPr>
          <w:rFonts w:hint="eastAsia" w:ascii="Times New Roman" w:hAnsi="Times New Roman" w:cs="Times New Roman"/>
          <w:sz w:val="24"/>
          <w:szCs w:val="24"/>
          <w:highlight w:val="none"/>
          <w:lang w:val="en-US" w:eastAsia="zh-CN"/>
        </w:rPr>
        <w:t>1.</w:t>
      </w:r>
      <w:r>
        <w:rPr>
          <w:rFonts w:hint="eastAsia" w:ascii="Times New Roman" w:hAnsi="Times New Roman" w:cs="Times New Roman"/>
          <w:sz w:val="24"/>
          <w:szCs w:val="24"/>
          <w:highlight w:val="none"/>
        </w:rPr>
        <w:t>校门值守管理</w:t>
      </w:r>
    </w:p>
    <w:p w14:paraId="4CE0B593">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1.1校门口值守、护导服务(学生到校 上课日期早 7:00 至晚 5：30，寒暑 假周一至周五早 7:00 至晚 5 ：30)；校门门岗值守， 定点立岗，文明服务，来访 人员出入登记。</w:t>
      </w:r>
    </w:p>
    <w:p w14:paraId="23C93BE7">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1.2 大件物品出入时要有指定部门的放行 出入条，确认率 100%，控制危险品进入管 理区域；</w:t>
      </w:r>
    </w:p>
    <w:p w14:paraId="0DA897B9">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1.3 对进出管理区域的车辆进行验证、登记、放行和引导车辆有序进出，未经项目现 场同意，禁止外单位车辆进入本校区；</w:t>
      </w:r>
    </w:p>
    <w:p w14:paraId="04ED16E5">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1.4及时按位引导车辆，不能占用消防通 道，正确处理不合理停车和违章停车现象，禁止外来车辆在校区停留。</w:t>
      </w:r>
    </w:p>
    <w:p w14:paraId="45543A5B">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1.5公共区域钥匙管理：无丢失、无差错，记录详细、准确</w:t>
      </w:r>
    </w:p>
    <w:p w14:paraId="550E65D8">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2.教学楼及全院</w:t>
      </w:r>
    </w:p>
    <w:p w14:paraId="3BD0CAEC">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2.1记录消防器材维护检查工作</w:t>
      </w:r>
    </w:p>
    <w:p w14:paraId="59D51608">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2.2在管辖区域内巡视，发现有可疑人员，应前往询问、核查</w:t>
      </w:r>
    </w:p>
    <w:p w14:paraId="0EDC7A66">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2.3接受各岗的报告，协助处理各种突发情况</w:t>
      </w:r>
    </w:p>
    <w:p w14:paraId="658509BE">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2.4秩序维护人员在执勤中做到文明礼貌，训练有素，言行规范，认真负责，维护好该项目的秩序；巡逻频次不少于 2 小时 1 次，重点部位每小时巡逻1 次；</w:t>
      </w:r>
    </w:p>
    <w:p w14:paraId="1AC789F9">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2.5 检查治安、防火、防盗、水浸等情况， 发现问 题， 发现问题和隐患及时报告，突发事件 10 分钟内 到达现场；</w:t>
      </w:r>
    </w:p>
    <w:p w14:paraId="4FDABA3F">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2.6每班次夜间巡逻不低于 4 次。</w:t>
      </w:r>
    </w:p>
    <w:p w14:paraId="1E3DA1E0">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lang w:val="en-US" w:eastAsia="zh-CN"/>
        </w:rPr>
        <w:t>2.7坚守岗位， 尽职尽责，不得脱岗、替岗、睡岗， 严禁值班前饮酒或在值班时饮酒。</w:t>
      </w:r>
    </w:p>
    <w:p w14:paraId="48F955B0">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宋体" w:hAnsi="宋体" w:eastAsia="宋体" w:cs="宋体"/>
          <w:b w:val="0"/>
          <w:bCs w:val="0"/>
          <w:color w:val="auto"/>
          <w:kern w:val="0"/>
          <w:sz w:val="24"/>
          <w:szCs w:val="24"/>
          <w:highlight w:val="none"/>
          <w:lang w:eastAsia="zh-CN"/>
        </w:rPr>
        <w:t>（</w:t>
      </w:r>
      <w:r>
        <w:rPr>
          <w:rFonts w:hint="eastAsia" w:ascii="宋体" w:hAnsi="宋体" w:eastAsia="宋体" w:cs="宋体"/>
          <w:b w:val="0"/>
          <w:bCs w:val="0"/>
          <w:color w:val="auto"/>
          <w:kern w:val="0"/>
          <w:sz w:val="24"/>
          <w:szCs w:val="24"/>
          <w:highlight w:val="none"/>
          <w:lang w:val="en-US" w:eastAsia="zh-CN"/>
        </w:rPr>
        <w:t>3</w:t>
      </w:r>
      <w:r>
        <w:rPr>
          <w:rFonts w:hint="eastAsia" w:ascii="宋体" w:hAnsi="宋体" w:eastAsia="宋体" w:cs="宋体"/>
          <w:b w:val="0"/>
          <w:bCs w:val="0"/>
          <w:color w:val="auto"/>
          <w:kern w:val="0"/>
          <w:sz w:val="24"/>
          <w:szCs w:val="24"/>
          <w:highlight w:val="none"/>
          <w:lang w:eastAsia="zh-CN"/>
        </w:rPr>
        <w:t>）</w:t>
      </w:r>
      <w:r>
        <w:rPr>
          <w:rFonts w:hint="eastAsia" w:ascii="宋体" w:hAnsi="宋体" w:eastAsia="宋体" w:cs="宋体"/>
          <w:b w:val="0"/>
          <w:bCs w:val="0"/>
          <w:color w:val="auto"/>
          <w:kern w:val="0"/>
          <w:sz w:val="24"/>
          <w:szCs w:val="24"/>
          <w:highlight w:val="none"/>
          <w:lang w:val="en-US" w:eastAsia="zh-CN"/>
        </w:rPr>
        <w:t>三个</w:t>
      </w:r>
      <w:r>
        <w:rPr>
          <w:rFonts w:hint="eastAsia" w:ascii="宋体" w:hAnsi="宋体" w:eastAsia="宋体" w:cs="宋体"/>
          <w:b w:val="0"/>
          <w:bCs w:val="0"/>
          <w:color w:val="auto"/>
          <w:kern w:val="0"/>
          <w:sz w:val="24"/>
          <w:szCs w:val="24"/>
          <w:highlight w:val="none"/>
          <w:lang w:eastAsia="zh-CN"/>
        </w:rPr>
        <w:t>校区需要全年夜班保安服务；</w:t>
      </w:r>
      <w:r>
        <w:rPr>
          <w:rFonts w:hint="eastAsia" w:ascii="宋体" w:hAnsi="宋体" w:eastAsia="宋体" w:cs="宋体"/>
          <w:b w:val="0"/>
          <w:bCs w:val="0"/>
          <w:color w:val="auto"/>
          <w:kern w:val="0"/>
          <w:sz w:val="24"/>
          <w:szCs w:val="24"/>
          <w:highlight w:val="none"/>
          <w:lang w:val="en-US" w:eastAsia="zh-CN"/>
        </w:rPr>
        <w:t>五个</w:t>
      </w:r>
      <w:r>
        <w:rPr>
          <w:rFonts w:hint="eastAsia" w:ascii="宋体" w:hAnsi="宋体" w:eastAsia="宋体" w:cs="宋体"/>
          <w:b w:val="0"/>
          <w:bCs w:val="0"/>
          <w:color w:val="auto"/>
          <w:kern w:val="0"/>
          <w:sz w:val="24"/>
          <w:szCs w:val="24"/>
          <w:highlight w:val="none"/>
          <w:lang w:eastAsia="zh-CN"/>
        </w:rPr>
        <w:t>校区需要学生到校上课</w:t>
      </w:r>
      <w:r>
        <w:rPr>
          <w:rFonts w:hint="eastAsia" w:ascii="宋体" w:hAnsi="宋体" w:eastAsia="宋体" w:cs="宋体"/>
          <w:b w:val="0"/>
          <w:bCs w:val="0"/>
          <w:color w:val="auto"/>
          <w:kern w:val="0"/>
          <w:sz w:val="24"/>
          <w:szCs w:val="24"/>
          <w:highlight w:val="none"/>
          <w:lang w:val="en-US" w:eastAsia="zh-CN"/>
        </w:rPr>
        <w:t>期间</w:t>
      </w:r>
      <w:r>
        <w:rPr>
          <w:rFonts w:hint="eastAsia" w:ascii="宋体" w:hAnsi="宋体" w:eastAsia="宋体" w:cs="宋体"/>
          <w:b w:val="0"/>
          <w:bCs w:val="0"/>
          <w:color w:val="auto"/>
          <w:kern w:val="0"/>
          <w:sz w:val="24"/>
          <w:szCs w:val="24"/>
          <w:highlight w:val="none"/>
          <w:lang w:eastAsia="zh-CN"/>
        </w:rPr>
        <w:t>白班保安服务；</w:t>
      </w:r>
      <w:r>
        <w:rPr>
          <w:rFonts w:hint="eastAsia" w:ascii="宋体" w:hAnsi="宋体" w:eastAsia="宋体" w:cs="宋体"/>
          <w:b w:val="0"/>
          <w:bCs w:val="0"/>
          <w:color w:val="auto"/>
          <w:kern w:val="0"/>
          <w:sz w:val="24"/>
          <w:szCs w:val="24"/>
          <w:highlight w:val="none"/>
          <w:lang w:val="en-US" w:eastAsia="zh-CN"/>
        </w:rPr>
        <w:t>三个校区每个周六日及节假日白天保安服务，五个</w:t>
      </w:r>
      <w:r>
        <w:rPr>
          <w:rFonts w:hint="eastAsia" w:ascii="宋体" w:hAnsi="宋体" w:eastAsia="宋体" w:cs="宋体"/>
          <w:b w:val="0"/>
          <w:bCs w:val="0"/>
          <w:color w:val="auto"/>
          <w:kern w:val="0"/>
          <w:sz w:val="24"/>
          <w:szCs w:val="24"/>
          <w:highlight w:val="none"/>
          <w:lang w:eastAsia="zh-CN"/>
        </w:rPr>
        <w:t>校区寒暑假白班保安服务。</w:t>
      </w:r>
    </w:p>
    <w:p w14:paraId="3843D767">
      <w:pPr>
        <w:spacing w:line="360" w:lineRule="auto"/>
        <w:ind w:firstLine="482" w:firstLineChars="200"/>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六、应急服务要求</w:t>
      </w:r>
    </w:p>
    <w:p w14:paraId="600D472E">
      <w:pPr>
        <w:spacing w:line="360" w:lineRule="auto"/>
        <w:ind w:firstLine="480" w:firstLineChars="200"/>
        <w:rPr>
          <w:rFonts w:ascii="Times New Roman" w:hAnsi="Times New Roman" w:cs="Times New Roman"/>
          <w:sz w:val="24"/>
          <w:szCs w:val="24"/>
          <w:highlight w:val="none"/>
        </w:rPr>
      </w:pPr>
      <w:r>
        <w:rPr>
          <w:rFonts w:ascii="Times New Roman" w:hAnsi="Times New Roman" w:cs="Times New Roman"/>
          <w:sz w:val="24"/>
          <w:szCs w:val="24"/>
          <w:highlight w:val="none"/>
        </w:rPr>
        <w:t>当出现不可预知紧急情况时</w:t>
      </w:r>
      <w:r>
        <w:rPr>
          <w:rFonts w:hint="eastAsia" w:ascii="Times New Roman" w:hAnsi="Times New Roman" w:cs="Times New Roman"/>
          <w:sz w:val="24"/>
          <w:szCs w:val="24"/>
          <w:highlight w:val="none"/>
        </w:rPr>
        <w:t>（例如停水停电、极端天气、群体事件、自然灾害等，可根据项目具体情况列举），</w:t>
      </w:r>
      <w:r>
        <w:rPr>
          <w:rFonts w:ascii="Times New Roman" w:hAnsi="Times New Roman" w:cs="Times New Roman"/>
          <w:sz w:val="24"/>
          <w:szCs w:val="24"/>
          <w:highlight w:val="none"/>
        </w:rPr>
        <w:t>保证</w:t>
      </w:r>
      <w:r>
        <w:rPr>
          <w:rFonts w:hint="eastAsia" w:ascii="Times New Roman" w:hAnsi="Times New Roman" w:cs="Times New Roman"/>
          <w:sz w:val="24"/>
          <w:szCs w:val="24"/>
          <w:highlight w:val="none"/>
          <w:lang w:eastAsia="zh-CN"/>
        </w:rPr>
        <w:t>保安</w:t>
      </w:r>
      <w:r>
        <w:rPr>
          <w:rFonts w:ascii="Times New Roman" w:hAnsi="Times New Roman" w:cs="Times New Roman"/>
          <w:sz w:val="24"/>
          <w:szCs w:val="24"/>
          <w:highlight w:val="none"/>
        </w:rPr>
        <w:t>服务正常运转的措施</w:t>
      </w:r>
      <w:r>
        <w:rPr>
          <w:rFonts w:hint="eastAsia" w:ascii="Times New Roman" w:hAnsi="Times New Roman" w:cs="Times New Roman"/>
          <w:sz w:val="24"/>
          <w:szCs w:val="24"/>
          <w:highlight w:val="none"/>
        </w:rPr>
        <w:t>，包括但不限于</w:t>
      </w:r>
      <w:r>
        <w:rPr>
          <w:rFonts w:ascii="Times New Roman" w:hAnsi="Times New Roman" w:cs="Times New Roman"/>
          <w:sz w:val="24"/>
          <w:szCs w:val="24"/>
          <w:highlight w:val="none"/>
        </w:rPr>
        <w:t>临时增配人员</w:t>
      </w:r>
      <w:r>
        <w:rPr>
          <w:rFonts w:hint="eastAsia" w:ascii="Times New Roman" w:hAnsi="Times New Roman" w:cs="Times New Roman"/>
          <w:sz w:val="24"/>
          <w:szCs w:val="24"/>
          <w:highlight w:val="none"/>
        </w:rPr>
        <w:t>、临时调集设备、现有人员岗位职责临时增加、与相关政府部门协调配合等。</w:t>
      </w:r>
    </w:p>
    <w:p w14:paraId="10E01FE6">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七、人员保密要求</w:t>
      </w:r>
    </w:p>
    <w:p w14:paraId="21128F07">
      <w:pPr>
        <w:spacing w:line="360" w:lineRule="auto"/>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rPr>
        <w:t>保证</w:t>
      </w:r>
      <w:r>
        <w:rPr>
          <w:rFonts w:hint="eastAsia" w:ascii="Times New Roman" w:hAnsi="Times New Roman" w:cs="Times New Roman"/>
          <w:sz w:val="24"/>
          <w:szCs w:val="24"/>
          <w:highlight w:val="none"/>
          <w:lang w:eastAsia="zh-CN"/>
        </w:rPr>
        <w:t>保安</w:t>
      </w:r>
      <w:r>
        <w:rPr>
          <w:rFonts w:hint="eastAsia" w:ascii="Times New Roman" w:hAnsi="Times New Roman" w:cs="Times New Roman"/>
          <w:sz w:val="24"/>
          <w:szCs w:val="24"/>
          <w:highlight w:val="none"/>
        </w:rPr>
        <w:t>服务过程中有可能获取的保密信息不泄露的措施，包括但不限于制定保密制度、服务人员保密培训、重点岗位双人服务、泄密惩罚办法。</w:t>
      </w:r>
    </w:p>
    <w:p w14:paraId="0F67B59C">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八、人员稳定性要求</w:t>
      </w:r>
    </w:p>
    <w:p w14:paraId="064DE2D6">
      <w:pPr>
        <w:spacing w:line="360" w:lineRule="auto"/>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rPr>
        <w:t>在整个服务期内，人员更换率不得超过</w:t>
      </w:r>
      <w:r>
        <w:rPr>
          <w:rFonts w:hint="eastAsia" w:ascii="Times New Roman" w:hAnsi="Times New Roman" w:cs="Times New Roman"/>
          <w:sz w:val="24"/>
          <w:szCs w:val="24"/>
          <w:highlight w:val="none"/>
          <w:u w:val="single"/>
          <w:lang w:val="en-US" w:eastAsia="zh-CN"/>
        </w:rPr>
        <w:t>10</w:t>
      </w:r>
      <w:r>
        <w:rPr>
          <w:rFonts w:hint="eastAsia" w:ascii="Times New Roman" w:hAnsi="Times New Roman" w:cs="Times New Roman"/>
          <w:sz w:val="24"/>
          <w:szCs w:val="24"/>
          <w:highlight w:val="none"/>
        </w:rPr>
        <w:t>%，更换人员不得低于采购需求，且应经采购人同意。</w:t>
      </w:r>
    </w:p>
    <w:p w14:paraId="4F357C81">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九、进驻和接管要求</w:t>
      </w:r>
    </w:p>
    <w:p w14:paraId="49D6D499">
      <w:pPr>
        <w:spacing w:line="360" w:lineRule="auto"/>
        <w:ind w:firstLine="480" w:firstLineChars="200"/>
        <w:rPr>
          <w:rFonts w:ascii="Times New Roman" w:hAnsi="Times New Roman" w:cs="Times New Roman"/>
          <w:sz w:val="24"/>
          <w:szCs w:val="24"/>
          <w:highlight w:val="none"/>
        </w:rPr>
      </w:pPr>
      <w:r>
        <w:rPr>
          <w:rFonts w:hint="eastAsia" w:ascii="Times New Roman" w:hAnsi="Times New Roman" w:cs="Times New Roman"/>
          <w:sz w:val="24"/>
          <w:szCs w:val="24"/>
          <w:highlight w:val="none"/>
        </w:rPr>
        <w:t>中标（成交）后，及时配齐所需人员、工具、设备等，在规定的时间内保证全体服务人员按时进场服务，如果为新任</w:t>
      </w:r>
      <w:r>
        <w:rPr>
          <w:rFonts w:hint="eastAsia" w:ascii="Times New Roman" w:hAnsi="Times New Roman" w:cs="Times New Roman"/>
          <w:sz w:val="24"/>
          <w:szCs w:val="24"/>
          <w:highlight w:val="none"/>
          <w:lang w:val="en-US" w:eastAsia="zh-CN"/>
        </w:rPr>
        <w:t>保安</w:t>
      </w:r>
      <w:r>
        <w:rPr>
          <w:rFonts w:hint="eastAsia" w:ascii="Times New Roman" w:hAnsi="Times New Roman" w:cs="Times New Roman"/>
          <w:sz w:val="24"/>
          <w:szCs w:val="24"/>
          <w:highlight w:val="none"/>
        </w:rPr>
        <w:t>服务公司，则还需与前任</w:t>
      </w:r>
      <w:r>
        <w:rPr>
          <w:rFonts w:hint="eastAsia" w:ascii="Times New Roman" w:hAnsi="Times New Roman" w:cs="Times New Roman"/>
          <w:sz w:val="24"/>
          <w:szCs w:val="24"/>
          <w:highlight w:val="none"/>
          <w:lang w:val="en-US" w:eastAsia="zh-CN"/>
        </w:rPr>
        <w:t>保安</w:t>
      </w:r>
      <w:r>
        <w:rPr>
          <w:rFonts w:hint="eastAsia" w:ascii="Times New Roman" w:hAnsi="Times New Roman" w:cs="Times New Roman"/>
          <w:sz w:val="24"/>
          <w:szCs w:val="24"/>
          <w:highlight w:val="none"/>
        </w:rPr>
        <w:t>公司进行交接，保留相关记录，做到</w:t>
      </w:r>
      <w:r>
        <w:rPr>
          <w:rFonts w:hint="eastAsia" w:ascii="Times New Roman" w:hAnsi="Times New Roman" w:cs="Times New Roman"/>
          <w:sz w:val="24"/>
          <w:szCs w:val="24"/>
          <w:highlight w:val="none"/>
          <w:lang w:eastAsia="zh-CN"/>
        </w:rPr>
        <w:t>保安</w:t>
      </w:r>
      <w:r>
        <w:rPr>
          <w:rFonts w:hint="eastAsia" w:ascii="Times New Roman" w:hAnsi="Times New Roman" w:cs="Times New Roman"/>
          <w:sz w:val="24"/>
          <w:szCs w:val="24"/>
          <w:highlight w:val="none"/>
        </w:rPr>
        <w:t>服务平稳过渡，对采购人工作无不良影响。</w:t>
      </w:r>
    </w:p>
    <w:p w14:paraId="48B8A42A">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十、费用分割</w:t>
      </w:r>
    </w:p>
    <w:p w14:paraId="6F6400CE">
      <w:pPr>
        <w:spacing w:line="360" w:lineRule="auto"/>
        <w:ind w:firstLine="480" w:firstLineChars="200"/>
        <w:rPr>
          <w:rFonts w:hint="eastAsia" w:ascii="Times New Roman" w:hAnsi="Times New Roman" w:cs="Times New Roman"/>
          <w:sz w:val="24"/>
          <w:szCs w:val="24"/>
          <w:highlight w:val="none"/>
        </w:rPr>
      </w:pPr>
      <w:r>
        <w:rPr>
          <w:rFonts w:hint="eastAsia" w:ascii="Times New Roman" w:hAnsi="Times New Roman" w:cs="Times New Roman"/>
          <w:sz w:val="24"/>
          <w:szCs w:val="24"/>
          <w:highlight w:val="none"/>
        </w:rPr>
        <w:t>服务人员的服装、服务中使用的工具、耗材等由中标供应商提供。</w:t>
      </w:r>
    </w:p>
    <w:p w14:paraId="1E4EC6ED">
      <w:pPr>
        <w:spacing w:line="360" w:lineRule="auto"/>
        <w:ind w:firstLine="480" w:firstLineChars="200"/>
        <w:rPr>
          <w:rFonts w:hint="eastAsia"/>
          <w:sz w:val="24"/>
          <w:szCs w:val="24"/>
          <w:highlight w:val="none"/>
        </w:rPr>
      </w:pPr>
      <w:r>
        <w:rPr>
          <w:rFonts w:hint="eastAsia"/>
          <w:sz w:val="24"/>
          <w:szCs w:val="24"/>
          <w:highlight w:val="none"/>
        </w:rPr>
        <w:t>采购人免费提供保安室</w:t>
      </w:r>
      <w:r>
        <w:rPr>
          <w:rFonts w:hint="eastAsia"/>
          <w:sz w:val="24"/>
          <w:szCs w:val="24"/>
          <w:highlight w:val="none"/>
          <w:lang w:eastAsia="zh-CN"/>
        </w:rPr>
        <w:t>（</w:t>
      </w:r>
      <w:r>
        <w:rPr>
          <w:rFonts w:hint="eastAsia"/>
          <w:sz w:val="24"/>
          <w:szCs w:val="24"/>
          <w:highlight w:val="none"/>
          <w:lang w:val="en-US" w:eastAsia="zh-CN"/>
        </w:rPr>
        <w:t>门卫传达室</w:t>
      </w:r>
      <w:r>
        <w:rPr>
          <w:rFonts w:hint="eastAsia"/>
          <w:sz w:val="24"/>
          <w:szCs w:val="24"/>
          <w:highlight w:val="none"/>
          <w:lang w:eastAsia="zh-CN"/>
        </w:rPr>
        <w:t>）</w:t>
      </w:r>
      <w:r>
        <w:rPr>
          <w:rFonts w:hint="eastAsia"/>
          <w:sz w:val="24"/>
          <w:szCs w:val="24"/>
          <w:highlight w:val="none"/>
          <w:lang w:val="en-US" w:eastAsia="zh-CN"/>
        </w:rPr>
        <w:t>1</w:t>
      </w:r>
      <w:r>
        <w:rPr>
          <w:rFonts w:hint="eastAsia"/>
          <w:sz w:val="24"/>
          <w:szCs w:val="24"/>
          <w:highlight w:val="none"/>
        </w:rPr>
        <w:t>间，提供现场已具有的基本办公家具及设施。</w:t>
      </w:r>
    </w:p>
    <w:p w14:paraId="592EA772">
      <w:pPr>
        <w:spacing w:line="360" w:lineRule="auto"/>
        <w:ind w:firstLine="480" w:firstLineChars="200"/>
        <w:rPr>
          <w:rFonts w:ascii="Times New Roman" w:hAnsi="Times New Roman" w:cs="Times New Roman"/>
          <w:sz w:val="24"/>
          <w:szCs w:val="24"/>
          <w:highlight w:val="none"/>
        </w:rPr>
      </w:pPr>
      <w:r>
        <w:rPr>
          <w:rFonts w:hint="eastAsia"/>
          <w:sz w:val="24"/>
          <w:szCs w:val="24"/>
          <w:highlight w:val="none"/>
        </w:rPr>
        <w:t>不提供服务人员免费食宿。</w:t>
      </w:r>
    </w:p>
    <w:p w14:paraId="46648E4F">
      <w:pPr>
        <w:spacing w:line="360" w:lineRule="auto"/>
        <w:rPr>
          <w:rFonts w:ascii="Times New Roman" w:hAnsi="Times New Roman" w:cs="Times New Roman"/>
          <w:b/>
          <w:sz w:val="24"/>
          <w:szCs w:val="24"/>
          <w:highlight w:val="none"/>
        </w:rPr>
      </w:pPr>
      <w:r>
        <w:rPr>
          <w:rFonts w:hint="eastAsia" w:ascii="Times New Roman" w:hAnsi="Times New Roman" w:cs="Times New Roman"/>
          <w:b/>
          <w:sz w:val="24"/>
          <w:szCs w:val="24"/>
          <w:highlight w:val="none"/>
        </w:rPr>
        <w:t>十一、</w:t>
      </w:r>
      <w:r>
        <w:rPr>
          <w:rFonts w:hint="eastAsia" w:ascii="Times New Roman" w:hAnsi="Times New Roman" w:cs="Times New Roman"/>
          <w:b/>
          <w:sz w:val="24"/>
          <w:szCs w:val="24"/>
          <w:highlight w:val="none"/>
          <w:lang w:eastAsia="zh-CN"/>
        </w:rPr>
        <w:t>保安</w:t>
      </w:r>
      <w:r>
        <w:rPr>
          <w:rFonts w:hint="eastAsia" w:ascii="Times New Roman" w:hAnsi="Times New Roman" w:cs="Times New Roman"/>
          <w:b/>
          <w:sz w:val="24"/>
          <w:szCs w:val="24"/>
          <w:highlight w:val="none"/>
        </w:rPr>
        <w:t>服务时间、服务地点及付款方式</w:t>
      </w:r>
    </w:p>
    <w:p w14:paraId="0EE24303">
      <w:pPr>
        <w:spacing w:line="360" w:lineRule="auto"/>
        <w:ind w:firstLine="480" w:firstLineChars="200"/>
        <w:rPr>
          <w:rFonts w:hint="eastAsia" w:ascii="Times New Roman" w:hAnsi="Times New Roman" w:cs="Times New Roman"/>
          <w:sz w:val="24"/>
          <w:szCs w:val="24"/>
          <w:highlight w:val="none"/>
          <w:lang w:val="en-US" w:eastAsia="zh-CN"/>
        </w:rPr>
      </w:pPr>
      <w:r>
        <w:rPr>
          <w:rFonts w:hint="eastAsia" w:ascii="Times New Roman" w:hAnsi="Times New Roman" w:cs="Times New Roman"/>
          <w:sz w:val="24"/>
          <w:szCs w:val="24"/>
          <w:highlight w:val="none"/>
        </w:rPr>
        <w:t>服务</w:t>
      </w:r>
      <w:r>
        <w:rPr>
          <w:rFonts w:ascii="Times New Roman" w:hAnsi="Times New Roman" w:cs="Times New Roman"/>
          <w:sz w:val="24"/>
          <w:szCs w:val="24"/>
          <w:highlight w:val="none"/>
        </w:rPr>
        <w:t>时间：</w:t>
      </w:r>
      <w:r>
        <w:rPr>
          <w:rFonts w:hint="eastAsia" w:ascii="Times New Roman" w:hAnsi="Times New Roman" w:cs="Times New Roman"/>
          <w:sz w:val="24"/>
          <w:szCs w:val="24"/>
          <w:highlight w:val="none"/>
          <w:lang w:val="en-US" w:eastAsia="zh-CN"/>
        </w:rPr>
        <w:t>2026年1月1日至202</w:t>
      </w:r>
      <w:r>
        <w:rPr>
          <w:rFonts w:hint="eastAsia" w:cs="Times New Roman"/>
          <w:sz w:val="24"/>
          <w:szCs w:val="24"/>
          <w:highlight w:val="none"/>
          <w:lang w:val="en-US" w:eastAsia="zh-CN"/>
        </w:rPr>
        <w:t>7</w:t>
      </w:r>
      <w:r>
        <w:rPr>
          <w:rFonts w:hint="eastAsia" w:ascii="Times New Roman" w:hAnsi="Times New Roman" w:cs="Times New Roman"/>
          <w:sz w:val="24"/>
          <w:szCs w:val="24"/>
          <w:highlight w:val="none"/>
          <w:lang w:val="en-US" w:eastAsia="zh-CN"/>
        </w:rPr>
        <w:t>年3月31日止。（特殊情况</w:t>
      </w:r>
      <w:r>
        <w:rPr>
          <w:rFonts w:hint="eastAsia" w:cs="Times New Roman"/>
          <w:sz w:val="24"/>
          <w:szCs w:val="24"/>
          <w:highlight w:val="none"/>
          <w:lang w:val="en-US" w:eastAsia="zh-CN"/>
        </w:rPr>
        <w:t>以</w:t>
      </w:r>
      <w:r>
        <w:rPr>
          <w:rFonts w:hint="eastAsia" w:ascii="Times New Roman" w:hAnsi="Times New Roman" w:cs="Times New Roman"/>
          <w:sz w:val="24"/>
          <w:szCs w:val="24"/>
          <w:highlight w:val="none"/>
          <w:lang w:val="en-US" w:eastAsia="zh-CN"/>
        </w:rPr>
        <w:t>签订合同为准）</w:t>
      </w:r>
    </w:p>
    <w:p w14:paraId="777BF282">
      <w:pPr>
        <w:spacing w:line="360" w:lineRule="auto"/>
        <w:ind w:firstLine="480" w:firstLineChars="200"/>
        <w:rPr>
          <w:rFonts w:hint="eastAsia" w:ascii="Times New Roman" w:hAnsi="Times New Roman" w:cs="Times New Roman"/>
          <w:sz w:val="24"/>
          <w:szCs w:val="24"/>
          <w:highlight w:val="none"/>
        </w:rPr>
      </w:pPr>
      <w:r>
        <w:rPr>
          <w:rFonts w:hint="eastAsia" w:ascii="Times New Roman" w:hAnsi="Times New Roman" w:cs="Times New Roman"/>
          <w:sz w:val="24"/>
          <w:szCs w:val="24"/>
          <w:highlight w:val="none"/>
        </w:rPr>
        <w:t>服务</w:t>
      </w:r>
      <w:r>
        <w:rPr>
          <w:rFonts w:ascii="Times New Roman" w:hAnsi="Times New Roman" w:cs="Times New Roman"/>
          <w:sz w:val="24"/>
          <w:szCs w:val="24"/>
          <w:highlight w:val="none"/>
        </w:rPr>
        <w:t>地点：</w:t>
      </w:r>
      <w:r>
        <w:rPr>
          <w:rFonts w:hint="eastAsia" w:ascii="Times New Roman" w:hAnsi="Times New Roman" w:cs="Times New Roman"/>
          <w:sz w:val="24"/>
          <w:szCs w:val="24"/>
          <w:highlight w:val="none"/>
        </w:rPr>
        <w:t>天津市南开区实验学校。</w:t>
      </w:r>
    </w:p>
    <w:p w14:paraId="51A0E34C">
      <w:pPr>
        <w:spacing w:line="360" w:lineRule="auto"/>
        <w:ind w:firstLine="480" w:firstLineChars="200"/>
        <w:rPr>
          <w:rFonts w:hint="eastAsia" w:ascii="Times New Roman" w:hAnsi="Times New Roman" w:eastAsia="宋体" w:cs="Times New Roman"/>
          <w:sz w:val="24"/>
          <w:szCs w:val="24"/>
          <w:highlight w:val="none"/>
          <w:lang w:val="en-US" w:eastAsia="zh-CN"/>
        </w:rPr>
      </w:pPr>
      <w:r>
        <w:rPr>
          <w:rFonts w:hint="eastAsia" w:ascii="Times New Roman" w:hAnsi="Times New Roman" w:cs="Times New Roman"/>
          <w:sz w:val="24"/>
          <w:szCs w:val="24"/>
          <w:highlight w:val="none"/>
        </w:rPr>
        <w:t>付款方式</w:t>
      </w:r>
      <w:r>
        <w:rPr>
          <w:rFonts w:hint="eastAsia" w:ascii="Times New Roman" w:hAnsi="Times New Roman" w:eastAsia="宋体" w:cs="Times New Roman"/>
          <w:sz w:val="24"/>
          <w:szCs w:val="24"/>
          <w:highlight w:val="none"/>
          <w:lang w:val="en-US" w:eastAsia="zh-CN"/>
        </w:rPr>
        <w:t>：按月付款，每月15日前支付上一月服务费</w:t>
      </w:r>
    </w:p>
    <w:p w14:paraId="699374B4">
      <w:pPr>
        <w:numPr>
          <w:ilvl w:val="0"/>
          <w:numId w:val="0"/>
        </w:numPr>
        <w:spacing w:line="360" w:lineRule="auto"/>
        <w:rPr>
          <w:rFonts w:hint="eastAsia" w:ascii="Times New Roman" w:hAnsi="Times New Roman" w:cs="Times New Roman"/>
          <w:b/>
          <w:sz w:val="24"/>
          <w:szCs w:val="24"/>
          <w:highlight w:val="none"/>
        </w:rPr>
      </w:pPr>
      <w:r>
        <w:rPr>
          <w:rFonts w:hint="eastAsia" w:ascii="Times New Roman" w:hAnsi="Times New Roman" w:cs="Times New Roman"/>
          <w:b/>
          <w:sz w:val="24"/>
          <w:szCs w:val="24"/>
          <w:highlight w:val="none"/>
        </w:rPr>
        <w:t>十</w:t>
      </w:r>
      <w:r>
        <w:rPr>
          <w:rFonts w:hint="eastAsia" w:ascii="Times New Roman" w:hAnsi="Times New Roman" w:cs="Times New Roman"/>
          <w:b/>
          <w:sz w:val="24"/>
          <w:szCs w:val="24"/>
          <w:highlight w:val="none"/>
          <w:lang w:val="en-US" w:eastAsia="zh-CN"/>
        </w:rPr>
        <w:t>二</w:t>
      </w:r>
      <w:r>
        <w:rPr>
          <w:rFonts w:hint="eastAsia" w:ascii="Times New Roman" w:hAnsi="Times New Roman" w:cs="Times New Roman" w:eastAsiaTheme="minorEastAsia"/>
          <w:b/>
          <w:kern w:val="2"/>
          <w:sz w:val="24"/>
          <w:szCs w:val="24"/>
          <w:highlight w:val="none"/>
          <w:lang w:val="en-US" w:eastAsia="zh-CN" w:bidi="ar-SA"/>
        </w:rPr>
        <w:t>、</w:t>
      </w:r>
      <w:r>
        <w:rPr>
          <w:rFonts w:hint="eastAsia" w:ascii="Times New Roman" w:hAnsi="Times New Roman" w:cs="Times New Roman"/>
          <w:b/>
          <w:sz w:val="24"/>
          <w:szCs w:val="24"/>
          <w:highlight w:val="none"/>
          <w:lang w:val="en-US" w:eastAsia="zh-CN"/>
        </w:rPr>
        <w:t>保安</w:t>
      </w:r>
      <w:r>
        <w:rPr>
          <w:rFonts w:hint="eastAsia" w:ascii="Times New Roman" w:hAnsi="Times New Roman" w:cs="Times New Roman"/>
          <w:b/>
          <w:sz w:val="24"/>
          <w:szCs w:val="24"/>
          <w:highlight w:val="none"/>
        </w:rPr>
        <w:t>服务过程中须执行的国家相关标准、行业标准、地方标准或其他标准、规范</w:t>
      </w:r>
    </w:p>
    <w:p w14:paraId="3F6FB8C5">
      <w:pPr>
        <w:numPr>
          <w:ilvl w:val="0"/>
          <w:numId w:val="0"/>
        </w:numPr>
        <w:spacing w:line="360" w:lineRule="auto"/>
        <w:ind w:firstLine="480" w:firstLineChars="200"/>
        <w:rPr>
          <w:rFonts w:hint="eastAsia" w:ascii="Times New Roman" w:hAnsi="Times New Roman" w:cs="Times New Roman"/>
          <w:b/>
          <w:sz w:val="24"/>
          <w:szCs w:val="24"/>
          <w:highlight w:val="none"/>
        </w:rPr>
      </w:pPr>
      <w:r>
        <w:rPr>
          <w:rFonts w:hint="eastAsia"/>
          <w:color w:val="000000"/>
          <w:sz w:val="24"/>
          <w:szCs w:val="24"/>
          <w:highlight w:val="none"/>
        </w:rPr>
        <w:t>按照采购合同的约定和现行国家标准、行业标准或企业标准对每一服务环节、安全标准的履约情况进行考核与验收。必要时，采购人有权邀请参加本项目的其他</w:t>
      </w:r>
      <w:r>
        <w:rPr>
          <w:rFonts w:hint="eastAsia"/>
          <w:color w:val="000000"/>
          <w:sz w:val="24"/>
          <w:szCs w:val="24"/>
          <w:highlight w:val="none"/>
          <w:lang w:eastAsia="zh-CN"/>
        </w:rPr>
        <w:t>供应商</w:t>
      </w:r>
      <w:r>
        <w:rPr>
          <w:rFonts w:hint="eastAsia"/>
          <w:color w:val="000000"/>
          <w:sz w:val="24"/>
          <w:szCs w:val="24"/>
          <w:highlight w:val="none"/>
        </w:rPr>
        <w:t>或者第三方机构参与验收。参与验收的</w:t>
      </w:r>
      <w:r>
        <w:rPr>
          <w:rFonts w:hint="eastAsia"/>
          <w:color w:val="000000"/>
          <w:sz w:val="24"/>
          <w:szCs w:val="24"/>
          <w:highlight w:val="none"/>
          <w:lang w:eastAsia="zh-CN"/>
        </w:rPr>
        <w:t>供应商</w:t>
      </w:r>
      <w:r>
        <w:rPr>
          <w:rFonts w:hint="eastAsia"/>
          <w:color w:val="000000"/>
          <w:sz w:val="24"/>
          <w:szCs w:val="24"/>
          <w:highlight w:val="none"/>
        </w:rPr>
        <w:t>或者第三方机构的意见作为验收书的参考资料一并存档。验收结束后，应当出具验收书，列明各项服务的考核验收情况及项目总体评价，由验收双方共同签署</w:t>
      </w:r>
      <w:r>
        <w:rPr>
          <w:rFonts w:hint="eastAsia" w:ascii="宋体" w:hAnsi="宋体" w:eastAsia="宋体" w:cs="宋体"/>
          <w:sz w:val="24"/>
          <w:szCs w:val="24"/>
          <w:highlight w:val="none"/>
        </w:rPr>
        <w:t>。</w:t>
      </w:r>
    </w:p>
    <w:p w14:paraId="0A156E8F">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宋体" w:hAnsi="宋体"/>
          <w:b/>
          <w:color w:val="auto"/>
          <w:sz w:val="24"/>
          <w:szCs w:val="24"/>
          <w:highlight w:val="none"/>
          <w:lang w:val="en-US" w:eastAsia="zh-CN"/>
        </w:rPr>
      </w:pPr>
      <w:r>
        <w:rPr>
          <w:rFonts w:hint="eastAsia" w:ascii="宋体" w:hAnsi="宋体"/>
          <w:b/>
          <w:color w:val="auto"/>
          <w:sz w:val="24"/>
          <w:szCs w:val="24"/>
          <w:highlight w:val="none"/>
          <w:lang w:val="en-US" w:eastAsia="zh-CN"/>
        </w:rPr>
        <w:t>十三</w:t>
      </w:r>
      <w:r>
        <w:rPr>
          <w:rFonts w:hint="eastAsia" w:ascii="宋体" w:hAnsi="宋体"/>
          <w:b/>
          <w:color w:val="auto"/>
          <w:sz w:val="24"/>
          <w:szCs w:val="24"/>
          <w:highlight w:val="none"/>
        </w:rPr>
        <w:t>、</w:t>
      </w:r>
      <w:r>
        <w:rPr>
          <w:rFonts w:hint="eastAsia" w:ascii="宋体" w:hAnsi="宋体"/>
          <w:b/>
          <w:color w:val="auto"/>
          <w:sz w:val="24"/>
          <w:szCs w:val="24"/>
          <w:highlight w:val="none"/>
          <w:lang w:val="en-US" w:eastAsia="zh-CN"/>
        </w:rPr>
        <w:t>其他要求：</w:t>
      </w:r>
    </w:p>
    <w:p w14:paraId="709B0AFD">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1、投标方要在合同中要注明在保安招聘中将检查保安员是否存在心脑血管疾病。</w:t>
      </w:r>
    </w:p>
    <w:p w14:paraId="1FBBEE31">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2、保安公司不能层层转包内容列入合同。</w:t>
      </w:r>
    </w:p>
    <w:p w14:paraId="6C2F08B5">
      <w:pPr>
        <w:spacing w:line="360" w:lineRule="auto"/>
        <w:ind w:firstLine="482" w:firstLineChars="200"/>
        <w:rPr>
          <w:rFonts w:hint="default" w:ascii="Times New Roman" w:hAnsi="Times New Roman" w:cs="Times New Roman"/>
          <w:b/>
          <w:bCs/>
          <w:sz w:val="24"/>
          <w:szCs w:val="24"/>
          <w:lang w:val="en-US" w:eastAsia="zh-CN"/>
        </w:rPr>
      </w:pPr>
      <w:r>
        <w:rPr>
          <w:rFonts w:hint="eastAsia" w:ascii="Times New Roman" w:hAnsi="Times New Roman" w:cs="Times New Roman"/>
          <w:b/>
          <w:bCs/>
          <w:sz w:val="24"/>
          <w:szCs w:val="24"/>
          <w:lang w:val="en-US" w:eastAsia="zh-CN"/>
        </w:rPr>
        <w:t>3</w:t>
      </w:r>
      <w:bookmarkStart w:id="1" w:name="_GoBack"/>
      <w:bookmarkEnd w:id="1"/>
      <w:r>
        <w:rPr>
          <w:rFonts w:hint="eastAsia" w:ascii="Times New Roman" w:hAnsi="Times New Roman" w:cs="Times New Roman"/>
          <w:b/>
          <w:bCs/>
          <w:sz w:val="24"/>
          <w:szCs w:val="24"/>
          <w:lang w:val="en-US" w:eastAsia="zh-CN"/>
        </w:rPr>
        <w:t>.</w:t>
      </w:r>
      <w:r>
        <w:rPr>
          <w:rFonts w:hint="eastAsia" w:ascii="Times New Roman" w:hAnsi="Times New Roman" w:cs="Times New Roman"/>
          <w:b/>
          <w:bCs/>
          <w:sz w:val="24"/>
          <w:szCs w:val="24"/>
          <w:lang w:eastAsia="zh-CN"/>
        </w:rPr>
        <w:t>须提供有效期内《保安服务许可证》 ，非天津注册供应商一旦成交，须在合同规定时间内到天津市公安机关进行备案，须提供备案承诺书。</w:t>
      </w:r>
    </w:p>
    <w:p w14:paraId="2F4D88E4">
      <w:pPr>
        <w:pStyle w:val="2"/>
        <w:rPr>
          <w:rFonts w:hint="default"/>
          <w:lang w:val="en-US" w:eastAsia="zh-CN"/>
        </w:rPr>
      </w:pPr>
    </w:p>
    <w:p w14:paraId="41C6B505">
      <w:pPr>
        <w:spacing w:line="360" w:lineRule="auto"/>
        <w:rPr>
          <w:rFonts w:ascii="Times New Roman" w:hAnsi="Times New Roman" w:cs="Times New Roman"/>
          <w:b/>
          <w:sz w:val="24"/>
          <w:szCs w:val="24"/>
          <w:highlight w:val="none"/>
        </w:rPr>
      </w:pPr>
    </w:p>
    <w:p w14:paraId="6ED1096C">
      <w:pPr>
        <w:tabs>
          <w:tab w:val="left" w:pos="210"/>
        </w:tabs>
        <w:autoSpaceDE w:val="0"/>
        <w:autoSpaceDN w:val="0"/>
        <w:snapToGrid w:val="0"/>
        <w:spacing w:line="360" w:lineRule="auto"/>
        <w:ind w:firstLine="480" w:firstLineChars="200"/>
        <w:rPr>
          <w:rFonts w:hint="eastAsia" w:ascii="宋体" w:hAnsi="宋体" w:cs="宋体"/>
          <w:sz w:val="24"/>
          <w:szCs w:val="24"/>
          <w:highlight w:val="none"/>
        </w:rPr>
      </w:pPr>
    </w:p>
    <w:p w14:paraId="5B71884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4E5945"/>
    <w:rsid w:val="03E77BE1"/>
    <w:rsid w:val="0BA32D07"/>
    <w:rsid w:val="379A3411"/>
    <w:rsid w:val="4D2565DB"/>
    <w:rsid w:val="514E5945"/>
    <w:rsid w:val="5C0056E3"/>
    <w:rsid w:val="63566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style>
  <w:style w:type="paragraph" w:styleId="3">
    <w:name w:val="Normal (Web)"/>
    <w:basedOn w:val="1"/>
    <w:qFormat/>
    <w:uiPriority w:val="0"/>
    <w:pPr>
      <w:spacing w:before="100" w:beforeAutospacing="1" w:after="100" w:afterAutospacing="1"/>
      <w:jc w:val="left"/>
    </w:pPr>
    <w:rPr>
      <w:kern w:val="0"/>
      <w:sz w:val="24"/>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样式1"/>
    <w:basedOn w:val="1"/>
    <w:next w:val="1"/>
    <w:qFormat/>
    <w:uiPriority w:val="0"/>
    <w:pPr>
      <w:keepNext/>
      <w:keepLines/>
      <w:spacing w:before="340" w:beforeLines="0" w:after="330" w:afterLines="0" w:line="576" w:lineRule="auto"/>
      <w:jc w:val="center"/>
      <w:outlineLvl w:val="0"/>
    </w:pPr>
    <w:rPr>
      <w:rFonts w:ascii="Times New Roman" w:hAnsi="Times New Roman" w:eastAsia="宋体" w:cs="Times New Roman"/>
      <w:b/>
      <w:kern w:val="44"/>
      <w:sz w:val="44"/>
      <w:szCs w:val="20"/>
    </w:rPr>
  </w:style>
  <w:style w:type="paragraph" w:customStyle="1" w:styleId="8">
    <w:name w:val="样式2"/>
    <w:basedOn w:val="1"/>
    <w:next w:val="1"/>
    <w:qFormat/>
    <w:uiPriority w:val="0"/>
    <w:pPr>
      <w:keepNext/>
      <w:keepLines/>
      <w:spacing w:before="340" w:beforeLines="0" w:after="330" w:afterLines="0" w:line="576" w:lineRule="auto"/>
      <w:jc w:val="center"/>
      <w:outlineLvl w:val="0"/>
    </w:pPr>
    <w:rPr>
      <w:rFonts w:hint="eastAsia" w:ascii="Times New Roman" w:hAnsi="Times New Roman" w:eastAsia="宋体" w:cs="Times New Roman"/>
      <w:b/>
      <w:kern w:val="44"/>
      <w:sz w:val="44"/>
      <w:szCs w:val="20"/>
    </w:rPr>
  </w:style>
  <w:style w:type="paragraph" w:customStyle="1" w:styleId="9">
    <w:name w:val="样式3"/>
    <w:basedOn w:val="1"/>
    <w:next w:val="1"/>
    <w:uiPriority w:val="0"/>
    <w:pPr>
      <w:keepNext/>
      <w:keepLines/>
      <w:spacing w:before="340" w:beforeLines="0" w:after="330" w:afterLines="0" w:line="576" w:lineRule="auto"/>
      <w:jc w:val="center"/>
      <w:outlineLvl w:val="0"/>
    </w:pPr>
    <w:rPr>
      <w:rFonts w:ascii="Times New Roman" w:hAnsi="Times New Roman" w:eastAsia="宋体" w:cs="Times New Roman"/>
      <w:b/>
      <w:kern w:val="44"/>
      <w:sz w:val="44"/>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1756</Words>
  <Characters>1814</Characters>
  <Lines>0</Lines>
  <Paragraphs>0</Paragraphs>
  <TotalTime>0</TotalTime>
  <ScaleCrop>false</ScaleCrop>
  <LinksUpToDate>false</LinksUpToDate>
  <CharactersWithSpaces>1848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2025-11-26T07:21:00Z</dcterms:created>
  <dc:creator>W10</dc:creator>
  <cp:lastModifiedBy>Mr an</cp:lastModifiedBy>
  <dcterms:modified xsi:type="dcterms:W3CDTF">2025-12-01T01:16:01Z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B77D165C7BE3493181EEAFAC9C0D5487_11</vt:lpwstr>
  </property>
  <property fmtid="{D5CDD505-2E9C-101B-9397-08002B2CF9AE}" pid="4" name="KSOTemplateDocerSaveRecord">
    <vt:lpwstr>eyJoZGlkIjoiYjk4OGZhZmMzNmE4ZDE2MTdhM2ZlMzlkNjliMTc3MjIiLCJ1c2VySWQiOiI3NjA0ODM2MTMifQ==</vt:lpwstr>
  </property>
</Properties>
</file>