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858CE9">
      <w:pPr>
        <w:jc w:val="center"/>
        <w:rPr>
          <w:b/>
          <w:bCs/>
          <w:color w:val="000000" w:themeColor="text1"/>
          <w:sz w:val="32"/>
          <w:szCs w:val="40"/>
          <w14:textFill>
            <w14:solidFill>
              <w14:schemeClr w14:val="tx1"/>
            </w14:solidFill>
          </w14:textFill>
        </w:rPr>
      </w:pPr>
      <w:r>
        <w:rPr>
          <w:b/>
          <w:bCs/>
          <w:color w:val="000000" w:themeColor="text1"/>
          <w:sz w:val="32"/>
          <w:szCs w:val="40"/>
          <w14:textFill>
            <w14:solidFill>
              <w14:schemeClr w14:val="tx1"/>
            </w14:solidFill>
          </w14:textFill>
        </w:rPr>
        <w:t>项目需求书</w:t>
      </w:r>
    </w:p>
    <w:p w14:paraId="3A79455B">
      <w:pPr>
        <w:pStyle w:val="2"/>
        <w:rPr>
          <w:color w:val="000000" w:themeColor="text1"/>
          <w14:textFill>
            <w14:solidFill>
              <w14:schemeClr w14:val="tx1"/>
            </w14:solidFill>
          </w14:textFill>
        </w:rPr>
      </w:pPr>
      <w:r>
        <w:rPr>
          <w:rFonts w:hint="eastAsia"/>
          <w:color w:val="000000" w:themeColor="text1"/>
          <w14:textFill>
            <w14:solidFill>
              <w14:schemeClr w14:val="tx1"/>
            </w14:solidFill>
          </w14:textFill>
        </w:rPr>
        <w:t>（一）</w:t>
      </w:r>
      <w:r>
        <w:rPr>
          <w:color w:val="000000" w:themeColor="text1"/>
          <w14:textFill>
            <w14:solidFill>
              <w14:schemeClr w14:val="tx1"/>
            </w14:solidFill>
          </w14:textFill>
        </w:rPr>
        <w:t>项目背景</w:t>
      </w:r>
    </w:p>
    <w:p w14:paraId="43E9F483">
      <w:pPr>
        <w:spacing w:line="360" w:lineRule="auto"/>
        <w:ind w:firstLine="480" w:firstLineChars="200"/>
        <w:rPr>
          <w:color w:val="000000" w:themeColor="text1"/>
          <w:sz w:val="24"/>
          <w:szCs w:val="32"/>
          <w14:textFill>
            <w14:solidFill>
              <w14:schemeClr w14:val="tx1"/>
            </w14:solidFill>
          </w14:textFill>
        </w:rPr>
      </w:pPr>
      <w:r>
        <w:rPr>
          <w:color w:val="000000" w:themeColor="text1"/>
          <w:sz w:val="24"/>
          <w:szCs w:val="32"/>
          <w14:textFill>
            <w14:solidFill>
              <w14:schemeClr w14:val="tx1"/>
            </w14:solidFill>
          </w14:textFill>
        </w:rPr>
        <w:t>在数字化转型浪潮下，我社区医院作为基层医疗服务的重要载体，</w:t>
      </w:r>
      <w:r>
        <w:rPr>
          <w:rFonts w:hint="eastAsia"/>
          <w:color w:val="000000" w:themeColor="text1"/>
          <w:sz w:val="24"/>
          <w:szCs w:val="32"/>
          <w14:textFill>
            <w14:solidFill>
              <w14:schemeClr w14:val="tx1"/>
            </w14:solidFill>
          </w14:textFill>
        </w:rPr>
        <w:t>需</w:t>
      </w:r>
      <w:r>
        <w:rPr>
          <w:color w:val="000000" w:themeColor="text1"/>
          <w:sz w:val="24"/>
          <w:szCs w:val="32"/>
          <w14:textFill>
            <w14:solidFill>
              <w14:schemeClr w14:val="tx1"/>
            </w14:solidFill>
          </w14:textFill>
        </w:rPr>
        <w:t>提升信息化水平、优化诊疗服务效率。当前，传统PC终端存在维护成本高、资源分散利用率低等问题</w:t>
      </w:r>
      <w:r>
        <w:rPr>
          <w:rFonts w:hint="eastAsia"/>
          <w:color w:val="000000" w:themeColor="text1"/>
          <w:sz w:val="24"/>
          <w:szCs w:val="32"/>
          <w14:textFill>
            <w14:solidFill>
              <w14:schemeClr w14:val="tx1"/>
            </w14:solidFill>
          </w14:textFill>
        </w:rPr>
        <w:t>。</w:t>
      </w:r>
      <w:r>
        <w:rPr>
          <w:color w:val="000000" w:themeColor="text1"/>
          <w:sz w:val="24"/>
          <w:szCs w:val="32"/>
          <w14:textFill>
            <w14:solidFill>
              <w14:schemeClr w14:val="tx1"/>
            </w14:solidFill>
          </w14:textFill>
        </w:rPr>
        <w:t>为响应国家医疗信息化政策导向及国产化替代战略要求，我院计划引入云桌面一体机解决方案，通过整合计算、存储与网络资源，构建安全可控的云端办公环境，实现终端设备统一运维、数据集中备份，在保障患者隐私与医疗数据安全的同时，降低IT总体成本，提供更便捷、</w:t>
      </w:r>
      <w:r>
        <w:rPr>
          <w:rFonts w:hint="eastAsia"/>
          <w:color w:val="000000" w:themeColor="text1"/>
          <w:sz w:val="24"/>
          <w:szCs w:val="32"/>
          <w14:textFill>
            <w14:solidFill>
              <w14:schemeClr w14:val="tx1"/>
            </w14:solidFill>
          </w14:textFill>
        </w:rPr>
        <w:t>更</w:t>
      </w:r>
      <w:r>
        <w:rPr>
          <w:color w:val="000000" w:themeColor="text1"/>
          <w:sz w:val="24"/>
          <w:szCs w:val="32"/>
          <w14:textFill>
            <w14:solidFill>
              <w14:schemeClr w14:val="tx1"/>
            </w14:solidFill>
          </w14:textFill>
        </w:rPr>
        <w:t>智能的社区医疗服务体验。</w:t>
      </w:r>
    </w:p>
    <w:p w14:paraId="0C4A76BF">
      <w:pPr>
        <w:pStyle w:val="2"/>
        <w:rPr>
          <w:color w:val="000000" w:themeColor="text1"/>
          <w14:textFill>
            <w14:solidFill>
              <w14:schemeClr w14:val="tx1"/>
            </w14:solidFill>
          </w14:textFill>
        </w:rPr>
      </w:pPr>
      <w:r>
        <w:rPr>
          <w:rFonts w:hint="eastAsia"/>
          <w:color w:val="000000" w:themeColor="text1"/>
          <w14:textFill>
            <w14:solidFill>
              <w14:schemeClr w14:val="tx1"/>
            </w14:solidFill>
          </w14:textFill>
        </w:rPr>
        <w:t>（二）技术要求</w:t>
      </w:r>
    </w:p>
    <w:tbl>
      <w:tblPr>
        <w:tblStyle w:val="9"/>
        <w:tblW w:w="9488" w:type="dxa"/>
        <w:tblInd w:w="-2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90"/>
        <w:gridCol w:w="881"/>
        <w:gridCol w:w="6329"/>
        <w:gridCol w:w="744"/>
        <w:gridCol w:w="744"/>
      </w:tblGrid>
      <w:tr w14:paraId="07EFFA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790" w:type="dxa"/>
            <w:vAlign w:val="center"/>
          </w:tcPr>
          <w:p w14:paraId="7EE3750A">
            <w:pPr>
              <w:spacing w:line="360" w:lineRule="auto"/>
              <w:jc w:val="center"/>
              <w:rPr>
                <w:color w:val="000000" w:themeColor="text1"/>
                <w:sz w:val="24"/>
                <w14:textFill>
                  <w14:solidFill>
                    <w14:schemeClr w14:val="tx1"/>
                  </w14:solidFill>
                </w14:textFill>
              </w:rPr>
            </w:pPr>
            <w:bookmarkStart w:id="0" w:name="_Hlk211092755"/>
            <w:r>
              <w:rPr>
                <w:color w:val="000000" w:themeColor="text1"/>
                <w:sz w:val="24"/>
                <w14:textFill>
                  <w14:solidFill>
                    <w14:schemeClr w14:val="tx1"/>
                  </w14:solidFill>
                </w14:textFill>
              </w:rPr>
              <w:t>序号</w:t>
            </w:r>
          </w:p>
        </w:tc>
        <w:tc>
          <w:tcPr>
            <w:tcW w:w="881" w:type="dxa"/>
            <w:vAlign w:val="center"/>
          </w:tcPr>
          <w:p w14:paraId="0609715F">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标的</w:t>
            </w:r>
          </w:p>
          <w:p w14:paraId="01B87714">
            <w:pPr>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名称</w:t>
            </w:r>
          </w:p>
        </w:tc>
        <w:tc>
          <w:tcPr>
            <w:tcW w:w="6329" w:type="dxa"/>
            <w:vAlign w:val="center"/>
          </w:tcPr>
          <w:p w14:paraId="3D224F36">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技术要求</w:t>
            </w:r>
          </w:p>
        </w:tc>
        <w:tc>
          <w:tcPr>
            <w:tcW w:w="744" w:type="dxa"/>
            <w:vAlign w:val="center"/>
          </w:tcPr>
          <w:p w14:paraId="7D66F594">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数量</w:t>
            </w:r>
          </w:p>
        </w:tc>
        <w:tc>
          <w:tcPr>
            <w:tcW w:w="744" w:type="dxa"/>
            <w:vAlign w:val="center"/>
          </w:tcPr>
          <w:p w14:paraId="0D4FA9DA">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单位</w:t>
            </w:r>
          </w:p>
        </w:tc>
      </w:tr>
      <w:tr w14:paraId="0B5033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0" w:type="dxa"/>
            <w:vAlign w:val="center"/>
          </w:tcPr>
          <w:p w14:paraId="4C7E523F">
            <w:pPr>
              <w:spacing w:line="360" w:lineRule="auto"/>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w:t>
            </w:r>
          </w:p>
        </w:tc>
        <w:tc>
          <w:tcPr>
            <w:tcW w:w="881" w:type="dxa"/>
            <w:vAlign w:val="center"/>
          </w:tcPr>
          <w:p w14:paraId="4A2551B1">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云桌面一体机服务器</w:t>
            </w:r>
          </w:p>
        </w:tc>
        <w:tc>
          <w:tcPr>
            <w:tcW w:w="6329" w:type="dxa"/>
            <w:vAlign w:val="center"/>
          </w:tcPr>
          <w:p w14:paraId="4678B389">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★配置≥</w:t>
            </w:r>
            <w:r>
              <w:rPr>
                <w:rFonts w:hint="eastAsia"/>
                <w:color w:val="000000" w:themeColor="text1"/>
                <w:sz w:val="24"/>
                <w14:textFill>
                  <w14:solidFill>
                    <w14:schemeClr w14:val="tx1"/>
                  </w14:solidFill>
                </w14:textFill>
              </w:rPr>
              <w:t>5</w:t>
            </w:r>
            <w:r>
              <w:rPr>
                <w:color w:val="000000" w:themeColor="text1"/>
                <w:sz w:val="24"/>
                <w14:textFill>
                  <w14:solidFill>
                    <w14:schemeClr w14:val="tx1"/>
                  </w14:solidFill>
                </w14:textFill>
              </w:rPr>
              <w:t>节点</w:t>
            </w:r>
            <w:r>
              <w:rPr>
                <w:rFonts w:hint="eastAsia"/>
                <w:color w:val="000000" w:themeColor="text1"/>
                <w:sz w:val="24"/>
                <w14:textFill>
                  <w14:solidFill>
                    <w14:schemeClr w14:val="tx1"/>
                  </w14:solidFill>
                </w14:textFill>
              </w:rPr>
              <w:t>桌面云资源池，单节点技术要求为：CPU颗数≥2颗，国产C86架构，单颗CPU核心数≥16核，主频≥ 2.5GHZ；内存≥512GB；</w:t>
            </w:r>
            <w:r>
              <w:rPr>
                <w:color w:val="000000" w:themeColor="text1"/>
                <w:sz w:val="24"/>
                <w14:textFill>
                  <w14:solidFill>
                    <w14:schemeClr w14:val="tx1"/>
                  </w14:solidFill>
                </w14:textFill>
              </w:rPr>
              <w:t>配置≥2块</w:t>
            </w:r>
            <w:r>
              <w:rPr>
                <w:rFonts w:hint="eastAsia"/>
                <w:color w:val="000000" w:themeColor="text1"/>
                <w:sz w:val="24"/>
                <w14:textFill>
                  <w14:solidFill>
                    <w14:schemeClr w14:val="tx1"/>
                  </w14:solidFill>
                </w14:textFill>
              </w:rPr>
              <w:t>SSD系统盘</w:t>
            </w: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960G</w:t>
            </w:r>
            <w:r>
              <w:rPr>
                <w:color w:val="000000" w:themeColor="text1"/>
                <w:sz w:val="24"/>
                <w14:textFill>
                  <w14:solidFill>
                    <w14:schemeClr w14:val="tx1"/>
                  </w14:solidFill>
                </w14:textFill>
              </w:rPr>
              <w:t>B SSD硬盘≥</w:t>
            </w:r>
            <w:r>
              <w:rPr>
                <w:rFonts w:hint="eastAsia"/>
                <w:color w:val="000000" w:themeColor="text1"/>
                <w:sz w:val="24"/>
                <w14:textFill>
                  <w14:solidFill>
                    <w14:schemeClr w14:val="tx1"/>
                  </w14:solidFill>
                </w14:textFill>
              </w:rPr>
              <w:t>2</w:t>
            </w:r>
            <w:r>
              <w:rPr>
                <w:color w:val="000000" w:themeColor="text1"/>
                <w:sz w:val="24"/>
                <w14:textFill>
                  <w14:solidFill>
                    <w14:schemeClr w14:val="tx1"/>
                  </w14:solidFill>
                </w14:textFill>
              </w:rPr>
              <w:t>块</w:t>
            </w:r>
            <w:r>
              <w:rPr>
                <w:rFonts w:hint="eastAsia"/>
                <w:color w:val="000000" w:themeColor="text1"/>
                <w:sz w:val="24"/>
                <w14:textFill>
                  <w14:solidFill>
                    <w14:schemeClr w14:val="tx1"/>
                  </w14:solidFill>
                </w14:textFill>
              </w:rPr>
              <w:t>，6T</w:t>
            </w:r>
            <w:r>
              <w:rPr>
                <w:color w:val="000000" w:themeColor="text1"/>
                <w:sz w:val="24"/>
                <w14:textFill>
                  <w14:solidFill>
                    <w14:schemeClr w14:val="tx1"/>
                  </w14:solidFill>
                </w14:textFill>
              </w:rPr>
              <w:t xml:space="preserve">B </w:t>
            </w:r>
            <w:r>
              <w:rPr>
                <w:rFonts w:hint="eastAsia"/>
                <w:color w:val="000000" w:themeColor="text1"/>
                <w:sz w:val="24"/>
                <w14:textFill>
                  <w14:solidFill>
                    <w14:schemeClr w14:val="tx1"/>
                  </w14:solidFill>
                </w14:textFill>
              </w:rPr>
              <w:t>HD</w:t>
            </w:r>
            <w:r>
              <w:rPr>
                <w:color w:val="000000" w:themeColor="text1"/>
                <w:sz w:val="24"/>
                <w14:textFill>
                  <w14:solidFill>
                    <w14:schemeClr w14:val="tx1"/>
                  </w14:solidFill>
                </w14:textFill>
              </w:rPr>
              <w:t>D硬盘≥</w:t>
            </w:r>
            <w:r>
              <w:rPr>
                <w:rFonts w:hint="eastAsia"/>
                <w:color w:val="000000" w:themeColor="text1"/>
                <w:sz w:val="24"/>
                <w14:textFill>
                  <w14:solidFill>
                    <w14:schemeClr w14:val="tx1"/>
                  </w14:solidFill>
                </w14:textFill>
              </w:rPr>
              <w:t>4</w:t>
            </w:r>
            <w:r>
              <w:rPr>
                <w:color w:val="000000" w:themeColor="text1"/>
                <w:sz w:val="24"/>
                <w14:textFill>
                  <w14:solidFill>
                    <w14:schemeClr w14:val="tx1"/>
                  </w14:solidFill>
                </w14:textFill>
              </w:rPr>
              <w:t>块</w:t>
            </w:r>
            <w:r>
              <w:rPr>
                <w:rFonts w:hint="eastAsia"/>
                <w:color w:val="000000" w:themeColor="text1"/>
                <w:sz w:val="24"/>
                <w14:textFill>
                  <w14:solidFill>
                    <w14:schemeClr w14:val="tx1"/>
                  </w14:solidFill>
                </w14:textFill>
              </w:rPr>
              <w:t>；网络接口：千兆电口≥4个，万兆光口≥4个；</w:t>
            </w:r>
          </w:p>
          <w:p w14:paraId="665D6B5C">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★要求采用超融合基础架构，</w:t>
            </w:r>
            <w:r>
              <w:rPr>
                <w:rFonts w:hint="eastAsia"/>
                <w:color w:val="000000" w:themeColor="text1"/>
                <w:sz w:val="24"/>
                <w14:textFill>
                  <w14:solidFill>
                    <w14:schemeClr w14:val="tx1"/>
                  </w14:solidFill>
                </w14:textFill>
              </w:rPr>
              <w:t>提供不少于10颗CPU计算虚拟化授权，不少于10颗CPU存储虚拟化授权。</w:t>
            </w:r>
            <w:r>
              <w:rPr>
                <w:color w:val="000000" w:themeColor="text1"/>
                <w:sz w:val="24"/>
                <w14:textFill>
                  <w14:solidFill>
                    <w14:schemeClr w14:val="tx1"/>
                  </w14:solidFill>
                </w14:textFill>
              </w:rPr>
              <w:t>在同一管理平台内至少包含计算资源、存储资源等功能管理模块，并实现IT资源的统一整合；</w:t>
            </w:r>
          </w:p>
          <w:p w14:paraId="6F47D905">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虚拟机可以实现物理机的全部功能，如具有自己的资源，可以指定单独的IP地址、MAC地址等。</w:t>
            </w:r>
          </w:p>
          <w:p w14:paraId="6CBC8EAC">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color w:val="000000" w:themeColor="text1"/>
                <w:sz w:val="24"/>
                <w14:textFill>
                  <w14:solidFill>
                    <w14:schemeClr w14:val="tx1"/>
                  </w14:solidFill>
                </w14:textFill>
              </w:rPr>
              <w:t>支持基本资源监控，可查看CPU、网络和磁盘已使用实时数据信息，可以点击告警设置对CPU、网络和磁盘进行占用阈值设置操作，可以告警通知</w:t>
            </w:r>
            <w:r>
              <w:rPr>
                <w:rFonts w:hint="eastAsia"/>
                <w:color w:val="000000" w:themeColor="text1"/>
                <w:sz w:val="24"/>
                <w14:textFill>
                  <w14:solidFill>
                    <w14:schemeClr w14:val="tx1"/>
                  </w14:solidFill>
                </w14:textFill>
              </w:rPr>
              <w:t>。</w:t>
            </w:r>
          </w:p>
          <w:p w14:paraId="3DEF7B05">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支持主动HA功能，亚健康主机上的虚拟机，可热迁移至健康主机。用户可灵活选择响应方式。（需提供产品功能截图）</w:t>
            </w:r>
          </w:p>
          <w:p w14:paraId="4BA727E0">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支持虚拟机的无代理备份，无备份数据容量限制，可直接将虚拟机备份到存储，并支持生成全新虚拟机的方式进行恢复</w:t>
            </w:r>
          </w:p>
          <w:p w14:paraId="13483C91">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自动评估物理主机的负载情况，当物理主机负载过高时，自动将该物理主机上的虚拟机迁移到其他负载较低的主机上，确保业务持续稳定和集群主机负载均衡，支持设置动态资源调度时间段（需提供产品功能截图）</w:t>
            </w:r>
          </w:p>
          <w:p w14:paraId="3FD95E31">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支持虚拟机启用CPU预留机制，能够动态保障高优先级业务虚拟机需要资源时可以优先获取，在保障高优先级业务的性能情况下，提升资源利用率。</w:t>
            </w:r>
          </w:p>
          <w:p w14:paraId="7B3018FE">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支持虚拟路由器高可用功能。当虚拟路由器所在的主机发生故障时，系统应能够自动进行故障恢复。</w:t>
            </w:r>
          </w:p>
          <w:p w14:paraId="639F3CE5">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color w:val="000000" w:themeColor="text1"/>
                <w:sz w:val="24"/>
                <w14:textFill>
                  <w14:solidFill>
                    <w14:schemeClr w14:val="tx1"/>
                  </w14:solidFill>
                </w14:textFill>
              </w:rPr>
              <w:t>支持网络可视化功能，可以观察到所有虚拟机的流量走向与访问关系，提高问题排查效率。</w:t>
            </w:r>
          </w:p>
          <w:p w14:paraId="705FF72F">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支持网络硬件检测等能力，以便帮助运维人员及时检测和处理网络硬件故障，保障网络的稳定性和可靠性</w:t>
            </w:r>
          </w:p>
          <w:p w14:paraId="31CD74E1">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color w:val="000000" w:themeColor="text1"/>
                <w:sz w:val="24"/>
                <w14:textFill>
                  <w14:solidFill>
                    <w14:schemeClr w14:val="tx1"/>
                  </w14:solidFill>
                </w14:textFill>
              </w:rPr>
              <w:t>为实现虚拟网络连接、开启和关闭等操作，在管理平台上通过</w:t>
            </w:r>
            <w:r>
              <w:rPr>
                <w:rFonts w:hint="eastAsia"/>
                <w:color w:val="000000" w:themeColor="text1"/>
                <w:sz w:val="24"/>
                <w14:textFill>
                  <w14:solidFill>
                    <w14:schemeClr w14:val="tx1"/>
                  </w14:solidFill>
                </w14:textFill>
              </w:rPr>
              <w:t>拖</w:t>
            </w:r>
            <w:r>
              <w:rPr>
                <w:color w:val="000000" w:themeColor="text1"/>
                <w:sz w:val="24"/>
                <w14:textFill>
                  <w14:solidFill>
                    <w14:schemeClr w14:val="tx1"/>
                  </w14:solidFill>
                </w14:textFill>
              </w:rPr>
              <w:t>、拉、拽方式完成虚拟网络拓扑创建，能够通过同一界面中的功能按键。以提升运维人员部署效率。</w:t>
            </w:r>
          </w:p>
          <w:p w14:paraId="7CDA9917">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能够通过将硬盘资源池化提高资源利用率，利用智能条带化、分层、热点数据预测等技术提高存储性能</w:t>
            </w:r>
            <w:r>
              <w:rPr>
                <w:rFonts w:hint="eastAsia"/>
                <w:color w:val="000000" w:themeColor="text1"/>
                <w:sz w:val="24"/>
                <w14:textFill>
                  <w14:solidFill>
                    <w14:schemeClr w14:val="tx1"/>
                  </w14:solidFill>
                </w14:textFill>
              </w:rPr>
              <w:t>。</w:t>
            </w:r>
          </w:p>
          <w:p w14:paraId="71AC8C4D">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color w:val="000000" w:themeColor="text1"/>
                <w:sz w:val="24"/>
                <w14:textFill>
                  <w14:solidFill>
                    <w14:schemeClr w14:val="tx1"/>
                  </w14:solidFill>
                </w14:textFill>
              </w:rPr>
              <w:t>支持硬盘寿命预测功能，可以查看磁盘寿命页面列表项信息，包括硬盘名称、剩余寿命、预计剩余可用时长和寿命风险。</w:t>
            </w:r>
          </w:p>
          <w:p w14:paraId="2CDB5A83">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支持坏道扫描功能，可以在定时坏道扫描界面设置执行时间并执行坏道扫描任务，由用户设置扫描的扫描时间段定期对集群的硬盘进行扫描，及时发现潜藏的坏道。并支持发现坏道后，主动修复坏道区域数据。</w:t>
            </w:r>
          </w:p>
          <w:p w14:paraId="27C0B89E">
            <w:pPr>
              <w:numPr>
                <w:ilvl w:val="0"/>
                <w:numId w:val="1"/>
              </w:numPr>
              <w:tabs>
                <w:tab w:val="left" w:pos="0"/>
              </w:tabs>
              <w:spacing w:line="360" w:lineRule="auto"/>
              <w:jc w:val="left"/>
              <w:rPr>
                <w:color w:val="000000" w:themeColor="text1"/>
                <w:sz w:val="24"/>
                <w14:textFill>
                  <w14:solidFill>
                    <w14:schemeClr w14:val="tx1"/>
                  </w14:solidFill>
                </w14:textFill>
              </w:rPr>
            </w:pPr>
            <w:r>
              <w:rPr>
                <w:rFonts w:hint="eastAsia" w:ascii="宋体" w:hAnsi="宋体" w:cs="宋体"/>
                <w:color w:val="000000" w:themeColor="text1"/>
                <w:sz w:val="24"/>
                <w14:textFill>
                  <w14:solidFill>
                    <w14:schemeClr w14:val="tx1"/>
                  </w14:solidFill>
                </w14:textFill>
              </w:rPr>
              <w:t>●</w:t>
            </w:r>
            <w:r>
              <w:rPr>
                <w:color w:val="000000" w:themeColor="text1"/>
                <w:sz w:val="24"/>
                <w14:textFill>
                  <w14:solidFill>
                    <w14:schemeClr w14:val="tx1"/>
                  </w14:solidFill>
                </w14:textFill>
              </w:rPr>
              <w:t>为保障业务在硬件故障后尽快恢复数据</w:t>
            </w:r>
            <w:r>
              <w:rPr>
                <w:rFonts w:hint="eastAsia"/>
                <w:color w:val="000000" w:themeColor="text1"/>
                <w:sz w:val="24"/>
                <w14:textFill>
                  <w14:solidFill>
                    <w14:schemeClr w14:val="tx1"/>
                  </w14:solidFill>
                </w14:textFill>
              </w:rPr>
              <w:t>，支持进行数据重建操作，重建过程中可以查看数据重建任务列表信息，包括对象名称、对象类型、数据量和优先级等；支持点击操作中的优先级对数据重建进行优先重建。</w:t>
            </w:r>
          </w:p>
          <w:p w14:paraId="7A97A596">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支持对虚拟机或虚拟磁盘设置数据分布策略，当采用散列策略时，可以保证虚拟机以分布均匀优先为原则，打散分布均匀在各物理主机上，当采用聚合策略时，可以保证以性能优先为原则，实现IO本地读效果</w:t>
            </w:r>
            <w:r>
              <w:rPr>
                <w:rFonts w:hint="eastAsia"/>
                <w:color w:val="000000" w:themeColor="text1"/>
                <w:sz w:val="24"/>
                <w14:textFill>
                  <w14:solidFill>
                    <w14:schemeClr w14:val="tx1"/>
                  </w14:solidFill>
                </w14:textFill>
              </w:rPr>
              <w:t>。</w:t>
            </w:r>
          </w:p>
          <w:p w14:paraId="4402AA76">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支持在不同场景下满足存储对性能和可靠性的需求，支持为虚拟机的磁盘配置不同的存储策略，如重要虚拟机选择三副本高性能策略，普通虚拟机选择二副本默认策略</w:t>
            </w:r>
            <w:r>
              <w:rPr>
                <w:rFonts w:hint="eastAsia"/>
                <w:color w:val="000000" w:themeColor="text1"/>
                <w:sz w:val="24"/>
                <w14:textFill>
                  <w14:solidFill>
                    <w14:schemeClr w14:val="tx1"/>
                  </w14:solidFill>
                </w14:textFill>
              </w:rPr>
              <w:t>。</w:t>
            </w:r>
          </w:p>
          <w:p w14:paraId="50CD948B">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支持条带化功能以提高存储性能，并且支持以虚拟磁盘为粒度设置不同的条带数，可以点击虚拟存储中的新增存储策略进行条带数设置操作</w:t>
            </w:r>
            <w:r>
              <w:rPr>
                <w:rFonts w:hint="eastAsia"/>
                <w:color w:val="000000" w:themeColor="text1"/>
                <w:sz w:val="24"/>
                <w14:textFill>
                  <w14:solidFill>
                    <w14:schemeClr w14:val="tx1"/>
                  </w14:solidFill>
                </w14:textFill>
              </w:rPr>
              <w:t>。</w:t>
            </w:r>
          </w:p>
          <w:p w14:paraId="424DFEAB">
            <w:pPr>
              <w:numPr>
                <w:ilvl w:val="0"/>
                <w:numId w:val="1"/>
              </w:num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支持大屏展示便于平台管理员直观查看资源池的使用情况和健康状态，包括资源池使用情况，包括CPU使用率、内存使用率、存储使用率、虚拟机数量、物理主机数量以及集群故障与告警等</w:t>
            </w:r>
            <w:r>
              <w:rPr>
                <w:rFonts w:hint="eastAsia"/>
                <w:color w:val="000000" w:themeColor="text1"/>
                <w:sz w:val="24"/>
                <w14:textFill>
                  <w14:solidFill>
                    <w14:schemeClr w14:val="tx1"/>
                  </w14:solidFill>
                </w14:textFill>
              </w:rPr>
              <w:t>。</w:t>
            </w:r>
          </w:p>
        </w:tc>
        <w:tc>
          <w:tcPr>
            <w:tcW w:w="744" w:type="dxa"/>
            <w:vAlign w:val="center"/>
          </w:tcPr>
          <w:p w14:paraId="40383704">
            <w:pPr>
              <w:tabs>
                <w:tab w:val="left" w:pos="0"/>
              </w:tabs>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p>
        </w:tc>
        <w:tc>
          <w:tcPr>
            <w:tcW w:w="744" w:type="dxa"/>
            <w:vAlign w:val="center"/>
          </w:tcPr>
          <w:p w14:paraId="0F9EBDE7">
            <w:pPr>
              <w:tabs>
                <w:tab w:val="left" w:pos="0"/>
              </w:tabs>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套</w:t>
            </w:r>
          </w:p>
        </w:tc>
      </w:tr>
      <w:tr w14:paraId="12B95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90" w:type="dxa"/>
            <w:vAlign w:val="center"/>
          </w:tcPr>
          <w:p w14:paraId="769166DE">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p>
        </w:tc>
        <w:tc>
          <w:tcPr>
            <w:tcW w:w="881" w:type="dxa"/>
            <w:vAlign w:val="center"/>
          </w:tcPr>
          <w:p w14:paraId="43244823">
            <w:pPr>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系统集成</w:t>
            </w:r>
          </w:p>
        </w:tc>
        <w:tc>
          <w:tcPr>
            <w:tcW w:w="6329" w:type="dxa"/>
            <w:vAlign w:val="center"/>
          </w:tcPr>
          <w:p w14:paraId="0C093283">
            <w:pPr>
              <w:pStyle w:val="15"/>
              <w:numPr>
                <w:ilvl w:val="0"/>
                <w:numId w:val="2"/>
              </w:numPr>
              <w:tabs>
                <w:tab w:val="left" w:pos="0"/>
              </w:tabs>
              <w:spacing w:line="360" w:lineRule="auto"/>
              <w:ind w:firstLineChars="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设备的安装调测及所需要的线缆辅材。</w:t>
            </w:r>
          </w:p>
          <w:p w14:paraId="32A22329">
            <w:pPr>
              <w:pStyle w:val="15"/>
              <w:numPr>
                <w:ilvl w:val="0"/>
                <w:numId w:val="2"/>
              </w:numPr>
              <w:tabs>
                <w:tab w:val="left" w:pos="0"/>
              </w:tabs>
              <w:spacing w:line="360" w:lineRule="auto"/>
              <w:ind w:firstLineChars="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系统的培训服务。</w:t>
            </w:r>
          </w:p>
          <w:p w14:paraId="292DB1CC">
            <w:pPr>
              <w:pStyle w:val="15"/>
              <w:numPr>
                <w:ilvl w:val="0"/>
                <w:numId w:val="2"/>
              </w:numPr>
              <w:tabs>
                <w:tab w:val="left" w:pos="0"/>
              </w:tabs>
              <w:spacing w:line="360" w:lineRule="auto"/>
              <w:ind w:firstLineChars="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提供质保及售后服务。</w:t>
            </w:r>
          </w:p>
          <w:p w14:paraId="27C169AA">
            <w:pPr>
              <w:tabs>
                <w:tab w:val="left" w:pos="0"/>
              </w:tabs>
              <w:spacing w:line="360" w:lineRule="auto"/>
              <w:jc w:val="left"/>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4、根据医院需求，定期提供上门汇报及巡检服务。服务内容主要包括但不限于：</w:t>
            </w:r>
          </w:p>
          <w:p w14:paraId="41FF6EB5">
            <w:pPr>
              <w:tabs>
                <w:tab w:val="left" w:pos="0"/>
              </w:tabs>
              <w:spacing w:line="360" w:lineRule="auto"/>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对云桌面一体机平台的软硬件指标进行监控、检测和分析，监控类型包括但不仅限于：服务器、集群、虚拟机，同时能在运维平台输出相应告警信息，且可以及时同步到移动端应用，以便运维人员第一时间感知风险。</w:t>
            </w:r>
          </w:p>
          <w:p w14:paraId="61F0395C">
            <w:pPr>
              <w:tabs>
                <w:tab w:val="left" w:pos="0"/>
              </w:tabs>
              <w:spacing w:line="360" w:lineRule="auto"/>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（2）提供每周的总结，包含主机层、平台层、以及概况总结。</w:t>
            </w:r>
          </w:p>
        </w:tc>
        <w:tc>
          <w:tcPr>
            <w:tcW w:w="744" w:type="dxa"/>
            <w:vAlign w:val="center"/>
          </w:tcPr>
          <w:p w14:paraId="57D565AC">
            <w:pPr>
              <w:tabs>
                <w:tab w:val="left" w:pos="0"/>
              </w:tabs>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p>
        </w:tc>
        <w:tc>
          <w:tcPr>
            <w:tcW w:w="744" w:type="dxa"/>
            <w:vAlign w:val="center"/>
          </w:tcPr>
          <w:p w14:paraId="30AA5CDD">
            <w:pPr>
              <w:tabs>
                <w:tab w:val="left" w:pos="0"/>
              </w:tabs>
              <w:spacing w:line="360" w:lineRule="auto"/>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项</w:t>
            </w:r>
          </w:p>
        </w:tc>
      </w:tr>
      <w:bookmarkEnd w:id="0"/>
    </w:tbl>
    <w:p w14:paraId="7DF73E4E">
      <w:pPr>
        <w:rPr>
          <w:color w:val="000000" w:themeColor="text1"/>
          <w14:textFill>
            <w14:solidFill>
              <w14:schemeClr w14:val="tx1"/>
            </w14:solidFill>
          </w14:textFill>
        </w:rPr>
      </w:pPr>
    </w:p>
    <w:p w14:paraId="2698EB27">
      <w:pPr>
        <w:rPr>
          <w:color w:val="000000" w:themeColor="text1"/>
          <w14:textFill>
            <w14:solidFill>
              <w14:schemeClr w14:val="tx1"/>
            </w14:solidFill>
          </w14:textFill>
        </w:rPr>
      </w:pPr>
      <w:r>
        <w:rPr>
          <w:color w:val="000000" w:themeColor="text1"/>
          <w14:textFill>
            <w14:solidFill>
              <w14:schemeClr w14:val="tx1"/>
            </w14:solidFill>
          </w14:textFill>
        </w:rPr>
        <w:br w:type="page"/>
      </w:r>
    </w:p>
    <w:p w14:paraId="24E4E323">
      <w:pPr>
        <w:numPr>
          <w:ilvl w:val="0"/>
          <w:numId w:val="3"/>
        </w:numPr>
        <w:autoSpaceDE w:val="0"/>
        <w:autoSpaceDN w:val="0"/>
        <w:adjustRightInd w:val="0"/>
        <w:snapToGrid w:val="0"/>
        <w:spacing w:line="360" w:lineRule="auto"/>
        <w:ind w:firstLine="643" w:firstLineChars="200"/>
        <w:rPr>
          <w:b/>
          <w:color w:val="000000" w:themeColor="text1"/>
          <w:sz w:val="32"/>
          <w14:textFill>
            <w14:solidFill>
              <w14:schemeClr w14:val="tx1"/>
            </w14:solidFill>
          </w14:textFill>
        </w:rPr>
      </w:pPr>
      <w:r>
        <w:rPr>
          <w:rFonts w:hint="eastAsia"/>
          <w:b/>
          <w:color w:val="000000" w:themeColor="text1"/>
          <w:sz w:val="32"/>
          <w14:textFill>
            <w14:solidFill>
              <w14:schemeClr w14:val="tx1"/>
            </w14:solidFill>
          </w14:textFill>
        </w:rPr>
        <w:t>服务要求</w:t>
      </w:r>
    </w:p>
    <w:p w14:paraId="50ED0C71">
      <w:pPr>
        <w:spacing w:line="360" w:lineRule="auto"/>
        <w:ind w:firstLine="480" w:firstLineChars="200"/>
        <w:outlineLvl w:val="0"/>
        <w:rPr>
          <w:sz w:val="24"/>
        </w:rPr>
      </w:pPr>
      <w:r>
        <w:rPr>
          <w:rFonts w:hint="eastAsia"/>
          <w:sz w:val="24"/>
        </w:rPr>
        <w:t>1. 提供所投产品至少3年的免费上门保修，软件3年免费升级，保修期内免费更换零配件，终身维修。</w:t>
      </w:r>
    </w:p>
    <w:p w14:paraId="364FC2CB">
      <w:pPr>
        <w:spacing w:line="360" w:lineRule="auto"/>
        <w:ind w:firstLine="480" w:firstLineChars="200"/>
        <w:outlineLvl w:val="0"/>
        <w:rPr>
          <w:sz w:val="24"/>
        </w:rPr>
      </w:pPr>
      <w:r>
        <w:rPr>
          <w:rFonts w:hint="eastAsia"/>
          <w:sz w:val="24"/>
        </w:rPr>
        <w:t>2. 提供3年7×24小时技术响应，48小时内维修工程师到达维修现场。保修期自验收合格之日起计算。</w:t>
      </w:r>
    </w:p>
    <w:p w14:paraId="391D6C2D">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7FD72FE7">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4EEC4F7C">
      <w:pPr>
        <w:spacing w:line="360" w:lineRule="auto"/>
        <w:ind w:firstLine="480" w:firstLineChars="200"/>
        <w:outlineLvl w:val="0"/>
        <w:rPr>
          <w:sz w:val="24"/>
        </w:rPr>
      </w:pPr>
      <w:r>
        <w:rPr>
          <w:rFonts w:hint="eastAsia"/>
          <w:sz w:val="24"/>
        </w:rPr>
        <w:t>5. 提供现场技术培训。</w:t>
      </w:r>
    </w:p>
    <w:p w14:paraId="054D5D72">
      <w:pPr>
        <w:numPr>
          <w:ilvl w:val="0"/>
          <w:numId w:val="3"/>
        </w:numPr>
        <w:autoSpaceDE w:val="0"/>
        <w:autoSpaceDN w:val="0"/>
        <w:adjustRightInd w:val="0"/>
        <w:snapToGrid w:val="0"/>
        <w:spacing w:line="360" w:lineRule="auto"/>
        <w:ind w:firstLine="643" w:firstLineChars="200"/>
        <w:rPr>
          <w:b/>
          <w:color w:val="000000" w:themeColor="text1"/>
          <w:sz w:val="32"/>
          <w14:textFill>
            <w14:solidFill>
              <w14:schemeClr w14:val="tx1"/>
            </w14:solidFill>
          </w14:textFill>
        </w:rPr>
      </w:pPr>
      <w:r>
        <w:rPr>
          <w:rFonts w:hint="eastAsia"/>
          <w:b/>
          <w:color w:val="000000" w:themeColor="text1"/>
          <w:sz w:val="32"/>
          <w14:textFill>
            <w14:solidFill>
              <w14:schemeClr w14:val="tx1"/>
            </w14:solidFill>
          </w14:textFill>
        </w:rPr>
        <w:t>报价要求</w:t>
      </w:r>
    </w:p>
    <w:p w14:paraId="4A3A42AB">
      <w:pPr>
        <w:spacing w:line="360" w:lineRule="auto"/>
        <w:rPr>
          <w:sz w:val="24"/>
        </w:rPr>
      </w:pPr>
      <w:r>
        <w:rPr>
          <w:rFonts w:hint="eastAsia"/>
          <w:sz w:val="24"/>
        </w:rPr>
        <w:t>1. 投标报价以人民币填列。</w:t>
      </w:r>
    </w:p>
    <w:p w14:paraId="381C6619">
      <w:pPr>
        <w:spacing w:line="360" w:lineRule="auto"/>
        <w:rPr>
          <w:sz w:val="24"/>
        </w:rPr>
      </w:pPr>
      <w:r>
        <w:rPr>
          <w:rFonts w:hint="eastAsia"/>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084D766E">
      <w:pPr>
        <w:spacing w:line="360" w:lineRule="auto"/>
        <w:rPr>
          <w:sz w:val="24"/>
        </w:rPr>
      </w:pPr>
      <w:r>
        <w:rPr>
          <w:rFonts w:hint="eastAsia"/>
          <w:sz w:val="24"/>
        </w:rPr>
        <w:t>3. 验收及相关费用由投标人负责。</w:t>
      </w:r>
    </w:p>
    <w:p w14:paraId="143E06CC">
      <w:pPr>
        <w:numPr>
          <w:ilvl w:val="0"/>
          <w:numId w:val="3"/>
        </w:numPr>
        <w:autoSpaceDE w:val="0"/>
        <w:autoSpaceDN w:val="0"/>
        <w:adjustRightInd w:val="0"/>
        <w:snapToGrid w:val="0"/>
        <w:spacing w:line="360" w:lineRule="auto"/>
        <w:ind w:firstLine="643" w:firstLineChars="200"/>
        <w:rPr>
          <w:b/>
          <w:color w:val="000000" w:themeColor="text1"/>
          <w:sz w:val="32"/>
          <w14:textFill>
            <w14:solidFill>
              <w14:schemeClr w14:val="tx1"/>
            </w14:solidFill>
          </w14:textFill>
        </w:rPr>
      </w:pPr>
      <w:r>
        <w:rPr>
          <w:rFonts w:hint="eastAsia"/>
          <w:b/>
          <w:color w:val="000000" w:themeColor="text1"/>
          <w:sz w:val="32"/>
          <w14:textFill>
            <w14:solidFill>
              <w14:schemeClr w14:val="tx1"/>
            </w14:solidFill>
          </w14:textFill>
        </w:rPr>
        <w:t>交货期</w:t>
      </w:r>
    </w:p>
    <w:p w14:paraId="14A98DDA">
      <w:pPr>
        <w:spacing w:line="360" w:lineRule="auto"/>
        <w:rPr>
          <w:sz w:val="24"/>
        </w:rPr>
      </w:pPr>
      <w:r>
        <w:rPr>
          <w:rFonts w:hint="eastAsia"/>
          <w:sz w:val="24"/>
        </w:rPr>
        <w:t>交货期：自签订合同且甲方通知开工后30天内全部产品到货，并完成安装调试等工作。</w:t>
      </w:r>
    </w:p>
    <w:p w14:paraId="677BC186">
      <w:pPr>
        <w:autoSpaceDE w:val="0"/>
        <w:autoSpaceDN w:val="0"/>
        <w:adjustRightInd w:val="0"/>
        <w:snapToGrid w:val="0"/>
        <w:spacing w:line="360" w:lineRule="auto"/>
        <w:ind w:firstLine="643" w:firstLineChars="200"/>
        <w:rPr>
          <w:b/>
          <w:color w:val="000000" w:themeColor="text1"/>
          <w:sz w:val="32"/>
          <w14:textFill>
            <w14:solidFill>
              <w14:schemeClr w14:val="tx1"/>
            </w14:solidFill>
          </w14:textFill>
        </w:rPr>
      </w:pPr>
      <w:r>
        <w:rPr>
          <w:rFonts w:hint="eastAsia"/>
          <w:b/>
          <w:color w:val="000000" w:themeColor="text1"/>
          <w:sz w:val="32"/>
          <w14:textFill>
            <w14:solidFill>
              <w14:schemeClr w14:val="tx1"/>
            </w14:solidFill>
          </w14:textFill>
        </w:rPr>
        <w:t>（六）关于分公司投标</w:t>
      </w:r>
    </w:p>
    <w:p w14:paraId="11BC1DCE">
      <w:pPr>
        <w:autoSpaceDE w:val="0"/>
        <w:autoSpaceDN w:val="0"/>
        <w:adjustRightInd w:val="0"/>
        <w:snapToGrid w:val="0"/>
        <w:spacing w:line="360" w:lineRule="auto"/>
        <w:ind w:firstLine="440" w:firstLineChars="200"/>
        <w:rPr>
          <w:sz w:val="22"/>
          <w:szCs w:val="21"/>
        </w:rPr>
      </w:pPr>
      <w:r>
        <w:rPr>
          <w:rFonts w:hint="eastAsia"/>
          <w:sz w:val="22"/>
          <w:szCs w:val="2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ECA0703">
      <w:pPr>
        <w:spacing w:line="360" w:lineRule="auto"/>
        <w:rPr>
          <w:sz w:val="24"/>
        </w:rPr>
      </w:pPr>
    </w:p>
    <w:p w14:paraId="4BE9D807">
      <w:pPr>
        <w:spacing w:line="360" w:lineRule="auto"/>
        <w:rPr>
          <w:sz w:val="24"/>
        </w:rPr>
      </w:pPr>
      <w:r>
        <w:rPr>
          <w:b/>
          <w:color w:val="000000" w:themeColor="text1"/>
          <w:sz w:val="32"/>
          <w14:textFill>
            <w14:solidFill>
              <w14:schemeClr w14:val="tx1"/>
            </w14:solidFill>
          </w14:textFill>
        </w:rPr>
        <w:br w:type="page"/>
      </w:r>
    </w:p>
    <w:p w14:paraId="31FF2B6E">
      <w:pPr>
        <w:autoSpaceDE w:val="0"/>
        <w:autoSpaceDN w:val="0"/>
        <w:adjustRightInd w:val="0"/>
        <w:snapToGrid w:val="0"/>
        <w:spacing w:line="360" w:lineRule="auto"/>
        <w:ind w:firstLine="643" w:firstLineChars="200"/>
        <w:rPr>
          <w:b/>
          <w:color w:val="000000" w:themeColor="text1"/>
          <w:sz w:val="32"/>
          <w14:textFill>
            <w14:solidFill>
              <w14:schemeClr w14:val="tx1"/>
            </w14:solidFill>
          </w14:textFill>
        </w:rPr>
      </w:pP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
    <w:altName w:val="宋体"/>
    <w:panose1 w:val="00000000000000000000"/>
    <w:charset w:val="86"/>
    <w:family w:val="roman"/>
    <w:pitch w:val="default"/>
    <w:sig w:usb0="00000000" w:usb1="00000000" w:usb2="00000010" w:usb3="00000000" w:csb0="00040000" w:csb1="00000000"/>
  </w:font>
  <w:font w:name="Times New Roman Regular">
    <w:altName w:val="Times New Roman"/>
    <w:panose1 w:val="00000000000000000000"/>
    <w:charset w:val="00"/>
    <w:family w:val="auto"/>
    <w:pitch w:val="default"/>
    <w:sig w:usb0="00000000" w:usb1="00000000" w:usb2="00000001" w:usb3="00000000" w:csb0="400001BF" w:csb1="DFF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C9D1DED"/>
    <w:multiLevelType w:val="singleLevel"/>
    <w:tmpl w:val="BC9D1DED"/>
    <w:lvl w:ilvl="0" w:tentative="0">
      <w:start w:val="1"/>
      <w:numFmt w:val="decimal"/>
      <w:suff w:val="nothing"/>
      <w:lvlText w:val="%1、"/>
      <w:lvlJc w:val="left"/>
      <w:rPr>
        <w:rFonts w:hint="default"/>
        <w:color w:val="000000" w:themeColor="text1"/>
        <w14:textFill>
          <w14:solidFill>
            <w14:schemeClr w14:val="tx1"/>
          </w14:solidFill>
        </w14:textFill>
      </w:rPr>
    </w:lvl>
  </w:abstractNum>
  <w:abstractNum w:abstractNumId="1">
    <w:nsid w:val="FBE33147"/>
    <w:multiLevelType w:val="singleLevel"/>
    <w:tmpl w:val="FBE33147"/>
    <w:lvl w:ilvl="0" w:tentative="0">
      <w:start w:val="3"/>
      <w:numFmt w:val="chineseCounting"/>
      <w:suff w:val="nothing"/>
      <w:lvlText w:val="（%1）"/>
      <w:lvlJc w:val="left"/>
      <w:rPr>
        <w:rFonts w:hint="eastAsia"/>
      </w:rPr>
    </w:lvl>
  </w:abstractNum>
  <w:abstractNum w:abstractNumId="2">
    <w:nsid w:val="28587FCD"/>
    <w:multiLevelType w:val="multilevel"/>
    <w:tmpl w:val="28587FCD"/>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ZlYjg4NGViN2RmZjdjOGI5YWI3ZDc5ZjI4MGEzMjEifQ=="/>
  </w:docVars>
  <w:rsids>
    <w:rsidRoot w:val="00D76A9B"/>
    <w:rsid w:val="0000087B"/>
    <w:rsid w:val="000054B8"/>
    <w:rsid w:val="000204E4"/>
    <w:rsid w:val="00022598"/>
    <w:rsid w:val="00055AFD"/>
    <w:rsid w:val="000623C1"/>
    <w:rsid w:val="000929D1"/>
    <w:rsid w:val="000A28F8"/>
    <w:rsid w:val="00102EA1"/>
    <w:rsid w:val="001229BC"/>
    <w:rsid w:val="00134B85"/>
    <w:rsid w:val="001406AF"/>
    <w:rsid w:val="00154AAE"/>
    <w:rsid w:val="0015653B"/>
    <w:rsid w:val="001769A1"/>
    <w:rsid w:val="00185EAB"/>
    <w:rsid w:val="00196E2A"/>
    <w:rsid w:val="001B3384"/>
    <w:rsid w:val="001B709C"/>
    <w:rsid w:val="001C3104"/>
    <w:rsid w:val="00204C87"/>
    <w:rsid w:val="002700F7"/>
    <w:rsid w:val="002C023B"/>
    <w:rsid w:val="002C13FB"/>
    <w:rsid w:val="002E257D"/>
    <w:rsid w:val="002E7920"/>
    <w:rsid w:val="002F13DA"/>
    <w:rsid w:val="002F3DDB"/>
    <w:rsid w:val="0030189F"/>
    <w:rsid w:val="003172E8"/>
    <w:rsid w:val="00374A0D"/>
    <w:rsid w:val="003964D1"/>
    <w:rsid w:val="003A1D32"/>
    <w:rsid w:val="003B45E0"/>
    <w:rsid w:val="003B683C"/>
    <w:rsid w:val="0042025E"/>
    <w:rsid w:val="0042148C"/>
    <w:rsid w:val="00452B20"/>
    <w:rsid w:val="004539DE"/>
    <w:rsid w:val="00454B91"/>
    <w:rsid w:val="004553AF"/>
    <w:rsid w:val="00462573"/>
    <w:rsid w:val="004725E1"/>
    <w:rsid w:val="00477356"/>
    <w:rsid w:val="00490861"/>
    <w:rsid w:val="004A1818"/>
    <w:rsid w:val="004C7707"/>
    <w:rsid w:val="00513A0E"/>
    <w:rsid w:val="005369E4"/>
    <w:rsid w:val="005443AA"/>
    <w:rsid w:val="00547AA5"/>
    <w:rsid w:val="00563528"/>
    <w:rsid w:val="00566DF1"/>
    <w:rsid w:val="0058260E"/>
    <w:rsid w:val="005C0DC6"/>
    <w:rsid w:val="005F14BF"/>
    <w:rsid w:val="00605437"/>
    <w:rsid w:val="0064062F"/>
    <w:rsid w:val="00642D84"/>
    <w:rsid w:val="00643D41"/>
    <w:rsid w:val="00671E23"/>
    <w:rsid w:val="00693487"/>
    <w:rsid w:val="0069419D"/>
    <w:rsid w:val="00743388"/>
    <w:rsid w:val="007436F0"/>
    <w:rsid w:val="007609CD"/>
    <w:rsid w:val="007733AC"/>
    <w:rsid w:val="007B7907"/>
    <w:rsid w:val="007C2AC3"/>
    <w:rsid w:val="007C5F84"/>
    <w:rsid w:val="007C7D89"/>
    <w:rsid w:val="007D4CC7"/>
    <w:rsid w:val="007E2DED"/>
    <w:rsid w:val="00836EF8"/>
    <w:rsid w:val="00841DFC"/>
    <w:rsid w:val="00855334"/>
    <w:rsid w:val="00876158"/>
    <w:rsid w:val="008965D4"/>
    <w:rsid w:val="008D0ABD"/>
    <w:rsid w:val="008D1EF9"/>
    <w:rsid w:val="009077E6"/>
    <w:rsid w:val="0091011F"/>
    <w:rsid w:val="00925122"/>
    <w:rsid w:val="00942F97"/>
    <w:rsid w:val="00947ABA"/>
    <w:rsid w:val="00970C7A"/>
    <w:rsid w:val="0097749C"/>
    <w:rsid w:val="009B4DE1"/>
    <w:rsid w:val="009F3D99"/>
    <w:rsid w:val="00A14988"/>
    <w:rsid w:val="00A17C63"/>
    <w:rsid w:val="00A20D00"/>
    <w:rsid w:val="00A512A0"/>
    <w:rsid w:val="00A51EE6"/>
    <w:rsid w:val="00A66618"/>
    <w:rsid w:val="00A847C9"/>
    <w:rsid w:val="00AD03CF"/>
    <w:rsid w:val="00AD56EA"/>
    <w:rsid w:val="00AE4D3C"/>
    <w:rsid w:val="00AF57B2"/>
    <w:rsid w:val="00B156D0"/>
    <w:rsid w:val="00B27F08"/>
    <w:rsid w:val="00B323A4"/>
    <w:rsid w:val="00B36B3A"/>
    <w:rsid w:val="00B47D00"/>
    <w:rsid w:val="00B96789"/>
    <w:rsid w:val="00BD2AB9"/>
    <w:rsid w:val="00BD5EE8"/>
    <w:rsid w:val="00BD63C7"/>
    <w:rsid w:val="00C00E8E"/>
    <w:rsid w:val="00C05C26"/>
    <w:rsid w:val="00C36C13"/>
    <w:rsid w:val="00C47F3A"/>
    <w:rsid w:val="00C56A1E"/>
    <w:rsid w:val="00C62C58"/>
    <w:rsid w:val="00C86165"/>
    <w:rsid w:val="00C94EC8"/>
    <w:rsid w:val="00CB38A9"/>
    <w:rsid w:val="00CB762E"/>
    <w:rsid w:val="00CC796C"/>
    <w:rsid w:val="00CD4CC6"/>
    <w:rsid w:val="00D00591"/>
    <w:rsid w:val="00D10AB6"/>
    <w:rsid w:val="00D2057B"/>
    <w:rsid w:val="00D31AC7"/>
    <w:rsid w:val="00D40768"/>
    <w:rsid w:val="00D453F8"/>
    <w:rsid w:val="00D76A9B"/>
    <w:rsid w:val="00D938B4"/>
    <w:rsid w:val="00DB682E"/>
    <w:rsid w:val="00DC247E"/>
    <w:rsid w:val="00E03C26"/>
    <w:rsid w:val="00E2621D"/>
    <w:rsid w:val="00E43F8D"/>
    <w:rsid w:val="00E45760"/>
    <w:rsid w:val="00E6484B"/>
    <w:rsid w:val="00E75C6A"/>
    <w:rsid w:val="00E9374C"/>
    <w:rsid w:val="00EB1ECE"/>
    <w:rsid w:val="00ED19AC"/>
    <w:rsid w:val="00EE77FB"/>
    <w:rsid w:val="00F0337C"/>
    <w:rsid w:val="00F03B9F"/>
    <w:rsid w:val="00F06143"/>
    <w:rsid w:val="00F16B01"/>
    <w:rsid w:val="00F3232C"/>
    <w:rsid w:val="00F4660F"/>
    <w:rsid w:val="00F50D3F"/>
    <w:rsid w:val="00F61E04"/>
    <w:rsid w:val="00F831A0"/>
    <w:rsid w:val="00F95DCA"/>
    <w:rsid w:val="00FA3DE3"/>
    <w:rsid w:val="00FB0E15"/>
    <w:rsid w:val="00FD18B2"/>
    <w:rsid w:val="00FE41FD"/>
    <w:rsid w:val="00FF1C54"/>
    <w:rsid w:val="00FF216D"/>
    <w:rsid w:val="01CB1C18"/>
    <w:rsid w:val="01D45F33"/>
    <w:rsid w:val="04E43544"/>
    <w:rsid w:val="07AC513C"/>
    <w:rsid w:val="0ACA29B2"/>
    <w:rsid w:val="0F264E85"/>
    <w:rsid w:val="112660EC"/>
    <w:rsid w:val="1438168C"/>
    <w:rsid w:val="14ED0666"/>
    <w:rsid w:val="19595E57"/>
    <w:rsid w:val="195A1246"/>
    <w:rsid w:val="1E2801C8"/>
    <w:rsid w:val="1F811C64"/>
    <w:rsid w:val="22C24A6D"/>
    <w:rsid w:val="248C5333"/>
    <w:rsid w:val="269013F1"/>
    <w:rsid w:val="2A900FAD"/>
    <w:rsid w:val="2E7E6A85"/>
    <w:rsid w:val="2F826068"/>
    <w:rsid w:val="36335DFA"/>
    <w:rsid w:val="385B7CA0"/>
    <w:rsid w:val="3CA34A71"/>
    <w:rsid w:val="40852A93"/>
    <w:rsid w:val="41AD54DA"/>
    <w:rsid w:val="4286740D"/>
    <w:rsid w:val="461E58D5"/>
    <w:rsid w:val="46A13A4F"/>
    <w:rsid w:val="46A31E0B"/>
    <w:rsid w:val="48E82332"/>
    <w:rsid w:val="4A6A3F70"/>
    <w:rsid w:val="5043693E"/>
    <w:rsid w:val="571A3F15"/>
    <w:rsid w:val="5EA031AD"/>
    <w:rsid w:val="64B85E92"/>
    <w:rsid w:val="680E655B"/>
    <w:rsid w:val="6BBF1C77"/>
    <w:rsid w:val="6DBD1175"/>
    <w:rsid w:val="6EDC1FE0"/>
    <w:rsid w:val="74727905"/>
    <w:rsid w:val="7620054A"/>
    <w:rsid w:val="76C4390F"/>
    <w:rsid w:val="781A760C"/>
    <w:rsid w:val="7BB16B4B"/>
    <w:rsid w:val="7D82410E"/>
    <w:rsid w:val="7EE2764A"/>
    <w:rsid w:val="7F925074"/>
    <w:rsid w:val="AB7FA099"/>
    <w:rsid w:val="D8FD57B7"/>
    <w:rsid w:val="FFF82E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3"/>
    <w:unhideWhenUsed/>
    <w:qFormat/>
    <w:uiPriority w:val="0"/>
    <w:pPr>
      <w:keepNext/>
      <w:keepLines/>
      <w:spacing w:before="260" w:after="260" w:line="413" w:lineRule="auto"/>
      <w:outlineLvl w:val="2"/>
    </w:pPr>
    <w:rPr>
      <w:b/>
      <w:sz w:val="32"/>
    </w:rPr>
  </w:style>
  <w:style w:type="character" w:default="1" w:styleId="10">
    <w:name w:val="Default Paragraph Font"/>
    <w:semiHidden/>
    <w:unhideWhenUsed/>
    <w:qFormat/>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customStyle="1" w:styleId="3">
    <w:name w:val="正文一"/>
    <w:basedOn w:val="1"/>
    <w:qFormat/>
    <w:uiPriority w:val="0"/>
    <w:pPr>
      <w:spacing w:before="120" w:after="120" w:line="360" w:lineRule="auto"/>
    </w:pPr>
    <w:rPr>
      <w:rFonts w:cs="宋体"/>
      <w:szCs w:val="21"/>
    </w:rPr>
  </w:style>
  <w:style w:type="paragraph" w:styleId="4">
    <w:name w:val="Body Text"/>
    <w:basedOn w:val="1"/>
    <w:next w:val="1"/>
    <w:qFormat/>
    <w:uiPriority w:val="0"/>
    <w:pPr>
      <w:spacing w:after="12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pPr>
      <w:spacing w:beforeAutospacing="1" w:afterAutospacing="1"/>
      <w:jc w:val="left"/>
    </w:pPr>
    <w:rPr>
      <w:kern w:val="0"/>
      <w:sz w:val="24"/>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customStyle="1" w:styleId="12">
    <w:name w:val="font21"/>
    <w:qFormat/>
    <w:uiPriority w:val="0"/>
    <w:rPr>
      <w:rFonts w:hint="default" w:ascii="Times New Roman" w:hAnsi="Times New Roman" w:cs="Times New Roman"/>
      <w:color w:val="000000"/>
      <w:sz w:val="24"/>
      <w:szCs w:val="24"/>
      <w:u w:val="none"/>
    </w:rPr>
  </w:style>
  <w:style w:type="paragraph" w:customStyle="1" w:styleId="13">
    <w:name w:val="Default"/>
    <w:link w:val="14"/>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4">
    <w:name w:val="Default Char"/>
    <w:link w:val="13"/>
    <w:qFormat/>
    <w:locked/>
    <w:uiPriority w:val="0"/>
    <w:rPr>
      <w:rFonts w:ascii="......." w:hAnsi="......." w:eastAsia="......." w:cs="......."/>
      <w:color w:val="000000"/>
      <w:sz w:val="24"/>
      <w:szCs w:val="24"/>
    </w:rPr>
  </w:style>
  <w:style w:type="paragraph" w:styleId="15">
    <w:name w:val="List Paragraph"/>
    <w:basedOn w:val="1"/>
    <w:unhideWhenUsed/>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2350</Words>
  <Characters>2416</Characters>
  <Lines>37</Lines>
  <Paragraphs>10</Paragraphs>
  <TotalTime>1138</TotalTime>
  <ScaleCrop>false</ScaleCrop>
  <LinksUpToDate>false</LinksUpToDate>
  <CharactersWithSpaces>2428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2024-10-10T00:51:00Z</dcterms:created>
  <dc:creator>SXF-Admin</dc:creator>
  <cp:lastModifiedBy>Lin</cp:lastModifiedBy>
  <dcterms:modified xsi:type="dcterms:W3CDTF">2025-10-20T02:21:39Z</dcterms:modified>
  <cp:revision>122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C79F2DA34C144F96A9C88938728B058D_13</vt:lpwstr>
  </property>
  <property fmtid="{D5CDD505-2E9C-101B-9397-08002B2CF9AE}" pid="4" name="KSOTemplateDocerSaveRecord">
    <vt:lpwstr>eyJoZGlkIjoiNzJiNWQ2NDYxNjMyZjMyNjg5NzU4Mzk3MzM0YTk1ODQiLCJ1c2VySWQiOiI2NzI5MTcyNDcifQ==</vt:lpwstr>
  </property>
</Properties>
</file>