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991B0D">
      <w:pPr>
        <w:pStyle w:val="25"/>
        <w:spacing w:line="360" w:lineRule="auto"/>
        <w:ind w:firstLine="448"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2501E979">
      <w:pPr>
        <w:pStyle w:val="25"/>
        <w:spacing w:line="360" w:lineRule="auto"/>
        <w:ind w:firstLine="448" w:firstLineChars="200"/>
        <w:jc w:val="both"/>
        <w:rPr>
          <w:rFonts w:hint="eastAsia" w:ascii="Times New Roman" w:hAnsi="Times New Roman" w:eastAsia="宋体" w:cs="Times New Roman"/>
          <w:color w:val="auto"/>
          <w:kern w:val="2"/>
          <w:lang w:val="en-US"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电子数据快速分析设备</w:t>
      </w:r>
      <w:r>
        <w:rPr>
          <w:rFonts w:hint="eastAsia" w:ascii="Times New Roman" w:hAnsi="Times New Roman" w:eastAsia="宋体" w:cs="Times New Roman"/>
          <w:color w:val="auto"/>
          <w:kern w:val="2"/>
          <w:lang w:val="en-US" w:eastAsia="zh-CN"/>
        </w:rPr>
        <w:t>采购项目</w:t>
      </w:r>
    </w:p>
    <w:p w14:paraId="47937E15">
      <w:pPr>
        <w:pStyle w:val="25"/>
        <w:spacing w:line="360" w:lineRule="auto"/>
        <w:ind w:firstLine="448"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p>
    <w:p w14:paraId="275EF155">
      <w:pPr>
        <w:pStyle w:val="25"/>
        <w:spacing w:line="360" w:lineRule="auto"/>
        <w:ind w:firstLine="448"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0812A9FB">
      <w:pPr>
        <w:spacing w:line="360" w:lineRule="auto"/>
        <w:ind w:firstLine="448" w:firstLineChars="200"/>
        <w:rPr>
          <w:rFonts w:hint="eastAsia" w:ascii="宋体" w:hAnsi="宋体"/>
          <w:sz w:val="24"/>
        </w:rPr>
      </w:pPr>
      <w:r>
        <w:rPr>
          <w:rFonts w:hint="eastAsia" w:ascii="宋体" w:hAnsi="宋体"/>
          <w:sz w:val="24"/>
        </w:rPr>
        <w:t>为更好的服务检察办案，天津市人民检察院拟采购一套对海量电子数据进行快速分析的取证设备，支持多种主流取证软件生成的报告分析汇总</w:t>
      </w:r>
      <w:r>
        <w:rPr>
          <w:rFonts w:hint="eastAsia" w:ascii="宋体" w:hAnsi="宋体"/>
          <w:sz w:val="24"/>
          <w:lang w:eastAsia="zh-CN"/>
        </w:rPr>
        <w:t>、</w:t>
      </w:r>
      <w:r>
        <w:rPr>
          <w:rFonts w:hint="eastAsia" w:ascii="宋体" w:hAnsi="宋体"/>
          <w:sz w:val="24"/>
        </w:rPr>
        <w:t>自动绘制</w:t>
      </w:r>
      <w:r>
        <w:rPr>
          <w:rFonts w:hint="eastAsia" w:ascii="宋体" w:hAnsi="宋体"/>
          <w:sz w:val="24"/>
          <w:lang w:val="en-US" w:eastAsia="zh-CN"/>
        </w:rPr>
        <w:t>社会网络关系图表</w:t>
      </w:r>
      <w:r>
        <w:rPr>
          <w:rFonts w:hint="eastAsia" w:ascii="宋体" w:hAnsi="宋体"/>
          <w:sz w:val="24"/>
        </w:rPr>
        <w:t>、揭示重点人物情况、梳理资金往来记录等重要信息</w:t>
      </w:r>
      <w:r>
        <w:rPr>
          <w:rFonts w:hint="eastAsia" w:ascii="宋体" w:hAnsi="宋体"/>
          <w:sz w:val="24"/>
          <w:lang w:val="en-US" w:eastAsia="zh-CN"/>
        </w:rPr>
        <w:t>并支持与一体化四维度全流程办案辅助系统对接</w:t>
      </w:r>
      <w:r>
        <w:rPr>
          <w:rFonts w:hint="eastAsia" w:ascii="宋体" w:hAnsi="宋体"/>
          <w:sz w:val="24"/>
        </w:rPr>
        <w:t>，为检察侦查及其他检察业务工作提供全面的情报支持，以更好的技术水平服务检察办案。</w:t>
      </w:r>
    </w:p>
    <w:p w14:paraId="00BD1580">
      <w:pPr>
        <w:pStyle w:val="25"/>
        <w:spacing w:line="360" w:lineRule="auto"/>
        <w:ind w:firstLine="448"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32CAC875">
      <w:pPr>
        <w:pStyle w:val="25"/>
        <w:spacing w:line="360" w:lineRule="auto"/>
        <w:ind w:firstLine="448"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700000</w:t>
      </w:r>
      <w:r>
        <w:rPr>
          <w:rFonts w:ascii="Times New Roman" w:hAnsi="Times New Roman" w:eastAsia="宋体" w:cs="Times New Roman"/>
          <w:color w:val="auto"/>
          <w:kern w:val="2"/>
        </w:rPr>
        <w:t>元。</w:t>
      </w:r>
    </w:p>
    <w:p w14:paraId="46D934B4">
      <w:pPr>
        <w:pStyle w:val="25"/>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45B584BE">
      <w:pPr>
        <w:pStyle w:val="25"/>
        <w:spacing w:line="360" w:lineRule="auto"/>
        <w:ind w:firstLine="448" w:firstLineChars="200"/>
        <w:rPr>
          <w:rFonts w:hint="eastAsia" w:ascii="宋体" w:hAnsi="宋体"/>
          <w:sz w:val="24"/>
        </w:rPr>
      </w:pPr>
      <w:r>
        <w:rPr>
          <w:rFonts w:ascii="Times New Roman" w:hAnsi="Times New Roman" w:eastAsia="宋体" w:cs="Times New Roman"/>
          <w:color w:val="auto"/>
        </w:rPr>
        <w:t>（一）</w:t>
      </w:r>
      <w:r>
        <w:rPr>
          <w:rFonts w:hint="eastAsia" w:ascii="宋体" w:hAnsi="宋体"/>
          <w:sz w:val="24"/>
        </w:rPr>
        <w:t>凡在中华人民共和国境内注册并具有法人资格，符合《中华人民共和国政府采购法》第二十二条各项规定的供应商</w:t>
      </w:r>
    </w:p>
    <w:p w14:paraId="51766AF7">
      <w:pPr>
        <w:pStyle w:val="25"/>
        <w:spacing w:line="360" w:lineRule="auto"/>
        <w:ind w:firstLine="448" w:firstLineChars="200"/>
        <w:rPr>
          <w:rFonts w:hint="eastAsia" w:ascii="宋体" w:hAnsi="宋体"/>
          <w:sz w:val="24"/>
        </w:rPr>
      </w:pPr>
      <w:r>
        <w:rPr>
          <w:rFonts w:hint="eastAsia" w:ascii="Times New Roman" w:hAnsi="Times New Roman" w:eastAsia="宋体" w:cs="Times New Roman"/>
          <w:color w:val="auto"/>
        </w:rPr>
        <w:t>（二）</w:t>
      </w:r>
      <w:r>
        <w:rPr>
          <w:rFonts w:hint="eastAsia" w:ascii="宋体" w:hAnsi="宋体"/>
          <w:b/>
          <w:sz w:val="24"/>
        </w:rPr>
        <w:t>供应商需为投标产品的生产厂商，不允许代理商投标，需提供投标产品生产厂商证明材料，如软件著作权或测试报告或技术白皮书等。</w:t>
      </w:r>
    </w:p>
    <w:p w14:paraId="2F5EDF07">
      <w:pPr>
        <w:pStyle w:val="25"/>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三</w:t>
      </w:r>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5C91C1C7">
      <w:pPr>
        <w:pStyle w:val="25"/>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89A98E1">
      <w:pPr>
        <w:pStyle w:val="25"/>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1366647">
      <w:pPr>
        <w:pStyle w:val="25"/>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（三）本项目不接受联合体投标。</w:t>
      </w:r>
    </w:p>
    <w:p w14:paraId="06A2F533">
      <w:pPr>
        <w:tabs>
          <w:tab w:val="left" w:pos="1260"/>
          <w:tab w:val="center" w:pos="4156"/>
        </w:tabs>
        <w:spacing w:line="360" w:lineRule="auto"/>
        <w:jc w:val="center"/>
        <w:outlineLvl w:val="0"/>
        <w:rPr>
          <w:b/>
          <w:sz w:val="24"/>
          <w:szCs w:val="24"/>
        </w:rPr>
      </w:pPr>
    </w:p>
    <w:p w14:paraId="2CE8BDA2">
      <w:pPr>
        <w:spacing w:line="360" w:lineRule="auto"/>
        <w:ind w:firstLine="448" w:firstLineChars="200"/>
        <w:rPr>
          <w:bCs/>
          <w:color w:val="auto"/>
          <w:sz w:val="24"/>
          <w:szCs w:val="24"/>
          <w:highlight w:val="none"/>
        </w:rPr>
      </w:pPr>
      <w:r>
        <w:rPr>
          <w:bCs/>
          <w:sz w:val="24"/>
          <w:szCs w:val="24"/>
        </w:rPr>
        <w:t>一、商</w:t>
      </w:r>
      <w:r>
        <w:rPr>
          <w:bCs/>
          <w:color w:val="auto"/>
          <w:sz w:val="24"/>
          <w:szCs w:val="24"/>
          <w:highlight w:val="none"/>
        </w:rPr>
        <w:t>务要求</w:t>
      </w:r>
    </w:p>
    <w:p w14:paraId="5A479C2F">
      <w:pPr>
        <w:spacing w:line="360" w:lineRule="auto"/>
        <w:ind w:firstLine="448" w:firstLineChars="200"/>
        <w:rPr>
          <w:color w:val="auto"/>
          <w:sz w:val="24"/>
          <w:szCs w:val="24"/>
          <w:highlight w:val="none"/>
        </w:rPr>
      </w:pPr>
      <w:r>
        <w:rPr>
          <w:color w:val="auto"/>
          <w:sz w:val="24"/>
          <w:szCs w:val="24"/>
          <w:highlight w:val="none"/>
        </w:rPr>
        <w:t>（一）报价要求</w:t>
      </w:r>
    </w:p>
    <w:p w14:paraId="06060186">
      <w:pPr>
        <w:spacing w:line="360" w:lineRule="auto"/>
        <w:ind w:firstLine="448" w:firstLineChars="200"/>
        <w:rPr>
          <w:color w:val="auto"/>
          <w:sz w:val="24"/>
          <w:szCs w:val="24"/>
          <w:highlight w:val="none"/>
        </w:rPr>
      </w:pPr>
      <w:r>
        <w:rPr>
          <w:color w:val="auto"/>
          <w:sz w:val="24"/>
          <w:szCs w:val="24"/>
          <w:highlight w:val="none"/>
        </w:rPr>
        <w:t>1. 投标报价以人民币填列。</w:t>
      </w:r>
    </w:p>
    <w:p w14:paraId="1795989F">
      <w:pPr>
        <w:spacing w:line="360" w:lineRule="auto"/>
        <w:ind w:firstLine="448" w:firstLineChars="200"/>
        <w:rPr>
          <w:color w:val="auto"/>
          <w:sz w:val="24"/>
          <w:szCs w:val="24"/>
          <w:highlight w:val="none"/>
        </w:rPr>
      </w:pPr>
      <w:r>
        <w:rPr>
          <w:color w:val="auto"/>
          <w:sz w:val="24"/>
          <w:szCs w:val="24"/>
          <w:highlight w:val="none"/>
        </w:rPr>
        <w:t>2. 投标人的报价应包括：</w:t>
      </w:r>
      <w:r>
        <w:rPr>
          <w:color w:val="auto"/>
          <w:sz w:val="24"/>
          <w:highlight w:val="none"/>
        </w:rPr>
        <w:t>人员费用、</w:t>
      </w:r>
      <w:r>
        <w:rPr>
          <w:rFonts w:hint="eastAsia"/>
          <w:color w:val="auto"/>
          <w:sz w:val="24"/>
          <w:highlight w:val="none"/>
        </w:rPr>
        <w:t>通信费</w:t>
      </w:r>
      <w:r>
        <w:rPr>
          <w:color w:val="auto"/>
          <w:sz w:val="24"/>
          <w:highlight w:val="none"/>
        </w:rPr>
        <w:t>、服务费、管理费及税金等为完成竞争性谈判文件规定的一切工作所需的全部费用。</w:t>
      </w:r>
    </w:p>
    <w:p w14:paraId="29CE40C9">
      <w:pPr>
        <w:spacing w:line="360" w:lineRule="auto"/>
        <w:ind w:firstLine="448" w:firstLineChars="200"/>
        <w:rPr>
          <w:color w:val="auto"/>
          <w:sz w:val="24"/>
          <w:szCs w:val="24"/>
          <w:highlight w:val="none"/>
        </w:rPr>
      </w:pPr>
      <w:r>
        <w:rPr>
          <w:color w:val="auto"/>
          <w:sz w:val="24"/>
          <w:szCs w:val="24"/>
          <w:highlight w:val="none"/>
        </w:rPr>
        <w:t>3. 验收相关费用由投标人负责。</w:t>
      </w:r>
    </w:p>
    <w:p w14:paraId="577E488E">
      <w:pPr>
        <w:spacing w:line="360" w:lineRule="auto"/>
        <w:ind w:firstLine="448" w:firstLineChars="200"/>
        <w:rPr>
          <w:color w:val="auto"/>
          <w:sz w:val="24"/>
          <w:szCs w:val="24"/>
          <w:highlight w:val="none"/>
        </w:rPr>
      </w:pPr>
      <w:r>
        <w:rPr>
          <w:color w:val="auto"/>
          <w:sz w:val="24"/>
          <w:szCs w:val="24"/>
          <w:highlight w:val="none"/>
        </w:rPr>
        <w:t>（二）时间、地点要求</w:t>
      </w:r>
    </w:p>
    <w:p w14:paraId="12DD7D4C">
      <w:pPr>
        <w:spacing w:line="360" w:lineRule="auto"/>
        <w:ind w:firstLine="448" w:firstLineChars="200"/>
        <w:outlineLvl w:val="0"/>
        <w:rPr>
          <w:rFonts w:hint="eastAsia"/>
          <w:color w:val="auto"/>
          <w:sz w:val="24"/>
          <w:highlight w:val="none"/>
        </w:rPr>
      </w:pPr>
      <w:r>
        <w:rPr>
          <w:color w:val="auto"/>
          <w:sz w:val="24"/>
          <w:szCs w:val="24"/>
          <w:highlight w:val="none"/>
        </w:rPr>
        <w:t>1.时间要求：</w:t>
      </w:r>
      <w:r>
        <w:rPr>
          <w:rFonts w:hint="eastAsia"/>
          <w:color w:val="auto"/>
          <w:sz w:val="24"/>
          <w:highlight w:val="none"/>
        </w:rPr>
        <w:t>货到：签订合同之日起</w:t>
      </w:r>
      <w:r>
        <w:rPr>
          <w:rFonts w:hint="eastAsia"/>
          <w:color w:val="auto"/>
          <w:sz w:val="24"/>
          <w:highlight w:val="none"/>
          <w:lang w:val="en-US" w:eastAsia="zh-CN"/>
        </w:rPr>
        <w:t>5</w:t>
      </w:r>
      <w:r>
        <w:rPr>
          <w:rFonts w:hint="eastAsia"/>
          <w:color w:val="auto"/>
          <w:sz w:val="24"/>
          <w:highlight w:val="none"/>
        </w:rPr>
        <w:t>日内（特殊情况以合同为准）。</w:t>
      </w:r>
    </w:p>
    <w:p w14:paraId="332D5D33">
      <w:pPr>
        <w:spacing w:line="360" w:lineRule="auto"/>
        <w:ind w:firstLine="448" w:firstLineChars="200"/>
        <w:outlineLvl w:val="0"/>
        <w:rPr>
          <w:color w:val="auto"/>
          <w:sz w:val="24"/>
          <w:highlight w:val="none"/>
        </w:rPr>
      </w:pPr>
      <w:r>
        <w:rPr>
          <w:rFonts w:hint="eastAsia"/>
          <w:color w:val="auto"/>
          <w:sz w:val="24"/>
          <w:highlight w:val="none"/>
        </w:rPr>
        <w:t>安装（施工）完成：货到之日起</w:t>
      </w:r>
      <w:r>
        <w:rPr>
          <w:rFonts w:hint="eastAsia"/>
          <w:color w:val="auto"/>
          <w:sz w:val="24"/>
          <w:highlight w:val="none"/>
          <w:lang w:val="en-US" w:eastAsia="zh-CN"/>
        </w:rPr>
        <w:t>5</w:t>
      </w:r>
      <w:r>
        <w:rPr>
          <w:rFonts w:hint="eastAsia"/>
          <w:color w:val="auto"/>
          <w:sz w:val="24"/>
          <w:highlight w:val="none"/>
        </w:rPr>
        <w:t>日内（特殊情况以合同为准）。</w:t>
      </w:r>
    </w:p>
    <w:p w14:paraId="1F1CA7F2">
      <w:pPr>
        <w:spacing w:line="360" w:lineRule="auto"/>
        <w:ind w:firstLine="448" w:firstLineChars="200"/>
        <w:rPr>
          <w:rFonts w:hint="eastAsia" w:eastAsia="宋体"/>
          <w:color w:val="auto"/>
          <w:sz w:val="24"/>
          <w:szCs w:val="24"/>
          <w:highlight w:val="none"/>
          <w:lang w:eastAsia="zh-CN"/>
        </w:rPr>
      </w:pPr>
      <w:r>
        <w:rPr>
          <w:color w:val="auto"/>
          <w:sz w:val="24"/>
          <w:szCs w:val="24"/>
          <w:highlight w:val="none"/>
        </w:rPr>
        <w:t>2. 实施地点：</w:t>
      </w:r>
      <w:r>
        <w:rPr>
          <w:rFonts w:hint="eastAsia"/>
          <w:color w:val="auto"/>
          <w:sz w:val="24"/>
          <w:szCs w:val="24"/>
          <w:highlight w:val="none"/>
          <w:lang w:val="en-US" w:eastAsia="zh-CN"/>
        </w:rPr>
        <w:t>天津市人民检察院</w:t>
      </w:r>
    </w:p>
    <w:p w14:paraId="258D386B">
      <w:pPr>
        <w:spacing w:line="360" w:lineRule="auto"/>
        <w:ind w:firstLine="448" w:firstLineChars="200"/>
        <w:rPr>
          <w:color w:val="auto"/>
          <w:sz w:val="24"/>
          <w:szCs w:val="24"/>
          <w:highlight w:val="none"/>
        </w:rPr>
      </w:pPr>
      <w:r>
        <w:rPr>
          <w:color w:val="auto"/>
          <w:sz w:val="24"/>
          <w:szCs w:val="24"/>
          <w:highlight w:val="none"/>
        </w:rPr>
        <w:t>（三）付款方式</w:t>
      </w:r>
    </w:p>
    <w:p w14:paraId="1986AAA6">
      <w:pPr>
        <w:spacing w:line="360" w:lineRule="auto"/>
        <w:ind w:firstLine="448" w:firstLineChars="200"/>
        <w:outlineLvl w:val="0"/>
        <w:rPr>
          <w:rFonts w:hint="eastAsia"/>
          <w:color w:val="auto"/>
          <w:sz w:val="24"/>
          <w:highlight w:val="none"/>
        </w:rPr>
      </w:pPr>
      <w:r>
        <w:rPr>
          <w:rFonts w:hint="eastAsia"/>
          <w:color w:val="auto"/>
          <w:sz w:val="24"/>
          <w:highlight w:val="none"/>
        </w:rPr>
        <w:t>3.付款方式：货到安装调试完成</w:t>
      </w:r>
      <w:r>
        <w:rPr>
          <w:rFonts w:hint="eastAsia"/>
          <w:color w:val="auto"/>
          <w:sz w:val="24"/>
          <w:highlight w:val="none"/>
          <w:lang w:val="en-US" w:eastAsia="zh-CN"/>
        </w:rPr>
        <w:t>且验收合格</w:t>
      </w:r>
      <w:r>
        <w:rPr>
          <w:rFonts w:hint="eastAsia"/>
          <w:color w:val="auto"/>
          <w:sz w:val="24"/>
          <w:highlight w:val="none"/>
        </w:rPr>
        <w:t>之日起30日内支付合同总额的100%。</w:t>
      </w:r>
    </w:p>
    <w:p w14:paraId="4F8D4AD8">
      <w:pPr>
        <w:spacing w:line="360" w:lineRule="auto"/>
        <w:ind w:firstLine="448" w:firstLineChars="200"/>
        <w:rPr>
          <w:color w:val="auto"/>
          <w:sz w:val="24"/>
          <w:szCs w:val="24"/>
          <w:highlight w:val="none"/>
        </w:rPr>
      </w:pPr>
      <w:r>
        <w:rPr>
          <w:color w:val="auto"/>
          <w:sz w:val="24"/>
          <w:szCs w:val="24"/>
          <w:highlight w:val="none"/>
        </w:rPr>
        <w:t>（四）谈判有效期</w:t>
      </w:r>
    </w:p>
    <w:p w14:paraId="5B9D28F9">
      <w:pPr>
        <w:spacing w:line="360" w:lineRule="auto"/>
        <w:ind w:firstLine="448" w:firstLineChars="200"/>
        <w:rPr>
          <w:color w:val="auto"/>
          <w:sz w:val="24"/>
          <w:szCs w:val="24"/>
          <w:highlight w:val="none"/>
        </w:rPr>
      </w:pPr>
      <w:r>
        <w:rPr>
          <w:color w:val="auto"/>
          <w:sz w:val="24"/>
          <w:szCs w:val="24"/>
          <w:highlight w:val="none"/>
        </w:rPr>
        <w:t>本项目谈判有效期为60天。</w:t>
      </w:r>
    </w:p>
    <w:p w14:paraId="45E97B80">
      <w:pPr>
        <w:spacing w:line="360" w:lineRule="auto"/>
        <w:ind w:firstLine="448" w:firstLineChars="200"/>
        <w:rPr>
          <w:color w:val="auto"/>
          <w:sz w:val="24"/>
          <w:szCs w:val="24"/>
          <w:highlight w:val="none"/>
        </w:rPr>
      </w:pPr>
      <w:r>
        <w:rPr>
          <w:color w:val="auto"/>
          <w:sz w:val="24"/>
          <w:szCs w:val="24"/>
          <w:highlight w:val="none"/>
        </w:rPr>
        <w:t>（五）投标保证金和履约保证金</w:t>
      </w:r>
    </w:p>
    <w:p w14:paraId="7FAA3F64">
      <w:pPr>
        <w:spacing w:line="360" w:lineRule="auto"/>
        <w:ind w:firstLine="448" w:firstLineChars="200"/>
        <w:rPr>
          <w:color w:val="auto"/>
          <w:sz w:val="24"/>
          <w:szCs w:val="24"/>
          <w:highlight w:val="none"/>
        </w:rPr>
      </w:pPr>
      <w:r>
        <w:rPr>
          <w:color w:val="auto"/>
          <w:sz w:val="24"/>
          <w:szCs w:val="24"/>
          <w:highlight w:val="none"/>
        </w:rPr>
        <w:t>本项目不收取投标保证金和履约保证金。</w:t>
      </w:r>
    </w:p>
    <w:p w14:paraId="0B33306C">
      <w:pPr>
        <w:autoSpaceDE w:val="0"/>
        <w:autoSpaceDN w:val="0"/>
        <w:adjustRightInd w:val="0"/>
        <w:spacing w:line="360" w:lineRule="auto"/>
        <w:ind w:firstLine="448" w:firstLineChars="200"/>
        <w:rPr>
          <w:bCs/>
          <w:color w:val="auto"/>
          <w:sz w:val="24"/>
          <w:szCs w:val="24"/>
          <w:highlight w:val="none"/>
        </w:rPr>
      </w:pPr>
      <w:r>
        <w:rPr>
          <w:color w:val="auto"/>
          <w:sz w:val="24"/>
          <w:szCs w:val="24"/>
          <w:highlight w:val="none"/>
        </w:rPr>
        <w:t>二、</w:t>
      </w:r>
      <w:r>
        <w:rPr>
          <w:bCs/>
          <w:color w:val="auto"/>
          <w:sz w:val="24"/>
          <w:szCs w:val="24"/>
          <w:highlight w:val="none"/>
        </w:rPr>
        <w:t>技术要求</w:t>
      </w:r>
    </w:p>
    <w:p w14:paraId="6EF29854">
      <w:pPr>
        <w:autoSpaceDE w:val="0"/>
        <w:autoSpaceDN w:val="0"/>
        <w:adjustRightInd w:val="0"/>
        <w:spacing w:line="360" w:lineRule="auto"/>
        <w:ind w:firstLine="448" w:firstLineChars="200"/>
        <w:rPr>
          <w:bCs/>
          <w:color w:val="auto"/>
          <w:sz w:val="24"/>
          <w:szCs w:val="24"/>
          <w:highlight w:val="none"/>
        </w:rPr>
      </w:pPr>
      <w:r>
        <w:rPr>
          <w:bCs/>
          <w:color w:val="auto"/>
          <w:sz w:val="24"/>
          <w:szCs w:val="24"/>
          <w:highlight w:val="none"/>
        </w:rPr>
        <w:t>（一）</w:t>
      </w:r>
      <w:r>
        <w:rPr>
          <w:color w:val="auto"/>
          <w:sz w:val="24"/>
          <w:highlight w:val="none"/>
        </w:rPr>
        <w:t>投标人须承诺所提供的服务、人员及设备符合相关国家强制性规定</w:t>
      </w:r>
      <w:r>
        <w:rPr>
          <w:bCs/>
          <w:color w:val="auto"/>
          <w:sz w:val="24"/>
          <w:szCs w:val="24"/>
          <w:highlight w:val="none"/>
        </w:rPr>
        <w:t>。</w:t>
      </w:r>
    </w:p>
    <w:p w14:paraId="4479C972">
      <w:pPr>
        <w:autoSpaceDE w:val="0"/>
        <w:autoSpaceDN w:val="0"/>
        <w:adjustRightInd w:val="0"/>
        <w:spacing w:line="360" w:lineRule="auto"/>
        <w:ind w:firstLine="448" w:firstLineChars="200"/>
        <w:rPr>
          <w:color w:val="auto"/>
          <w:sz w:val="24"/>
          <w:highlight w:val="none"/>
        </w:rPr>
      </w:pPr>
      <w:r>
        <w:rPr>
          <w:color w:val="auto"/>
          <w:sz w:val="24"/>
          <w:highlight w:val="none"/>
        </w:rPr>
        <w:t>（二）具体需求详见第二部分附件——项目需求书。</w:t>
      </w:r>
    </w:p>
    <w:p w14:paraId="1C97C7C8">
      <w:pPr>
        <w:spacing w:line="360" w:lineRule="auto"/>
        <w:ind w:firstLine="448" w:firstLineChars="200"/>
        <w:outlineLvl w:val="0"/>
        <w:rPr>
          <w:color w:val="auto"/>
          <w:sz w:val="24"/>
          <w:highlight w:val="none"/>
        </w:rPr>
      </w:pPr>
      <w:r>
        <w:rPr>
          <w:color w:val="auto"/>
          <w:sz w:val="24"/>
          <w:highlight w:val="none"/>
        </w:rPr>
        <w:t>（</w:t>
      </w:r>
      <w:r>
        <w:rPr>
          <w:rFonts w:hint="eastAsia"/>
          <w:color w:val="auto"/>
          <w:sz w:val="24"/>
          <w:highlight w:val="none"/>
          <w:lang w:val="en-US" w:eastAsia="zh-CN"/>
        </w:rPr>
        <w:t>三</w:t>
      </w:r>
      <w:r>
        <w:rPr>
          <w:color w:val="auto"/>
          <w:sz w:val="24"/>
          <w:highlight w:val="none"/>
        </w:rPr>
        <w:t>）</w:t>
      </w:r>
      <w:r>
        <w:rPr>
          <w:rFonts w:hint="eastAsia"/>
          <w:color w:val="auto"/>
          <w:sz w:val="24"/>
          <w:highlight w:val="none"/>
        </w:rPr>
        <w:t>提供所投产品五年的免费上门保修</w:t>
      </w:r>
      <w:r>
        <w:rPr>
          <w:rFonts w:hint="eastAsia"/>
          <w:color w:val="auto"/>
          <w:sz w:val="24"/>
          <w:highlight w:val="none"/>
          <w:lang w:val="en-US" w:eastAsia="zh-CN"/>
        </w:rPr>
        <w:t>和免费升级</w:t>
      </w:r>
      <w:r>
        <w:rPr>
          <w:rFonts w:hint="eastAsia"/>
          <w:color w:val="auto"/>
          <w:sz w:val="24"/>
          <w:highlight w:val="none"/>
        </w:rPr>
        <w:t>。</w:t>
      </w:r>
    </w:p>
    <w:p w14:paraId="403C6CB9">
      <w:pPr>
        <w:spacing w:line="360" w:lineRule="auto"/>
        <w:jc w:val="center"/>
        <w:rPr>
          <w:sz w:val="24"/>
          <w:szCs w:val="24"/>
        </w:rPr>
      </w:pPr>
      <w:bookmarkStart w:id="1" w:name="_GoBack"/>
      <w:bookmarkEnd w:id="1"/>
      <w:r>
        <w:rPr>
          <w:color w:val="FF0000"/>
          <w:sz w:val="24"/>
          <w:szCs w:val="24"/>
        </w:rPr>
        <w:br w:type="page"/>
      </w:r>
      <w:r>
        <w:rPr>
          <w:sz w:val="24"/>
          <w:szCs w:val="24"/>
        </w:rPr>
        <w:t>项目需求书</w:t>
      </w:r>
    </w:p>
    <w:p w14:paraId="1594CC8E">
      <w:pPr>
        <w:spacing w:line="360" w:lineRule="auto"/>
        <w:ind w:firstLine="448" w:firstLineChars="200"/>
        <w:jc w:val="left"/>
        <w:rPr>
          <w:sz w:val="24"/>
          <w:szCs w:val="24"/>
        </w:rPr>
      </w:pPr>
      <w:r>
        <w:rPr>
          <w:rFonts w:hint="eastAsia"/>
          <w:sz w:val="24"/>
          <w:szCs w:val="24"/>
        </w:rPr>
        <w:t>一、项目背景</w:t>
      </w:r>
    </w:p>
    <w:p w14:paraId="0264C1E2">
      <w:pPr>
        <w:spacing w:line="360" w:lineRule="auto"/>
        <w:ind w:firstLine="448" w:firstLineChars="200"/>
        <w:rPr>
          <w:rFonts w:hint="eastAsia" w:ascii="宋体" w:hAnsi="宋体"/>
          <w:sz w:val="24"/>
        </w:rPr>
      </w:pPr>
      <w:r>
        <w:rPr>
          <w:rFonts w:hint="eastAsia" w:ascii="宋体" w:hAnsi="宋体"/>
          <w:sz w:val="24"/>
        </w:rPr>
        <w:t>为更好的服务检察办案，天津市人民检察院拟采购一套对海量电子数据进行快速分析的取证设备，支持多种主流取证软件生成的报告分析汇总</w:t>
      </w:r>
      <w:r>
        <w:rPr>
          <w:rFonts w:hint="eastAsia" w:ascii="宋体" w:hAnsi="宋体"/>
          <w:sz w:val="24"/>
          <w:lang w:eastAsia="zh-CN"/>
        </w:rPr>
        <w:t>、</w:t>
      </w:r>
      <w:r>
        <w:rPr>
          <w:rFonts w:hint="eastAsia" w:ascii="宋体" w:hAnsi="宋体"/>
          <w:sz w:val="24"/>
        </w:rPr>
        <w:t>自动绘制</w:t>
      </w:r>
      <w:r>
        <w:rPr>
          <w:rFonts w:hint="eastAsia" w:ascii="宋体" w:hAnsi="宋体"/>
          <w:sz w:val="24"/>
          <w:lang w:val="en-US" w:eastAsia="zh-CN"/>
        </w:rPr>
        <w:t>社会网络关系图表</w:t>
      </w:r>
      <w:r>
        <w:rPr>
          <w:rFonts w:hint="eastAsia" w:ascii="宋体" w:hAnsi="宋体"/>
          <w:sz w:val="24"/>
        </w:rPr>
        <w:t>、揭示重点人物情况、梳理资金往来记录等重要信息</w:t>
      </w:r>
      <w:r>
        <w:rPr>
          <w:rFonts w:hint="eastAsia" w:ascii="宋体" w:hAnsi="宋体"/>
          <w:sz w:val="24"/>
          <w:lang w:val="en-US" w:eastAsia="zh-CN"/>
        </w:rPr>
        <w:t>并支持与一体化四维度全流程办案辅助系统对接</w:t>
      </w:r>
      <w:r>
        <w:rPr>
          <w:rFonts w:hint="eastAsia" w:ascii="宋体" w:hAnsi="宋体"/>
          <w:sz w:val="24"/>
        </w:rPr>
        <w:t>，为检察侦查及其他检察业务工作提供全面的情报支持，以更好的技术水平服务检察办案。</w:t>
      </w:r>
    </w:p>
    <w:p w14:paraId="6849794E">
      <w:pPr>
        <w:spacing w:line="360" w:lineRule="auto"/>
        <w:ind w:firstLine="448" w:firstLineChars="200"/>
      </w:pPr>
      <w:r>
        <w:rPr>
          <w:rFonts w:hint="eastAsia" w:ascii="宋体" w:hAnsi="宋体"/>
          <w:sz w:val="24"/>
          <w:lang w:val="en-US" w:eastAsia="zh-CN"/>
        </w:rPr>
        <w:t>本项目需要与一体化四维度全流程办案辅助系统（简称：</w:t>
      </w:r>
      <w:r>
        <w:rPr>
          <w:rFonts w:ascii="宋体" w:hAnsi="宋体" w:eastAsia="宋体" w:cs="宋体"/>
          <w:kern w:val="0"/>
          <w:sz w:val="24"/>
          <w:szCs w:val="24"/>
          <w:lang w:val="en-US" w:eastAsia="zh-CN" w:bidi="ar"/>
        </w:rPr>
        <w:t>一四全</w:t>
      </w:r>
      <w:r>
        <w:rPr>
          <w:rFonts w:hint="eastAsia" w:ascii="宋体" w:hAnsi="宋体"/>
          <w:sz w:val="24"/>
          <w:lang w:val="en-US" w:eastAsia="zh-CN"/>
        </w:rPr>
        <w:t>）对接，具体对接内容如下：</w:t>
      </w:r>
      <w:r>
        <w:rPr>
          <w:rFonts w:ascii="宋体" w:hAnsi="宋体" w:eastAsia="宋体" w:cs="宋体"/>
          <w:kern w:val="0"/>
          <w:sz w:val="24"/>
          <w:szCs w:val="24"/>
          <w:lang w:val="en-US" w:eastAsia="zh-CN" w:bidi="ar"/>
        </w:rPr>
        <w:t>‌</w:t>
      </w:r>
    </w:p>
    <w:p w14:paraId="26DFA620">
      <w:pPr>
        <w:keepNext w:val="0"/>
        <w:keepLines w:val="0"/>
        <w:widowControl/>
        <w:suppressLineNumbers w:val="0"/>
        <w:jc w:val="left"/>
      </w:pPr>
      <w:r>
        <w:rPr>
          <w:rFonts w:hint="eastAsia" w:ascii="宋体" w:hAnsi="宋体" w:cs="宋体"/>
          <w:kern w:val="0"/>
          <w:sz w:val="24"/>
          <w:szCs w:val="24"/>
          <w:lang w:val="en-US" w:eastAsia="zh-CN" w:bidi="ar"/>
        </w:rPr>
        <w:t xml:space="preserve">1 </w:t>
      </w:r>
      <w:r>
        <w:rPr>
          <w:rFonts w:ascii="宋体" w:hAnsi="宋体" w:eastAsia="宋体" w:cs="宋体"/>
          <w:kern w:val="0"/>
          <w:sz w:val="24"/>
          <w:szCs w:val="24"/>
          <w:lang w:val="en-US" w:eastAsia="zh-CN" w:bidi="ar"/>
        </w:rPr>
        <w:t>案件创建与上传功能‌</w:t>
      </w:r>
    </w:p>
    <w:p w14:paraId="0D96DCF1">
      <w:pPr>
        <w:keepNext w:val="0"/>
        <w:keepLines w:val="0"/>
        <w:widowControl/>
        <w:suppressLineNumbers w:val="0"/>
        <w:jc w:val="left"/>
      </w:pPr>
      <w:r>
        <w:rPr>
          <w:rFonts w:hint="eastAsia" w:ascii="宋体" w:hAnsi="宋体" w:cs="宋体"/>
          <w:kern w:val="0"/>
          <w:sz w:val="24"/>
          <w:szCs w:val="24"/>
          <w:lang w:val="en-US" w:eastAsia="zh-CN" w:bidi="ar"/>
        </w:rPr>
        <w:t xml:space="preserve">1.1 </w:t>
      </w:r>
      <w:r>
        <w:rPr>
          <w:rFonts w:ascii="宋体" w:hAnsi="宋体" w:eastAsia="宋体" w:cs="宋体"/>
          <w:kern w:val="0"/>
          <w:sz w:val="24"/>
          <w:szCs w:val="24"/>
          <w:lang w:val="en-US" w:eastAsia="zh-CN" w:bidi="ar"/>
        </w:rPr>
        <w:t>‌自动登录与案件创建</w:t>
      </w:r>
      <w:r>
        <w:rPr>
          <w:rFonts w:hint="eastAsia" w:ascii="宋体" w:hAnsi="宋体" w:cs="宋体"/>
          <w:kern w:val="0"/>
          <w:sz w:val="24"/>
          <w:szCs w:val="24"/>
          <w:lang w:val="en-US" w:eastAsia="zh-CN" w:bidi="ar"/>
        </w:rPr>
        <w:t>，</w:t>
      </w:r>
      <w:r>
        <w:rPr>
          <w:rFonts w:ascii="宋体" w:hAnsi="宋体" w:eastAsia="宋体" w:cs="宋体"/>
          <w:sz w:val="24"/>
          <w:szCs w:val="24"/>
        </w:rPr>
        <w:t>上传的报告数据支持自动绑定，并允许用户修改调整；</w:t>
      </w:r>
      <w:r>
        <w:rPr>
          <w:rFonts w:ascii="宋体" w:hAnsi="宋体" w:eastAsia="宋体" w:cs="宋体"/>
          <w:kern w:val="0"/>
          <w:sz w:val="24"/>
          <w:szCs w:val="24"/>
          <w:lang w:val="en-US" w:eastAsia="zh-CN" w:bidi="ar"/>
        </w:rPr>
        <w:t>系统需支持通过【去上传】按钮，根据提供的案件信息（案件名称、部门受案号、单位、部门、办案人、简要案情）自动完成登录及新案件创建。案件信息需在创建时自动填入并在案件详情中展示。若案件名称与库中已有案件重名，系统应自动提示并阻止重复创建。</w:t>
      </w:r>
    </w:p>
    <w:p w14:paraId="3A11FD0E">
      <w:pPr>
        <w:keepNext w:val="0"/>
        <w:keepLines w:val="0"/>
        <w:widowControl/>
        <w:suppressLineNumbers w:val="0"/>
        <w:jc w:val="left"/>
      </w:pPr>
      <w:r>
        <w:rPr>
          <w:rFonts w:hint="eastAsia" w:ascii="宋体" w:hAnsi="宋体" w:cs="宋体"/>
          <w:kern w:val="0"/>
          <w:sz w:val="24"/>
          <w:szCs w:val="24"/>
          <w:lang w:val="en-US" w:eastAsia="zh-CN" w:bidi="ar"/>
        </w:rPr>
        <w:t xml:space="preserve">1.3 </w:t>
      </w:r>
      <w:r>
        <w:rPr>
          <w:rFonts w:ascii="宋体" w:hAnsi="宋体" w:eastAsia="宋体" w:cs="宋体"/>
          <w:kern w:val="0"/>
          <w:sz w:val="24"/>
          <w:szCs w:val="24"/>
          <w:lang w:val="en-US" w:eastAsia="zh-CN" w:bidi="ar"/>
        </w:rPr>
        <w:t>‌报告上传与绑定‌</w:t>
      </w:r>
      <w:r>
        <w:rPr>
          <w:rFonts w:hint="eastAsia" w:ascii="宋体" w:hAnsi="宋体" w:cs="宋体"/>
          <w:kern w:val="0"/>
          <w:sz w:val="24"/>
          <w:szCs w:val="24"/>
          <w:lang w:val="en-US" w:eastAsia="zh-CN" w:bidi="ar"/>
        </w:rPr>
        <w:t>，</w:t>
      </w:r>
      <w:r>
        <w:rPr>
          <w:rFonts w:ascii="宋体" w:hAnsi="宋体" w:eastAsia="宋体" w:cs="宋体"/>
          <w:kern w:val="0"/>
          <w:sz w:val="24"/>
          <w:szCs w:val="24"/>
          <w:lang w:val="en-US" w:eastAsia="zh-CN" w:bidi="ar"/>
        </w:rPr>
        <w:t>用户需通过手动点击【报告上传】完成数据上传。若报告名称与库中案件名称同名，系统应自动完成绑定；否则，需提供手动调整功能，确保报告与案件正确关联。</w:t>
      </w:r>
    </w:p>
    <w:p w14:paraId="1D60ACAE">
      <w:pPr>
        <w:keepNext w:val="0"/>
        <w:keepLines w:val="0"/>
        <w:widowControl/>
        <w:suppressLineNumbers w:val="0"/>
        <w:jc w:val="left"/>
      </w:pPr>
      <w:r>
        <w:rPr>
          <w:rFonts w:hint="eastAsia" w:ascii="宋体" w:hAnsi="宋体" w:cs="宋体"/>
          <w:kern w:val="0"/>
          <w:sz w:val="24"/>
          <w:szCs w:val="24"/>
          <w:lang w:val="en-US" w:eastAsia="zh-CN" w:bidi="ar"/>
        </w:rPr>
        <w:t xml:space="preserve">2 </w:t>
      </w:r>
      <w:r>
        <w:rPr>
          <w:rFonts w:ascii="宋体" w:hAnsi="宋体" w:eastAsia="宋体" w:cs="宋体"/>
          <w:kern w:val="0"/>
          <w:sz w:val="24"/>
          <w:szCs w:val="24"/>
          <w:lang w:val="en-US" w:eastAsia="zh-CN" w:bidi="ar"/>
        </w:rPr>
        <w:t>案件状态管理‌</w:t>
      </w:r>
    </w:p>
    <w:p w14:paraId="5D3A063D">
      <w:pPr>
        <w:keepNext w:val="0"/>
        <w:keepLines w:val="0"/>
        <w:widowControl/>
        <w:suppressLineNumbers w:val="0"/>
        <w:jc w:val="left"/>
      </w:pPr>
      <w:r>
        <w:rPr>
          <w:rFonts w:hint="eastAsia" w:ascii="宋体" w:hAnsi="宋体" w:cs="宋体"/>
          <w:kern w:val="0"/>
          <w:sz w:val="24"/>
          <w:szCs w:val="24"/>
          <w:lang w:val="en-US" w:eastAsia="zh-CN" w:bidi="ar"/>
        </w:rPr>
        <w:t xml:space="preserve">2.1 </w:t>
      </w:r>
      <w:r>
        <w:rPr>
          <w:rFonts w:ascii="宋体" w:hAnsi="宋体" w:eastAsia="宋体" w:cs="宋体"/>
          <w:kern w:val="0"/>
          <w:sz w:val="24"/>
          <w:szCs w:val="24"/>
          <w:lang w:val="en-US" w:eastAsia="zh-CN" w:bidi="ar"/>
        </w:rPr>
        <w:t>‌状态回调接口</w:t>
      </w:r>
      <w:r>
        <w:rPr>
          <w:rFonts w:hint="eastAsia" w:ascii="宋体" w:hAnsi="宋体" w:cs="宋体"/>
          <w:kern w:val="0"/>
          <w:sz w:val="24"/>
          <w:szCs w:val="24"/>
          <w:lang w:val="en-US" w:eastAsia="zh-CN" w:bidi="ar"/>
        </w:rPr>
        <w:t>，</w:t>
      </w:r>
      <w:r>
        <w:rPr>
          <w:rFonts w:ascii="宋体" w:hAnsi="宋体" w:eastAsia="宋体" w:cs="宋体"/>
          <w:sz w:val="24"/>
          <w:szCs w:val="24"/>
        </w:rPr>
        <w:t>与</w:t>
      </w:r>
      <w:r>
        <w:rPr>
          <w:rFonts w:ascii="宋体" w:hAnsi="宋体" w:eastAsia="宋体" w:cs="宋体"/>
          <w:kern w:val="0"/>
          <w:sz w:val="24"/>
          <w:szCs w:val="24"/>
          <w:lang w:val="en-US" w:eastAsia="zh-CN" w:bidi="ar"/>
        </w:rPr>
        <w:t>一四全</w:t>
      </w:r>
      <w:r>
        <w:rPr>
          <w:rFonts w:ascii="宋体" w:hAnsi="宋体" w:eastAsia="宋体" w:cs="宋体"/>
          <w:sz w:val="24"/>
          <w:szCs w:val="24"/>
        </w:rPr>
        <w:t>系统对接，实现案件信息的更新、创建、数据上传及状态回调；</w:t>
      </w:r>
      <w:r>
        <w:rPr>
          <w:rFonts w:ascii="宋体" w:hAnsi="宋体" w:eastAsia="宋体" w:cs="宋体"/>
          <w:kern w:val="0"/>
          <w:sz w:val="24"/>
          <w:szCs w:val="24"/>
          <w:lang w:val="en-US" w:eastAsia="zh-CN" w:bidi="ar"/>
        </w:rPr>
        <w:t>‌系统需提供状态回调接口，能够根据案件处理状态返回总状态信息。</w:t>
      </w:r>
    </w:p>
    <w:p w14:paraId="79863C13">
      <w:pPr>
        <w:keepNext w:val="0"/>
        <w:keepLines w:val="0"/>
        <w:widowControl/>
        <w:suppressLineNumbers w:val="0"/>
        <w:jc w:val="left"/>
      </w:pPr>
      <w:r>
        <w:rPr>
          <w:rFonts w:hint="eastAsia" w:ascii="宋体" w:hAnsi="宋体" w:cs="宋体"/>
          <w:kern w:val="0"/>
          <w:sz w:val="24"/>
          <w:szCs w:val="24"/>
          <w:lang w:val="en-US" w:eastAsia="zh-CN" w:bidi="ar"/>
        </w:rPr>
        <w:t xml:space="preserve">2.2 </w:t>
      </w:r>
      <w:r>
        <w:rPr>
          <w:rFonts w:ascii="宋体" w:hAnsi="宋体" w:eastAsia="宋体" w:cs="宋体"/>
          <w:kern w:val="0"/>
          <w:sz w:val="24"/>
          <w:szCs w:val="24"/>
          <w:lang w:val="en-US" w:eastAsia="zh-CN" w:bidi="ar"/>
        </w:rPr>
        <w:t>接口应支持实时更新案件状态，确保用户能够及时获取最新的处理进展。</w:t>
      </w:r>
    </w:p>
    <w:p w14:paraId="27B35B17">
      <w:pPr>
        <w:keepNext w:val="0"/>
        <w:keepLines w:val="0"/>
        <w:widowControl/>
        <w:suppressLineNumbers w:val="0"/>
        <w:jc w:val="left"/>
      </w:pPr>
      <w:r>
        <w:rPr>
          <w:rFonts w:hint="eastAsia" w:ascii="宋体" w:hAnsi="宋体" w:cs="宋体"/>
          <w:kern w:val="0"/>
          <w:sz w:val="24"/>
          <w:szCs w:val="24"/>
          <w:lang w:val="en-US" w:eastAsia="zh-CN" w:bidi="ar"/>
        </w:rPr>
        <w:t xml:space="preserve">3 </w:t>
      </w:r>
      <w:r>
        <w:rPr>
          <w:rFonts w:ascii="宋体" w:hAnsi="宋体" w:eastAsia="宋体" w:cs="宋体"/>
          <w:kern w:val="0"/>
          <w:sz w:val="24"/>
          <w:szCs w:val="24"/>
          <w:lang w:val="en-US" w:eastAsia="zh-CN" w:bidi="ar"/>
        </w:rPr>
        <w:t>案件跳转与查看‌</w:t>
      </w:r>
    </w:p>
    <w:p w14:paraId="03EBC1C0">
      <w:pPr>
        <w:keepNext w:val="0"/>
        <w:keepLines w:val="0"/>
        <w:widowControl/>
        <w:suppressLineNumbers w:val="0"/>
        <w:jc w:val="left"/>
      </w:pPr>
      <w:r>
        <w:rPr>
          <w:rFonts w:hint="eastAsia" w:ascii="宋体" w:hAnsi="宋体" w:cs="宋体"/>
          <w:kern w:val="0"/>
          <w:sz w:val="24"/>
          <w:szCs w:val="24"/>
          <w:lang w:val="en-US" w:eastAsia="zh-CN" w:bidi="ar"/>
        </w:rPr>
        <w:t xml:space="preserve">3.1 </w:t>
      </w:r>
      <w:r>
        <w:rPr>
          <w:rFonts w:ascii="宋体" w:hAnsi="宋体" w:eastAsia="宋体" w:cs="宋体"/>
          <w:kern w:val="0"/>
          <w:sz w:val="24"/>
          <w:szCs w:val="24"/>
          <w:lang w:val="en-US" w:eastAsia="zh-CN" w:bidi="ar"/>
        </w:rPr>
        <w:t>‌案件跳转功能</w:t>
      </w:r>
      <w:r>
        <w:rPr>
          <w:rFonts w:ascii="宋体" w:hAnsi="宋体" w:eastAsia="宋体" w:cs="宋体"/>
          <w:sz w:val="24"/>
          <w:szCs w:val="24"/>
        </w:rPr>
        <w:t>支持用户在系统间灵活跳转查看数据；</w:t>
      </w:r>
      <w:r>
        <w:rPr>
          <w:rFonts w:ascii="宋体" w:hAnsi="宋体" w:eastAsia="宋体" w:cs="宋体"/>
          <w:kern w:val="0"/>
          <w:sz w:val="24"/>
          <w:szCs w:val="24"/>
          <w:lang w:val="en-US" w:eastAsia="zh-CN" w:bidi="ar"/>
        </w:rPr>
        <w:t>‌在一四全系统中，用户点击案件名或案件状态时，系统应自动携带案件名和登录信息，实现直接跳转到同名案件详情页。</w:t>
      </w:r>
    </w:p>
    <w:p w14:paraId="5508D71E">
      <w:pPr>
        <w:keepNext w:val="0"/>
        <w:keepLines w:val="0"/>
        <w:widowControl/>
        <w:suppressLineNumbers w:val="0"/>
        <w:jc w:val="left"/>
      </w:pPr>
      <w:r>
        <w:rPr>
          <w:rFonts w:hint="eastAsia" w:ascii="宋体" w:hAnsi="宋体" w:cs="宋体"/>
          <w:kern w:val="0"/>
          <w:sz w:val="24"/>
          <w:szCs w:val="24"/>
          <w:lang w:val="en-US" w:eastAsia="zh-CN" w:bidi="ar"/>
        </w:rPr>
        <w:t xml:space="preserve">3.2 </w:t>
      </w:r>
      <w:r>
        <w:rPr>
          <w:rFonts w:ascii="宋体" w:hAnsi="宋体" w:eastAsia="宋体" w:cs="宋体"/>
          <w:kern w:val="0"/>
          <w:sz w:val="24"/>
          <w:szCs w:val="24"/>
          <w:lang w:val="en-US" w:eastAsia="zh-CN" w:bidi="ar"/>
        </w:rPr>
        <w:t>跳转过程需确保数据准确性和安全性，避免信息泄露。</w:t>
      </w:r>
    </w:p>
    <w:p w14:paraId="692EFD57">
      <w:pPr>
        <w:keepNext w:val="0"/>
        <w:keepLines w:val="0"/>
        <w:widowControl/>
        <w:suppressLineNumbers w:val="0"/>
        <w:jc w:val="left"/>
      </w:pPr>
      <w:r>
        <w:rPr>
          <w:rFonts w:hint="eastAsia" w:ascii="宋体" w:hAnsi="宋体" w:cs="宋体"/>
          <w:kern w:val="0"/>
          <w:sz w:val="24"/>
          <w:szCs w:val="24"/>
          <w:lang w:val="en-US" w:eastAsia="zh-CN" w:bidi="ar"/>
        </w:rPr>
        <w:t xml:space="preserve">4 </w:t>
      </w:r>
      <w:r>
        <w:rPr>
          <w:rFonts w:ascii="宋体" w:hAnsi="宋体" w:eastAsia="宋体" w:cs="宋体"/>
          <w:kern w:val="0"/>
          <w:sz w:val="24"/>
          <w:szCs w:val="24"/>
          <w:lang w:val="en-US" w:eastAsia="zh-CN" w:bidi="ar"/>
        </w:rPr>
        <w:t>登录与用户管理‌</w:t>
      </w:r>
    </w:p>
    <w:p w14:paraId="21A0764C">
      <w:pPr>
        <w:keepNext w:val="0"/>
        <w:keepLines w:val="0"/>
        <w:widowControl/>
        <w:suppressLineNumbers w:val="0"/>
        <w:jc w:val="left"/>
        <w:rPr>
          <w:rFonts w:ascii="宋体" w:hAnsi="宋体" w:eastAsia="宋体" w:cs="宋体"/>
          <w:kern w:val="0"/>
          <w:sz w:val="24"/>
          <w:szCs w:val="24"/>
          <w:lang w:val="en-US" w:eastAsia="zh-CN" w:bidi="ar"/>
        </w:rPr>
      </w:pPr>
      <w:r>
        <w:rPr>
          <w:rFonts w:hint="eastAsia" w:ascii="宋体" w:hAnsi="宋体" w:cs="宋体"/>
          <w:kern w:val="0"/>
          <w:sz w:val="24"/>
          <w:szCs w:val="24"/>
          <w:lang w:val="en-US" w:eastAsia="zh-CN" w:bidi="ar"/>
        </w:rPr>
        <w:t xml:space="preserve">4.1 </w:t>
      </w:r>
      <w:r>
        <w:rPr>
          <w:rFonts w:ascii="宋体" w:hAnsi="宋体" w:eastAsia="宋体" w:cs="宋体"/>
          <w:kern w:val="0"/>
          <w:sz w:val="24"/>
          <w:szCs w:val="24"/>
          <w:lang w:val="en-US" w:eastAsia="zh-CN" w:bidi="ar"/>
        </w:rPr>
        <w:t>‌自动登录与用户匹配</w:t>
      </w:r>
      <w:r>
        <w:rPr>
          <w:rFonts w:hint="eastAsia" w:ascii="宋体" w:hAnsi="宋体" w:cs="宋体"/>
          <w:kern w:val="0"/>
          <w:sz w:val="24"/>
          <w:szCs w:val="24"/>
          <w:lang w:val="en-US" w:eastAsia="zh-CN" w:bidi="ar"/>
        </w:rPr>
        <w:t>，</w:t>
      </w:r>
      <w:r>
        <w:rPr>
          <w:rFonts w:ascii="宋体" w:hAnsi="宋体" w:eastAsia="宋体" w:cs="宋体"/>
          <w:sz w:val="24"/>
          <w:szCs w:val="24"/>
        </w:rPr>
        <w:t>支持对方系统使用统一账号快速登录，并且账号信息如有更改，支持自动更新；</w:t>
      </w:r>
      <w:r>
        <w:rPr>
          <w:rFonts w:ascii="宋体" w:hAnsi="宋体" w:eastAsia="宋体" w:cs="宋体"/>
          <w:kern w:val="0"/>
          <w:sz w:val="24"/>
          <w:szCs w:val="24"/>
          <w:lang w:val="en-US" w:eastAsia="zh-CN" w:bidi="ar"/>
        </w:rPr>
        <w:t>‌</w:t>
      </w:r>
    </w:p>
    <w:p w14:paraId="6B2BEAE3">
      <w:pPr>
        <w:keepNext w:val="0"/>
        <w:keepLines w:val="0"/>
        <w:widowControl/>
        <w:suppressLineNumbers w:val="0"/>
        <w:jc w:val="left"/>
      </w:pPr>
      <w:r>
        <w:rPr>
          <w:rFonts w:hint="eastAsia" w:ascii="宋体" w:hAnsi="宋体" w:cs="宋体"/>
          <w:kern w:val="0"/>
          <w:sz w:val="24"/>
          <w:szCs w:val="24"/>
          <w:lang w:val="en-US" w:eastAsia="zh-CN" w:bidi="ar"/>
        </w:rPr>
        <w:t xml:space="preserve">4.2 </w:t>
      </w:r>
      <w:r>
        <w:rPr>
          <w:rFonts w:ascii="宋体" w:hAnsi="宋体" w:eastAsia="宋体" w:cs="宋体"/>
          <w:kern w:val="0"/>
          <w:sz w:val="24"/>
          <w:szCs w:val="24"/>
          <w:lang w:val="en-US" w:eastAsia="zh-CN" w:bidi="ar"/>
        </w:rPr>
        <w:t>系统需根据URL解密出人员编码和单位编码，并在一四全提供的数据库中查询用户名和单位名。</w:t>
      </w:r>
    </w:p>
    <w:p w14:paraId="52A18781">
      <w:pPr>
        <w:keepNext w:val="0"/>
        <w:keepLines w:val="0"/>
        <w:widowControl/>
        <w:suppressLineNumbers w:val="0"/>
        <w:jc w:val="left"/>
      </w:pPr>
      <w:r>
        <w:rPr>
          <w:rFonts w:hint="eastAsia" w:ascii="宋体" w:hAnsi="宋体" w:cs="宋体"/>
          <w:kern w:val="0"/>
          <w:sz w:val="24"/>
          <w:szCs w:val="24"/>
          <w:lang w:val="en-US" w:eastAsia="zh-CN" w:bidi="ar"/>
        </w:rPr>
        <w:t xml:space="preserve">4.3 </w:t>
      </w:r>
      <w:r>
        <w:rPr>
          <w:rFonts w:ascii="宋体" w:hAnsi="宋体" w:eastAsia="宋体" w:cs="宋体"/>
          <w:kern w:val="0"/>
          <w:sz w:val="24"/>
          <w:szCs w:val="24"/>
          <w:lang w:val="en-US" w:eastAsia="zh-CN" w:bidi="ar"/>
        </w:rPr>
        <w:t>查询到的信息需返回系统用户管理中进行匹配，若用户存在则自动登录，否则创建新用户并登录。</w:t>
      </w:r>
    </w:p>
    <w:p w14:paraId="001A6B8B">
      <w:pPr>
        <w:keepNext w:val="0"/>
        <w:keepLines w:val="0"/>
        <w:widowControl/>
        <w:suppressLineNumbers w:val="0"/>
        <w:jc w:val="left"/>
      </w:pPr>
      <w:r>
        <w:rPr>
          <w:rFonts w:hint="eastAsia" w:ascii="宋体" w:hAnsi="宋体" w:cs="宋体"/>
          <w:kern w:val="0"/>
          <w:sz w:val="24"/>
          <w:szCs w:val="24"/>
          <w:lang w:val="en-US" w:eastAsia="zh-CN" w:bidi="ar"/>
        </w:rPr>
        <w:t xml:space="preserve">4.4 </w:t>
      </w:r>
      <w:r>
        <w:rPr>
          <w:rFonts w:ascii="宋体" w:hAnsi="宋体" w:eastAsia="宋体" w:cs="宋体"/>
          <w:kern w:val="0"/>
          <w:sz w:val="24"/>
          <w:szCs w:val="24"/>
          <w:lang w:val="en-US" w:eastAsia="zh-CN" w:bidi="ar"/>
        </w:rPr>
        <w:t>‌用户信息同步更新‌</w:t>
      </w:r>
      <w:r>
        <w:rPr>
          <w:rFonts w:hint="eastAsia" w:ascii="宋体" w:hAnsi="宋体" w:cs="宋体"/>
          <w:kern w:val="0"/>
          <w:sz w:val="24"/>
          <w:szCs w:val="24"/>
          <w:lang w:val="en-US" w:eastAsia="zh-CN" w:bidi="ar"/>
        </w:rPr>
        <w:t>，</w:t>
      </w:r>
      <w:r>
        <w:rPr>
          <w:rFonts w:ascii="宋体" w:hAnsi="宋体" w:eastAsia="宋体" w:cs="宋体"/>
          <w:kern w:val="0"/>
          <w:sz w:val="24"/>
          <w:szCs w:val="24"/>
          <w:lang w:val="en-US" w:eastAsia="zh-CN" w:bidi="ar"/>
        </w:rPr>
        <w:t>若查询到的人员单位信息与系统记录不一致，系统应自动同步更新用户信息，确保数据一致性。</w:t>
      </w:r>
    </w:p>
    <w:p w14:paraId="6D7E78AB">
      <w:pPr>
        <w:keepNext w:val="0"/>
        <w:keepLines w:val="0"/>
        <w:widowControl/>
        <w:suppressLineNumbers w:val="0"/>
        <w:jc w:val="left"/>
      </w:pPr>
      <w:r>
        <w:rPr>
          <w:rFonts w:hint="eastAsia" w:ascii="宋体" w:hAnsi="宋体" w:cs="宋体"/>
          <w:kern w:val="0"/>
          <w:sz w:val="24"/>
          <w:szCs w:val="24"/>
          <w:lang w:val="en-US" w:eastAsia="zh-CN" w:bidi="ar"/>
        </w:rPr>
        <w:t>5</w:t>
      </w:r>
      <w:r>
        <w:rPr>
          <w:rFonts w:ascii="宋体" w:hAnsi="宋体" w:eastAsia="宋体" w:cs="宋体"/>
          <w:kern w:val="0"/>
          <w:sz w:val="24"/>
          <w:szCs w:val="24"/>
          <w:lang w:val="en-US" w:eastAsia="zh-CN" w:bidi="ar"/>
        </w:rPr>
        <w:t>其他要求‌</w:t>
      </w:r>
    </w:p>
    <w:p w14:paraId="4109E0AB">
      <w:pPr>
        <w:keepNext w:val="0"/>
        <w:keepLines w:val="0"/>
        <w:widowControl/>
        <w:suppressLineNumbers w:val="0"/>
        <w:jc w:val="left"/>
      </w:pPr>
      <w:r>
        <w:rPr>
          <w:rFonts w:hint="eastAsia" w:ascii="宋体" w:hAnsi="宋体" w:cs="宋体"/>
          <w:kern w:val="0"/>
          <w:sz w:val="24"/>
          <w:szCs w:val="24"/>
          <w:lang w:val="en-US" w:eastAsia="zh-CN" w:bidi="ar"/>
        </w:rPr>
        <w:t>5.1</w:t>
      </w:r>
      <w:r>
        <w:rPr>
          <w:rFonts w:ascii="宋体" w:hAnsi="宋体" w:eastAsia="宋体" w:cs="宋体"/>
          <w:kern w:val="0"/>
          <w:sz w:val="24"/>
          <w:szCs w:val="24"/>
          <w:lang w:val="en-US" w:eastAsia="zh-CN" w:bidi="ar"/>
        </w:rPr>
        <w:t>‌系统兼容性‌</w:t>
      </w:r>
      <w:r>
        <w:rPr>
          <w:rFonts w:hint="eastAsia" w:ascii="宋体" w:hAnsi="宋体" w:cs="宋体"/>
          <w:kern w:val="0"/>
          <w:sz w:val="24"/>
          <w:szCs w:val="24"/>
          <w:lang w:val="en-US" w:eastAsia="zh-CN" w:bidi="ar"/>
        </w:rPr>
        <w:t>，</w:t>
      </w:r>
      <w:r>
        <w:rPr>
          <w:rFonts w:ascii="宋体" w:hAnsi="宋体" w:eastAsia="宋体" w:cs="宋体"/>
          <w:kern w:val="0"/>
          <w:sz w:val="24"/>
          <w:szCs w:val="24"/>
          <w:lang w:val="en-US" w:eastAsia="zh-CN" w:bidi="ar"/>
        </w:rPr>
        <w:t>系统需与一四全系统无缝对接，确保数据交互的准确性和高效性。</w:t>
      </w:r>
    </w:p>
    <w:p w14:paraId="38407F4C">
      <w:pPr>
        <w:keepNext w:val="0"/>
        <w:keepLines w:val="0"/>
        <w:widowControl/>
        <w:suppressLineNumbers w:val="0"/>
        <w:jc w:val="left"/>
      </w:pPr>
      <w:r>
        <w:rPr>
          <w:rFonts w:hint="eastAsia" w:ascii="宋体" w:hAnsi="宋体" w:cs="宋体"/>
          <w:kern w:val="0"/>
          <w:sz w:val="24"/>
          <w:szCs w:val="24"/>
          <w:lang w:val="en-US" w:eastAsia="zh-CN" w:bidi="ar"/>
        </w:rPr>
        <w:t>5.2</w:t>
      </w:r>
      <w:r>
        <w:rPr>
          <w:rFonts w:ascii="宋体" w:hAnsi="宋体" w:eastAsia="宋体" w:cs="宋体"/>
          <w:kern w:val="0"/>
          <w:sz w:val="24"/>
          <w:szCs w:val="24"/>
          <w:lang w:val="en-US" w:eastAsia="zh-CN" w:bidi="ar"/>
        </w:rPr>
        <w:t>‌安全性‌</w:t>
      </w:r>
      <w:r>
        <w:rPr>
          <w:rFonts w:hint="eastAsia" w:ascii="宋体" w:hAnsi="宋体" w:cs="宋体"/>
          <w:kern w:val="0"/>
          <w:sz w:val="24"/>
          <w:szCs w:val="24"/>
          <w:lang w:val="en-US" w:eastAsia="zh-CN" w:bidi="ar"/>
        </w:rPr>
        <w:t>，</w:t>
      </w:r>
      <w:r>
        <w:rPr>
          <w:rFonts w:ascii="宋体" w:hAnsi="宋体" w:eastAsia="宋体" w:cs="宋体"/>
          <w:kern w:val="0"/>
          <w:sz w:val="24"/>
          <w:szCs w:val="24"/>
          <w:lang w:val="en-US" w:eastAsia="zh-CN" w:bidi="ar"/>
        </w:rPr>
        <w:t>系统需采取加密措施，确保用户信息和案件数据的安全，防止未经授权的访问和泄露。</w:t>
      </w:r>
    </w:p>
    <w:p w14:paraId="0D2CCBB0">
      <w:pPr>
        <w:keepNext w:val="0"/>
        <w:keepLines w:val="0"/>
        <w:widowControl/>
        <w:suppressLineNumbers w:val="0"/>
        <w:jc w:val="left"/>
      </w:pPr>
      <w:r>
        <w:rPr>
          <w:rFonts w:hint="eastAsia" w:ascii="宋体" w:hAnsi="宋体" w:cs="宋体"/>
          <w:kern w:val="0"/>
          <w:sz w:val="24"/>
          <w:szCs w:val="24"/>
          <w:lang w:val="en-US" w:eastAsia="zh-CN" w:bidi="ar"/>
        </w:rPr>
        <w:t>5.3</w:t>
      </w:r>
      <w:r>
        <w:rPr>
          <w:rFonts w:ascii="宋体" w:hAnsi="宋体" w:eastAsia="宋体" w:cs="宋体"/>
          <w:kern w:val="0"/>
          <w:sz w:val="24"/>
          <w:szCs w:val="24"/>
          <w:lang w:val="en-US" w:eastAsia="zh-CN" w:bidi="ar"/>
        </w:rPr>
        <w:t>‌可扩展性‌</w:t>
      </w:r>
      <w:r>
        <w:rPr>
          <w:rFonts w:hint="eastAsia" w:ascii="宋体" w:hAnsi="宋体" w:cs="宋体"/>
          <w:kern w:val="0"/>
          <w:sz w:val="24"/>
          <w:szCs w:val="24"/>
          <w:lang w:val="en-US" w:eastAsia="zh-CN" w:bidi="ar"/>
        </w:rPr>
        <w:t>，</w:t>
      </w:r>
      <w:r>
        <w:rPr>
          <w:rFonts w:ascii="宋体" w:hAnsi="宋体" w:eastAsia="宋体" w:cs="宋体"/>
          <w:kern w:val="0"/>
          <w:sz w:val="24"/>
          <w:szCs w:val="24"/>
          <w:lang w:val="en-US" w:eastAsia="zh-CN" w:bidi="ar"/>
        </w:rPr>
        <w:t>系统应具备良好的可扩展性，能够支持未来可能的功能扩展和业务需求变化。</w:t>
      </w:r>
    </w:p>
    <w:p w14:paraId="1DAEF82F">
      <w:pPr>
        <w:keepNext w:val="0"/>
        <w:keepLines w:val="0"/>
        <w:widowControl/>
        <w:suppressLineNumbers w:val="0"/>
        <w:jc w:val="left"/>
      </w:pPr>
      <w:r>
        <w:rPr>
          <w:rFonts w:hint="eastAsia" w:ascii="宋体" w:hAnsi="宋体" w:cs="宋体"/>
          <w:kern w:val="0"/>
          <w:sz w:val="24"/>
          <w:szCs w:val="24"/>
          <w:lang w:val="en-US" w:eastAsia="zh-CN" w:bidi="ar"/>
        </w:rPr>
        <w:t xml:space="preserve">6 </w:t>
      </w:r>
      <w:r>
        <w:rPr>
          <w:rFonts w:ascii="宋体" w:hAnsi="宋体" w:eastAsia="宋体" w:cs="宋体"/>
          <w:kern w:val="0"/>
          <w:sz w:val="24"/>
          <w:szCs w:val="24"/>
          <w:lang w:val="en-US" w:eastAsia="zh-CN" w:bidi="ar"/>
        </w:rPr>
        <w:t>‌技术支持与维护‌</w:t>
      </w:r>
    </w:p>
    <w:p w14:paraId="1CD33B32">
      <w:pPr>
        <w:keepNext w:val="0"/>
        <w:keepLines w:val="0"/>
        <w:widowControl/>
        <w:suppressLineNumbers w:val="0"/>
        <w:jc w:val="left"/>
      </w:pPr>
      <w:r>
        <w:rPr>
          <w:rFonts w:hint="eastAsia" w:ascii="宋体" w:hAnsi="宋体" w:cs="宋体"/>
          <w:kern w:val="0"/>
          <w:sz w:val="24"/>
          <w:szCs w:val="24"/>
          <w:lang w:val="en-US" w:eastAsia="zh-CN" w:bidi="ar"/>
        </w:rPr>
        <w:t xml:space="preserve">6.1 </w:t>
      </w:r>
      <w:r>
        <w:rPr>
          <w:rFonts w:ascii="宋体" w:hAnsi="宋体" w:eastAsia="宋体" w:cs="宋体"/>
          <w:kern w:val="0"/>
          <w:sz w:val="24"/>
          <w:szCs w:val="24"/>
          <w:lang w:val="en-US" w:eastAsia="zh-CN" w:bidi="ar"/>
        </w:rPr>
        <w:t>供应商需提供全面的技术支持与维护服务，确保系统稳定运行，及时解决技术问题。</w:t>
      </w:r>
    </w:p>
    <w:p w14:paraId="25EBA37F">
      <w:pPr>
        <w:keepNext w:val="0"/>
        <w:keepLines w:val="0"/>
        <w:widowControl/>
        <w:suppressLineNumbers w:val="0"/>
        <w:jc w:val="left"/>
      </w:pPr>
      <w:r>
        <w:rPr>
          <w:rFonts w:hint="eastAsia" w:ascii="宋体" w:hAnsi="宋体" w:cs="宋体"/>
          <w:kern w:val="0"/>
          <w:sz w:val="24"/>
          <w:szCs w:val="24"/>
          <w:lang w:val="en-US" w:eastAsia="zh-CN" w:bidi="ar"/>
        </w:rPr>
        <w:t xml:space="preserve">7 </w:t>
      </w:r>
      <w:r>
        <w:rPr>
          <w:rFonts w:ascii="宋体" w:hAnsi="宋体" w:eastAsia="宋体" w:cs="宋体"/>
          <w:kern w:val="0"/>
          <w:sz w:val="24"/>
          <w:szCs w:val="24"/>
          <w:lang w:val="en-US" w:eastAsia="zh-CN" w:bidi="ar"/>
        </w:rPr>
        <w:t>‌参数说明‌</w:t>
      </w:r>
    </w:p>
    <w:p w14:paraId="1CE489F1">
      <w:pPr>
        <w:keepNext w:val="0"/>
        <w:keepLines w:val="0"/>
        <w:widowControl/>
        <w:suppressLineNumbers w:val="0"/>
        <w:jc w:val="left"/>
      </w:pPr>
      <w:r>
        <w:rPr>
          <w:rFonts w:hint="eastAsia" w:ascii="宋体" w:hAnsi="宋体" w:cs="宋体"/>
          <w:kern w:val="0"/>
          <w:sz w:val="24"/>
          <w:szCs w:val="24"/>
          <w:lang w:val="en-US" w:eastAsia="zh-CN" w:bidi="ar"/>
        </w:rPr>
        <w:t>7.1</w:t>
      </w:r>
      <w:r>
        <w:rPr>
          <w:rFonts w:ascii="宋体" w:hAnsi="宋体" w:eastAsia="宋体" w:cs="宋体"/>
          <w:kern w:val="0"/>
          <w:sz w:val="24"/>
          <w:szCs w:val="24"/>
          <w:lang w:val="en-US" w:eastAsia="zh-CN" w:bidi="ar"/>
        </w:rPr>
        <w:t>供应商需确保所提供系统符合招标文件中的所有要求，并能够通过验收测试。</w:t>
      </w:r>
    </w:p>
    <w:p w14:paraId="37B253C6">
      <w:pPr>
        <w:keepNext w:val="0"/>
        <w:keepLines w:val="0"/>
        <w:widowControl/>
        <w:suppressLineNumbers w:val="0"/>
        <w:jc w:val="left"/>
        <w:rPr>
          <w:rFonts w:hint="default" w:ascii="宋体" w:hAnsi="宋体"/>
          <w:lang w:val="en-US" w:eastAsia="zh-CN"/>
        </w:rPr>
      </w:pPr>
      <w:r>
        <w:rPr>
          <w:rFonts w:ascii="宋体" w:hAnsi="宋体" w:eastAsia="宋体" w:cs="宋体"/>
          <w:kern w:val="0"/>
          <w:sz w:val="24"/>
          <w:szCs w:val="24"/>
          <w:lang w:val="en-US" w:eastAsia="zh-CN" w:bidi="ar"/>
        </w:rPr>
        <w:t>招标方保留根据实际需求对参数进行调整的权利，供应商需积极响应并配合调整。</w:t>
      </w:r>
    </w:p>
    <w:p w14:paraId="3109D5E8">
      <w:pPr>
        <w:spacing w:line="360" w:lineRule="auto"/>
        <w:ind w:firstLine="448" w:firstLineChars="200"/>
        <w:jc w:val="left"/>
        <w:rPr>
          <w:sz w:val="24"/>
          <w:szCs w:val="24"/>
        </w:rPr>
      </w:pPr>
      <w:r>
        <w:rPr>
          <w:rFonts w:hint="eastAsia"/>
          <w:sz w:val="24"/>
          <w:szCs w:val="24"/>
        </w:rPr>
        <w:t>二、技术要求</w:t>
      </w:r>
    </w:p>
    <w:p w14:paraId="1CB86827">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1 主要功能</w:t>
      </w:r>
    </w:p>
    <w:p w14:paraId="43FF517C">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1.1在案件中电子数据报告来源于多种品牌、不同格式的取证软件时，可支持对目前市场上多种主流取证软件生成的报告分析汇总；可对目前市场上多种主流手机取证产品原始数据直接汇聚，即在取证时自动同步数据汇聚和数据清洗入库。</w:t>
      </w:r>
    </w:p>
    <w:p w14:paraId="67836C7F">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1.2在需要对案件中某些特定关键词进行检索时，可支持对所有检材的智慧检索，搜索范围包括账号、聊天记录（包括群聊、好友聊天）、群组、文件、图片（包括图片识别出的文字）、语音（包括语音识别出的文字）、邮箱内容、身份证号等。</w:t>
      </w:r>
    </w:p>
    <w:p w14:paraId="3AEE12BC">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1.3在需要分析多个嫌疑人之间的通联关系时，可支持将当前手机与库中所有手机进行分析，包括直接通联分析、共同联系人分析、共同群分析、共同APP分析等；对于企业微信、钉钉、飞书等包含组织架构信息的APP，支持自动生成组织架构图，最终根据嫌疑人之间的相互联系判断犯罪团伙的组织架构。</w:t>
      </w:r>
    </w:p>
    <w:p w14:paraId="55B8DDF3">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1.4在需要分析嫌疑人之间沟通的“黑话”关键词时，可支持根据系统提供的特殊高频词汇，通过词云分析功能，使用智能自然语言语义分析系统，分析出采集数据中的热词、敏感词等词汇，分析范围涉及所有即时通讯聊天内容、朋友圈信息、公众号信息、订阅号信息、邮件内容、浏览器查看内容等。</w:t>
      </w:r>
    </w:p>
    <w:p w14:paraId="0D23C3DB">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1.5在需要发现未到案的涉案人员时，可支持将未到案但和已到案人员有关联关系的涉案人员，进行虚拟恢复，自动查找系统内所有有关该人员的数据并汇聚到该人员名下，通过虚拟人物功能，根据掌握的情报信息构建虚拟人，同时支持虚拟恢复出社交聊天记录、他人备注、通话记录等数据，达到扩充线索的目的。</w:t>
      </w:r>
      <w:r>
        <w:rPr>
          <w:rFonts w:hint="eastAsia" w:ascii="宋体" w:hAnsi="宋体" w:eastAsia="宋体" w:cs="宋体"/>
          <w:b/>
          <w:bCs/>
          <w:color w:val="auto"/>
          <w:kern w:val="0"/>
          <w:sz w:val="24"/>
          <w:szCs w:val="24"/>
          <w:lang w:val="en-US" w:eastAsia="zh-CN" w:bidi="ar"/>
        </w:rPr>
        <w:t>（</w:t>
      </w:r>
      <w:r>
        <w:rPr>
          <w:rFonts w:hint="eastAsia" w:ascii="宋体" w:hAnsi="宋体" w:cs="宋体"/>
          <w:b/>
          <w:bCs/>
          <w:color w:val="auto"/>
          <w:kern w:val="0"/>
          <w:sz w:val="24"/>
          <w:szCs w:val="24"/>
          <w:lang w:val="en-US" w:eastAsia="zh-CN" w:bidi="ar"/>
        </w:rPr>
        <w:t>需提供产品的操作界面截图</w:t>
      </w:r>
      <w:r>
        <w:rPr>
          <w:rFonts w:hint="eastAsia" w:ascii="宋体" w:hAnsi="宋体" w:eastAsia="宋体" w:cs="宋体"/>
          <w:b/>
          <w:bCs/>
          <w:color w:val="auto"/>
          <w:kern w:val="0"/>
          <w:sz w:val="24"/>
          <w:szCs w:val="24"/>
          <w:lang w:val="en-US" w:eastAsia="zh-CN" w:bidi="ar"/>
        </w:rPr>
        <w:t>）</w:t>
      </w:r>
    </w:p>
    <w:p w14:paraId="6A330297">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1.6在需要分析某些重点图片、文档等关键电子数据在嫌疑人之间的流转过程时，可支持快速找到该文件的原始出处，支持文件溯源功能，提供音频、视频、图片、文件等多媒体文件跨应用、跨检材文件溯源功能；按照时间顺序罗列文件收发情况，直观展示溯源文件。</w:t>
      </w:r>
    </w:p>
    <w:p w14:paraId="6F8D9507">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1.7在需要分析涉案检材中的资金需求时，可支持自动挖掘出检材、人物、案件中的资金信息，包括微信通讯中的转账收款、收发红包信息、支付宝中的转账收款信息、银行短信中的资金账单信息等。</w:t>
      </w:r>
    </w:p>
    <w:p w14:paraId="1DF15ED8">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1.8在需要导出不同格式的分析结果时，可支持分析成果导出功能，包括但不限于《所有涉案主账号表》、《备忘录信息表》、《好友信息表》、《群成员信息表》、《群信息表》、《通讯录表》、《图片地理位置表》、《音频文件信息列表》、《通话记录表》等，并支持自定义脚本数据导出工具，工具提供可视化编程界面，支持脚本执行后的成果输出。</w:t>
      </w:r>
    </w:p>
    <w:p w14:paraId="4BCF193E">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1.9在需要多用户登录时，可支持系统安全管理IP白名单功能，通过用户自定义设置白名单，对白名单中的IP客户端进行限制；支持用户权限设置功能，支持基于检材、人物、案件维度的用户权限划分，能够设定每个用户或者每组用户可查看的检材、人物或者案件，无权限内容不能查看；支持不少于100个并发用户同时在线浏览操作。</w:t>
      </w:r>
    </w:p>
    <w:p w14:paraId="684F0D1B">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2 硬件要求</w:t>
      </w:r>
    </w:p>
    <w:p w14:paraId="4CEF34CB">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2.1</w:t>
      </w:r>
      <w:bookmarkStart w:id="0" w:name="OLE_LINK1"/>
      <w:r>
        <w:rPr>
          <w:rFonts w:hint="eastAsia" w:ascii="宋体" w:hAnsi="宋体" w:cs="宋体"/>
          <w:kern w:val="0"/>
          <w:sz w:val="24"/>
          <w:szCs w:val="24"/>
          <w:lang w:val="en-US" w:eastAsia="zh-CN" w:bidi="ar"/>
        </w:rPr>
        <w:t xml:space="preserve"> </w:t>
      </w:r>
      <w:r>
        <w:rPr>
          <w:rFonts w:hint="eastAsia" w:ascii="宋体" w:hAnsi="宋体" w:eastAsia="宋体" w:cs="宋体"/>
          <w:kern w:val="0"/>
          <w:sz w:val="24"/>
          <w:szCs w:val="24"/>
          <w:lang w:val="en-US" w:eastAsia="zh-CN" w:bidi="ar"/>
        </w:rPr>
        <w:t>分析应用计算端设备（1台）：</w:t>
      </w:r>
      <w:r>
        <w:rPr>
          <w:rFonts w:hint="eastAsia" w:ascii="宋体" w:hAnsi="宋体" w:cs="宋体"/>
          <w:kern w:val="0"/>
          <w:sz w:val="24"/>
          <w:szCs w:val="24"/>
          <w:lang w:val="en-US" w:eastAsia="zh-CN" w:bidi="ar"/>
        </w:rPr>
        <w:t>国产化</w:t>
      </w:r>
      <w:r>
        <w:rPr>
          <w:rFonts w:hint="eastAsia" w:ascii="宋体" w:hAnsi="宋体" w:eastAsia="宋体" w:cs="宋体"/>
          <w:kern w:val="0"/>
          <w:sz w:val="24"/>
          <w:szCs w:val="24"/>
          <w:lang w:val="en-US" w:eastAsia="zh-CN" w:bidi="ar"/>
        </w:rPr>
        <w:t>CPU：不低于 20核 *2；内存：不低于512GB；硬盘：不低于15TB；网口：不少于双口千兆+双口万兆；RAID：配置RAID卡；配有只读接口；</w:t>
      </w:r>
    </w:p>
    <w:p w14:paraId="71FA9BB8">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2.2</w:t>
      </w:r>
      <w:r>
        <w:rPr>
          <w:rFonts w:hint="eastAsia" w:ascii="宋体" w:hAnsi="宋体" w:cs="宋体"/>
          <w:kern w:val="0"/>
          <w:sz w:val="24"/>
          <w:szCs w:val="24"/>
          <w:lang w:val="en-US" w:eastAsia="zh-CN" w:bidi="ar"/>
        </w:rPr>
        <w:t xml:space="preserve"> </w:t>
      </w:r>
      <w:r>
        <w:rPr>
          <w:rFonts w:hint="eastAsia" w:ascii="宋体" w:hAnsi="宋体" w:eastAsia="宋体" w:cs="宋体"/>
          <w:kern w:val="0"/>
          <w:sz w:val="24"/>
          <w:szCs w:val="24"/>
          <w:lang w:val="en-US" w:eastAsia="zh-CN" w:bidi="ar"/>
        </w:rPr>
        <w:t>AI存储计算端设备（1台）</w:t>
      </w:r>
      <w:bookmarkEnd w:id="0"/>
      <w:r>
        <w:rPr>
          <w:rFonts w:hint="eastAsia" w:ascii="宋体" w:hAnsi="宋体" w:eastAsia="宋体" w:cs="宋体"/>
          <w:kern w:val="0"/>
          <w:sz w:val="24"/>
          <w:szCs w:val="24"/>
          <w:lang w:val="en-US" w:eastAsia="zh-CN" w:bidi="ar"/>
        </w:rPr>
        <w:t>：</w:t>
      </w:r>
      <w:r>
        <w:rPr>
          <w:rFonts w:hint="eastAsia" w:ascii="宋体" w:hAnsi="宋体" w:cs="宋体"/>
          <w:kern w:val="0"/>
          <w:sz w:val="24"/>
          <w:szCs w:val="24"/>
          <w:lang w:val="en-US" w:eastAsia="zh-CN" w:bidi="ar"/>
        </w:rPr>
        <w:t>国产化</w:t>
      </w:r>
      <w:r>
        <w:rPr>
          <w:rFonts w:hint="eastAsia" w:ascii="宋体" w:hAnsi="宋体" w:eastAsia="宋体" w:cs="宋体"/>
          <w:kern w:val="0"/>
          <w:sz w:val="24"/>
          <w:szCs w:val="24"/>
          <w:lang w:val="en-US" w:eastAsia="zh-CN" w:bidi="ar"/>
        </w:rPr>
        <w:t>CPU：不低于 16核 *2；GPU：不低于96GB；内存：不低于256GB；硬盘：不低于200TB；网口：不少于双口千兆+双口万兆；RAID：配置RAID卡；配有只读接口；</w:t>
      </w:r>
    </w:p>
    <w:p w14:paraId="4ED70992">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 软件要求</w:t>
      </w:r>
    </w:p>
    <w:p w14:paraId="462BCA74">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3.1 数据导入与清洗</w:t>
      </w:r>
    </w:p>
    <w:p w14:paraId="5FABAC92">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3.1.1 支持对现有电子取证设备进行管理，能够显示每台设备的使用情况，时时显示数据提取、解析及汇集进度；</w:t>
      </w:r>
    </w:p>
    <w:p w14:paraId="48010C7A">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3.1.2 支持包含但不限于美亚、拓界的手机取证产品原始数据直接汇聚，无需生成报告，即取证时自动同步数据汇聚和数据清洗入库，并支持云盘在线查看原始数据；</w:t>
      </w:r>
    </w:p>
    <w:p w14:paraId="719F9C8B">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 xml:space="preserve">3.1.3 支持包含但不限于美亚、拓界等厂商的主机磁盘镜像文件、磁介质镜像文件分析报告的数据上传汇聚和数据清洗入库，并支持直接在系统中在页面调用原HTML查看； </w:t>
      </w:r>
    </w:p>
    <w:p w14:paraId="2D31E7AC">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3.1.4 平台终端具有独立的数据上传功能（非存储服务器网络挂载模式），支持一次性导入文件夹下的文件和单文件导入两种方式，导入数据格式支持BCP报告数据、EFP报告数据、HTML报告数据、视频数据、图片数据、音频数据 、文档数据（包括Excel、Word、PDF、PPT、压缩包）、话单数据、账单数据、水电费案件数据等；</w:t>
      </w:r>
    </w:p>
    <w:p w14:paraId="559B7E17">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 xml:space="preserve">3.1.5 支持各类Excel表格导入，导入时支持标题行的自动识别和自动映射；在标题行无法自动匹配模板时，依靠人工选择的映射标题会自动记录到后台，用于下次分析能够自动识别； </w:t>
      </w:r>
    </w:p>
    <w:p w14:paraId="021B64B6">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3.1.6 系统平台支持包含电子设备取证数据特定案件数据进行清洗、转换、治理，结构化至数据库；支持对电信调证话单的数据解析与清洗。</w:t>
      </w:r>
    </w:p>
    <w:p w14:paraId="555E258E">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3.1.7 针对采集或者取证的单部（多部）检材进行数据清洗入库，支持在线查看检材基本信息、最近联系人、关联案件、关联人物、社交统计、应用统计等信息；支持补全检材基本信息功能；支持对检材信息进行备注操作；</w:t>
      </w:r>
    </w:p>
    <w:p w14:paraId="78B7C6C3">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3.1.8 针对所有清洗入库的检材，支持批量管理包括重复手机管理、自动关联人物、手动关联人物、多检材关联分析、根据导入时间或取证时间筛选检材、按关联人物、手机号、社交账号检索检材、对检材进行收藏、删除操作等；</w:t>
      </w:r>
    </w:p>
    <w:p w14:paraId="2888AF4F">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 xml:space="preserve">3.1.9 支持重复手机管理，在不改变原始数据的前提下，对重复手机的合并、去重以及绑定到关联人物； </w:t>
      </w:r>
    </w:p>
    <w:p w14:paraId="0068BD34">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3.1.10数据清洗后，自动提取人物的核心数据形成人物档案，包括人物的人员基本信息（如人员姓名、证件号码、性别、户籍、地址等）、关联检材、关联案件、他人备注的实名信息、人物身份、组织信息、关联银行卡、常用账号、常用地址（如快递地址、常用出行目的地等）、常用密码、人物词云等信息；</w:t>
      </w:r>
    </w:p>
    <w:p w14:paraId="55CDDFF3">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3.1.11支持云盘功能，具有案件数据、检材报告、公共盘与私人云盘，对数据进行分类存储，其中案件数据、检材报告只能浏览和下载，不能上传、修改和删除，公共盘和私人云盘可以上传、修改、删除、下载。</w:t>
      </w:r>
    </w:p>
    <w:p w14:paraId="013BE32D">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 基础分析</w:t>
      </w:r>
    </w:p>
    <w:p w14:paraId="0BB87E92">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3.2.1 支持检材体检功能，可将当前手机与库中所有手机进行分析，包括直接通联分析、共同联系人分析、共同群分析、共同APP分析等；</w:t>
      </w:r>
    </w:p>
    <w:p w14:paraId="7158F6FF">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 xml:space="preserve">3.2.2 对于企业微信、钉钉、飞书等包含组织架构信息的APP，支持自动生成组织架构图，同时可对架构图进行节点编辑，可导入Xmind思维导图；支持架构图的导出，可导出为图片、Xmind格式； </w:t>
      </w:r>
    </w:p>
    <w:p w14:paraId="2A479C45">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3.2.3 具有案件合并功能，可对案件进行合并，生成新的合并案件，同时可以不影响原有案件数据；</w:t>
      </w:r>
    </w:p>
    <w:p w14:paraId="181FBF53">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3.2.4 具有AI处理功能，能够对全案文件批量进行内容识别处理，能够对全案图片批量进行OCR智能识别分析，能够对全案声音文件批量进行语音识别文字处理，能够对全案图片批量进行智能分类处理；</w:t>
      </w:r>
    </w:p>
    <w:p w14:paraId="582D353C">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3.2.5  AI处理功能，支持自定义处理配置，可设定需处理检材、案件、人物，可设定开启和关闭时间；</w:t>
      </w:r>
    </w:p>
    <w:p w14:paraId="1C4E2598">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3.2.6 具有研判笔记功能，支持截图、选择、笔记三种方式固定线索，可以HTML、Word、PDF形式生成并导出研判报告；</w:t>
      </w:r>
    </w:p>
    <w:p w14:paraId="5E5A9714">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3.2.7 支持案件、人物、手机、电脑、磁介质的全库数据检索，可利用全文检索技术对用户提供的关键信息进行智能检索，包括但不限于精确检索、模糊检索、人名检索、消息内容检索、关键字检索、邮箱检索，支持对文件内容检索、图片中文字检索、声音检索，具有搜索收藏功能，能对搜索关键词进行保存；</w:t>
      </w:r>
    </w:p>
    <w:p w14:paraId="7E96BC1D">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3.2.8 支持图片、音频、视频等多媒体文件MD5相同的文件进行快速查缉，支持银行卡号、身份证号、手机号、IMEI/IMSI、虚拟账号（微信/QQ等）以及民警登记的各类唯一标识号进行布控比对。数据解析过程中如有命中，实时预警提示；</w:t>
      </w:r>
    </w:p>
    <w:p w14:paraId="40312F0D">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3.2.9 针对采集或者取证的单部介质进行综合分析，分别包括机主信息、介质信息、概况分析、资金分析、时序分析、地理分析、数据挖掘、资金分析、词云分析等功能；</w:t>
      </w:r>
    </w:p>
    <w:p w14:paraId="1ABAA933">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3.2.10 针对手机中提取的各信息模拟电子介质实物使用行为规范，对各类应用实现拟真操作，如同手机真机操作；</w:t>
      </w:r>
    </w:p>
    <w:p w14:paraId="1B4B9092">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3.2.11 具有人物画像功能，包括涉案人员的真实身份、疑似亲属、疑似亲密关系、创建的群组等几个方面的情报信息；全面刻画机主的基本信息、关系图谱、涉案关系人、可疑群、涉案中间人、社会关系、可疑经济往来、可疑轨迹等；</w:t>
      </w:r>
    </w:p>
    <w:p w14:paraId="7BC5995A">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3.2.12 支持电话通联信息分析，利用各种通讯分析模型和业务模型挖掘数据间的关系，将数据之间的关联通过图形的方式展示；</w:t>
      </w:r>
    </w:p>
    <w:p w14:paraId="10FADA79">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3.2.13 支持敏感图片智能识别功能，识别图片类型包括但不限于聊天截图、身份证、户口本、行驶证、驾驶证、护照等；当人物关联数据发生变化后，该分析结果支持实时更新；支持对敏感图片进行批量操作，包括收藏、下载、添加预警等；</w:t>
      </w:r>
    </w:p>
    <w:p w14:paraId="75C08941">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3.2.14支持文件溯源功能，提供音频、视频、图片、文件等多媒体文件跨应用、跨检材文件溯源功能；按照时间顺序罗列文件收发情况，直观展示溯源文件文件名称、文件MD5值等；</w:t>
      </w:r>
    </w:p>
    <w:p w14:paraId="5BBE3F64">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3.2.15 支持微信、支付宝、银行APP等各类APP中涉及交易转账记录信息分析，包括交易时间规律统计、交易频度规律统计、交易关联分析等。</w:t>
      </w:r>
    </w:p>
    <w:p w14:paraId="230778B2">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3.2.16 不同全案同虚拟账号收藏分析，支持对相同虚拟账号按账号进行收藏分析；</w:t>
      </w:r>
    </w:p>
    <w:p w14:paraId="510CF155">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3.2.17 支持智能虚拟恢复功能，通过双机对照展示人物已删除但无法物理恢复的聊天内容；支持自动过滤无效数据，可按照日期过滤展示；</w:t>
      </w:r>
      <w:r>
        <w:rPr>
          <w:rFonts w:hint="eastAsia" w:ascii="宋体" w:hAnsi="宋体" w:eastAsia="宋体" w:cs="宋体"/>
          <w:b/>
          <w:bCs/>
          <w:kern w:val="0"/>
          <w:sz w:val="24"/>
          <w:szCs w:val="24"/>
          <w:lang w:val="en-US" w:eastAsia="zh-CN" w:bidi="ar"/>
        </w:rPr>
        <w:t>（</w:t>
      </w:r>
      <w:r>
        <w:rPr>
          <w:rFonts w:hint="eastAsia" w:ascii="宋体" w:hAnsi="宋体" w:cs="宋体"/>
          <w:b/>
          <w:bCs/>
          <w:kern w:val="0"/>
          <w:sz w:val="24"/>
          <w:szCs w:val="24"/>
          <w:lang w:val="en-US" w:eastAsia="zh-CN" w:bidi="ar"/>
        </w:rPr>
        <w:t>需提供产品的操作界面截图</w:t>
      </w:r>
      <w:r>
        <w:rPr>
          <w:rFonts w:hint="eastAsia" w:ascii="宋体" w:hAnsi="宋体" w:eastAsia="宋体" w:cs="宋体"/>
          <w:b/>
          <w:bCs/>
          <w:kern w:val="0"/>
          <w:sz w:val="24"/>
          <w:szCs w:val="24"/>
          <w:lang w:val="en-US" w:eastAsia="zh-CN" w:bidi="ar"/>
        </w:rPr>
        <w:t>）</w:t>
      </w:r>
    </w:p>
    <w:p w14:paraId="2E9BEEDC">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3.2.18 支持智慧关系图谱检索功能，通过即时通讯账号检索出账号相关关系，并以图谱形式清晰描绘出，包括登录检材、疑似亲属、群组关系、好友关系等；支持对上述所有关系定位数据来源、查看相关即时通讯信息；支持对上述所有关系以表格的形式批量导出；支持关系自动探索功能，智能明确好友或疑似亲属的真实身份。</w:t>
      </w:r>
    </w:p>
    <w:p w14:paraId="63A59152">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3.3 数据检索分析</w:t>
      </w:r>
    </w:p>
    <w:p w14:paraId="18DB5C8E">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3.3.1 支持对案例所有数据进行全局关键字、社交账号、身份证号搜索，用户可根据检索结果按照相关检材过滤展示，并支持搜索结果上下文关联查看与跳转；</w:t>
      </w:r>
    </w:p>
    <w:p w14:paraId="7155B4D1">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3.3.2 支持案件、人物、检材三个维度的全库数据检索，支持从案到人到检材和从检材到人到案的检索链式，可利用全文检索技术对关键信息进行智能检索，包括精确检索、模糊检索、人名检索、消息内容检索、关键字检索、邮箱检索等；</w:t>
      </w:r>
    </w:p>
    <w:p w14:paraId="51055420">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3.3.3 检索结果可按照相关检材进行过滤展示，包括但不限于全文、账号、聊天内容、文件（含图片、声音等），并支持搜索结果上下文关联查看与跳转；</w:t>
      </w:r>
    </w:p>
    <w:p w14:paraId="164E50C7">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3.3.4 支持单条件和批量的信息检索，查询结果集可进行二次过滤。</w:t>
      </w:r>
    </w:p>
    <w:p w14:paraId="5A23BF0B">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3.3.5 支持文件内容检索，可对Excel、Word、PDF、TXT等常见文档格式内容、Png、Jpg等常见图片格式文件内容、社交语音内容进行检索；</w:t>
      </w:r>
    </w:p>
    <w:p w14:paraId="76A186E5">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3.3.6 支持对文件名和文件MD5值进行全库智能检索，可按时间段进行查看；</w:t>
      </w:r>
    </w:p>
    <w:p w14:paraId="12603E7E">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3.3.7 支持所有检索内容的标记保存，通过搜索书签能够查看保存的检索内容。</w:t>
      </w:r>
      <w:r>
        <w:rPr>
          <w:rFonts w:hint="eastAsia" w:ascii="宋体" w:hAnsi="宋体" w:eastAsia="宋体" w:cs="宋体"/>
          <w:b/>
          <w:bCs/>
          <w:kern w:val="0"/>
          <w:sz w:val="24"/>
          <w:szCs w:val="24"/>
          <w:lang w:val="en-US" w:eastAsia="zh-CN" w:bidi="ar"/>
        </w:rPr>
        <w:t>（</w:t>
      </w:r>
      <w:r>
        <w:rPr>
          <w:rFonts w:hint="eastAsia" w:ascii="宋体" w:hAnsi="宋体" w:cs="宋体"/>
          <w:b/>
          <w:bCs/>
          <w:kern w:val="0"/>
          <w:sz w:val="24"/>
          <w:szCs w:val="24"/>
          <w:lang w:val="en-US" w:eastAsia="zh-CN" w:bidi="ar"/>
        </w:rPr>
        <w:t>需提供产品的操作界面截图</w:t>
      </w:r>
      <w:r>
        <w:rPr>
          <w:rFonts w:hint="eastAsia" w:ascii="宋体" w:hAnsi="宋体" w:eastAsia="宋体" w:cs="宋体"/>
          <w:b/>
          <w:bCs/>
          <w:kern w:val="0"/>
          <w:sz w:val="24"/>
          <w:szCs w:val="24"/>
          <w:lang w:val="en-US" w:eastAsia="zh-CN" w:bidi="ar"/>
        </w:rPr>
        <w:t>）</w:t>
      </w:r>
    </w:p>
    <w:p w14:paraId="55FA2DEE">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3.4 专项分析</w:t>
      </w:r>
    </w:p>
    <w:p w14:paraId="122FB186">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3.4.1 案件智能研判分析，支持对案件的多个涉案人员数据，根据规则进行综合分析，挖掘出涉案人员之间的共同关系线索，包括但不限于案件现场出现、交叉使用账号、共同群组、共同APP等维度；</w:t>
      </w:r>
    </w:p>
    <w:p w14:paraId="28B0AD5D">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3.4.2 支持对嫌疑人的轨迹信息与案件现场对比，挖掘出涉案人员轨迹与案件现场的关系；</w:t>
      </w:r>
    </w:p>
    <w:p w14:paraId="0DB0F1A9">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3.4.3 交叉使用账号分析，能够对案件涉案人员共同使用的各种应用账号（包括但不限于手机号、虚拟身份账号等）进行分析，辅助确定业务账号；</w:t>
      </w:r>
    </w:p>
    <w:p w14:paraId="7D113335">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3.4.4 共同群组分析，支持对涉案人员共同加入群组的分析，可以快速定位到高可疑度的涉案交流群，对微信等存在邀请关系的群能够绘出群内邀请关系；</w:t>
      </w:r>
    </w:p>
    <w:p w14:paraId="483D6A89">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3.4.5 共同APP分析，支持对涉案人员的共同APP进行分析，辅助确定小众涉案APP；</w:t>
      </w:r>
    </w:p>
    <w:p w14:paraId="3AFE3B11">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3.4.6 类案专题研判，支持对同类型案件的合并案件分析，能够对合并后案件的涉案人员进行分析；</w:t>
      </w:r>
    </w:p>
    <w:p w14:paraId="02A48F52">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3.4.7 根据类案集合，通过对案件集合中所有的涉案人员进行综合分析，分析电子取证数据中的通讯录、通联号码、APP应用好友、APP应用通联等关系；</w:t>
      </w:r>
    </w:p>
    <w:p w14:paraId="67195AA1">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3.4.8 支持对类案中涉案人员关系网络以图形方式展现，通过可视化直接展示人员间关系，同时对于人员间联系可详细查看联系内容，并能够双检材对照展示；</w:t>
      </w:r>
    </w:p>
    <w:p w14:paraId="2D7021BD">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3.4.9 支持单条或者批量对类案中“黑话”关键词进行研判，过滤出包含“黑话”的通联信息，生成表格；</w:t>
      </w:r>
    </w:p>
    <w:p w14:paraId="423B88BF">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3.4.10 支持类案中可疑线索分析，支持搭建同类案件可疑人员、可疑群、可疑APP等技战法分析，对于干扰项(如系统自带、常用应用、公用群等）支持加入白名单进行过滤；</w:t>
      </w:r>
    </w:p>
    <w:p w14:paraId="2198141A">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3.5 辅助支撑功能</w:t>
      </w:r>
    </w:p>
    <w:p w14:paraId="2ACA155A">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3.5.1 声纹应用，支持对系统中的通话录音、社交应用语音进行样本建库。社交应用的每条语音数据有一键入库按钮，能够对入库声纹支持样本关联和比对；</w:t>
      </w:r>
      <w:r>
        <w:rPr>
          <w:rFonts w:hint="eastAsia" w:ascii="宋体" w:hAnsi="宋体" w:eastAsia="宋体" w:cs="宋体"/>
          <w:b/>
          <w:bCs/>
          <w:kern w:val="0"/>
          <w:sz w:val="24"/>
          <w:szCs w:val="24"/>
          <w:lang w:val="en-US" w:eastAsia="zh-CN" w:bidi="ar"/>
        </w:rPr>
        <w:t>（</w:t>
      </w:r>
      <w:r>
        <w:rPr>
          <w:rFonts w:hint="eastAsia" w:ascii="宋体" w:hAnsi="宋体" w:cs="宋体"/>
          <w:b/>
          <w:bCs/>
          <w:kern w:val="0"/>
          <w:sz w:val="24"/>
          <w:szCs w:val="24"/>
          <w:lang w:val="en-US" w:eastAsia="zh-CN" w:bidi="ar"/>
        </w:rPr>
        <w:t>需提供产品的操作界面截图</w:t>
      </w:r>
      <w:r>
        <w:rPr>
          <w:rFonts w:hint="eastAsia" w:ascii="宋体" w:hAnsi="宋体" w:eastAsia="宋体" w:cs="宋体"/>
          <w:b/>
          <w:bCs/>
          <w:kern w:val="0"/>
          <w:sz w:val="24"/>
          <w:szCs w:val="24"/>
          <w:lang w:val="en-US" w:eastAsia="zh-CN" w:bidi="ar"/>
        </w:rPr>
        <w:t>）</w:t>
      </w:r>
    </w:p>
    <w:p w14:paraId="13079D77">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3.5.2 支持对系统中的语音进行播放、语音转文字，支持对转换后的文字进行边播放边修改，提高准确率；支持通过语音与声纹库进行比对，找出最相似的若干候选人员；</w:t>
      </w:r>
    </w:p>
    <w:p w14:paraId="50ED4F9B">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3.5.3 支持对图像进行按应用、人员等进行分类，能够按分类导出图像文件，支持对图片进行OCR识别，能够对图片进行分类，种类不少于300种。</w:t>
      </w:r>
    </w:p>
    <w:p w14:paraId="6C67A0A0">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3.6 协同办案及成果智能输出</w:t>
      </w:r>
    </w:p>
    <w:p w14:paraId="5EB165F4">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3.6.1 支持案件报告智能生成，报告内容包括简要案情、案件重点、嫌疑人或者检材表、各证据要点及证据截图，其中嫌疑人或者检材表可以自定义生成；支持以Word、PDF、HTML等多种格式导出报告；</w:t>
      </w:r>
    </w:p>
    <w:p w14:paraId="6A2C814C">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3.6.2 支持一键生成人员、检材、虚拟身份列表并导出；</w:t>
      </w:r>
    </w:p>
    <w:p w14:paraId="7D5C34D1">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3.6.3 支持对涉案检材进行批量生成BCP数据包（支持EFP标准和BCP标准）；支持自定义导出涉案检材列表，格式支持EXCEL；</w:t>
      </w:r>
    </w:p>
    <w:p w14:paraId="0DC16BFA">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3.6.4 具有样本建库功能，支持文件、图片、音视频、密码等建库管理；</w:t>
      </w:r>
    </w:p>
    <w:p w14:paraId="5640408F">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 xml:space="preserve">3.6.5 具有工具箱悬浮窗功能，在系统任意界面均可使用截图工具、笔记编辑工具、任务管理等工具； </w:t>
      </w:r>
    </w:p>
    <w:p w14:paraId="3F960DF1">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3.6.6 系统支持人物报告智能生成，报告内容涵盖人物基本信息、关联检材、关联案件、他人备注、身份、组织管理、关联银行卡、常用地址、常用密码、个人码址、人物画像（疑似亲属、疑似亲密关系、使用的小众APP）、添加的所有线索等；可以自定义编辑报告名称、报告标题；支持定制化配置报告封面；支持在线预览生成的报告；支持以 Word、PDF、HTML 等多种格式导出报告；</w:t>
      </w:r>
    </w:p>
    <w:p w14:paraId="7BA59F9B">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3.6.7 支持生成检材报告功能，可自定义配置是否转换图片、音频、视频、是否带附件、是否压缩报告文件夹并计算哈希等；支持选择高级分析功能得出的结果一并生成；支持指定好友聊天记录、群聊记录、应用记录一并生成；报告格式支持HTML；</w:t>
      </w:r>
    </w:p>
    <w:p w14:paraId="140B3F41">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3.6.8 支持分析成果导出功能，导出内容有《WIFI对应IMEI表》、《备忘录信息表》、《涉案短信信息表》、《访问网址表》、《好友信息表》、《群成员信息表》、《群信息表》、《手机WIFI表》、《手机安装历史表》、《通讯录表》、《图片地理位置表》、《音频文件信息列表》、《所有涉案主账号表》、《手机检材信息表》、《手机基本信息表》、《通话记录表》等；</w:t>
      </w:r>
    </w:p>
    <w:p w14:paraId="3EA83717">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3.6.9 支持以人物维度将研判过程导出，包括研判笔记、证据点、线索截图、聊天记录等内容智能生成人物研判报告导出，格式支持Word、PDF、HTML；</w:t>
      </w:r>
    </w:p>
    <w:p w14:paraId="6A4ED03D">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3.6.10 支持报表统计功能，可按时间对系统中的案件、检材、人物统计；支持按照日、周、月、年对数据进行过滤展示；支持按照数据源统计、按照各单位、账号上传和创建的案件、检材数、检材数据量统计；</w:t>
      </w:r>
    </w:p>
    <w:p w14:paraId="5CE35662">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3.6.11 支持案件的办案执法过程文件管理，包括接案、预检、受理文件、勘验文件和结果五个流程的文件，支持常见办公文档格式文件的建立、编辑、修改、保存，支持多媒体文件上传、下载、预览；</w:t>
      </w:r>
    </w:p>
    <w:p w14:paraId="01DD834A">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3.6.12 支持资源导出功能，可整合和导出全库（或者说分案件）社交账号资源、邮箱账号资源、密码资源、银行卡尾号资源、通讯录资源等信息；支持按照应用分类统计，包括微信、QQ、钉钉等所有即时通许类应用、QQ邮箱、网易邮箱大师、189邮箱等所有邮箱应用、WIFI密码和KeyChain等密钥；支持至少10家银行的卡号识别与分类统计，包括中国工商银行、中国农业银行、中国银行、中国建设银行、中国邮政储蓄银行等银行；</w:t>
      </w:r>
    </w:p>
    <w:p w14:paraId="02DC9049">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3.6.13 支持office文件多人再线编辑功能，能够对建立在线文件，可多人同时对在线文件进行编辑，汇总数据与资料；</w:t>
      </w:r>
    </w:p>
    <w:p w14:paraId="4896AA98">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3.6.14 具有自定义脚本数据导出工具，工具提供可视化编程界面，还提供了不少于10个脚本模板，同时支持脚本执行后的成果导出。</w:t>
      </w:r>
      <w:r>
        <w:rPr>
          <w:rFonts w:hint="eastAsia" w:ascii="宋体" w:hAnsi="宋体" w:eastAsia="宋体" w:cs="宋体"/>
          <w:b/>
          <w:bCs/>
          <w:kern w:val="0"/>
          <w:sz w:val="24"/>
          <w:szCs w:val="24"/>
          <w:lang w:val="en-US" w:eastAsia="zh-CN" w:bidi="ar"/>
        </w:rPr>
        <w:t>（</w:t>
      </w:r>
      <w:r>
        <w:rPr>
          <w:rFonts w:hint="eastAsia" w:ascii="宋体" w:hAnsi="宋体" w:cs="宋体"/>
          <w:b/>
          <w:bCs/>
          <w:kern w:val="0"/>
          <w:sz w:val="24"/>
          <w:szCs w:val="24"/>
          <w:lang w:val="en-US" w:eastAsia="zh-CN" w:bidi="ar"/>
        </w:rPr>
        <w:t>需提供产品的操作界面截图</w:t>
      </w:r>
      <w:r>
        <w:rPr>
          <w:rFonts w:hint="eastAsia" w:ascii="宋体" w:hAnsi="宋体" w:eastAsia="宋体" w:cs="宋体"/>
          <w:b/>
          <w:bCs/>
          <w:kern w:val="0"/>
          <w:sz w:val="24"/>
          <w:szCs w:val="24"/>
          <w:lang w:val="en-US" w:eastAsia="zh-CN" w:bidi="ar"/>
        </w:rPr>
        <w:t>）</w:t>
      </w:r>
    </w:p>
    <w:p w14:paraId="08D2E549">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3.7 安全及管理</w:t>
      </w:r>
    </w:p>
    <w:p w14:paraId="249CDF44">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3.7.1 系统基于可控技术的安全、可信、合规的防护体系，以支撑应用为目标，以保护数据为核心，以密码、身份认证、授权、审计为基础，具有专门的安全保护平台，形成覆盖网络、终端、数据与应用的内生安全技术体系；</w:t>
      </w:r>
    </w:p>
    <w:p w14:paraId="09394C2A">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3.7.2 系统实际存储具有安全备份机制，能够保障系统数据安全；</w:t>
      </w:r>
    </w:p>
    <w:p w14:paraId="06A6FDB9">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3.7.3 支持日志管理，日志类型包括任务日志、系统日志、案件日志，可按用户、发生时间、请求IP、操作内容等条件进行任务日志查询与管理；</w:t>
      </w:r>
    </w:p>
    <w:p w14:paraId="4A03D50E">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3.7.4 系统状态及进度展示，提供大屏展示界面，可展示系统各案件情况、系统运行状态、资源统计等；</w:t>
      </w:r>
    </w:p>
    <w:p w14:paraId="12A642F6">
      <w:pPr>
        <w:keepNext w:val="0"/>
        <w:keepLines w:val="0"/>
        <w:widowControl/>
        <w:suppressLineNumbers w:val="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3.7.5 支持用户管理，包括用户新增、修改、删除以及权限划分,支持系统安全管理IP白名单功能，通过用户自定义设置白名单，对白名单中的IP客户端进行限制。</w:t>
      </w:r>
    </w:p>
    <w:p w14:paraId="014A44B6">
      <w:pPr>
        <w:keepNext w:val="0"/>
        <w:keepLines w:val="0"/>
        <w:widowControl/>
        <w:suppressLineNumbers w:val="0"/>
        <w:jc w:val="left"/>
        <w:rPr>
          <w:rFonts w:hint="eastAsia" w:ascii="宋体" w:hAnsi="宋体" w:eastAsia="宋体" w:cs="宋体"/>
          <w:b/>
          <w:bCs/>
          <w:kern w:val="0"/>
          <w:sz w:val="24"/>
          <w:szCs w:val="24"/>
          <w:lang w:val="en-US" w:eastAsia="zh-CN" w:bidi="ar"/>
        </w:rPr>
      </w:pPr>
      <w:r>
        <w:rPr>
          <w:rFonts w:hint="eastAsia" w:ascii="宋体" w:hAnsi="宋体" w:eastAsia="宋体" w:cs="宋体"/>
          <w:kern w:val="0"/>
          <w:sz w:val="24"/>
          <w:szCs w:val="24"/>
          <w:lang w:val="en-US" w:eastAsia="zh-CN" w:bidi="ar"/>
        </w:rPr>
        <w:t>3.7.6 具有用户权限设置功能，支持基于检材、人物、案件维度的用户权限划分，能够设定每个用户或者每组用户可查看的检材、人物或者案件，无权限内容不能查看。</w:t>
      </w:r>
      <w:r>
        <w:rPr>
          <w:rFonts w:hint="eastAsia" w:ascii="宋体" w:hAnsi="宋体" w:eastAsia="宋体" w:cs="宋体"/>
          <w:b/>
          <w:bCs/>
          <w:kern w:val="0"/>
          <w:sz w:val="24"/>
          <w:szCs w:val="24"/>
          <w:lang w:val="en-US" w:eastAsia="zh-CN" w:bidi="ar"/>
        </w:rPr>
        <w:t>（</w:t>
      </w:r>
      <w:r>
        <w:rPr>
          <w:rFonts w:hint="eastAsia" w:ascii="宋体" w:hAnsi="宋体" w:cs="宋体"/>
          <w:b/>
          <w:bCs/>
          <w:kern w:val="0"/>
          <w:sz w:val="24"/>
          <w:szCs w:val="24"/>
          <w:lang w:val="en-US" w:eastAsia="zh-CN" w:bidi="ar"/>
        </w:rPr>
        <w:t>需提供产品的操作界面截图</w:t>
      </w:r>
      <w:r>
        <w:rPr>
          <w:rFonts w:hint="eastAsia" w:ascii="宋体" w:hAnsi="宋体" w:eastAsia="宋体" w:cs="宋体"/>
          <w:b/>
          <w:bCs/>
          <w:kern w:val="0"/>
          <w:sz w:val="24"/>
          <w:szCs w:val="24"/>
          <w:lang w:val="en-US" w:eastAsia="zh-CN" w:bidi="ar"/>
        </w:rPr>
        <w:t>）</w:t>
      </w:r>
    </w:p>
    <w:p w14:paraId="554BA0C2">
      <w:pPr>
        <w:spacing w:line="360" w:lineRule="auto"/>
        <w:ind w:firstLine="480"/>
        <w:rPr>
          <w:rFonts w:hint="default" w:ascii="宋体" w:hAnsi="宋体" w:eastAsia="宋体" w:cs="宋体"/>
          <w:b/>
          <w:bCs/>
          <w:kern w:val="0"/>
          <w:sz w:val="24"/>
          <w:szCs w:val="24"/>
          <w:lang w:val="en-US" w:eastAsia="zh-CN" w:bidi="ar"/>
        </w:rPr>
      </w:pPr>
      <w:r>
        <w:rPr>
          <w:rFonts w:hint="eastAsia" w:asciiTheme="minorEastAsia" w:hAnsiTheme="minorEastAsia" w:eastAsiaTheme="minorEastAsia"/>
          <w:b/>
          <w:sz w:val="24"/>
        </w:rPr>
        <w:t>注：本项目不允许负偏离，否则做无效投标处理。</w:t>
      </w:r>
    </w:p>
    <w:sectPr>
      <w:headerReference r:id="rId3" w:type="default"/>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792BD">
    <w:pPr>
      <w:pStyle w:val="8"/>
      <w:jc w:val="center"/>
    </w:pPr>
    <w:r>
      <w:rPr>
        <w:b/>
      </w:rPr>
      <w:fldChar w:fldCharType="begin"/>
    </w:r>
    <w:r>
      <w:rPr>
        <w:b/>
      </w:rPr>
      <w:instrText xml:space="preserve">PAGE  \* Arabic  \* MERGEFORMAT</w:instrText>
    </w:r>
    <w:r>
      <w:rPr>
        <w:b/>
      </w:rPr>
      <w:fldChar w:fldCharType="separate"/>
    </w:r>
    <w:r>
      <w:rPr>
        <w:b/>
        <w:lang w:val="zh-CN"/>
      </w:rPr>
      <w:t>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467284">
    <w:pPr>
      <w:pStyle w:val="9"/>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508B"/>
    <w:rsid w:val="000060AB"/>
    <w:rsid w:val="00007FBF"/>
    <w:rsid w:val="00012FFE"/>
    <w:rsid w:val="000176A8"/>
    <w:rsid w:val="00030E8A"/>
    <w:rsid w:val="000375A2"/>
    <w:rsid w:val="0005158E"/>
    <w:rsid w:val="00062A35"/>
    <w:rsid w:val="000657A6"/>
    <w:rsid w:val="00086F17"/>
    <w:rsid w:val="000946B4"/>
    <w:rsid w:val="00094EDD"/>
    <w:rsid w:val="000A7202"/>
    <w:rsid w:val="000E1960"/>
    <w:rsid w:val="000F1B7A"/>
    <w:rsid w:val="00116832"/>
    <w:rsid w:val="001335CB"/>
    <w:rsid w:val="00137461"/>
    <w:rsid w:val="001401D6"/>
    <w:rsid w:val="0014237F"/>
    <w:rsid w:val="00161ECA"/>
    <w:rsid w:val="001636D9"/>
    <w:rsid w:val="00164745"/>
    <w:rsid w:val="00170F6F"/>
    <w:rsid w:val="0018369F"/>
    <w:rsid w:val="001918A1"/>
    <w:rsid w:val="00195ED7"/>
    <w:rsid w:val="001A029C"/>
    <w:rsid w:val="001C18EA"/>
    <w:rsid w:val="001C1EA3"/>
    <w:rsid w:val="001C2A6A"/>
    <w:rsid w:val="001C3A9F"/>
    <w:rsid w:val="001D1595"/>
    <w:rsid w:val="001E62C9"/>
    <w:rsid w:val="001F0EC9"/>
    <w:rsid w:val="001F3C35"/>
    <w:rsid w:val="00204581"/>
    <w:rsid w:val="0020653D"/>
    <w:rsid w:val="00210D9B"/>
    <w:rsid w:val="002128D1"/>
    <w:rsid w:val="0022028F"/>
    <w:rsid w:val="00225AF3"/>
    <w:rsid w:val="00243AFF"/>
    <w:rsid w:val="00263B80"/>
    <w:rsid w:val="002713C3"/>
    <w:rsid w:val="00280F66"/>
    <w:rsid w:val="0028136E"/>
    <w:rsid w:val="00281F16"/>
    <w:rsid w:val="002862A6"/>
    <w:rsid w:val="00293C52"/>
    <w:rsid w:val="002A26B0"/>
    <w:rsid w:val="002A4715"/>
    <w:rsid w:val="002C41FD"/>
    <w:rsid w:val="002C5252"/>
    <w:rsid w:val="002C56C0"/>
    <w:rsid w:val="002D63C6"/>
    <w:rsid w:val="002F5760"/>
    <w:rsid w:val="00305EFB"/>
    <w:rsid w:val="00312A54"/>
    <w:rsid w:val="00332040"/>
    <w:rsid w:val="00332C0B"/>
    <w:rsid w:val="00345442"/>
    <w:rsid w:val="0035596C"/>
    <w:rsid w:val="00360038"/>
    <w:rsid w:val="003611F9"/>
    <w:rsid w:val="003867B3"/>
    <w:rsid w:val="003954BE"/>
    <w:rsid w:val="003A325A"/>
    <w:rsid w:val="003B53DE"/>
    <w:rsid w:val="003C011F"/>
    <w:rsid w:val="003C0533"/>
    <w:rsid w:val="003C33FF"/>
    <w:rsid w:val="003C6A52"/>
    <w:rsid w:val="003D5828"/>
    <w:rsid w:val="003E20C8"/>
    <w:rsid w:val="003E4780"/>
    <w:rsid w:val="003E5F21"/>
    <w:rsid w:val="003E77E9"/>
    <w:rsid w:val="003F1CD4"/>
    <w:rsid w:val="003F2EEA"/>
    <w:rsid w:val="00417276"/>
    <w:rsid w:val="004202F1"/>
    <w:rsid w:val="00424DB9"/>
    <w:rsid w:val="00431EFC"/>
    <w:rsid w:val="004401A6"/>
    <w:rsid w:val="00453CD6"/>
    <w:rsid w:val="00461637"/>
    <w:rsid w:val="00474FBA"/>
    <w:rsid w:val="00477D0B"/>
    <w:rsid w:val="0049044A"/>
    <w:rsid w:val="00493B0D"/>
    <w:rsid w:val="004972E3"/>
    <w:rsid w:val="004A2419"/>
    <w:rsid w:val="004A4F57"/>
    <w:rsid w:val="004A754B"/>
    <w:rsid w:val="004B69DA"/>
    <w:rsid w:val="004B76E2"/>
    <w:rsid w:val="004C316B"/>
    <w:rsid w:val="004D0FFB"/>
    <w:rsid w:val="004D3EE5"/>
    <w:rsid w:val="004D4B3B"/>
    <w:rsid w:val="004E1D43"/>
    <w:rsid w:val="0050508B"/>
    <w:rsid w:val="00514D6D"/>
    <w:rsid w:val="005160D8"/>
    <w:rsid w:val="005265E3"/>
    <w:rsid w:val="00535543"/>
    <w:rsid w:val="0054500B"/>
    <w:rsid w:val="00546F9D"/>
    <w:rsid w:val="005471DB"/>
    <w:rsid w:val="00563A34"/>
    <w:rsid w:val="0057438C"/>
    <w:rsid w:val="00575C04"/>
    <w:rsid w:val="00581CAE"/>
    <w:rsid w:val="005849F8"/>
    <w:rsid w:val="005915FC"/>
    <w:rsid w:val="0059323B"/>
    <w:rsid w:val="00596863"/>
    <w:rsid w:val="005A282E"/>
    <w:rsid w:val="005A41A3"/>
    <w:rsid w:val="005A47FA"/>
    <w:rsid w:val="005A5C6C"/>
    <w:rsid w:val="005A62C2"/>
    <w:rsid w:val="005B4028"/>
    <w:rsid w:val="005B6D83"/>
    <w:rsid w:val="005C3ABD"/>
    <w:rsid w:val="005D0EEB"/>
    <w:rsid w:val="005D4D5D"/>
    <w:rsid w:val="005E0149"/>
    <w:rsid w:val="005E15AD"/>
    <w:rsid w:val="005E1F24"/>
    <w:rsid w:val="005E3113"/>
    <w:rsid w:val="005F1143"/>
    <w:rsid w:val="005F68CA"/>
    <w:rsid w:val="00602EF5"/>
    <w:rsid w:val="00615085"/>
    <w:rsid w:val="00627F69"/>
    <w:rsid w:val="0063072F"/>
    <w:rsid w:val="006359D8"/>
    <w:rsid w:val="00657FB4"/>
    <w:rsid w:val="0066185C"/>
    <w:rsid w:val="00670E58"/>
    <w:rsid w:val="0067349A"/>
    <w:rsid w:val="006771DC"/>
    <w:rsid w:val="006773BE"/>
    <w:rsid w:val="006825C9"/>
    <w:rsid w:val="0068608E"/>
    <w:rsid w:val="00686BF1"/>
    <w:rsid w:val="006C284C"/>
    <w:rsid w:val="006D212E"/>
    <w:rsid w:val="006F0F1D"/>
    <w:rsid w:val="006F274D"/>
    <w:rsid w:val="006F6C69"/>
    <w:rsid w:val="007046E3"/>
    <w:rsid w:val="007059F8"/>
    <w:rsid w:val="00716576"/>
    <w:rsid w:val="007200AE"/>
    <w:rsid w:val="00721B94"/>
    <w:rsid w:val="00721D8C"/>
    <w:rsid w:val="00721E02"/>
    <w:rsid w:val="007313D6"/>
    <w:rsid w:val="00753CC2"/>
    <w:rsid w:val="00754452"/>
    <w:rsid w:val="00755F0D"/>
    <w:rsid w:val="00760722"/>
    <w:rsid w:val="007616AE"/>
    <w:rsid w:val="00764613"/>
    <w:rsid w:val="00776A33"/>
    <w:rsid w:val="00781F31"/>
    <w:rsid w:val="0078349D"/>
    <w:rsid w:val="007958D9"/>
    <w:rsid w:val="007A3804"/>
    <w:rsid w:val="007B3E14"/>
    <w:rsid w:val="007B5990"/>
    <w:rsid w:val="007B6254"/>
    <w:rsid w:val="007B6642"/>
    <w:rsid w:val="007C47E0"/>
    <w:rsid w:val="007C5AEC"/>
    <w:rsid w:val="007C779F"/>
    <w:rsid w:val="007E2D1D"/>
    <w:rsid w:val="008059FF"/>
    <w:rsid w:val="008062D5"/>
    <w:rsid w:val="00807F40"/>
    <w:rsid w:val="00810B73"/>
    <w:rsid w:val="008122E6"/>
    <w:rsid w:val="00813271"/>
    <w:rsid w:val="00825AF0"/>
    <w:rsid w:val="0083089F"/>
    <w:rsid w:val="00861062"/>
    <w:rsid w:val="008658D2"/>
    <w:rsid w:val="0088605A"/>
    <w:rsid w:val="0088795D"/>
    <w:rsid w:val="00891624"/>
    <w:rsid w:val="008A4F9E"/>
    <w:rsid w:val="008B3367"/>
    <w:rsid w:val="008B49B8"/>
    <w:rsid w:val="008B506F"/>
    <w:rsid w:val="008C1B3B"/>
    <w:rsid w:val="008C4FFF"/>
    <w:rsid w:val="008D1ECF"/>
    <w:rsid w:val="008D4F00"/>
    <w:rsid w:val="008E0F08"/>
    <w:rsid w:val="008E1208"/>
    <w:rsid w:val="008E7DD6"/>
    <w:rsid w:val="008F7AE1"/>
    <w:rsid w:val="009015DA"/>
    <w:rsid w:val="009034F9"/>
    <w:rsid w:val="009068C3"/>
    <w:rsid w:val="00921CBE"/>
    <w:rsid w:val="00933BCC"/>
    <w:rsid w:val="009340D6"/>
    <w:rsid w:val="009361E7"/>
    <w:rsid w:val="009524E0"/>
    <w:rsid w:val="0095491A"/>
    <w:rsid w:val="00963A5F"/>
    <w:rsid w:val="00967FEE"/>
    <w:rsid w:val="0098356B"/>
    <w:rsid w:val="0098537F"/>
    <w:rsid w:val="00996FD6"/>
    <w:rsid w:val="00997B39"/>
    <w:rsid w:val="009A3EEB"/>
    <w:rsid w:val="009A78A0"/>
    <w:rsid w:val="009B3003"/>
    <w:rsid w:val="009B3CA1"/>
    <w:rsid w:val="009C1265"/>
    <w:rsid w:val="009C4A63"/>
    <w:rsid w:val="009C7BF2"/>
    <w:rsid w:val="009D3A1A"/>
    <w:rsid w:val="009E3AA3"/>
    <w:rsid w:val="009E7D28"/>
    <w:rsid w:val="009F08A4"/>
    <w:rsid w:val="00A0585C"/>
    <w:rsid w:val="00A1514F"/>
    <w:rsid w:val="00A27925"/>
    <w:rsid w:val="00A3201B"/>
    <w:rsid w:val="00A50465"/>
    <w:rsid w:val="00A55EA4"/>
    <w:rsid w:val="00A6245D"/>
    <w:rsid w:val="00A7624A"/>
    <w:rsid w:val="00A77F7F"/>
    <w:rsid w:val="00A82274"/>
    <w:rsid w:val="00A86867"/>
    <w:rsid w:val="00A86F0C"/>
    <w:rsid w:val="00AA5989"/>
    <w:rsid w:val="00AB1B68"/>
    <w:rsid w:val="00AB2D60"/>
    <w:rsid w:val="00AB5E62"/>
    <w:rsid w:val="00AD3A13"/>
    <w:rsid w:val="00AD7A33"/>
    <w:rsid w:val="00AF596C"/>
    <w:rsid w:val="00B01C64"/>
    <w:rsid w:val="00B0414F"/>
    <w:rsid w:val="00B139B9"/>
    <w:rsid w:val="00B25853"/>
    <w:rsid w:val="00B30DAB"/>
    <w:rsid w:val="00B423E5"/>
    <w:rsid w:val="00B54648"/>
    <w:rsid w:val="00B54995"/>
    <w:rsid w:val="00B568D9"/>
    <w:rsid w:val="00B62295"/>
    <w:rsid w:val="00B64448"/>
    <w:rsid w:val="00B66F60"/>
    <w:rsid w:val="00B82246"/>
    <w:rsid w:val="00B83EB1"/>
    <w:rsid w:val="00B84BA6"/>
    <w:rsid w:val="00B95F7C"/>
    <w:rsid w:val="00BA3E4B"/>
    <w:rsid w:val="00BA4484"/>
    <w:rsid w:val="00BA4BF7"/>
    <w:rsid w:val="00BA4F60"/>
    <w:rsid w:val="00BB24A3"/>
    <w:rsid w:val="00BB455D"/>
    <w:rsid w:val="00BC146F"/>
    <w:rsid w:val="00BC47E2"/>
    <w:rsid w:val="00BD6D3D"/>
    <w:rsid w:val="00BD6F11"/>
    <w:rsid w:val="00BD7EB6"/>
    <w:rsid w:val="00BE1D39"/>
    <w:rsid w:val="00BE59C0"/>
    <w:rsid w:val="00BF0242"/>
    <w:rsid w:val="00BF251C"/>
    <w:rsid w:val="00BF37B1"/>
    <w:rsid w:val="00C00F8E"/>
    <w:rsid w:val="00C010B0"/>
    <w:rsid w:val="00C069A0"/>
    <w:rsid w:val="00C0790E"/>
    <w:rsid w:val="00C1102B"/>
    <w:rsid w:val="00C11AEB"/>
    <w:rsid w:val="00C15A3F"/>
    <w:rsid w:val="00C166BD"/>
    <w:rsid w:val="00C215EE"/>
    <w:rsid w:val="00C305F0"/>
    <w:rsid w:val="00C35A1D"/>
    <w:rsid w:val="00C44D0B"/>
    <w:rsid w:val="00C5510E"/>
    <w:rsid w:val="00C56595"/>
    <w:rsid w:val="00C5674E"/>
    <w:rsid w:val="00C651B1"/>
    <w:rsid w:val="00C85BC1"/>
    <w:rsid w:val="00C8655E"/>
    <w:rsid w:val="00CA7F15"/>
    <w:rsid w:val="00CC611A"/>
    <w:rsid w:val="00CC61D4"/>
    <w:rsid w:val="00CD14A9"/>
    <w:rsid w:val="00CE354B"/>
    <w:rsid w:val="00CE3A96"/>
    <w:rsid w:val="00CE6B99"/>
    <w:rsid w:val="00D07118"/>
    <w:rsid w:val="00D217FC"/>
    <w:rsid w:val="00D233DD"/>
    <w:rsid w:val="00D527FF"/>
    <w:rsid w:val="00D56D69"/>
    <w:rsid w:val="00D65243"/>
    <w:rsid w:val="00D724A1"/>
    <w:rsid w:val="00D81DC3"/>
    <w:rsid w:val="00D85042"/>
    <w:rsid w:val="00D907C7"/>
    <w:rsid w:val="00DA2C2C"/>
    <w:rsid w:val="00DD6BDC"/>
    <w:rsid w:val="00DD73E7"/>
    <w:rsid w:val="00DE1588"/>
    <w:rsid w:val="00DE2C0E"/>
    <w:rsid w:val="00E224AE"/>
    <w:rsid w:val="00E23372"/>
    <w:rsid w:val="00E25911"/>
    <w:rsid w:val="00E300AE"/>
    <w:rsid w:val="00E45482"/>
    <w:rsid w:val="00E52803"/>
    <w:rsid w:val="00E57D3E"/>
    <w:rsid w:val="00E740FE"/>
    <w:rsid w:val="00E86FA2"/>
    <w:rsid w:val="00E9048B"/>
    <w:rsid w:val="00E91057"/>
    <w:rsid w:val="00EA2C42"/>
    <w:rsid w:val="00EA40B6"/>
    <w:rsid w:val="00EA6956"/>
    <w:rsid w:val="00EA73D6"/>
    <w:rsid w:val="00EB2B69"/>
    <w:rsid w:val="00EB60D6"/>
    <w:rsid w:val="00EC3A73"/>
    <w:rsid w:val="00EC59EE"/>
    <w:rsid w:val="00ED18E8"/>
    <w:rsid w:val="00EE6EFF"/>
    <w:rsid w:val="00EF22A1"/>
    <w:rsid w:val="00EF4A85"/>
    <w:rsid w:val="00EF52CF"/>
    <w:rsid w:val="00F43FED"/>
    <w:rsid w:val="00F449D8"/>
    <w:rsid w:val="00F63236"/>
    <w:rsid w:val="00F700A7"/>
    <w:rsid w:val="00F710C3"/>
    <w:rsid w:val="00F775A4"/>
    <w:rsid w:val="00F95AEF"/>
    <w:rsid w:val="00FA0D60"/>
    <w:rsid w:val="00FA228C"/>
    <w:rsid w:val="00FC1661"/>
    <w:rsid w:val="00FC1B68"/>
    <w:rsid w:val="00FD37BB"/>
    <w:rsid w:val="00FF7C66"/>
    <w:rsid w:val="160433B8"/>
    <w:rsid w:val="177F5EFF"/>
    <w:rsid w:val="24EE3935"/>
    <w:rsid w:val="31C22386"/>
    <w:rsid w:val="456A0921"/>
    <w:rsid w:val="4F6107FE"/>
    <w:rsid w:val="562F1568"/>
    <w:rsid w:val="72DA05E4"/>
    <w:rsid w:val="77A11F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99" w:semiHidden="0"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19"/>
    <w:qFormat/>
    <w:uiPriority w:val="0"/>
    <w:pPr>
      <w:keepNext/>
      <w:jc w:val="center"/>
      <w:outlineLvl w:val="0"/>
    </w:pPr>
    <w:rPr>
      <w:rFonts w:eastAsia="仿宋_GB2312"/>
      <w:bCs/>
      <w:sz w:val="44"/>
    </w:rPr>
  </w:style>
  <w:style w:type="paragraph" w:styleId="3">
    <w:name w:val="heading 3"/>
    <w:basedOn w:val="1"/>
    <w:next w:val="1"/>
    <w:link w:val="20"/>
    <w:qFormat/>
    <w:uiPriority w:val="0"/>
    <w:pPr>
      <w:keepNext/>
      <w:keepLines/>
      <w:spacing w:before="260" w:after="260" w:line="416" w:lineRule="auto"/>
      <w:outlineLvl w:val="2"/>
    </w:pPr>
    <w:rPr>
      <w:b/>
      <w:bCs/>
      <w:sz w:val="32"/>
      <w:szCs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35"/>
    <w:semiHidden/>
    <w:unhideWhenUsed/>
    <w:qFormat/>
    <w:uiPriority w:val="99"/>
    <w:pPr>
      <w:jc w:val="left"/>
    </w:pPr>
  </w:style>
  <w:style w:type="paragraph" w:styleId="5">
    <w:name w:val="Body Text"/>
    <w:basedOn w:val="1"/>
    <w:link w:val="26"/>
    <w:qFormat/>
    <w:uiPriority w:val="0"/>
    <w:rPr>
      <w:sz w:val="32"/>
    </w:rPr>
  </w:style>
  <w:style w:type="paragraph" w:styleId="6">
    <w:name w:val="Body Text Indent 2"/>
    <w:basedOn w:val="1"/>
    <w:link w:val="28"/>
    <w:unhideWhenUsed/>
    <w:qFormat/>
    <w:uiPriority w:val="99"/>
    <w:pPr>
      <w:spacing w:after="120" w:line="480" w:lineRule="auto"/>
      <w:ind w:left="420" w:leftChars="200"/>
    </w:pPr>
  </w:style>
  <w:style w:type="paragraph" w:styleId="7">
    <w:name w:val="Balloon Text"/>
    <w:basedOn w:val="1"/>
    <w:link w:val="22"/>
    <w:qFormat/>
    <w:uiPriority w:val="0"/>
    <w:rPr>
      <w:sz w:val="18"/>
      <w:szCs w:val="18"/>
    </w:rPr>
  </w:style>
  <w:style w:type="paragraph" w:styleId="8">
    <w:name w:val="footer"/>
    <w:basedOn w:val="1"/>
    <w:link w:val="24"/>
    <w:qFormat/>
    <w:uiPriority w:val="0"/>
    <w:pPr>
      <w:tabs>
        <w:tab w:val="center" w:pos="4153"/>
        <w:tab w:val="right" w:pos="8306"/>
      </w:tabs>
      <w:snapToGrid w:val="0"/>
      <w:jc w:val="left"/>
    </w:pPr>
    <w:rPr>
      <w:sz w:val="18"/>
      <w:szCs w:val="18"/>
    </w:rPr>
  </w:style>
  <w:style w:type="paragraph" w:styleId="9">
    <w:name w:val="header"/>
    <w:basedOn w:val="1"/>
    <w:link w:val="23"/>
    <w:qFormat/>
    <w:uiPriority w:val="0"/>
    <w:pPr>
      <w:pBdr>
        <w:bottom w:val="single" w:color="auto" w:sz="6" w:space="1"/>
      </w:pBdr>
      <w:tabs>
        <w:tab w:val="center" w:pos="4153"/>
        <w:tab w:val="right" w:pos="8306"/>
      </w:tabs>
      <w:snapToGrid w:val="0"/>
      <w:jc w:val="center"/>
    </w:pPr>
    <w:rPr>
      <w:sz w:val="18"/>
      <w:szCs w:val="18"/>
    </w:rPr>
  </w:style>
  <w:style w:type="paragraph" w:styleId="10">
    <w:name w:val="Subtitle"/>
    <w:basedOn w:val="1"/>
    <w:next w:val="1"/>
    <w:link w:val="27"/>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2">
    <w:name w:val="annotation subject"/>
    <w:basedOn w:val="4"/>
    <w:next w:val="4"/>
    <w:link w:val="36"/>
    <w:semiHidden/>
    <w:unhideWhenUsed/>
    <w:qFormat/>
    <w:uiPriority w:val="99"/>
    <w:rPr>
      <w:b/>
      <w:bCs/>
    </w:rPr>
  </w:style>
  <w:style w:type="table" w:styleId="14">
    <w:name w:val="Table Grid"/>
    <w:basedOn w:val="13"/>
    <w:qFormat/>
    <w:uiPriority w:val="59"/>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Strong"/>
    <w:qFormat/>
    <w:uiPriority w:val="22"/>
    <w:rPr>
      <w:b/>
      <w:bCs/>
    </w:rPr>
  </w:style>
  <w:style w:type="character" w:styleId="17">
    <w:name w:val="Hyperlink"/>
    <w:qFormat/>
    <w:uiPriority w:val="0"/>
    <w:rPr>
      <w:rFonts w:hint="default" w:ascii="ˎ̥" w:hAnsi="ˎ̥"/>
      <w:color w:val="3E3E3E"/>
      <w:sz w:val="24"/>
      <w:szCs w:val="24"/>
      <w:u w:val="none"/>
    </w:rPr>
  </w:style>
  <w:style w:type="character" w:styleId="18">
    <w:name w:val="annotation reference"/>
    <w:basedOn w:val="15"/>
    <w:semiHidden/>
    <w:unhideWhenUsed/>
    <w:qFormat/>
    <w:uiPriority w:val="99"/>
    <w:rPr>
      <w:sz w:val="21"/>
      <w:szCs w:val="21"/>
    </w:rPr>
  </w:style>
  <w:style w:type="character" w:customStyle="1" w:styleId="19">
    <w:name w:val="标题 1 Char"/>
    <w:basedOn w:val="15"/>
    <w:link w:val="2"/>
    <w:qFormat/>
    <w:uiPriority w:val="0"/>
    <w:rPr>
      <w:rFonts w:ascii="Times New Roman" w:hAnsi="Times New Roman" w:eastAsia="仿宋_GB2312" w:cs="Times New Roman"/>
      <w:bCs/>
      <w:sz w:val="44"/>
      <w:szCs w:val="20"/>
    </w:rPr>
  </w:style>
  <w:style w:type="character" w:customStyle="1" w:styleId="20">
    <w:name w:val="标题 3 Char"/>
    <w:basedOn w:val="15"/>
    <w:link w:val="3"/>
    <w:qFormat/>
    <w:uiPriority w:val="0"/>
    <w:rPr>
      <w:rFonts w:ascii="Times New Roman" w:hAnsi="Times New Roman" w:eastAsia="宋体" w:cs="Times New Roman"/>
      <w:b/>
      <w:bCs/>
      <w:sz w:val="32"/>
      <w:szCs w:val="32"/>
    </w:rPr>
  </w:style>
  <w:style w:type="paragraph" w:customStyle="1" w:styleId="21">
    <w:name w:val="批注框文本1"/>
    <w:basedOn w:val="1"/>
    <w:semiHidden/>
    <w:qFormat/>
    <w:uiPriority w:val="0"/>
    <w:rPr>
      <w:sz w:val="16"/>
      <w:szCs w:val="16"/>
    </w:rPr>
  </w:style>
  <w:style w:type="character" w:customStyle="1" w:styleId="22">
    <w:name w:val="批注框文本 Char"/>
    <w:basedOn w:val="15"/>
    <w:link w:val="7"/>
    <w:qFormat/>
    <w:uiPriority w:val="0"/>
    <w:rPr>
      <w:rFonts w:ascii="Times New Roman" w:hAnsi="Times New Roman" w:eastAsia="宋体" w:cs="Times New Roman"/>
      <w:sz w:val="18"/>
      <w:szCs w:val="18"/>
    </w:rPr>
  </w:style>
  <w:style w:type="character" w:customStyle="1" w:styleId="23">
    <w:name w:val="页眉 Char"/>
    <w:basedOn w:val="15"/>
    <w:link w:val="9"/>
    <w:qFormat/>
    <w:uiPriority w:val="0"/>
    <w:rPr>
      <w:rFonts w:ascii="Times New Roman" w:hAnsi="Times New Roman" w:eastAsia="宋体" w:cs="Times New Roman"/>
      <w:sz w:val="18"/>
      <w:szCs w:val="18"/>
    </w:rPr>
  </w:style>
  <w:style w:type="character" w:customStyle="1" w:styleId="24">
    <w:name w:val="页脚 Char"/>
    <w:basedOn w:val="15"/>
    <w:link w:val="8"/>
    <w:qFormat/>
    <w:uiPriority w:val="0"/>
    <w:rPr>
      <w:rFonts w:ascii="Times New Roman" w:hAnsi="Times New Roman" w:eastAsia="宋体" w:cs="Times New Roman"/>
      <w:sz w:val="18"/>
      <w:szCs w:val="18"/>
    </w:rPr>
  </w:style>
  <w:style w:type="paragraph" w:customStyle="1" w:styleId="25">
    <w:name w:val="Default"/>
    <w:link w:val="3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6">
    <w:name w:val="正文文本 Char"/>
    <w:basedOn w:val="15"/>
    <w:link w:val="5"/>
    <w:qFormat/>
    <w:uiPriority w:val="0"/>
    <w:rPr>
      <w:rFonts w:ascii="Times New Roman" w:hAnsi="Times New Roman" w:eastAsia="宋体" w:cs="Times New Roman"/>
      <w:sz w:val="32"/>
      <w:szCs w:val="20"/>
    </w:rPr>
  </w:style>
  <w:style w:type="character" w:customStyle="1" w:styleId="27">
    <w:name w:val="副标题 Char"/>
    <w:basedOn w:val="15"/>
    <w:link w:val="10"/>
    <w:qFormat/>
    <w:uiPriority w:val="11"/>
    <w:rPr>
      <w:rFonts w:ascii="Cambria" w:hAnsi="Cambria" w:eastAsia="宋体" w:cs="Times New Roman"/>
      <w:b/>
      <w:bCs/>
      <w:kern w:val="28"/>
      <w:sz w:val="32"/>
      <w:szCs w:val="32"/>
      <w:lang w:val="zh-CN" w:eastAsia="zh-CN"/>
    </w:rPr>
  </w:style>
  <w:style w:type="character" w:customStyle="1" w:styleId="28">
    <w:name w:val="正文文本缩进 2 Char"/>
    <w:basedOn w:val="15"/>
    <w:link w:val="6"/>
    <w:qFormat/>
    <w:uiPriority w:val="99"/>
    <w:rPr>
      <w:rFonts w:ascii="Times New Roman" w:hAnsi="Times New Roman" w:eastAsia="宋体" w:cs="Times New Roman"/>
      <w:szCs w:val="20"/>
    </w:rPr>
  </w:style>
  <w:style w:type="paragraph" w:customStyle="1" w:styleId="29">
    <w:name w:val="Char"/>
    <w:basedOn w:val="1"/>
    <w:autoRedefine/>
    <w:qFormat/>
    <w:uiPriority w:val="0"/>
    <w:pPr>
      <w:tabs>
        <w:tab w:val="left" w:pos="360"/>
      </w:tabs>
    </w:pPr>
    <w:rPr>
      <w:sz w:val="24"/>
      <w:szCs w:val="24"/>
    </w:rPr>
  </w:style>
  <w:style w:type="paragraph" w:customStyle="1" w:styleId="3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1">
    <w:name w:val="List Paragraph"/>
    <w:basedOn w:val="1"/>
    <w:link w:val="33"/>
    <w:qFormat/>
    <w:uiPriority w:val="34"/>
    <w:pPr>
      <w:ind w:firstLine="420" w:firstLineChars="200"/>
    </w:pPr>
    <w:rPr>
      <w:sz w:val="28"/>
      <w:szCs w:val="24"/>
    </w:rPr>
  </w:style>
  <w:style w:type="character" w:customStyle="1" w:styleId="32">
    <w:name w:val="Default Char"/>
    <w:link w:val="25"/>
    <w:qFormat/>
    <w:locked/>
    <w:uiPriority w:val="0"/>
    <w:rPr>
      <w:rFonts w:ascii="......." w:hAnsi="Calibri" w:eastAsia="......." w:cs="......."/>
      <w:color w:val="000000"/>
      <w:kern w:val="0"/>
      <w:sz w:val="24"/>
      <w:szCs w:val="24"/>
    </w:rPr>
  </w:style>
  <w:style w:type="character" w:customStyle="1" w:styleId="33">
    <w:name w:val="列出段落 Char"/>
    <w:link w:val="31"/>
    <w:qFormat/>
    <w:uiPriority w:val="34"/>
    <w:rPr>
      <w:rFonts w:ascii="Times New Roman" w:hAnsi="Times New Roman" w:eastAsia="宋体" w:cs="Times New Roman"/>
      <w:sz w:val="28"/>
      <w:szCs w:val="24"/>
    </w:rPr>
  </w:style>
  <w:style w:type="character" w:customStyle="1" w:styleId="34">
    <w:name w:val="纯文本 Char"/>
    <w:basedOn w:val="15"/>
    <w:semiHidden/>
    <w:qFormat/>
    <w:uiPriority w:val="99"/>
    <w:rPr>
      <w:rFonts w:ascii="宋体" w:hAnsi="Courier New" w:eastAsia="宋体" w:cs="Courier New"/>
      <w:szCs w:val="21"/>
    </w:rPr>
  </w:style>
  <w:style w:type="character" w:customStyle="1" w:styleId="35">
    <w:name w:val="批注文字 Char"/>
    <w:basedOn w:val="15"/>
    <w:link w:val="4"/>
    <w:semiHidden/>
    <w:qFormat/>
    <w:uiPriority w:val="99"/>
    <w:rPr>
      <w:rFonts w:ascii="Times New Roman" w:hAnsi="Times New Roman" w:eastAsia="宋体" w:cs="Times New Roman"/>
      <w:szCs w:val="20"/>
    </w:rPr>
  </w:style>
  <w:style w:type="character" w:customStyle="1" w:styleId="36">
    <w:name w:val="批注主题 Char"/>
    <w:basedOn w:val="35"/>
    <w:link w:val="12"/>
    <w:semiHidden/>
    <w:qFormat/>
    <w:uiPriority w:val="99"/>
    <w:rPr>
      <w:rFonts w:ascii="Times New Roman" w:hAnsi="Times New Roman" w:eastAsia="宋体" w:cs="Times New Roman"/>
      <w:b/>
      <w:bCs/>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8554</Words>
  <Characters>9157</Characters>
  <Lines>186</Lines>
  <Paragraphs>52</Paragraphs>
  <TotalTime>0</TotalTime>
  <ScaleCrop>false</ScaleCrop>
  <LinksUpToDate>false</LinksUpToDate>
  <CharactersWithSpaces>9275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2025-10-27T07:51:00Z</dcterms:created>
  <dc:creator>未定义</dc:creator>
  <cp:lastModifiedBy>Lin</cp:lastModifiedBy>
  <dcterms:modified xsi:type="dcterms:W3CDTF">2025-11-21T01:28:15Z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eyJoZGlkIjoiNzJiNWQ2NDYxNjMyZjMyNjg5NzU4Mzk3MzM0YTk1ODQiLCJ1c2VySWQiOiI2NzI5MTcyNDcifQ==</vt:lpwstr>
  </property>
  <property fmtid="{D5CDD505-2E9C-101B-9397-08002B2CF9AE}" pid="3" name="KSOProductBuildVer">
    <vt:lpwstr>2052-12.1.0.23542</vt:lpwstr>
  </property>
  <property fmtid="{D5CDD505-2E9C-101B-9397-08002B2CF9AE}" pid="4" name="ICV">
    <vt:lpwstr>B4F12FB2E20146E58484F29E4BA56778_13</vt:lpwstr>
  </property>
</Properties>
</file>