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41C9B">
      <w:pPr>
        <w:jc w:val="center"/>
        <w:rPr>
          <w:rFonts w:ascii="方正小标宋简体" w:hAnsi="Calibri" w:eastAsia="方正小标宋简体" w:cs="宋体"/>
          <w:sz w:val="40"/>
          <w:szCs w:val="40"/>
        </w:rPr>
      </w:pPr>
      <w:r>
        <w:rPr>
          <w:rFonts w:hint="eastAsia" w:ascii="方正小标宋简体" w:hAnsi="Calibri" w:eastAsia="方正小标宋简体" w:cs="宋体"/>
          <w:sz w:val="40"/>
          <w:szCs w:val="40"/>
        </w:rPr>
        <w:t>新一代信息技术应用开发实验室项目需求书</w:t>
      </w:r>
    </w:p>
    <w:p w14:paraId="0B61ACF9">
      <w:pPr>
        <w:jc w:val="both"/>
        <w:rPr>
          <w:rFonts w:hint="eastAsia" w:ascii="黑体" w:hAnsi="黑体" w:eastAsia="黑体"/>
          <w:sz w:val="24"/>
          <w:szCs w:val="24"/>
        </w:rPr>
      </w:pPr>
    </w:p>
    <w:p w14:paraId="74E132C9">
      <w:pPr>
        <w:numPr>
          <w:ilvl w:val="0"/>
          <w:numId w:val="2"/>
        </w:numPr>
        <w:spacing w:line="560" w:lineRule="exact"/>
        <w:ind w:firstLine="640" w:firstLineChars="200"/>
        <w:rPr>
          <w:rFonts w:hint="eastAsia" w:ascii="黑体" w:hAnsi="黑体" w:eastAsia="黑体" w:cs="宋体"/>
          <w:bCs/>
          <w:kern w:val="44"/>
          <w:sz w:val="32"/>
          <w:szCs w:val="32"/>
        </w:rPr>
      </w:pPr>
      <w:r>
        <w:rPr>
          <w:rFonts w:hint="eastAsia" w:ascii="黑体" w:hAnsi="黑体" w:eastAsia="黑体" w:cs="宋体"/>
          <w:bCs/>
          <w:kern w:val="44"/>
          <w:sz w:val="32"/>
          <w:szCs w:val="32"/>
        </w:rPr>
        <w:t>技术</w:t>
      </w:r>
      <w:r>
        <w:rPr>
          <w:rFonts w:hint="eastAsia" w:ascii="黑体" w:hAnsi="黑体" w:eastAsia="黑体" w:cs="宋体"/>
          <w:bCs/>
          <w:kern w:val="44"/>
          <w:sz w:val="32"/>
          <w:szCs w:val="32"/>
          <w:lang w:eastAsia="zh-CN"/>
        </w:rPr>
        <w:t>、</w:t>
      </w:r>
      <w:r>
        <w:rPr>
          <w:rFonts w:hint="eastAsia" w:ascii="黑体" w:hAnsi="黑体" w:eastAsia="黑体" w:cs="宋体"/>
          <w:bCs/>
          <w:kern w:val="44"/>
          <w:sz w:val="32"/>
          <w:szCs w:val="32"/>
          <w:lang w:val="en-US" w:eastAsia="zh-CN"/>
        </w:rPr>
        <w:t>商务</w:t>
      </w:r>
      <w:r>
        <w:rPr>
          <w:rFonts w:hint="eastAsia" w:ascii="黑体" w:hAnsi="黑体" w:eastAsia="黑体" w:cs="宋体"/>
          <w:bCs/>
          <w:kern w:val="44"/>
          <w:sz w:val="32"/>
          <w:szCs w:val="32"/>
        </w:rPr>
        <w:t>要求</w:t>
      </w:r>
    </w:p>
    <w:p w14:paraId="22026A53">
      <w:pPr>
        <w:spacing w:line="560" w:lineRule="exact"/>
        <w:ind w:firstLine="640" w:firstLineChars="200"/>
        <w:jc w:val="left"/>
        <w:rPr>
          <w:rFonts w:ascii="仿宋" w:hAnsi="仿宋" w:eastAsia="仿宋"/>
          <w:color w:val="auto"/>
          <w:sz w:val="32"/>
          <w:szCs w:val="32"/>
          <w:highlight w:val="none"/>
        </w:rPr>
      </w:pPr>
      <w:r>
        <w:rPr>
          <w:rFonts w:hint="eastAsia" w:ascii="仿宋" w:hAnsi="仿宋" w:eastAsia="仿宋"/>
          <w:color w:val="auto"/>
          <w:sz w:val="32"/>
          <w:szCs w:val="32"/>
          <w:highlight w:val="none"/>
        </w:rPr>
        <w:t>包1-硬件设备</w:t>
      </w:r>
    </w:p>
    <w:p w14:paraId="685E17C7">
      <w:pPr>
        <w:spacing w:line="560" w:lineRule="exact"/>
        <w:ind w:firstLine="640" w:firstLineChars="200"/>
        <w:jc w:val="left"/>
        <w:rPr>
          <w:rFonts w:hint="eastAsia" w:ascii="仿宋" w:hAnsi="仿宋" w:eastAsia="仿宋"/>
          <w:color w:val="auto"/>
          <w:sz w:val="32"/>
          <w:szCs w:val="32"/>
          <w:highlight w:val="none"/>
        </w:rPr>
      </w:pPr>
      <w:r>
        <w:rPr>
          <w:rFonts w:hint="eastAsia" w:ascii="仿宋" w:hAnsi="仿宋" w:eastAsia="仿宋"/>
          <w:color w:val="auto"/>
          <w:sz w:val="32"/>
          <w:szCs w:val="32"/>
          <w:highlight w:val="none"/>
        </w:rPr>
        <w:t>1</w:t>
      </w:r>
      <w:r>
        <w:rPr>
          <w:rFonts w:ascii="仿宋" w:hAnsi="仿宋" w:eastAsia="仿宋"/>
          <w:color w:val="auto"/>
          <w:sz w:val="32"/>
          <w:szCs w:val="32"/>
          <w:highlight w:val="none"/>
        </w:rPr>
        <w:t>.</w:t>
      </w:r>
      <w:r>
        <w:rPr>
          <w:rFonts w:hint="eastAsia" w:ascii="仿宋" w:hAnsi="仿宋" w:eastAsia="仿宋"/>
          <w:color w:val="auto"/>
          <w:sz w:val="32"/>
          <w:szCs w:val="32"/>
          <w:highlight w:val="none"/>
        </w:rPr>
        <w:t>技术要求</w:t>
      </w:r>
    </w:p>
    <w:p w14:paraId="30B31C09">
      <w:pPr>
        <w:pStyle w:val="50"/>
        <w:widowControl/>
        <w:ind w:firstLine="480"/>
        <w:rPr>
          <w:rFonts w:ascii="宋体" w:hAnsi="宋体" w:eastAsia="宋体"/>
          <w:color w:val="auto"/>
          <w:highlight w:val="none"/>
        </w:rPr>
      </w:pPr>
      <w:r>
        <w:rPr>
          <w:rFonts w:hint="eastAsia" w:ascii="宋体" w:hAnsi="宋体" w:eastAsia="宋体"/>
          <w:color w:val="auto"/>
          <w:highlight w:val="none"/>
        </w:rPr>
        <w:t>（1）供应商须承诺所提供的服务、人员、设备及耗材符合国家相关强制性规定。交货时采购人有权要求供应商出具所提供的服务、人员、设备及耗材符合上述规定的证明文件。</w:t>
      </w:r>
    </w:p>
    <w:p w14:paraId="0D58AB68">
      <w:pPr>
        <w:pStyle w:val="50"/>
        <w:widowControl/>
        <w:ind w:firstLine="480"/>
        <w:rPr>
          <w:rFonts w:ascii="宋体" w:hAnsi="宋体" w:eastAsia="宋体"/>
          <w:color w:val="auto"/>
          <w:highlight w:val="none"/>
        </w:rPr>
      </w:pPr>
      <w:r>
        <w:rPr>
          <w:rFonts w:hint="eastAsia" w:ascii="宋体" w:hAnsi="宋体" w:eastAsia="宋体"/>
          <w:color w:val="auto"/>
          <w:highlight w:val="none"/>
        </w:rPr>
        <w:t>（2）本项目不接受赠品或者与采购无关的其他商品、服务，供应商亦不得以采购人要求实施前述馈赠、回扣等行为。</w:t>
      </w:r>
    </w:p>
    <w:p w14:paraId="4D1EF4E7">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3</w:t>
      </w:r>
      <w:r>
        <w:rPr>
          <w:rFonts w:hint="eastAsia" w:ascii="宋体" w:hAnsi="宋体" w:eastAsia="宋体"/>
          <w:color w:val="auto"/>
          <w:highlight w:val="none"/>
        </w:rPr>
        <w:t>）供应商所提供的技术资料完整正确，数据和资料准确无误，能够保证设备按时正确地安装、调试和验收，并能满足正常运行和维修保养的需要。</w:t>
      </w:r>
    </w:p>
    <w:p w14:paraId="431C1258">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4</w:t>
      </w:r>
      <w:r>
        <w:rPr>
          <w:rFonts w:hint="eastAsia" w:ascii="宋体" w:hAnsi="宋体" w:eastAsia="宋体"/>
          <w:color w:val="auto"/>
          <w:highlight w:val="none"/>
        </w:rPr>
        <w:t>）响应产品须保证市场成熟度高，质量稳定性好，供应商所投及交付货物应无知识产权纠纷。若出现知识产权纠纷等法律问题，由供应商自行承担。</w:t>
      </w:r>
    </w:p>
    <w:p w14:paraId="4FBBF639">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5</w:t>
      </w:r>
      <w:r>
        <w:rPr>
          <w:rFonts w:hint="eastAsia" w:ascii="宋体" w:hAnsi="宋体" w:eastAsia="宋体"/>
          <w:color w:val="auto"/>
          <w:highlight w:val="none"/>
        </w:rPr>
        <w:t>）本项目产品中如有产品列入《环境标志产品政府采购品目清单》的产品，供应商须提供国家确定的认证机构出具的处于有效期之内的环境标志产品认证证书复印件并加盖公章。</w:t>
      </w:r>
    </w:p>
    <w:p w14:paraId="5C929F97">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6</w:t>
      </w:r>
      <w:r>
        <w:rPr>
          <w:rFonts w:hint="eastAsia" w:ascii="宋体" w:hAnsi="宋体" w:eastAsia="宋体"/>
          <w:color w:val="auto"/>
          <w:highlight w:val="none"/>
        </w:rPr>
        <w:t>）供应商按照项目需求中的要求，须在响应文件中对所投项目产品整体性能、产品的安全性和耐用性、产品的维修、维护方案、产品质量和稳定性、售后服务承诺、培训方案与培训计划等，提供详细的技术文件。</w:t>
      </w:r>
    </w:p>
    <w:p w14:paraId="6B1D538D">
      <w:pPr>
        <w:pStyle w:val="50"/>
        <w:widowControl/>
        <w:ind w:firstLine="480"/>
        <w:rPr>
          <w:rFonts w:hint="eastAsia"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7</w:t>
      </w:r>
      <w:r>
        <w:rPr>
          <w:rFonts w:hint="eastAsia" w:ascii="宋体" w:hAnsi="宋体" w:eastAsia="宋体"/>
          <w:color w:val="auto"/>
          <w:highlight w:val="none"/>
        </w:rPr>
        <w:t>）具体需求：</w:t>
      </w:r>
    </w:p>
    <w:p w14:paraId="6568E458">
      <w:pPr>
        <w:pStyle w:val="50"/>
        <w:widowControl/>
        <w:ind w:firstLine="480"/>
        <w:rPr>
          <w:rFonts w:ascii="宋体" w:hAnsi="宋体" w:eastAsia="宋体"/>
          <w:color w:val="auto"/>
          <w:highlight w:val="none"/>
        </w:rPr>
      </w:pPr>
      <w:r>
        <w:rPr>
          <w:rFonts w:hint="eastAsia" w:ascii="宋体" w:hAnsi="宋体" w:eastAsia="宋体"/>
          <w:color w:val="auto"/>
          <w:highlight w:val="none"/>
        </w:rPr>
        <w:t>①服务器，详见附件1</w:t>
      </w:r>
    </w:p>
    <w:p w14:paraId="63235CE4">
      <w:pPr>
        <w:pStyle w:val="50"/>
        <w:widowControl/>
        <w:ind w:firstLine="480"/>
        <w:rPr>
          <w:rFonts w:hint="eastAsia" w:ascii="宋体" w:hAnsi="宋体" w:eastAsia="宋体"/>
          <w:color w:val="auto"/>
          <w:highlight w:val="none"/>
        </w:rPr>
      </w:pPr>
      <w:r>
        <w:rPr>
          <w:rFonts w:hint="eastAsia" w:ascii="宋体" w:hAnsi="宋体" w:eastAsia="宋体"/>
          <w:color w:val="auto"/>
          <w:highlight w:val="none"/>
        </w:rPr>
        <w:t>★②台式计算机，详见附件2:</w:t>
      </w:r>
    </w:p>
    <w:p w14:paraId="75D7459A">
      <w:pPr>
        <w:pStyle w:val="50"/>
        <w:widowControl/>
        <w:ind w:firstLine="480"/>
        <w:rPr>
          <w:rFonts w:hint="eastAsia" w:ascii="宋体" w:hAnsi="宋体" w:eastAsia="宋体" w:cs="Arial Unicode MS"/>
          <w:color w:val="auto"/>
          <w:kern w:val="2"/>
          <w:sz w:val="24"/>
          <w:szCs w:val="24"/>
          <w:highlight w:val="none"/>
          <w:lang w:val="en-US" w:eastAsia="zh-CN" w:bidi="ar-SA"/>
        </w:rPr>
      </w:pPr>
      <w:r>
        <w:rPr>
          <w:rFonts w:hint="eastAsia" w:ascii="宋体" w:hAnsi="宋体" w:eastAsia="宋体" w:cs="Arial Unicode MS"/>
          <w:color w:val="auto"/>
          <w:kern w:val="2"/>
          <w:sz w:val="24"/>
          <w:szCs w:val="24"/>
          <w:highlight w:val="none"/>
          <w:lang w:val="en-US" w:eastAsia="zh-CN" w:bidi="ar-SA"/>
        </w:rPr>
        <w:t>③交换设备，详见附件3</w:t>
      </w:r>
    </w:p>
    <w:p w14:paraId="75EF46E5">
      <w:pPr>
        <w:pStyle w:val="50"/>
        <w:widowControl/>
        <w:ind w:firstLine="480"/>
        <w:rPr>
          <w:rFonts w:ascii="仿宋" w:hAnsi="仿宋" w:eastAsia="仿宋"/>
          <w:color w:val="auto"/>
          <w:sz w:val="32"/>
          <w:szCs w:val="32"/>
          <w:highlight w:val="none"/>
        </w:rPr>
      </w:pPr>
      <w:r>
        <w:rPr>
          <w:rFonts w:hint="eastAsia" w:ascii="仿宋" w:hAnsi="仿宋" w:eastAsia="仿宋"/>
          <w:color w:val="auto"/>
          <w:sz w:val="32"/>
          <w:szCs w:val="32"/>
          <w:highlight w:val="none"/>
        </w:rPr>
        <w:t>2</w:t>
      </w:r>
      <w:r>
        <w:rPr>
          <w:rFonts w:ascii="仿宋" w:hAnsi="仿宋" w:eastAsia="仿宋"/>
          <w:color w:val="auto"/>
          <w:sz w:val="32"/>
          <w:szCs w:val="32"/>
          <w:highlight w:val="none"/>
        </w:rPr>
        <w:t>.</w:t>
      </w:r>
      <w:r>
        <w:rPr>
          <w:rFonts w:hint="eastAsia" w:ascii="仿宋" w:hAnsi="仿宋" w:eastAsia="仿宋"/>
          <w:color w:val="auto"/>
          <w:sz w:val="32"/>
          <w:szCs w:val="32"/>
          <w:highlight w:val="none"/>
        </w:rPr>
        <w:t>商务要求</w:t>
      </w:r>
    </w:p>
    <w:tbl>
      <w:tblPr>
        <w:tblStyle w:val="12"/>
        <w:tblW w:w="5097"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605"/>
        <w:gridCol w:w="1152"/>
        <w:gridCol w:w="4281"/>
        <w:gridCol w:w="773"/>
        <w:gridCol w:w="1876"/>
      </w:tblGrid>
      <w:tr w14:paraId="0562AC3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5" w:hRule="atLeast"/>
          <w:jc w:val="center"/>
        </w:trPr>
        <w:tc>
          <w:tcPr>
            <w:tcW w:w="348" w:type="pct"/>
            <w:noWrap w:val="0"/>
            <w:vAlign w:val="center"/>
          </w:tcPr>
          <w:p w14:paraId="780119C8">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序号</w:t>
            </w:r>
          </w:p>
        </w:tc>
        <w:tc>
          <w:tcPr>
            <w:tcW w:w="663" w:type="pct"/>
            <w:noWrap w:val="0"/>
            <w:vAlign w:val="center"/>
          </w:tcPr>
          <w:p w14:paraId="6C3ABA00">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需求条款</w:t>
            </w:r>
          </w:p>
        </w:tc>
        <w:tc>
          <w:tcPr>
            <w:tcW w:w="2463" w:type="pct"/>
            <w:noWrap w:val="0"/>
            <w:vAlign w:val="center"/>
          </w:tcPr>
          <w:p w14:paraId="1448FFD3">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具体要求</w:t>
            </w:r>
          </w:p>
        </w:tc>
        <w:tc>
          <w:tcPr>
            <w:tcW w:w="445" w:type="pct"/>
            <w:noWrap w:val="0"/>
            <w:vAlign w:val="center"/>
          </w:tcPr>
          <w:p w14:paraId="275DCA56">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是否为实质性条款</w:t>
            </w:r>
          </w:p>
        </w:tc>
        <w:tc>
          <w:tcPr>
            <w:tcW w:w="1079" w:type="pct"/>
            <w:noWrap w:val="0"/>
            <w:vAlign w:val="center"/>
          </w:tcPr>
          <w:p w14:paraId="346765FC">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原因说明（实质性条款需列明原因）</w:t>
            </w:r>
          </w:p>
        </w:tc>
      </w:tr>
      <w:tr w14:paraId="2FEB332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restart"/>
            <w:noWrap w:val="0"/>
            <w:vAlign w:val="center"/>
          </w:tcPr>
          <w:p w14:paraId="220CF03E">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1</w:t>
            </w:r>
          </w:p>
        </w:tc>
        <w:tc>
          <w:tcPr>
            <w:tcW w:w="663" w:type="pct"/>
            <w:vMerge w:val="restart"/>
            <w:noWrap w:val="0"/>
            <w:vAlign w:val="center"/>
          </w:tcPr>
          <w:p w14:paraId="18B31F5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实质性资格要求</w:t>
            </w:r>
          </w:p>
        </w:tc>
        <w:tc>
          <w:tcPr>
            <w:tcW w:w="2463" w:type="pct"/>
            <w:tcBorders>
              <w:bottom w:val="single" w:color="auto" w:sz="8" w:space="0"/>
            </w:tcBorders>
            <w:noWrap w:val="0"/>
            <w:vAlign w:val="center"/>
          </w:tcPr>
          <w:p w14:paraId="09C3C625">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szCs w:val="21"/>
                <w:highlight w:val="none"/>
              </w:rPr>
              <w:t>提供经年检合格的营业执照复印件并加盖公章</w:t>
            </w:r>
          </w:p>
        </w:tc>
        <w:tc>
          <w:tcPr>
            <w:tcW w:w="445" w:type="pct"/>
            <w:vMerge w:val="restart"/>
            <w:noWrap w:val="0"/>
            <w:vAlign w:val="center"/>
          </w:tcPr>
          <w:p w14:paraId="758A8134">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vMerge w:val="restart"/>
            <w:noWrap w:val="0"/>
            <w:vAlign w:val="center"/>
          </w:tcPr>
          <w:p w14:paraId="5D5E7E45">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基本要求</w:t>
            </w:r>
          </w:p>
        </w:tc>
      </w:tr>
      <w:tr w14:paraId="7EC37EF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3BDA352E">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04D7FB00">
            <w:pPr>
              <w:widowControl/>
              <w:spacing w:line="0" w:lineRule="atLeast"/>
              <w:jc w:val="center"/>
              <w:rPr>
                <w:rFonts w:hint="eastAsia" w:ascii="宋体" w:hAnsi="宋体" w:cs="宋体"/>
                <w:color w:val="auto"/>
                <w:kern w:val="0"/>
                <w:szCs w:val="21"/>
                <w:highlight w:val="none"/>
              </w:rPr>
            </w:pPr>
          </w:p>
        </w:tc>
        <w:tc>
          <w:tcPr>
            <w:tcW w:w="2463" w:type="pct"/>
            <w:tcBorders>
              <w:bottom w:val="single" w:color="auto" w:sz="8" w:space="0"/>
            </w:tcBorders>
            <w:noWrap w:val="0"/>
            <w:vAlign w:val="center"/>
          </w:tcPr>
          <w:p w14:paraId="23484008">
            <w:pPr>
              <w:widowControl/>
              <w:spacing w:line="0" w:lineRule="atLeast"/>
              <w:jc w:val="left"/>
              <w:rPr>
                <w:rFonts w:hint="eastAsia" w:ascii="宋体" w:hAnsi="宋体" w:cs="宋体"/>
                <w:color w:val="auto"/>
                <w:szCs w:val="21"/>
                <w:highlight w:val="none"/>
              </w:rPr>
            </w:pPr>
            <w:r>
              <w:rPr>
                <w:rFonts w:hint="eastAsia" w:ascii="宋体" w:hAnsi="宋体" w:cs="宋体"/>
                <w:color w:val="auto"/>
                <w:kern w:val="0"/>
                <w:szCs w:val="21"/>
                <w:highlight w:val="none"/>
              </w:rPr>
              <w:t>供应商须提供经会计师事务所审计的2024年度财务审计报告或投标文件开启时间前6个月以内银行出具的资信证明；</w:t>
            </w:r>
          </w:p>
        </w:tc>
        <w:tc>
          <w:tcPr>
            <w:tcW w:w="445" w:type="pct"/>
            <w:vMerge w:val="continue"/>
            <w:noWrap w:val="0"/>
            <w:vAlign w:val="center"/>
          </w:tcPr>
          <w:p w14:paraId="5A019D77">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1EDF1FEF">
            <w:pPr>
              <w:widowControl/>
              <w:spacing w:line="0" w:lineRule="atLeast"/>
              <w:jc w:val="center"/>
              <w:rPr>
                <w:rFonts w:hint="eastAsia" w:ascii="宋体" w:hAnsi="宋体" w:cs="宋体"/>
                <w:color w:val="auto"/>
                <w:kern w:val="0"/>
                <w:szCs w:val="21"/>
                <w:highlight w:val="none"/>
              </w:rPr>
            </w:pPr>
          </w:p>
        </w:tc>
      </w:tr>
      <w:tr w14:paraId="6D9FCA8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2356CA06">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7AFD1B7A">
            <w:pPr>
              <w:widowControl/>
              <w:spacing w:line="0" w:lineRule="atLeast"/>
              <w:jc w:val="center"/>
              <w:rPr>
                <w:rFonts w:hint="eastAsia" w:ascii="宋体" w:hAnsi="宋体" w:cs="宋体"/>
                <w:color w:val="auto"/>
                <w:kern w:val="0"/>
                <w:szCs w:val="21"/>
                <w:highlight w:val="none"/>
              </w:rPr>
            </w:pPr>
          </w:p>
        </w:tc>
        <w:tc>
          <w:tcPr>
            <w:tcW w:w="2463" w:type="pct"/>
            <w:tcBorders>
              <w:bottom w:val="single" w:color="auto" w:sz="8" w:space="0"/>
            </w:tcBorders>
            <w:noWrap w:val="0"/>
            <w:vAlign w:val="center"/>
          </w:tcPr>
          <w:p w14:paraId="44064FD1">
            <w:pPr>
              <w:widowControl/>
              <w:spacing w:line="0" w:lineRule="atLeast"/>
              <w:jc w:val="left"/>
              <w:rPr>
                <w:rFonts w:hint="eastAsia" w:ascii="宋体" w:hAnsi="宋体" w:cs="宋体"/>
                <w:color w:val="auto"/>
                <w:szCs w:val="21"/>
                <w:highlight w:val="none"/>
              </w:rPr>
            </w:pPr>
            <w:r>
              <w:rPr>
                <w:rFonts w:hint="eastAsia" w:ascii="宋体" w:hAnsi="宋体" w:cs="宋体"/>
                <w:color w:val="auto"/>
                <w:kern w:val="0"/>
                <w:szCs w:val="21"/>
                <w:highlight w:val="none"/>
              </w:rPr>
              <w:t>供应商须提供法定代表人授权书</w:t>
            </w:r>
          </w:p>
        </w:tc>
        <w:tc>
          <w:tcPr>
            <w:tcW w:w="445" w:type="pct"/>
            <w:vMerge w:val="continue"/>
            <w:noWrap w:val="0"/>
            <w:vAlign w:val="center"/>
          </w:tcPr>
          <w:p w14:paraId="771BC4E4">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15A01D1C">
            <w:pPr>
              <w:widowControl/>
              <w:spacing w:line="0" w:lineRule="atLeast"/>
              <w:jc w:val="center"/>
              <w:rPr>
                <w:rFonts w:hint="eastAsia" w:ascii="宋体" w:hAnsi="宋体" w:cs="宋体"/>
                <w:color w:val="auto"/>
                <w:kern w:val="0"/>
                <w:szCs w:val="21"/>
                <w:highlight w:val="none"/>
              </w:rPr>
            </w:pPr>
          </w:p>
        </w:tc>
      </w:tr>
      <w:tr w14:paraId="1652B01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7D045680">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4D99970E">
            <w:pPr>
              <w:widowControl/>
              <w:spacing w:line="0" w:lineRule="atLeast"/>
              <w:jc w:val="center"/>
              <w:rPr>
                <w:rFonts w:hint="eastAsia" w:ascii="宋体" w:hAnsi="宋体" w:cs="宋体"/>
                <w:color w:val="auto"/>
                <w:kern w:val="0"/>
                <w:szCs w:val="21"/>
                <w:highlight w:val="none"/>
              </w:rPr>
            </w:pPr>
          </w:p>
        </w:tc>
        <w:tc>
          <w:tcPr>
            <w:tcW w:w="2463" w:type="pct"/>
            <w:tcBorders>
              <w:bottom w:val="single" w:color="auto" w:sz="8" w:space="0"/>
            </w:tcBorders>
            <w:noWrap w:val="0"/>
            <w:vAlign w:val="center"/>
          </w:tcPr>
          <w:p w14:paraId="065DFC25">
            <w:pPr>
              <w:widowControl/>
              <w:spacing w:line="0" w:lineRule="atLeast"/>
              <w:jc w:val="left"/>
              <w:rPr>
                <w:rFonts w:hint="eastAsia" w:ascii="宋体" w:hAnsi="宋体" w:cs="宋体"/>
                <w:color w:val="auto"/>
                <w:szCs w:val="21"/>
                <w:highlight w:val="none"/>
              </w:rPr>
            </w:pPr>
            <w:r>
              <w:rPr>
                <w:rFonts w:hint="eastAsia" w:ascii="宋体" w:hAnsi="宋体" w:cs="宋体"/>
                <w:color w:val="auto"/>
                <w:kern w:val="0"/>
                <w:szCs w:val="21"/>
                <w:highlight w:val="none"/>
              </w:rPr>
              <w:t>供应商须提供202</w:t>
            </w:r>
            <w:r>
              <w:rPr>
                <w:rFonts w:hint="eastAsia" w:ascii="宋体" w:hAnsi="宋体" w:cs="宋体"/>
                <w:color w:val="auto"/>
                <w:kern w:val="0"/>
                <w:szCs w:val="21"/>
                <w:highlight w:val="none"/>
                <w:lang w:val="en-US" w:eastAsia="zh-CN"/>
              </w:rPr>
              <w:t>5</w:t>
            </w:r>
            <w:r>
              <w:rPr>
                <w:rFonts w:hint="eastAsia" w:ascii="宋体" w:hAnsi="宋体" w:cs="宋体"/>
                <w:color w:val="auto"/>
                <w:kern w:val="0"/>
                <w:szCs w:val="21"/>
                <w:highlight w:val="none"/>
              </w:rPr>
              <w:t>年至少一个月依法纳税的相关证明材料，依法免税或者零申报的提供相应文件说明；</w:t>
            </w:r>
          </w:p>
        </w:tc>
        <w:tc>
          <w:tcPr>
            <w:tcW w:w="445" w:type="pct"/>
            <w:vMerge w:val="continue"/>
            <w:noWrap w:val="0"/>
            <w:vAlign w:val="center"/>
          </w:tcPr>
          <w:p w14:paraId="4921CDF1">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20640FAE">
            <w:pPr>
              <w:widowControl/>
              <w:spacing w:line="0" w:lineRule="atLeast"/>
              <w:jc w:val="center"/>
              <w:rPr>
                <w:rFonts w:hint="eastAsia" w:ascii="宋体" w:hAnsi="宋体" w:cs="宋体"/>
                <w:color w:val="auto"/>
                <w:kern w:val="0"/>
                <w:szCs w:val="21"/>
                <w:highlight w:val="none"/>
              </w:rPr>
            </w:pPr>
          </w:p>
        </w:tc>
      </w:tr>
      <w:tr w14:paraId="493DE95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15A494A4">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7834B96E">
            <w:pPr>
              <w:widowControl/>
              <w:spacing w:line="0" w:lineRule="atLeast"/>
              <w:jc w:val="center"/>
              <w:rPr>
                <w:rFonts w:hint="eastAsia" w:ascii="宋体" w:hAnsi="宋体" w:cs="宋体"/>
                <w:color w:val="auto"/>
                <w:kern w:val="0"/>
                <w:szCs w:val="21"/>
                <w:highlight w:val="none"/>
              </w:rPr>
            </w:pPr>
          </w:p>
        </w:tc>
        <w:tc>
          <w:tcPr>
            <w:tcW w:w="2463" w:type="pct"/>
            <w:tcBorders>
              <w:bottom w:val="single" w:color="auto" w:sz="8" w:space="0"/>
            </w:tcBorders>
            <w:noWrap w:val="0"/>
            <w:vAlign w:val="center"/>
          </w:tcPr>
          <w:p w14:paraId="60E6702C">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供应商须提供投标截止时间前3年在经营活动中没有重大违法记录的书面声明（截至投标截止时间成立不足3年的投标人可提供自成立以来无重大违法记录的书面声明）；</w:t>
            </w:r>
          </w:p>
        </w:tc>
        <w:tc>
          <w:tcPr>
            <w:tcW w:w="445" w:type="pct"/>
            <w:vMerge w:val="continue"/>
            <w:noWrap w:val="0"/>
            <w:vAlign w:val="center"/>
          </w:tcPr>
          <w:p w14:paraId="74B6B859">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631D89F6">
            <w:pPr>
              <w:widowControl/>
              <w:spacing w:line="0" w:lineRule="atLeast"/>
              <w:jc w:val="center"/>
              <w:rPr>
                <w:rFonts w:hint="eastAsia" w:ascii="宋体" w:hAnsi="宋体" w:cs="宋体"/>
                <w:color w:val="auto"/>
                <w:kern w:val="0"/>
                <w:szCs w:val="21"/>
                <w:highlight w:val="none"/>
              </w:rPr>
            </w:pPr>
          </w:p>
        </w:tc>
      </w:tr>
      <w:tr w14:paraId="6218B8D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493EC3E0">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05102693">
            <w:pPr>
              <w:widowControl/>
              <w:spacing w:line="0" w:lineRule="atLeast"/>
              <w:jc w:val="center"/>
              <w:rPr>
                <w:rFonts w:hint="eastAsia" w:ascii="宋体" w:hAnsi="宋体" w:cs="宋体"/>
                <w:color w:val="auto"/>
                <w:kern w:val="0"/>
                <w:szCs w:val="21"/>
                <w:highlight w:val="none"/>
              </w:rPr>
            </w:pPr>
          </w:p>
        </w:tc>
        <w:tc>
          <w:tcPr>
            <w:tcW w:w="2463" w:type="pct"/>
            <w:tcBorders>
              <w:bottom w:val="single" w:color="auto" w:sz="8" w:space="0"/>
            </w:tcBorders>
            <w:noWrap w:val="0"/>
            <w:vAlign w:val="center"/>
          </w:tcPr>
          <w:p w14:paraId="7E70B531">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按照《财政部关于在政府采购活动中查询及使用信用记录有关问题的通知》（财库〔2016〕125号）的要求，根据开标当日“信用中国”网站（www.creditchina.gov.cn）、中国政府采购网（www.ccgp.gov.cn）的信息</w:t>
            </w:r>
          </w:p>
        </w:tc>
        <w:tc>
          <w:tcPr>
            <w:tcW w:w="445" w:type="pct"/>
            <w:vMerge w:val="continue"/>
            <w:noWrap w:val="0"/>
            <w:vAlign w:val="center"/>
          </w:tcPr>
          <w:p w14:paraId="533EE6C1">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4F971450">
            <w:pPr>
              <w:widowControl/>
              <w:spacing w:line="0" w:lineRule="atLeast"/>
              <w:jc w:val="center"/>
              <w:rPr>
                <w:rFonts w:hint="eastAsia" w:ascii="宋体" w:hAnsi="宋体" w:cs="宋体"/>
                <w:color w:val="auto"/>
                <w:kern w:val="0"/>
                <w:szCs w:val="21"/>
                <w:highlight w:val="none"/>
              </w:rPr>
            </w:pPr>
          </w:p>
        </w:tc>
      </w:tr>
      <w:tr w14:paraId="716D211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restart"/>
            <w:noWrap w:val="0"/>
            <w:vAlign w:val="center"/>
          </w:tcPr>
          <w:p w14:paraId="3F064B04">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2</w:t>
            </w:r>
          </w:p>
        </w:tc>
        <w:tc>
          <w:tcPr>
            <w:tcW w:w="663" w:type="pct"/>
            <w:vMerge w:val="restart"/>
            <w:noWrap w:val="0"/>
            <w:vAlign w:val="center"/>
          </w:tcPr>
          <w:p w14:paraId="1C6B798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服务要求</w:t>
            </w:r>
          </w:p>
        </w:tc>
        <w:tc>
          <w:tcPr>
            <w:tcW w:w="2463" w:type="pct"/>
            <w:noWrap w:val="0"/>
            <w:vAlign w:val="center"/>
          </w:tcPr>
          <w:p w14:paraId="432BAFEA">
            <w:pPr>
              <w:spacing w:line="0" w:lineRule="atLeast"/>
              <w:rPr>
                <w:rFonts w:hint="eastAsia" w:ascii="宋体" w:hAnsi="宋体" w:cs="宋体"/>
                <w:color w:val="auto"/>
                <w:szCs w:val="21"/>
                <w:highlight w:val="none"/>
              </w:rPr>
            </w:pPr>
            <w:r>
              <w:rPr>
                <w:rFonts w:hint="eastAsia" w:ascii="宋体" w:hAnsi="宋体" w:cs="宋体"/>
                <w:color w:val="auto"/>
                <w:szCs w:val="21"/>
                <w:highlight w:val="none"/>
              </w:rPr>
              <w:t>所投产品硬件提供三年质保与软件终身升级服务，质保期内根据有关规范标准开展维护保养，提供7*24小时上门服务和2名持有行业相关资质认证的课程讲师驻场进行课程服务。</w:t>
            </w:r>
          </w:p>
        </w:tc>
        <w:tc>
          <w:tcPr>
            <w:tcW w:w="445" w:type="pct"/>
            <w:vMerge w:val="restart"/>
            <w:noWrap w:val="0"/>
            <w:vAlign w:val="center"/>
          </w:tcPr>
          <w:p w14:paraId="40D0ADDB">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vMerge w:val="restart"/>
            <w:noWrap w:val="0"/>
            <w:vAlign w:val="center"/>
          </w:tcPr>
          <w:p w14:paraId="2F013E76">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保证服务要求</w:t>
            </w:r>
          </w:p>
        </w:tc>
      </w:tr>
      <w:tr w14:paraId="7823FFE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058003E9">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1FB532E3">
            <w:pPr>
              <w:widowControl/>
              <w:spacing w:line="0" w:lineRule="atLeast"/>
              <w:jc w:val="center"/>
              <w:rPr>
                <w:rFonts w:hint="eastAsia" w:ascii="宋体" w:hAnsi="宋体" w:cs="宋体"/>
                <w:color w:val="auto"/>
                <w:kern w:val="0"/>
                <w:szCs w:val="21"/>
                <w:highlight w:val="none"/>
              </w:rPr>
            </w:pPr>
          </w:p>
        </w:tc>
        <w:tc>
          <w:tcPr>
            <w:tcW w:w="2463" w:type="pct"/>
            <w:noWrap w:val="0"/>
            <w:vAlign w:val="center"/>
          </w:tcPr>
          <w:p w14:paraId="27AB8AAF">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供应商需提供产品技术资料</w:t>
            </w:r>
          </w:p>
        </w:tc>
        <w:tc>
          <w:tcPr>
            <w:tcW w:w="445" w:type="pct"/>
            <w:vMerge w:val="continue"/>
            <w:noWrap w:val="0"/>
            <w:vAlign w:val="center"/>
          </w:tcPr>
          <w:p w14:paraId="0DC98ACD">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703E9DE1">
            <w:pPr>
              <w:widowControl/>
              <w:spacing w:line="0" w:lineRule="atLeast"/>
              <w:jc w:val="center"/>
              <w:rPr>
                <w:rFonts w:hint="eastAsia" w:ascii="宋体" w:hAnsi="宋体" w:cs="宋体"/>
                <w:color w:val="auto"/>
                <w:kern w:val="0"/>
                <w:szCs w:val="21"/>
                <w:highlight w:val="none"/>
              </w:rPr>
            </w:pPr>
          </w:p>
        </w:tc>
      </w:tr>
      <w:tr w14:paraId="703208E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42DA1CD6">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6142DA26">
            <w:pPr>
              <w:widowControl/>
              <w:spacing w:line="0" w:lineRule="atLeast"/>
              <w:jc w:val="center"/>
              <w:rPr>
                <w:rFonts w:hint="eastAsia" w:ascii="宋体" w:hAnsi="宋体" w:cs="宋体"/>
                <w:color w:val="auto"/>
                <w:kern w:val="0"/>
                <w:szCs w:val="21"/>
                <w:highlight w:val="none"/>
              </w:rPr>
            </w:pPr>
          </w:p>
        </w:tc>
        <w:tc>
          <w:tcPr>
            <w:tcW w:w="2463" w:type="pct"/>
            <w:noWrap w:val="0"/>
            <w:vAlign w:val="center"/>
          </w:tcPr>
          <w:p w14:paraId="33127ABC">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供应商能够提供后期完整的服务内容</w:t>
            </w:r>
          </w:p>
        </w:tc>
        <w:tc>
          <w:tcPr>
            <w:tcW w:w="445" w:type="pct"/>
            <w:vMerge w:val="continue"/>
            <w:noWrap w:val="0"/>
            <w:vAlign w:val="center"/>
          </w:tcPr>
          <w:p w14:paraId="53C472C0">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2A35D0EE">
            <w:pPr>
              <w:widowControl/>
              <w:spacing w:line="0" w:lineRule="atLeast"/>
              <w:jc w:val="center"/>
              <w:rPr>
                <w:rFonts w:hint="eastAsia" w:ascii="宋体" w:hAnsi="宋体" w:cs="宋体"/>
                <w:color w:val="auto"/>
                <w:kern w:val="0"/>
                <w:szCs w:val="21"/>
                <w:highlight w:val="none"/>
              </w:rPr>
            </w:pPr>
          </w:p>
        </w:tc>
      </w:tr>
      <w:tr w14:paraId="7740B3D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3AC5D7A7">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3</w:t>
            </w:r>
          </w:p>
        </w:tc>
        <w:tc>
          <w:tcPr>
            <w:tcW w:w="663" w:type="pct"/>
            <w:noWrap w:val="0"/>
            <w:vAlign w:val="center"/>
          </w:tcPr>
          <w:p w14:paraId="628FE82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交货期</w:t>
            </w:r>
          </w:p>
        </w:tc>
        <w:tc>
          <w:tcPr>
            <w:tcW w:w="2463" w:type="pct"/>
            <w:noWrap w:val="0"/>
            <w:vAlign w:val="center"/>
          </w:tcPr>
          <w:p w14:paraId="7C45306F">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签订合同之日起30个工作日内</w:t>
            </w:r>
          </w:p>
        </w:tc>
        <w:tc>
          <w:tcPr>
            <w:tcW w:w="445" w:type="pct"/>
            <w:noWrap w:val="0"/>
            <w:vAlign w:val="center"/>
          </w:tcPr>
          <w:p w14:paraId="68A9E79E">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6319AE7F">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保证按期使用</w:t>
            </w:r>
          </w:p>
        </w:tc>
      </w:tr>
      <w:tr w14:paraId="5A6749D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3DDB784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4</w:t>
            </w:r>
          </w:p>
        </w:tc>
        <w:tc>
          <w:tcPr>
            <w:tcW w:w="663" w:type="pct"/>
            <w:noWrap w:val="0"/>
            <w:vAlign w:val="center"/>
          </w:tcPr>
          <w:p w14:paraId="52638D7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交货地点</w:t>
            </w:r>
          </w:p>
        </w:tc>
        <w:tc>
          <w:tcPr>
            <w:tcW w:w="2463" w:type="pct"/>
            <w:noWrap w:val="0"/>
            <w:vAlign w:val="center"/>
          </w:tcPr>
          <w:p w14:paraId="5108C8E7">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学校指定地点</w:t>
            </w:r>
          </w:p>
        </w:tc>
        <w:tc>
          <w:tcPr>
            <w:tcW w:w="445" w:type="pct"/>
            <w:noWrap w:val="0"/>
            <w:vAlign w:val="center"/>
          </w:tcPr>
          <w:p w14:paraId="7BD73254">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20BAF8DC">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保证按地点交付</w:t>
            </w:r>
          </w:p>
        </w:tc>
      </w:tr>
      <w:tr w14:paraId="12D0C78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4A25993C">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5</w:t>
            </w:r>
          </w:p>
        </w:tc>
        <w:tc>
          <w:tcPr>
            <w:tcW w:w="663" w:type="pct"/>
            <w:noWrap w:val="0"/>
            <w:vAlign w:val="center"/>
          </w:tcPr>
          <w:p w14:paraId="270BC13B">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付款方式</w:t>
            </w:r>
          </w:p>
        </w:tc>
        <w:tc>
          <w:tcPr>
            <w:tcW w:w="2463" w:type="pct"/>
            <w:noWrap w:val="0"/>
            <w:vAlign w:val="center"/>
          </w:tcPr>
          <w:p w14:paraId="0BFF5343">
            <w:pPr>
              <w:widowControl/>
              <w:spacing w:line="0" w:lineRule="atLeast"/>
              <w:jc w:val="both"/>
              <w:rPr>
                <w:rFonts w:hint="eastAsia" w:ascii="宋体" w:hAnsi="宋体" w:cs="宋体"/>
                <w:color w:val="auto"/>
                <w:kern w:val="0"/>
                <w:szCs w:val="21"/>
                <w:highlight w:val="none"/>
              </w:rPr>
            </w:pPr>
            <w:r>
              <w:rPr>
                <w:rFonts w:hint="eastAsia" w:ascii="宋体" w:hAnsi="宋体" w:eastAsia="宋体" w:cs="宋体"/>
                <w:color w:val="auto"/>
                <w:szCs w:val="21"/>
                <w:highlight w:val="none"/>
              </w:rPr>
              <w:t>付款方式：自合同生效后5个工作日内，支付合同金额 30%的货款，全部设备运抵指定地点，完成开箱验收合格后5个工作日内，支付合同金额30%的货款，完成安装调试并验收合格后 10日工作日内，支付合同金额30%的货款，自验收合格之日起，一年后无任何未解决的质量问题，10个工作日内支付合同金额 10%的货款。</w:t>
            </w:r>
          </w:p>
        </w:tc>
        <w:tc>
          <w:tcPr>
            <w:tcW w:w="445" w:type="pct"/>
            <w:noWrap w:val="0"/>
            <w:vAlign w:val="center"/>
          </w:tcPr>
          <w:p w14:paraId="46AC2C14">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否</w:t>
            </w:r>
          </w:p>
        </w:tc>
        <w:tc>
          <w:tcPr>
            <w:tcW w:w="1079" w:type="pct"/>
            <w:noWrap w:val="0"/>
            <w:vAlign w:val="center"/>
          </w:tcPr>
          <w:p w14:paraId="7A568ED3">
            <w:pPr>
              <w:widowControl/>
              <w:spacing w:line="0" w:lineRule="atLeast"/>
              <w:jc w:val="center"/>
              <w:rPr>
                <w:rFonts w:hint="eastAsia" w:ascii="宋体" w:hAnsi="宋体" w:cs="宋体"/>
                <w:color w:val="auto"/>
                <w:kern w:val="0"/>
                <w:szCs w:val="21"/>
                <w:highlight w:val="none"/>
              </w:rPr>
            </w:pPr>
          </w:p>
        </w:tc>
      </w:tr>
      <w:tr w14:paraId="13BA38C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36D846D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6</w:t>
            </w:r>
          </w:p>
        </w:tc>
        <w:tc>
          <w:tcPr>
            <w:tcW w:w="663" w:type="pct"/>
            <w:noWrap w:val="0"/>
            <w:vAlign w:val="center"/>
          </w:tcPr>
          <w:p w14:paraId="4CD03B30">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采购方式</w:t>
            </w:r>
          </w:p>
        </w:tc>
        <w:tc>
          <w:tcPr>
            <w:tcW w:w="2463" w:type="pct"/>
            <w:noWrap w:val="0"/>
            <w:vAlign w:val="center"/>
          </w:tcPr>
          <w:p w14:paraId="29D5817F">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综合评分</w:t>
            </w:r>
          </w:p>
        </w:tc>
        <w:tc>
          <w:tcPr>
            <w:tcW w:w="445" w:type="pct"/>
            <w:noWrap w:val="0"/>
            <w:vAlign w:val="center"/>
          </w:tcPr>
          <w:p w14:paraId="08F9EF32">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196CEA87">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保证采购流程公开公正</w:t>
            </w:r>
          </w:p>
        </w:tc>
      </w:tr>
      <w:tr w14:paraId="03BA454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3527E255">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7</w:t>
            </w:r>
          </w:p>
        </w:tc>
        <w:tc>
          <w:tcPr>
            <w:tcW w:w="663" w:type="pct"/>
            <w:noWrap w:val="0"/>
            <w:vAlign w:val="center"/>
          </w:tcPr>
          <w:p w14:paraId="203A6CDF">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其它要求</w:t>
            </w:r>
          </w:p>
        </w:tc>
        <w:tc>
          <w:tcPr>
            <w:tcW w:w="2463" w:type="pct"/>
            <w:noWrap w:val="0"/>
            <w:vAlign w:val="center"/>
          </w:tcPr>
          <w:p w14:paraId="3D97338C">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提供的产品应通过相应的知识产权认证、节能产品认证、环境标识认证等。</w:t>
            </w:r>
          </w:p>
        </w:tc>
        <w:tc>
          <w:tcPr>
            <w:tcW w:w="445" w:type="pct"/>
            <w:noWrap w:val="0"/>
            <w:vAlign w:val="center"/>
          </w:tcPr>
          <w:p w14:paraId="547E3C40">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0CF94584">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确保安全合法使用产品</w:t>
            </w:r>
          </w:p>
        </w:tc>
      </w:tr>
    </w:tbl>
    <w:p w14:paraId="054DC2B6">
      <w:pPr>
        <w:spacing w:line="360" w:lineRule="auto"/>
        <w:ind w:firstLine="480" w:firstLineChars="200"/>
        <w:rPr>
          <w:rFonts w:hint="eastAsia" w:ascii="宋体" w:hAnsi="宋体"/>
          <w:b/>
          <w:bCs/>
          <w:color w:val="auto"/>
          <w:sz w:val="24"/>
          <w:highlight w:val="none"/>
        </w:rPr>
      </w:pPr>
    </w:p>
    <w:p w14:paraId="1A05B7B3">
      <w:pPr>
        <w:spacing w:line="360" w:lineRule="auto"/>
        <w:ind w:firstLine="480" w:firstLineChars="200"/>
        <w:rPr>
          <w:rFonts w:ascii="宋体" w:hAnsi="宋体"/>
          <w:b/>
          <w:bCs/>
          <w:color w:val="auto"/>
          <w:sz w:val="24"/>
          <w:highlight w:val="none"/>
        </w:rPr>
      </w:pPr>
      <w:r>
        <w:rPr>
          <w:rFonts w:hint="eastAsia" w:ascii="宋体" w:hAnsi="宋体"/>
          <w:b/>
          <w:bCs/>
          <w:color w:val="auto"/>
          <w:sz w:val="24"/>
          <w:highlight w:val="none"/>
        </w:rPr>
        <w:t>（1）</w:t>
      </w:r>
      <w:r>
        <w:rPr>
          <w:rFonts w:ascii="宋体" w:hAnsi="宋体"/>
          <w:b/>
          <w:bCs/>
          <w:color w:val="auto"/>
          <w:sz w:val="24"/>
          <w:highlight w:val="none"/>
        </w:rPr>
        <w:t>服务要求</w:t>
      </w:r>
    </w:p>
    <w:p w14:paraId="1DDAB95B">
      <w:pPr>
        <w:spacing w:line="360" w:lineRule="auto"/>
        <w:ind w:firstLine="480" w:firstLineChars="200"/>
        <w:rPr>
          <w:rFonts w:hint="eastAsia" w:ascii="宋体" w:hAnsi="宋体" w:cs="Arial Unicode MS"/>
          <w:color w:val="auto"/>
          <w:sz w:val="24"/>
          <w:highlight w:val="none"/>
        </w:rPr>
      </w:pPr>
      <w:r>
        <w:rPr>
          <w:rFonts w:hint="eastAsia" w:ascii="宋体" w:hAnsi="宋体" w:cs="Arial Unicode MS"/>
          <w:color w:val="auto"/>
          <w:sz w:val="24"/>
          <w:highlight w:val="none"/>
        </w:rPr>
        <w:t>①投标供应商所供货物、服务与中标所示货物一致，不存在负偏差。如出现不一致视为投标供应商违约，投标供应商承担违约责任。</w:t>
      </w:r>
    </w:p>
    <w:p w14:paraId="7283DAE9">
      <w:pPr>
        <w:spacing w:line="360" w:lineRule="auto"/>
        <w:ind w:firstLine="480" w:firstLineChars="200"/>
        <w:rPr>
          <w:rFonts w:hint="eastAsia" w:ascii="宋体" w:hAnsi="宋体" w:cs="Arial Unicode MS"/>
          <w:color w:val="auto"/>
          <w:sz w:val="24"/>
          <w:highlight w:val="none"/>
        </w:rPr>
      </w:pPr>
      <w:r>
        <w:rPr>
          <w:rFonts w:hint="eastAsia" w:ascii="宋体" w:hAnsi="宋体" w:cs="Arial Unicode MS"/>
          <w:color w:val="auto"/>
          <w:sz w:val="24"/>
          <w:highlight w:val="none"/>
        </w:rPr>
        <w:t>②投标供应商提供质保周期：硬件质保周期三年，软件终身免费升级，升级后满足招标需求和现有系统环境，自项目验收合格后算起。在质量保证期内，货物自身质量出现问题，投标供应商应根据采购人要求免费维修或换新。</w:t>
      </w:r>
    </w:p>
    <w:p w14:paraId="0230C4C8">
      <w:pPr>
        <w:spacing w:line="360" w:lineRule="auto"/>
        <w:ind w:firstLine="480" w:firstLineChars="200"/>
        <w:rPr>
          <w:rFonts w:hint="eastAsia" w:ascii="宋体" w:hAnsi="宋体" w:cs="Arial Unicode MS"/>
          <w:color w:val="auto"/>
          <w:sz w:val="24"/>
          <w:highlight w:val="none"/>
        </w:rPr>
      </w:pPr>
      <w:r>
        <w:rPr>
          <w:rFonts w:hint="eastAsia" w:ascii="宋体" w:hAnsi="宋体" w:cs="Arial Unicode MS"/>
          <w:color w:val="auto"/>
          <w:sz w:val="24"/>
          <w:highlight w:val="none"/>
        </w:rPr>
        <w:t>③质保期内根据有关规范标准开展维护保养，并提供7*24小时上门服务，根据学校的教学计划</w:t>
      </w:r>
      <w:r>
        <w:rPr>
          <w:rFonts w:hint="eastAsia" w:ascii="宋体" w:hAnsi="宋体" w:cs="Arial Unicode MS"/>
          <w:color w:val="auto"/>
          <w:sz w:val="24"/>
          <w:highlight w:val="none"/>
          <w:lang w:val="en-US" w:eastAsia="zh-CN"/>
        </w:rPr>
        <w:t>和教学内容</w:t>
      </w:r>
      <w:r>
        <w:rPr>
          <w:rFonts w:hint="eastAsia" w:ascii="宋体" w:hAnsi="宋体" w:cs="Arial Unicode MS"/>
          <w:color w:val="auto"/>
          <w:sz w:val="24"/>
          <w:highlight w:val="none"/>
        </w:rPr>
        <w:t>派驻2名持有ICT（信息与通信技术）行业资质认证证书的课程讲师实地进行课程服务。</w:t>
      </w:r>
    </w:p>
    <w:p w14:paraId="59A529FD">
      <w:pPr>
        <w:spacing w:line="360" w:lineRule="auto"/>
        <w:ind w:firstLine="480" w:firstLineChars="200"/>
        <w:rPr>
          <w:rFonts w:hint="eastAsia" w:ascii="宋体" w:hAnsi="宋体" w:cs="Arial Unicode MS"/>
          <w:color w:val="auto"/>
          <w:sz w:val="24"/>
          <w:highlight w:val="none"/>
        </w:rPr>
      </w:pPr>
      <w:r>
        <w:rPr>
          <w:rFonts w:hint="eastAsia" w:ascii="宋体" w:hAnsi="宋体" w:cs="Arial Unicode MS"/>
          <w:color w:val="auto"/>
          <w:sz w:val="24"/>
          <w:highlight w:val="none"/>
        </w:rPr>
        <w:t>④设备、服务运转出现故障等情形，提供3小时到达现场应急服务，随时排除解决故障等问题。</w:t>
      </w:r>
    </w:p>
    <w:p w14:paraId="07504753">
      <w:pPr>
        <w:spacing w:line="360" w:lineRule="auto"/>
        <w:ind w:firstLine="480" w:firstLineChars="200"/>
        <w:rPr>
          <w:rFonts w:ascii="宋体" w:hAnsi="宋体"/>
          <w:b/>
          <w:bCs/>
          <w:color w:val="auto"/>
          <w:sz w:val="24"/>
          <w:highlight w:val="none"/>
        </w:rPr>
      </w:pPr>
      <w:r>
        <w:rPr>
          <w:rFonts w:hint="eastAsia" w:ascii="宋体" w:hAnsi="宋体"/>
          <w:b/>
          <w:bCs/>
          <w:color w:val="auto"/>
          <w:sz w:val="24"/>
          <w:highlight w:val="none"/>
        </w:rPr>
        <w:t>（2）</w:t>
      </w:r>
      <w:r>
        <w:rPr>
          <w:rFonts w:ascii="宋体" w:hAnsi="宋体"/>
          <w:b/>
          <w:bCs/>
          <w:color w:val="auto"/>
          <w:sz w:val="24"/>
          <w:highlight w:val="none"/>
        </w:rPr>
        <w:t xml:space="preserve"> 工期、施工地点要求</w:t>
      </w:r>
    </w:p>
    <w:p w14:paraId="2BBCD02A">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①交货期：签订合同之日起30个工作日内。</w:t>
      </w:r>
    </w:p>
    <w:p w14:paraId="07B20B81">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②交货地点：天津市大学软件学院</w:t>
      </w:r>
    </w:p>
    <w:p w14:paraId="2E10B25C">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③提供制造商完整的随机资料，包括完整的使用和维修手册等。</w:t>
      </w:r>
    </w:p>
    <w:p w14:paraId="70B03B42">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④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生产企业的责任。</w:t>
      </w:r>
    </w:p>
    <w:p w14:paraId="7640096F">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⑤该项目属于交钥匙工程，需要在开标前提前踏勘，踏勘时间在开标前进行。</w:t>
      </w:r>
    </w:p>
    <w:p w14:paraId="4A31E5B6">
      <w:pPr>
        <w:spacing w:line="360" w:lineRule="auto"/>
        <w:ind w:firstLine="480" w:firstLineChars="200"/>
        <w:rPr>
          <w:rFonts w:hint="eastAsia" w:ascii="宋体" w:hAnsi="宋体"/>
          <w:b/>
          <w:bCs/>
          <w:color w:val="auto"/>
          <w:sz w:val="24"/>
          <w:highlight w:val="none"/>
        </w:rPr>
      </w:pPr>
      <w:r>
        <w:rPr>
          <w:rFonts w:hint="eastAsia" w:ascii="宋体" w:hAnsi="宋体"/>
          <w:b/>
          <w:bCs/>
          <w:color w:val="auto"/>
          <w:sz w:val="24"/>
          <w:highlight w:val="none"/>
        </w:rPr>
        <w:t>（3）付款方式</w:t>
      </w:r>
    </w:p>
    <w:p w14:paraId="5BB7DBC5">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付款方式：自合同生效后5个工作日内，支付合同金额 30%的货款，全部设备运抵指定地点，完成开箱验收合格后5个工作日内，支付合同金额30%的货款，完成安装调试并验收合格后 10日工作日内，支付合同金额30%的货款，自验收合格之日起，一年后无任何未解决的质量问题，10个工作日内支付合同金额 10%的货款。</w:t>
      </w:r>
    </w:p>
    <w:p w14:paraId="12243D8B">
      <w:pPr>
        <w:spacing w:line="360" w:lineRule="auto"/>
        <w:rPr>
          <w:rFonts w:hint="eastAsia" w:ascii="宋体" w:hAnsi="宋体"/>
          <w:b/>
          <w:bCs/>
          <w:color w:val="auto"/>
          <w:sz w:val="24"/>
          <w:highlight w:val="none"/>
        </w:rPr>
      </w:pPr>
      <w:r>
        <w:rPr>
          <w:rFonts w:hint="eastAsia" w:ascii="宋体" w:hAnsi="宋体"/>
          <w:color w:val="auto"/>
          <w:sz w:val="24"/>
          <w:highlight w:val="none"/>
        </w:rPr>
        <w:br w:type="page"/>
      </w:r>
      <w:r>
        <w:rPr>
          <w:rFonts w:hint="eastAsia" w:ascii="宋体" w:hAnsi="宋体"/>
          <w:b/>
          <w:bCs/>
          <w:color w:val="auto"/>
          <w:sz w:val="24"/>
          <w:highlight w:val="none"/>
        </w:rPr>
        <w:t>（4）验收方案</w:t>
      </w:r>
    </w:p>
    <w:p w14:paraId="489791CE">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①验收组织形式：</w:t>
      </w:r>
    </w:p>
    <w:p w14:paraId="2EB2CD80">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自行组织</w:t>
      </w:r>
    </w:p>
    <w:p w14:paraId="31F59DC3">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委托第三方</w:t>
      </w:r>
    </w:p>
    <w:p w14:paraId="1822649F">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②验收方式：</w:t>
      </w:r>
    </w:p>
    <w:p w14:paraId="2FE5D8BA">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一次性验收</w:t>
      </w:r>
    </w:p>
    <w:p w14:paraId="2072F3B1">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分节点验收</w:t>
      </w:r>
    </w:p>
    <w:p w14:paraId="0AED9622">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分期验收（共分     期）</w:t>
      </w:r>
    </w:p>
    <w:p w14:paraId="29DD9933">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③验收考核、评分内容</w:t>
      </w:r>
    </w:p>
    <w:p w14:paraId="1060DF67">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验收考核内容均</w:t>
      </w:r>
      <w:r>
        <w:rPr>
          <w:rFonts w:hint="eastAsia" w:ascii="宋体" w:hAnsi="宋体"/>
          <w:color w:val="auto"/>
          <w:sz w:val="24"/>
          <w:highlight w:val="none"/>
          <w:lang w:val="en-US" w:eastAsia="zh-CN"/>
        </w:rPr>
        <w:t>满足</w:t>
      </w:r>
      <w:r>
        <w:rPr>
          <w:rFonts w:hint="eastAsia" w:ascii="宋体" w:hAnsi="宋体"/>
          <w:color w:val="auto"/>
          <w:sz w:val="24"/>
          <w:highlight w:val="none"/>
        </w:rPr>
        <w:t>视为验收通过，否则应在限期内完成整改并重新组织验收，直至达到合格标准后再行付款，付款的时间则相应顺延。</w:t>
      </w:r>
    </w:p>
    <w:tbl>
      <w:tblPr>
        <w:tblStyle w:val="12"/>
        <w:tblW w:w="84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9"/>
        <w:gridCol w:w="1403"/>
        <w:gridCol w:w="6502"/>
      </w:tblGrid>
      <w:tr w14:paraId="3F6D7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19" w:type="dxa"/>
            <w:noWrap w:val="0"/>
            <w:vAlign w:val="center"/>
          </w:tcPr>
          <w:p w14:paraId="72A205A8">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序号</w:t>
            </w:r>
          </w:p>
        </w:tc>
        <w:tc>
          <w:tcPr>
            <w:tcW w:w="1403" w:type="dxa"/>
            <w:noWrap w:val="0"/>
            <w:vAlign w:val="center"/>
          </w:tcPr>
          <w:p w14:paraId="03FE8566">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考核内容</w:t>
            </w:r>
          </w:p>
        </w:tc>
        <w:tc>
          <w:tcPr>
            <w:tcW w:w="6502" w:type="dxa"/>
            <w:noWrap w:val="0"/>
            <w:vAlign w:val="center"/>
          </w:tcPr>
          <w:p w14:paraId="07BEE420">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标准及分值</w:t>
            </w:r>
          </w:p>
        </w:tc>
      </w:tr>
      <w:tr w14:paraId="6E962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7" w:hRule="atLeast"/>
        </w:trPr>
        <w:tc>
          <w:tcPr>
            <w:tcW w:w="519" w:type="dxa"/>
            <w:noWrap w:val="0"/>
            <w:vAlign w:val="center"/>
          </w:tcPr>
          <w:p w14:paraId="711005F4">
            <w:pPr>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1403" w:type="dxa"/>
            <w:noWrap w:val="0"/>
            <w:vAlign w:val="center"/>
          </w:tcPr>
          <w:p w14:paraId="376FE01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hint="default" w:ascii="宋体" w:hAnsi="宋体" w:eastAsia="宋体" w:cs="宋体"/>
                <w:color w:val="auto"/>
                <w:kern w:val="0"/>
                <w:szCs w:val="21"/>
                <w:highlight w:val="none"/>
                <w:lang w:val="en-US" w:eastAsia="zh-CN" w:bidi="ar"/>
              </w:rPr>
            </w:pPr>
            <w:r>
              <w:rPr>
                <w:rFonts w:hint="eastAsia" w:ascii="宋体" w:hAnsi="宋体" w:cs="宋体"/>
                <w:color w:val="auto"/>
                <w:kern w:val="0"/>
                <w:szCs w:val="21"/>
                <w:highlight w:val="none"/>
                <w:lang w:val="en-US" w:eastAsia="zh-CN" w:bidi="ar"/>
              </w:rPr>
              <w:t>台式计算机</w:t>
            </w:r>
          </w:p>
        </w:tc>
        <w:tc>
          <w:tcPr>
            <w:tcW w:w="6502" w:type="dxa"/>
            <w:noWrap w:val="0"/>
            <w:vAlign w:val="center"/>
          </w:tcPr>
          <w:p w14:paraId="1795D4F7">
            <w:pPr>
              <w:jc w:val="left"/>
              <w:rPr>
                <w:rFonts w:hint="eastAsia" w:ascii="宋体" w:hAnsi="宋体" w:cs="宋体"/>
                <w:color w:val="auto"/>
                <w:highlight w:val="none"/>
              </w:rPr>
            </w:pPr>
            <w:r>
              <w:rPr>
                <w:rFonts w:hint="eastAsia" w:ascii="宋体" w:hAnsi="宋体" w:cs="宋体"/>
                <w:color w:val="auto"/>
                <w:highlight w:val="none"/>
              </w:rPr>
              <w:t>1.外包装检查：外包装完好无损，无破损、挤压、潮湿等情况。</w:t>
            </w:r>
          </w:p>
          <w:p w14:paraId="5F241F1B">
            <w:pPr>
              <w:jc w:val="left"/>
              <w:rPr>
                <w:rFonts w:hint="eastAsia" w:ascii="宋体" w:hAnsi="宋体" w:cs="宋体"/>
                <w:color w:val="auto"/>
                <w:highlight w:val="none"/>
              </w:rPr>
            </w:pPr>
            <w:r>
              <w:rPr>
                <w:rFonts w:hint="eastAsia" w:ascii="宋体" w:hAnsi="宋体" w:cs="宋体"/>
                <w:color w:val="auto"/>
                <w:highlight w:val="none"/>
              </w:rPr>
              <w:t>2.参数核对：品牌、规格、型号、配置、制造商名称与合同约定一致，数量符合合同要求。</w:t>
            </w:r>
          </w:p>
          <w:p w14:paraId="30D42E62">
            <w:pPr>
              <w:jc w:val="left"/>
              <w:rPr>
                <w:rFonts w:hint="eastAsia" w:ascii="宋体" w:hAnsi="宋体" w:cs="宋体"/>
                <w:color w:val="auto"/>
                <w:highlight w:val="none"/>
              </w:rPr>
            </w:pPr>
            <w:r>
              <w:rPr>
                <w:rFonts w:hint="eastAsia" w:ascii="宋体" w:hAnsi="宋体" w:cs="宋体"/>
                <w:color w:val="auto"/>
                <w:highlight w:val="none"/>
              </w:rPr>
              <w:t>3.资质文件检查：具备检验证、合格证、保修证、说明书及原始装箱配置清单，且均加盖制造商供货专用章。</w:t>
            </w:r>
          </w:p>
          <w:p w14:paraId="3A6B6178">
            <w:pPr>
              <w:jc w:val="left"/>
              <w:rPr>
                <w:rFonts w:hint="eastAsia" w:ascii="宋体" w:hAnsi="宋体" w:cs="宋体"/>
                <w:color w:val="auto"/>
                <w:highlight w:val="none"/>
              </w:rPr>
            </w:pPr>
            <w:r>
              <w:rPr>
                <w:rFonts w:hint="eastAsia" w:ascii="宋体" w:hAnsi="宋体" w:cs="宋体"/>
                <w:color w:val="auto"/>
                <w:highlight w:val="none"/>
              </w:rPr>
              <w:t>4.安装调试检验：现场安装调试规范，设备启动正常，运行稳定，无卡顿、死机等故障；硬件驱动适配安全可靠环境，各项功能（如开关机、文件处理、网络连接等）正常。</w:t>
            </w:r>
          </w:p>
          <w:p w14:paraId="10FBD051">
            <w:pPr>
              <w:jc w:val="left"/>
              <w:rPr>
                <w:rFonts w:hint="eastAsia" w:ascii="Calibri" w:hAnsi="Calibri"/>
                <w:color w:val="auto"/>
                <w:highlight w:val="none"/>
              </w:rPr>
            </w:pPr>
            <w:r>
              <w:rPr>
                <w:rFonts w:hint="eastAsia" w:ascii="宋体" w:hAnsi="宋体" w:cs="宋体"/>
                <w:color w:val="auto"/>
                <w:highlight w:val="none"/>
              </w:rPr>
              <w:t>5.售后服务及安全标准核实：供应商售后服务（如保修期限、响应时间等）符合合同约定；设备符合相关安全标准要求。</w:t>
            </w:r>
          </w:p>
        </w:tc>
      </w:tr>
      <w:tr w14:paraId="3C19E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4" w:hRule="atLeast"/>
        </w:trPr>
        <w:tc>
          <w:tcPr>
            <w:tcW w:w="519" w:type="dxa"/>
            <w:noWrap w:val="0"/>
            <w:vAlign w:val="center"/>
          </w:tcPr>
          <w:p w14:paraId="41AD70F2">
            <w:pPr>
              <w:jc w:val="center"/>
              <w:rPr>
                <w:rFonts w:hint="eastAsia" w:ascii="宋体" w:hAnsi="宋体" w:cs="宋体"/>
                <w:color w:val="auto"/>
                <w:szCs w:val="21"/>
                <w:highlight w:val="none"/>
              </w:rPr>
            </w:pPr>
            <w:r>
              <w:rPr>
                <w:rFonts w:hint="eastAsia" w:ascii="宋体" w:hAnsi="宋体" w:cs="宋体"/>
                <w:color w:val="auto"/>
                <w:szCs w:val="21"/>
                <w:highlight w:val="none"/>
              </w:rPr>
              <w:t>2</w:t>
            </w:r>
          </w:p>
        </w:tc>
        <w:tc>
          <w:tcPr>
            <w:tcW w:w="1403" w:type="dxa"/>
            <w:noWrap w:val="0"/>
            <w:vAlign w:val="center"/>
          </w:tcPr>
          <w:p w14:paraId="004C5901">
            <w:pPr>
              <w:jc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教学一体机服务器节点</w:t>
            </w:r>
          </w:p>
        </w:tc>
        <w:tc>
          <w:tcPr>
            <w:tcW w:w="6502" w:type="dxa"/>
            <w:noWrap w:val="0"/>
            <w:vAlign w:val="center"/>
          </w:tcPr>
          <w:p w14:paraId="073C0137">
            <w:pPr>
              <w:jc w:val="left"/>
              <w:rPr>
                <w:rFonts w:hint="eastAsia" w:ascii="宋体" w:hAnsi="宋体" w:cs="宋体"/>
                <w:color w:val="auto"/>
                <w:highlight w:val="none"/>
              </w:rPr>
            </w:pPr>
            <w:r>
              <w:rPr>
                <w:rFonts w:hint="eastAsia" w:ascii="宋体" w:hAnsi="宋体" w:cs="宋体"/>
                <w:color w:val="auto"/>
                <w:highlight w:val="none"/>
              </w:rPr>
              <w:t>1.外包装检查：外包装完好无损，无破损、挤压、潮湿等情况。</w:t>
            </w:r>
          </w:p>
          <w:p w14:paraId="37F35AEE">
            <w:pPr>
              <w:jc w:val="left"/>
              <w:rPr>
                <w:rFonts w:hint="eastAsia" w:ascii="宋体" w:hAnsi="宋体" w:cs="宋体"/>
                <w:color w:val="auto"/>
                <w:highlight w:val="none"/>
              </w:rPr>
            </w:pPr>
            <w:r>
              <w:rPr>
                <w:rFonts w:hint="eastAsia" w:ascii="宋体" w:hAnsi="宋体" w:cs="宋体"/>
                <w:color w:val="auto"/>
                <w:highlight w:val="none"/>
              </w:rPr>
              <w:t>2.参数核对：品牌、规格、型号、配置、制造商名称与合同约定一致，数量符合合同要求。</w:t>
            </w:r>
          </w:p>
          <w:p w14:paraId="523A9D2B">
            <w:pPr>
              <w:jc w:val="left"/>
              <w:rPr>
                <w:rFonts w:hint="eastAsia" w:ascii="宋体" w:hAnsi="宋体" w:cs="宋体"/>
                <w:color w:val="auto"/>
                <w:highlight w:val="none"/>
              </w:rPr>
            </w:pPr>
            <w:r>
              <w:rPr>
                <w:rFonts w:hint="eastAsia" w:ascii="宋体" w:hAnsi="宋体" w:cs="宋体"/>
                <w:color w:val="auto"/>
                <w:highlight w:val="none"/>
              </w:rPr>
              <w:t>3.资质文件检查：具备检验证、合格证、保修证、说明书及原始装箱配置清单，且均加盖制造商供货专用章。</w:t>
            </w:r>
          </w:p>
          <w:p w14:paraId="119B1EFF">
            <w:pPr>
              <w:jc w:val="left"/>
              <w:rPr>
                <w:rFonts w:hint="eastAsia" w:ascii="宋体" w:hAnsi="宋体" w:cs="宋体"/>
                <w:color w:val="auto"/>
                <w:highlight w:val="none"/>
              </w:rPr>
            </w:pPr>
            <w:r>
              <w:rPr>
                <w:rFonts w:hint="eastAsia" w:ascii="宋体" w:hAnsi="宋体" w:cs="宋体"/>
                <w:color w:val="auto"/>
                <w:highlight w:val="none"/>
              </w:rPr>
              <w:t>4.安装调试检验：出厂及到货检验合格，现场安装调试规范，设备启动正常，运行稳定，无故障，能够承载预设负载，数据处理、存储等功能正常，适配安全可靠环境。</w:t>
            </w:r>
          </w:p>
          <w:p w14:paraId="0F0DB5E3">
            <w:pPr>
              <w:jc w:val="left"/>
              <w:rPr>
                <w:rFonts w:hint="eastAsia" w:ascii="Calibri" w:hAnsi="Calibri" w:eastAsia="宋体"/>
                <w:color w:val="auto"/>
                <w:highlight w:val="none"/>
                <w:lang w:eastAsia="zh-CN"/>
              </w:rPr>
            </w:pPr>
            <w:r>
              <w:rPr>
                <w:rFonts w:hint="eastAsia" w:ascii="宋体" w:hAnsi="宋体" w:cs="宋体"/>
                <w:color w:val="auto"/>
                <w:highlight w:val="none"/>
              </w:rPr>
              <w:t>5.售后服务及安全标准核实：供应商售后服务（如保修期限、技术支持等）符合合同约定，设备符合相关安全标准要求。</w:t>
            </w:r>
          </w:p>
        </w:tc>
      </w:tr>
      <w:tr w14:paraId="53257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6" w:hRule="atLeast"/>
        </w:trPr>
        <w:tc>
          <w:tcPr>
            <w:tcW w:w="519" w:type="dxa"/>
            <w:noWrap w:val="0"/>
            <w:vAlign w:val="center"/>
          </w:tcPr>
          <w:p w14:paraId="25BC66B0">
            <w:pPr>
              <w:jc w:val="center"/>
              <w:rPr>
                <w:rFonts w:hint="eastAsia" w:ascii="宋体" w:hAnsi="宋体" w:cs="宋体"/>
                <w:color w:val="auto"/>
                <w:szCs w:val="21"/>
                <w:highlight w:val="none"/>
              </w:rPr>
            </w:pPr>
            <w:r>
              <w:rPr>
                <w:rFonts w:hint="eastAsia" w:ascii="宋体" w:hAnsi="宋体" w:cs="宋体"/>
                <w:color w:val="auto"/>
                <w:szCs w:val="21"/>
                <w:highlight w:val="none"/>
              </w:rPr>
              <w:t>3</w:t>
            </w:r>
          </w:p>
        </w:tc>
        <w:tc>
          <w:tcPr>
            <w:tcW w:w="1403" w:type="dxa"/>
            <w:noWrap w:val="0"/>
            <w:vAlign w:val="center"/>
          </w:tcPr>
          <w:p w14:paraId="319C82DE">
            <w:pPr>
              <w:jc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教学一体机交换节点</w:t>
            </w:r>
          </w:p>
        </w:tc>
        <w:tc>
          <w:tcPr>
            <w:tcW w:w="6502" w:type="dxa"/>
            <w:noWrap w:val="0"/>
            <w:vAlign w:val="center"/>
          </w:tcPr>
          <w:p w14:paraId="30AFBE2D">
            <w:pPr>
              <w:jc w:val="left"/>
              <w:rPr>
                <w:rFonts w:hint="eastAsia" w:ascii="宋体" w:hAnsi="宋体" w:cs="宋体"/>
                <w:color w:val="auto"/>
                <w:highlight w:val="none"/>
              </w:rPr>
            </w:pPr>
            <w:r>
              <w:rPr>
                <w:rFonts w:hint="eastAsia" w:ascii="宋体" w:hAnsi="宋体" w:cs="宋体"/>
                <w:color w:val="auto"/>
                <w:highlight w:val="none"/>
              </w:rPr>
              <w:t>1.外包装检查：外包装完好无损，无破损、挤压、潮湿等情况。</w:t>
            </w:r>
          </w:p>
          <w:p w14:paraId="7111AAA4">
            <w:pPr>
              <w:jc w:val="left"/>
              <w:rPr>
                <w:rFonts w:hint="eastAsia" w:ascii="宋体" w:hAnsi="宋体" w:cs="宋体"/>
                <w:color w:val="auto"/>
                <w:highlight w:val="none"/>
              </w:rPr>
            </w:pPr>
            <w:r>
              <w:rPr>
                <w:rFonts w:hint="eastAsia" w:ascii="宋体" w:hAnsi="宋体" w:cs="宋体"/>
                <w:color w:val="auto"/>
                <w:highlight w:val="none"/>
              </w:rPr>
              <w:t>2.参数核对：品牌、规格、型号、端口数量、传输速率等参数与合同约定一致，制造商名称、数量符合合同要求。</w:t>
            </w:r>
          </w:p>
          <w:p w14:paraId="7DBA86F1">
            <w:pPr>
              <w:jc w:val="left"/>
              <w:rPr>
                <w:rFonts w:hint="eastAsia" w:ascii="宋体" w:hAnsi="宋体" w:cs="宋体"/>
                <w:color w:val="auto"/>
                <w:highlight w:val="none"/>
              </w:rPr>
            </w:pPr>
            <w:r>
              <w:rPr>
                <w:rFonts w:hint="eastAsia" w:ascii="宋体" w:hAnsi="宋体" w:cs="宋体"/>
                <w:color w:val="auto"/>
                <w:highlight w:val="none"/>
              </w:rPr>
              <w:t>3.资质文件检查：具备检验证、合格证、保修证、说明书及原始装箱配置清单，且均加盖制造商供货专用章。</w:t>
            </w:r>
          </w:p>
          <w:p w14:paraId="3723B7A1">
            <w:pPr>
              <w:jc w:val="left"/>
              <w:rPr>
                <w:rFonts w:hint="eastAsia" w:ascii="宋体" w:hAnsi="宋体" w:cs="宋体"/>
                <w:color w:val="auto"/>
                <w:highlight w:val="none"/>
              </w:rPr>
            </w:pPr>
            <w:r>
              <w:rPr>
                <w:rFonts w:hint="eastAsia" w:ascii="宋体" w:hAnsi="宋体" w:cs="宋体"/>
                <w:color w:val="auto"/>
                <w:highlight w:val="none"/>
              </w:rPr>
              <w:t>4.安装调试检验：安装规范，线路连接正确，启动正常，运行稳定，端口连接通畅，数据传输稳定无丢包，适配实验室网络环境。</w:t>
            </w:r>
          </w:p>
          <w:p w14:paraId="1EB404B4">
            <w:pPr>
              <w:jc w:val="left"/>
              <w:rPr>
                <w:rFonts w:hint="eastAsia" w:ascii="Calibri" w:hAnsi="Calibri"/>
                <w:color w:val="auto"/>
                <w:highlight w:val="none"/>
              </w:rPr>
            </w:pPr>
            <w:r>
              <w:rPr>
                <w:rFonts w:hint="eastAsia" w:ascii="宋体" w:hAnsi="宋体" w:cs="宋体"/>
                <w:color w:val="auto"/>
                <w:highlight w:val="none"/>
              </w:rPr>
              <w:t>5.售后服务及安全标准核实：供应商售后服务（如保修期限、故障处理等）符合合同约定，设备符合相关安全标准要求。</w:t>
            </w:r>
          </w:p>
        </w:tc>
      </w:tr>
      <w:tr w14:paraId="76A48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9" w:hRule="atLeast"/>
        </w:trPr>
        <w:tc>
          <w:tcPr>
            <w:tcW w:w="519" w:type="dxa"/>
            <w:noWrap w:val="0"/>
            <w:vAlign w:val="center"/>
          </w:tcPr>
          <w:p w14:paraId="57E8B300">
            <w:pPr>
              <w:jc w:val="center"/>
              <w:rPr>
                <w:rFonts w:hint="eastAsia" w:ascii="宋体" w:hAnsi="宋体" w:cs="宋体"/>
                <w:color w:val="auto"/>
                <w:szCs w:val="21"/>
                <w:highlight w:val="none"/>
              </w:rPr>
            </w:pPr>
            <w:r>
              <w:rPr>
                <w:rFonts w:hint="eastAsia" w:ascii="宋体" w:hAnsi="宋体" w:cs="宋体"/>
                <w:color w:val="auto"/>
                <w:szCs w:val="21"/>
                <w:highlight w:val="none"/>
              </w:rPr>
              <w:t>4</w:t>
            </w:r>
          </w:p>
        </w:tc>
        <w:tc>
          <w:tcPr>
            <w:tcW w:w="1403" w:type="dxa"/>
            <w:noWrap w:val="0"/>
            <w:vAlign w:val="center"/>
          </w:tcPr>
          <w:p w14:paraId="443A51F2">
            <w:pPr>
              <w:jc w:val="center"/>
              <w:rPr>
                <w:rFonts w:hint="eastAsia" w:ascii="宋体" w:hAnsi="宋体"/>
                <w:b/>
                <w:bCs/>
                <w:color w:val="auto"/>
                <w:szCs w:val="21"/>
                <w:highlight w:val="none"/>
              </w:rPr>
            </w:pPr>
            <w:r>
              <w:rPr>
                <w:rFonts w:hint="eastAsia" w:ascii="宋体" w:hAnsi="宋体" w:cs="宋体"/>
                <w:color w:val="auto"/>
                <w:highlight w:val="none"/>
              </w:rPr>
              <w:t>合同履约情况及文件存档</w:t>
            </w:r>
          </w:p>
        </w:tc>
        <w:tc>
          <w:tcPr>
            <w:tcW w:w="6502" w:type="dxa"/>
            <w:noWrap w:val="0"/>
            <w:vAlign w:val="center"/>
          </w:tcPr>
          <w:p w14:paraId="515F1FF5">
            <w:pPr>
              <w:jc w:val="left"/>
              <w:rPr>
                <w:rFonts w:hint="eastAsia" w:ascii="宋体" w:hAnsi="宋体" w:eastAsia="宋体" w:cs="宋体"/>
                <w:color w:val="auto"/>
                <w:highlight w:val="none"/>
                <w:lang w:eastAsia="zh-CN"/>
              </w:rPr>
            </w:pPr>
            <w:r>
              <w:rPr>
                <w:rFonts w:hint="eastAsia" w:ascii="宋体" w:hAnsi="宋体" w:cs="宋体"/>
                <w:color w:val="auto"/>
                <w:szCs w:val="22"/>
                <w:highlight w:val="none"/>
              </w:rPr>
              <w:t>1.</w:t>
            </w:r>
            <w:r>
              <w:rPr>
                <w:rFonts w:hint="eastAsia" w:ascii="宋体" w:hAnsi="宋体" w:cs="宋体"/>
                <w:color w:val="auto"/>
                <w:highlight w:val="none"/>
              </w:rPr>
              <w:t>合同履约情况核对：</w:t>
            </w:r>
            <w:r>
              <w:rPr>
                <w:rFonts w:ascii="宋体" w:hAnsi="宋体" w:cs="宋体"/>
                <w:color w:val="auto"/>
                <w:highlight w:val="none"/>
              </w:rPr>
              <w:t>严格按照合同约定工期</w:t>
            </w:r>
            <w:r>
              <w:rPr>
                <w:rFonts w:hint="eastAsia" w:ascii="宋体" w:hAnsi="宋体" w:cs="宋体"/>
                <w:color w:val="auto"/>
                <w:highlight w:val="none"/>
              </w:rPr>
              <w:t>执行，</w:t>
            </w:r>
            <w:r>
              <w:rPr>
                <w:rFonts w:ascii="宋体" w:hAnsi="宋体" w:cs="宋体"/>
                <w:color w:val="auto"/>
                <w:highlight w:val="none"/>
              </w:rPr>
              <w:t>无逾期</w:t>
            </w:r>
            <w:r>
              <w:rPr>
                <w:rFonts w:hint="eastAsia" w:ascii="宋体" w:hAnsi="宋体" w:cs="宋体"/>
                <w:color w:val="auto"/>
                <w:highlight w:val="none"/>
              </w:rPr>
              <w:t>，</w:t>
            </w:r>
            <w:r>
              <w:rPr>
                <w:rFonts w:ascii="宋体" w:hAnsi="宋体" w:cs="宋体"/>
                <w:color w:val="auto"/>
                <w:highlight w:val="none"/>
              </w:rPr>
              <w:t>合同约定的产品交付、安装调试、培训服务等内容均已完成，履约记录完整</w:t>
            </w:r>
            <w:r>
              <w:rPr>
                <w:rFonts w:hint="eastAsia" w:ascii="宋体" w:hAnsi="宋体" w:cs="宋体"/>
                <w:color w:val="auto"/>
                <w:highlight w:val="none"/>
                <w:lang w:eastAsia="zh-CN"/>
              </w:rPr>
              <w:t>。</w:t>
            </w:r>
            <w:r>
              <w:rPr>
                <w:rFonts w:ascii="宋体" w:hAnsi="宋体" w:cs="宋体"/>
                <w:color w:val="auto"/>
                <w:highlight w:val="none"/>
              </w:rPr>
              <w:br w:type="textWrapping"/>
            </w:r>
            <w:r>
              <w:rPr>
                <w:rFonts w:hint="eastAsia" w:ascii="宋体" w:hAnsi="宋体" w:cs="宋体"/>
                <w:color w:val="auto"/>
                <w:highlight w:val="none"/>
              </w:rPr>
              <w:t>2.文件存档检验：</w:t>
            </w:r>
            <w:r>
              <w:rPr>
                <w:rFonts w:ascii="宋体" w:hAnsi="宋体" w:cs="宋体"/>
                <w:color w:val="auto"/>
                <w:highlight w:val="none"/>
              </w:rPr>
              <w:t>合同</w:t>
            </w:r>
            <w:r>
              <w:rPr>
                <w:rFonts w:hint="eastAsia" w:ascii="宋体" w:hAnsi="宋体" w:cs="宋体"/>
                <w:color w:val="auto"/>
                <w:highlight w:val="none"/>
              </w:rPr>
              <w:t>、操作手册</w:t>
            </w:r>
            <w:r>
              <w:rPr>
                <w:rFonts w:ascii="宋体" w:hAnsi="宋体" w:cs="宋体"/>
                <w:color w:val="auto"/>
                <w:highlight w:val="none"/>
              </w:rPr>
              <w:t>等相关文件存档规范，内容真实有效</w:t>
            </w:r>
            <w:r>
              <w:rPr>
                <w:rFonts w:hint="eastAsia" w:ascii="宋体" w:hAnsi="宋体" w:cs="宋体"/>
                <w:color w:val="auto"/>
                <w:highlight w:val="none"/>
                <w:lang w:eastAsia="zh-CN"/>
              </w:rPr>
              <w:t>。</w:t>
            </w:r>
          </w:p>
        </w:tc>
      </w:tr>
      <w:tr w14:paraId="2AA2C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8" w:hRule="atLeast"/>
        </w:trPr>
        <w:tc>
          <w:tcPr>
            <w:tcW w:w="1922" w:type="dxa"/>
            <w:gridSpan w:val="2"/>
            <w:noWrap w:val="0"/>
            <w:vAlign w:val="center"/>
          </w:tcPr>
          <w:p w14:paraId="406A4B6F">
            <w:pPr>
              <w:jc w:val="center"/>
              <w:rPr>
                <w:rFonts w:hint="eastAsia" w:ascii="宋体" w:hAnsi="宋体" w:cs="宋体"/>
                <w:color w:val="auto"/>
                <w:szCs w:val="21"/>
                <w:highlight w:val="none"/>
              </w:rPr>
            </w:pPr>
            <w:r>
              <w:rPr>
                <w:rFonts w:hint="eastAsia" w:ascii="宋体" w:hAnsi="宋体" w:cs="宋体"/>
                <w:color w:val="auto"/>
                <w:szCs w:val="21"/>
                <w:highlight w:val="none"/>
              </w:rPr>
              <w:t>验收工作</w:t>
            </w:r>
          </w:p>
          <w:p w14:paraId="54EB6A1C">
            <w:pPr>
              <w:jc w:val="center"/>
              <w:rPr>
                <w:rFonts w:hint="eastAsia" w:ascii="宋体" w:hAnsi="宋体" w:cs="宋体"/>
                <w:color w:val="auto"/>
                <w:szCs w:val="21"/>
                <w:highlight w:val="none"/>
              </w:rPr>
            </w:pPr>
            <w:r>
              <w:rPr>
                <w:rFonts w:hint="eastAsia" w:ascii="宋体" w:hAnsi="宋体" w:cs="宋体"/>
                <w:color w:val="auto"/>
                <w:szCs w:val="21"/>
                <w:highlight w:val="none"/>
              </w:rPr>
              <w:t>相关附件明细</w:t>
            </w:r>
          </w:p>
          <w:p w14:paraId="37CFD93D">
            <w:pPr>
              <w:jc w:val="center"/>
              <w:rPr>
                <w:rFonts w:hint="eastAsia" w:ascii="宋体" w:hAnsi="宋体" w:cs="宋体"/>
                <w:color w:val="auto"/>
                <w:szCs w:val="21"/>
                <w:highlight w:val="none"/>
              </w:rPr>
            </w:pPr>
            <w:r>
              <w:rPr>
                <w:rFonts w:hint="eastAsia" w:ascii="宋体" w:hAnsi="宋体" w:cs="宋体"/>
                <w:color w:val="auto"/>
                <w:szCs w:val="21"/>
                <w:highlight w:val="none"/>
              </w:rPr>
              <w:t>（如有）</w:t>
            </w:r>
          </w:p>
        </w:tc>
        <w:tc>
          <w:tcPr>
            <w:tcW w:w="6502" w:type="dxa"/>
            <w:noWrap w:val="0"/>
            <w:vAlign w:val="center"/>
          </w:tcPr>
          <w:p w14:paraId="7E6B3171">
            <w:pPr>
              <w:jc w:val="center"/>
              <w:rPr>
                <w:rFonts w:hint="eastAsia" w:ascii="宋体" w:hAnsi="宋体" w:cs="宋体"/>
                <w:color w:val="auto"/>
                <w:szCs w:val="21"/>
                <w:highlight w:val="none"/>
              </w:rPr>
            </w:pPr>
          </w:p>
        </w:tc>
      </w:tr>
      <w:tr w14:paraId="47952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7" w:hRule="atLeast"/>
        </w:trPr>
        <w:tc>
          <w:tcPr>
            <w:tcW w:w="1922" w:type="dxa"/>
            <w:gridSpan w:val="2"/>
            <w:noWrap w:val="0"/>
            <w:vAlign w:val="center"/>
          </w:tcPr>
          <w:p w14:paraId="6F49955C">
            <w:pPr>
              <w:jc w:val="center"/>
              <w:rPr>
                <w:rFonts w:hint="eastAsia" w:ascii="宋体" w:hAnsi="宋体" w:cs="宋体"/>
                <w:color w:val="auto"/>
                <w:szCs w:val="21"/>
                <w:highlight w:val="none"/>
              </w:rPr>
            </w:pPr>
            <w:r>
              <w:rPr>
                <w:rFonts w:hint="eastAsia" w:ascii="宋体" w:hAnsi="宋体" w:cs="宋体"/>
                <w:color w:val="auto"/>
                <w:szCs w:val="21"/>
                <w:highlight w:val="none"/>
              </w:rPr>
              <w:t>考核负责人签字</w:t>
            </w:r>
          </w:p>
        </w:tc>
        <w:tc>
          <w:tcPr>
            <w:tcW w:w="6502" w:type="dxa"/>
            <w:noWrap w:val="0"/>
            <w:vAlign w:val="center"/>
          </w:tcPr>
          <w:p w14:paraId="655474FE">
            <w:pPr>
              <w:jc w:val="center"/>
              <w:rPr>
                <w:rFonts w:hint="eastAsia" w:ascii="宋体" w:hAnsi="宋体" w:cs="宋体"/>
                <w:color w:val="auto"/>
                <w:szCs w:val="21"/>
                <w:highlight w:val="none"/>
              </w:rPr>
            </w:pPr>
          </w:p>
        </w:tc>
      </w:tr>
    </w:tbl>
    <w:p w14:paraId="438C1441">
      <w:pPr>
        <w:pStyle w:val="50"/>
        <w:widowControl/>
        <w:ind w:firstLine="480"/>
        <w:rPr>
          <w:rFonts w:hint="eastAsia" w:ascii="黑体" w:hAnsi="黑体" w:eastAsia="黑体" w:cs="宋体"/>
          <w:bCs/>
          <w:kern w:val="44"/>
          <w:sz w:val="32"/>
          <w:szCs w:val="32"/>
        </w:rPr>
      </w:pPr>
      <w:r>
        <w:rPr>
          <w:rFonts w:hint="eastAsia" w:ascii="仿宋" w:hAnsi="仿宋" w:eastAsia="仿宋"/>
          <w:color w:val="auto"/>
          <w:sz w:val="32"/>
          <w:szCs w:val="32"/>
          <w:highlight w:val="none"/>
        </w:rPr>
        <w:br w:type="page"/>
      </w:r>
    </w:p>
    <w:p w14:paraId="30F2110C">
      <w:pPr>
        <w:spacing w:line="360" w:lineRule="auto"/>
        <w:ind w:firstLine="640" w:firstLineChars="200"/>
        <w:rPr>
          <w:rFonts w:hint="eastAsia" w:ascii="黑体" w:hAnsi="黑体" w:eastAsia="黑体" w:cs="宋体"/>
          <w:bCs/>
          <w:kern w:val="44"/>
          <w:sz w:val="32"/>
          <w:szCs w:val="32"/>
        </w:rPr>
      </w:pPr>
      <w:r>
        <w:rPr>
          <w:rFonts w:hint="eastAsia" w:ascii="黑体" w:hAnsi="黑体" w:eastAsia="黑体" w:cs="宋体"/>
          <w:bCs/>
          <w:kern w:val="44"/>
          <w:sz w:val="32"/>
          <w:szCs w:val="32"/>
        </w:rPr>
        <w:t xml:space="preserve">五、商务要求  </w:t>
      </w:r>
    </w:p>
    <w:p w14:paraId="6DF230DB">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（一） 服务要求</w:t>
      </w:r>
    </w:p>
    <w:p w14:paraId="326FE203">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1.投标供应商所供货物、服务与中标所示货物一致，不存在负偏差。如出现不一致视为投标供应商违约，投标供应商承担违约责任。</w:t>
      </w:r>
    </w:p>
    <w:p w14:paraId="7F1669F4">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2.投标供应商提供质保周期：硬件质保周期三年，软件终身免费升级，自项目验收合格后算起。在质量保证期内，货物自身质量出现问题，投标供应商应根据采购人要求免费维修或换新。</w:t>
      </w:r>
    </w:p>
    <w:p w14:paraId="30DF8574">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3.质保期内根据有关规范标准开展维护保养，提供7*24小时上门服务以及2名持有行业资质认证的课程讲师驻场进行课程服务。</w:t>
      </w:r>
    </w:p>
    <w:p w14:paraId="1BE9FEB6">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4.设备、服务运转出现故障等情形，提供3小时到达现场应急服务，随时排除解决故障等问题。</w:t>
      </w:r>
    </w:p>
    <w:p w14:paraId="347E94DA">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（二） 工期、施工地点要求</w:t>
      </w:r>
    </w:p>
    <w:p w14:paraId="7AA4CAD6">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1.交货期：签订合同之日起30个工作日内。</w:t>
      </w:r>
    </w:p>
    <w:p w14:paraId="2552E357">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2.交货地点：天津市大学软件学院</w:t>
      </w:r>
    </w:p>
    <w:p w14:paraId="3E3AF383">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3.提供制造商完整的随机资料，包括完整的使用和维修手册等。</w:t>
      </w:r>
    </w:p>
    <w:p w14:paraId="47B19133">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4.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生产企业的责任。</w:t>
      </w:r>
    </w:p>
    <w:p w14:paraId="7382907E">
      <w:pPr>
        <w:spacing w:line="560" w:lineRule="exact"/>
        <w:ind w:firstLine="643" w:firstLineChars="200"/>
        <w:rPr>
          <w:rFonts w:ascii="仿宋_GB2312" w:hAnsi="Calibri" w:eastAsia="仿宋_GB2312" w:cs="宋体"/>
          <w:b/>
          <w:bCs/>
          <w:sz w:val="32"/>
          <w:szCs w:val="32"/>
        </w:rPr>
      </w:pPr>
      <w:r>
        <w:rPr>
          <w:rFonts w:hint="eastAsia" w:ascii="仿宋_GB2312" w:hAnsi="Calibri" w:eastAsia="仿宋_GB2312" w:cs="宋体"/>
          <w:b/>
          <w:bCs/>
          <w:sz w:val="32"/>
          <w:szCs w:val="32"/>
        </w:rPr>
        <w:t>5、该项目属于交钥匙工程，需要在开标前提前踏勘，踏勘时间在开标前进行。</w:t>
      </w:r>
    </w:p>
    <w:p w14:paraId="4824BAD8">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（三）付款方式：自签订合同之日起10日内，支付合同金额30%的货款，全部设备安装到位并验收合格后30日内，支付合同金额70%的货款。</w:t>
      </w:r>
    </w:p>
    <w:p w14:paraId="1AD6C99C">
      <w:pPr>
        <w:spacing w:line="560" w:lineRule="exact"/>
        <w:ind w:firstLine="640" w:firstLineChars="200"/>
        <w:rPr>
          <w:rFonts w:ascii="仿宋_GB2312" w:hAnsi="Calibri" w:eastAsia="仿宋_GB2312" w:cs="宋体"/>
          <w:sz w:val="32"/>
          <w:szCs w:val="32"/>
        </w:rPr>
      </w:pPr>
      <w:r>
        <w:rPr>
          <w:rFonts w:hint="eastAsia" w:ascii="仿宋_GB2312" w:hAnsi="Calibri" w:eastAsia="仿宋_GB2312" w:cs="宋体"/>
          <w:sz w:val="32"/>
          <w:szCs w:val="32"/>
        </w:rPr>
        <w:t>具体商务要求如下：</w:t>
      </w:r>
    </w:p>
    <w:tbl>
      <w:tblPr>
        <w:tblStyle w:val="12"/>
        <w:tblW w:w="5096"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518"/>
        <w:gridCol w:w="87"/>
        <w:gridCol w:w="1152"/>
        <w:gridCol w:w="165"/>
        <w:gridCol w:w="4116"/>
        <w:gridCol w:w="12"/>
        <w:gridCol w:w="747"/>
        <w:gridCol w:w="12"/>
        <w:gridCol w:w="1501"/>
        <w:gridCol w:w="376"/>
      </w:tblGrid>
      <w:tr w14:paraId="543D302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5" w:hRule="atLeast"/>
          <w:jc w:val="center"/>
        </w:trPr>
        <w:tc>
          <w:tcPr>
            <w:tcW w:w="348" w:type="pct"/>
            <w:gridSpan w:val="2"/>
            <w:vAlign w:val="center"/>
          </w:tcPr>
          <w:p w14:paraId="6A42DA34">
            <w:pPr>
              <w:widowControl/>
              <w:spacing w:line="0" w:lineRule="atLeast"/>
              <w:jc w:val="center"/>
              <w:rPr>
                <w:rFonts w:hint="eastAsia" w:ascii="宋体" w:hAnsi="宋体" w:eastAsia="宋体" w:cs="宋体"/>
                <w:b/>
                <w:bCs/>
                <w:kern w:val="0"/>
                <w:szCs w:val="21"/>
              </w:rPr>
            </w:pPr>
            <w:r>
              <w:rPr>
                <w:rFonts w:hint="eastAsia" w:ascii="宋体" w:hAnsi="宋体" w:eastAsia="宋体" w:cs="宋体"/>
                <w:b/>
                <w:bCs/>
                <w:kern w:val="0"/>
                <w:szCs w:val="21"/>
              </w:rPr>
              <w:t>序号</w:t>
            </w:r>
          </w:p>
        </w:tc>
        <w:tc>
          <w:tcPr>
            <w:tcW w:w="663" w:type="pct"/>
            <w:vAlign w:val="center"/>
          </w:tcPr>
          <w:p w14:paraId="41CD81BD">
            <w:pPr>
              <w:widowControl/>
              <w:spacing w:line="0" w:lineRule="atLeast"/>
              <w:jc w:val="center"/>
              <w:rPr>
                <w:rFonts w:hint="eastAsia" w:ascii="宋体" w:hAnsi="宋体" w:eastAsia="宋体" w:cs="宋体"/>
                <w:b/>
                <w:bCs/>
                <w:kern w:val="0"/>
                <w:szCs w:val="21"/>
              </w:rPr>
            </w:pPr>
            <w:r>
              <w:rPr>
                <w:rFonts w:hint="eastAsia" w:ascii="宋体" w:hAnsi="宋体" w:eastAsia="宋体" w:cs="宋体"/>
                <w:b/>
                <w:bCs/>
                <w:kern w:val="0"/>
                <w:szCs w:val="21"/>
              </w:rPr>
              <w:t>需求条款</w:t>
            </w:r>
          </w:p>
        </w:tc>
        <w:tc>
          <w:tcPr>
            <w:tcW w:w="2464" w:type="pct"/>
            <w:gridSpan w:val="2"/>
            <w:vAlign w:val="center"/>
          </w:tcPr>
          <w:p w14:paraId="4C965717">
            <w:pPr>
              <w:widowControl/>
              <w:spacing w:line="0" w:lineRule="atLeast"/>
              <w:jc w:val="center"/>
              <w:rPr>
                <w:rFonts w:hint="eastAsia" w:ascii="宋体" w:hAnsi="宋体" w:eastAsia="宋体" w:cs="宋体"/>
                <w:b/>
                <w:bCs/>
                <w:kern w:val="0"/>
                <w:szCs w:val="21"/>
              </w:rPr>
            </w:pPr>
            <w:r>
              <w:rPr>
                <w:rFonts w:hint="eastAsia" w:ascii="宋体" w:hAnsi="宋体" w:eastAsia="宋体" w:cs="宋体"/>
                <w:b/>
                <w:bCs/>
                <w:kern w:val="0"/>
                <w:szCs w:val="21"/>
              </w:rPr>
              <w:t>具体要求</w:t>
            </w:r>
          </w:p>
        </w:tc>
        <w:tc>
          <w:tcPr>
            <w:tcW w:w="444" w:type="pct"/>
            <w:gridSpan w:val="3"/>
            <w:vAlign w:val="center"/>
          </w:tcPr>
          <w:p w14:paraId="537A60CF">
            <w:pPr>
              <w:widowControl/>
              <w:spacing w:line="0" w:lineRule="atLeast"/>
              <w:jc w:val="center"/>
              <w:rPr>
                <w:rFonts w:hint="eastAsia" w:ascii="宋体" w:hAnsi="宋体" w:eastAsia="宋体" w:cs="宋体"/>
                <w:b/>
                <w:bCs/>
                <w:kern w:val="0"/>
                <w:szCs w:val="21"/>
              </w:rPr>
            </w:pPr>
            <w:r>
              <w:rPr>
                <w:rFonts w:hint="eastAsia" w:ascii="宋体" w:hAnsi="宋体" w:eastAsia="宋体" w:cs="宋体"/>
                <w:b/>
                <w:bCs/>
                <w:kern w:val="0"/>
                <w:szCs w:val="21"/>
              </w:rPr>
              <w:t>是否为实质性条款</w:t>
            </w:r>
          </w:p>
        </w:tc>
        <w:tc>
          <w:tcPr>
            <w:tcW w:w="1079" w:type="pct"/>
            <w:gridSpan w:val="2"/>
            <w:vAlign w:val="center"/>
          </w:tcPr>
          <w:p w14:paraId="2A4CE4BB">
            <w:pPr>
              <w:widowControl/>
              <w:spacing w:line="0" w:lineRule="atLeast"/>
              <w:jc w:val="center"/>
              <w:rPr>
                <w:rFonts w:hint="eastAsia" w:ascii="宋体" w:hAnsi="宋体" w:eastAsia="宋体" w:cs="宋体"/>
                <w:b/>
                <w:bCs/>
                <w:kern w:val="0"/>
                <w:szCs w:val="21"/>
              </w:rPr>
            </w:pPr>
            <w:r>
              <w:rPr>
                <w:rFonts w:hint="eastAsia" w:ascii="宋体" w:hAnsi="宋体" w:eastAsia="宋体" w:cs="宋体"/>
                <w:b/>
                <w:bCs/>
                <w:kern w:val="0"/>
                <w:szCs w:val="21"/>
              </w:rPr>
              <w:t>原因说明（实质性条款需列明原因）</w:t>
            </w:r>
          </w:p>
        </w:tc>
      </w:tr>
      <w:tr w14:paraId="27610FA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restart"/>
            <w:vAlign w:val="center"/>
          </w:tcPr>
          <w:p w14:paraId="352A1141">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1</w:t>
            </w:r>
          </w:p>
        </w:tc>
        <w:tc>
          <w:tcPr>
            <w:tcW w:w="663" w:type="pct"/>
            <w:vMerge w:val="restart"/>
            <w:vAlign w:val="center"/>
          </w:tcPr>
          <w:p w14:paraId="6F062E7C">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实质性资格要求</w:t>
            </w:r>
          </w:p>
        </w:tc>
        <w:tc>
          <w:tcPr>
            <w:tcW w:w="2464" w:type="pct"/>
            <w:gridSpan w:val="2"/>
            <w:tcBorders>
              <w:bottom w:val="single" w:color="auto" w:sz="8" w:space="0"/>
            </w:tcBorders>
            <w:vAlign w:val="center"/>
          </w:tcPr>
          <w:p w14:paraId="584A4FEB">
            <w:pPr>
              <w:widowControl/>
              <w:spacing w:line="0" w:lineRule="atLeast"/>
              <w:jc w:val="left"/>
              <w:rPr>
                <w:rFonts w:hint="eastAsia" w:ascii="宋体" w:hAnsi="宋体" w:eastAsia="宋体" w:cs="宋体"/>
                <w:kern w:val="0"/>
                <w:szCs w:val="21"/>
              </w:rPr>
            </w:pPr>
            <w:r>
              <w:rPr>
                <w:rFonts w:hint="eastAsia" w:ascii="宋体" w:hAnsi="宋体" w:eastAsia="宋体" w:cs="宋体"/>
                <w:szCs w:val="21"/>
              </w:rPr>
              <w:t>提供经年检合格的营业执照复印件并加盖公章</w:t>
            </w:r>
          </w:p>
        </w:tc>
        <w:tc>
          <w:tcPr>
            <w:tcW w:w="444" w:type="pct"/>
            <w:gridSpan w:val="3"/>
            <w:vMerge w:val="restart"/>
            <w:vAlign w:val="center"/>
          </w:tcPr>
          <w:p w14:paraId="0F31A4FD">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是</w:t>
            </w:r>
          </w:p>
        </w:tc>
        <w:tc>
          <w:tcPr>
            <w:tcW w:w="1079" w:type="pct"/>
            <w:gridSpan w:val="2"/>
            <w:vMerge w:val="restart"/>
            <w:vAlign w:val="center"/>
          </w:tcPr>
          <w:p w14:paraId="0BBBA881">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基本要求</w:t>
            </w:r>
          </w:p>
        </w:tc>
      </w:tr>
      <w:tr w14:paraId="4C857F6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continue"/>
            <w:vAlign w:val="center"/>
          </w:tcPr>
          <w:p w14:paraId="2BFACDD4">
            <w:pPr>
              <w:widowControl/>
              <w:spacing w:line="0" w:lineRule="atLeast"/>
              <w:jc w:val="center"/>
              <w:rPr>
                <w:rFonts w:hint="eastAsia" w:ascii="宋体" w:hAnsi="宋体" w:eastAsia="宋体" w:cs="宋体"/>
                <w:kern w:val="0"/>
                <w:szCs w:val="21"/>
              </w:rPr>
            </w:pPr>
          </w:p>
        </w:tc>
        <w:tc>
          <w:tcPr>
            <w:tcW w:w="663" w:type="pct"/>
            <w:vMerge w:val="continue"/>
            <w:vAlign w:val="center"/>
          </w:tcPr>
          <w:p w14:paraId="43B72A9C">
            <w:pPr>
              <w:widowControl/>
              <w:spacing w:line="0" w:lineRule="atLeast"/>
              <w:jc w:val="center"/>
              <w:rPr>
                <w:rFonts w:hint="eastAsia" w:ascii="宋体" w:hAnsi="宋体" w:eastAsia="宋体" w:cs="宋体"/>
                <w:kern w:val="0"/>
                <w:szCs w:val="21"/>
              </w:rPr>
            </w:pPr>
          </w:p>
        </w:tc>
        <w:tc>
          <w:tcPr>
            <w:tcW w:w="2464" w:type="pct"/>
            <w:gridSpan w:val="2"/>
            <w:tcBorders>
              <w:bottom w:val="single" w:color="auto" w:sz="8" w:space="0"/>
            </w:tcBorders>
            <w:vAlign w:val="center"/>
          </w:tcPr>
          <w:p w14:paraId="219AEACA">
            <w:pPr>
              <w:widowControl/>
              <w:spacing w:line="0" w:lineRule="atLeast"/>
              <w:jc w:val="left"/>
              <w:rPr>
                <w:rFonts w:hint="eastAsia" w:ascii="宋体" w:hAnsi="宋体" w:eastAsia="宋体" w:cs="宋体"/>
                <w:szCs w:val="21"/>
              </w:rPr>
            </w:pPr>
            <w:r>
              <w:rPr>
                <w:rFonts w:hint="eastAsia" w:ascii="宋体" w:hAnsi="宋体" w:eastAsia="宋体" w:cs="宋体"/>
                <w:kern w:val="0"/>
                <w:szCs w:val="21"/>
              </w:rPr>
              <w:t>供应商须提供经会计师事务所审计的2024年度财务审计报告或投标文件开启时间前6个月以内银行出具的资信证明；</w:t>
            </w:r>
          </w:p>
        </w:tc>
        <w:tc>
          <w:tcPr>
            <w:tcW w:w="444" w:type="pct"/>
            <w:gridSpan w:val="3"/>
            <w:vMerge w:val="continue"/>
            <w:vAlign w:val="center"/>
          </w:tcPr>
          <w:p w14:paraId="0F74EDBA">
            <w:pPr>
              <w:widowControl/>
              <w:spacing w:line="0" w:lineRule="atLeast"/>
              <w:jc w:val="center"/>
              <w:rPr>
                <w:rFonts w:hint="eastAsia" w:ascii="宋体" w:hAnsi="宋体" w:eastAsia="宋体" w:cs="宋体"/>
                <w:kern w:val="0"/>
                <w:szCs w:val="21"/>
              </w:rPr>
            </w:pPr>
          </w:p>
        </w:tc>
        <w:tc>
          <w:tcPr>
            <w:tcW w:w="1079" w:type="pct"/>
            <w:gridSpan w:val="2"/>
            <w:vMerge w:val="continue"/>
            <w:vAlign w:val="center"/>
          </w:tcPr>
          <w:p w14:paraId="4D72900D">
            <w:pPr>
              <w:widowControl/>
              <w:spacing w:line="0" w:lineRule="atLeast"/>
              <w:jc w:val="center"/>
              <w:rPr>
                <w:rFonts w:hint="eastAsia" w:ascii="宋体" w:hAnsi="宋体" w:eastAsia="宋体" w:cs="宋体"/>
                <w:kern w:val="0"/>
                <w:szCs w:val="21"/>
              </w:rPr>
            </w:pPr>
          </w:p>
        </w:tc>
      </w:tr>
      <w:tr w14:paraId="11744EF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continue"/>
            <w:vAlign w:val="center"/>
          </w:tcPr>
          <w:p w14:paraId="5266DB80">
            <w:pPr>
              <w:widowControl/>
              <w:spacing w:line="0" w:lineRule="atLeast"/>
              <w:jc w:val="center"/>
              <w:rPr>
                <w:rFonts w:hint="eastAsia" w:ascii="宋体" w:hAnsi="宋体" w:eastAsia="宋体" w:cs="宋体"/>
                <w:kern w:val="0"/>
                <w:szCs w:val="21"/>
              </w:rPr>
            </w:pPr>
          </w:p>
        </w:tc>
        <w:tc>
          <w:tcPr>
            <w:tcW w:w="663" w:type="pct"/>
            <w:vMerge w:val="continue"/>
            <w:vAlign w:val="center"/>
          </w:tcPr>
          <w:p w14:paraId="151BB5F2">
            <w:pPr>
              <w:widowControl/>
              <w:spacing w:line="0" w:lineRule="atLeast"/>
              <w:jc w:val="center"/>
              <w:rPr>
                <w:rFonts w:hint="eastAsia" w:ascii="宋体" w:hAnsi="宋体" w:eastAsia="宋体" w:cs="宋体"/>
                <w:kern w:val="0"/>
                <w:szCs w:val="21"/>
              </w:rPr>
            </w:pPr>
          </w:p>
        </w:tc>
        <w:tc>
          <w:tcPr>
            <w:tcW w:w="2464" w:type="pct"/>
            <w:gridSpan w:val="2"/>
            <w:tcBorders>
              <w:bottom w:val="single" w:color="auto" w:sz="8" w:space="0"/>
            </w:tcBorders>
            <w:vAlign w:val="center"/>
          </w:tcPr>
          <w:p w14:paraId="1C092D5A">
            <w:pPr>
              <w:widowControl/>
              <w:spacing w:line="0" w:lineRule="atLeast"/>
              <w:jc w:val="left"/>
              <w:rPr>
                <w:rFonts w:hint="eastAsia" w:ascii="宋体" w:hAnsi="宋体" w:eastAsia="宋体" w:cs="宋体"/>
                <w:szCs w:val="21"/>
              </w:rPr>
            </w:pPr>
            <w:r>
              <w:rPr>
                <w:rFonts w:hint="eastAsia" w:ascii="宋体" w:hAnsi="宋体" w:eastAsia="宋体" w:cs="宋体"/>
                <w:kern w:val="0"/>
                <w:szCs w:val="21"/>
              </w:rPr>
              <w:t>供应商须提供法定代表人授权书</w:t>
            </w:r>
          </w:p>
        </w:tc>
        <w:tc>
          <w:tcPr>
            <w:tcW w:w="444" w:type="pct"/>
            <w:gridSpan w:val="3"/>
            <w:vMerge w:val="continue"/>
            <w:vAlign w:val="center"/>
          </w:tcPr>
          <w:p w14:paraId="542B1F5E">
            <w:pPr>
              <w:widowControl/>
              <w:spacing w:line="0" w:lineRule="atLeast"/>
              <w:jc w:val="center"/>
              <w:rPr>
                <w:rFonts w:hint="eastAsia" w:ascii="宋体" w:hAnsi="宋体" w:eastAsia="宋体" w:cs="宋体"/>
                <w:kern w:val="0"/>
                <w:szCs w:val="21"/>
              </w:rPr>
            </w:pPr>
          </w:p>
        </w:tc>
        <w:tc>
          <w:tcPr>
            <w:tcW w:w="1079" w:type="pct"/>
            <w:gridSpan w:val="2"/>
            <w:vMerge w:val="continue"/>
            <w:vAlign w:val="center"/>
          </w:tcPr>
          <w:p w14:paraId="7B76E874">
            <w:pPr>
              <w:widowControl/>
              <w:spacing w:line="0" w:lineRule="atLeast"/>
              <w:jc w:val="center"/>
              <w:rPr>
                <w:rFonts w:hint="eastAsia" w:ascii="宋体" w:hAnsi="宋体" w:eastAsia="宋体" w:cs="宋体"/>
                <w:kern w:val="0"/>
                <w:szCs w:val="21"/>
              </w:rPr>
            </w:pPr>
          </w:p>
        </w:tc>
      </w:tr>
      <w:tr w14:paraId="50063AC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continue"/>
            <w:vAlign w:val="center"/>
          </w:tcPr>
          <w:p w14:paraId="7304C9F7">
            <w:pPr>
              <w:widowControl/>
              <w:spacing w:line="0" w:lineRule="atLeast"/>
              <w:jc w:val="center"/>
              <w:rPr>
                <w:rFonts w:hint="eastAsia" w:ascii="宋体" w:hAnsi="宋体" w:eastAsia="宋体" w:cs="宋体"/>
                <w:kern w:val="0"/>
                <w:szCs w:val="21"/>
              </w:rPr>
            </w:pPr>
          </w:p>
        </w:tc>
        <w:tc>
          <w:tcPr>
            <w:tcW w:w="663" w:type="pct"/>
            <w:vMerge w:val="continue"/>
            <w:vAlign w:val="center"/>
          </w:tcPr>
          <w:p w14:paraId="0C4D5ABB">
            <w:pPr>
              <w:widowControl/>
              <w:spacing w:line="0" w:lineRule="atLeast"/>
              <w:jc w:val="center"/>
              <w:rPr>
                <w:rFonts w:hint="eastAsia" w:ascii="宋体" w:hAnsi="宋体" w:eastAsia="宋体" w:cs="宋体"/>
                <w:kern w:val="0"/>
                <w:szCs w:val="21"/>
              </w:rPr>
            </w:pPr>
          </w:p>
        </w:tc>
        <w:tc>
          <w:tcPr>
            <w:tcW w:w="2464" w:type="pct"/>
            <w:gridSpan w:val="2"/>
            <w:tcBorders>
              <w:bottom w:val="single" w:color="auto" w:sz="8" w:space="0"/>
            </w:tcBorders>
            <w:vAlign w:val="center"/>
          </w:tcPr>
          <w:p w14:paraId="23D27849">
            <w:pPr>
              <w:widowControl/>
              <w:spacing w:line="0" w:lineRule="atLeast"/>
              <w:jc w:val="left"/>
              <w:rPr>
                <w:rFonts w:hint="eastAsia" w:ascii="宋体" w:hAnsi="宋体" w:eastAsia="宋体" w:cs="宋体"/>
                <w:szCs w:val="21"/>
              </w:rPr>
            </w:pPr>
            <w:r>
              <w:rPr>
                <w:rFonts w:hint="eastAsia" w:ascii="宋体" w:hAnsi="宋体" w:eastAsia="宋体" w:cs="宋体"/>
                <w:kern w:val="0"/>
                <w:szCs w:val="21"/>
              </w:rPr>
              <w:t>供应商须提供2024年至少一个月依法纳税的相关证明材料，依法免税或者零申报的提供相应文件说明；</w:t>
            </w:r>
          </w:p>
        </w:tc>
        <w:tc>
          <w:tcPr>
            <w:tcW w:w="444" w:type="pct"/>
            <w:gridSpan w:val="3"/>
            <w:vMerge w:val="continue"/>
            <w:vAlign w:val="center"/>
          </w:tcPr>
          <w:p w14:paraId="51190295">
            <w:pPr>
              <w:widowControl/>
              <w:spacing w:line="0" w:lineRule="atLeast"/>
              <w:jc w:val="center"/>
              <w:rPr>
                <w:rFonts w:hint="eastAsia" w:ascii="宋体" w:hAnsi="宋体" w:eastAsia="宋体" w:cs="宋体"/>
                <w:kern w:val="0"/>
                <w:szCs w:val="21"/>
              </w:rPr>
            </w:pPr>
          </w:p>
        </w:tc>
        <w:tc>
          <w:tcPr>
            <w:tcW w:w="1079" w:type="pct"/>
            <w:gridSpan w:val="2"/>
            <w:vMerge w:val="continue"/>
            <w:vAlign w:val="center"/>
          </w:tcPr>
          <w:p w14:paraId="0CDF66C0">
            <w:pPr>
              <w:widowControl/>
              <w:spacing w:line="0" w:lineRule="atLeast"/>
              <w:jc w:val="center"/>
              <w:rPr>
                <w:rFonts w:hint="eastAsia" w:ascii="宋体" w:hAnsi="宋体" w:eastAsia="宋体" w:cs="宋体"/>
                <w:kern w:val="0"/>
                <w:szCs w:val="21"/>
              </w:rPr>
            </w:pPr>
          </w:p>
        </w:tc>
      </w:tr>
      <w:tr w14:paraId="1299B7A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continue"/>
            <w:vAlign w:val="center"/>
          </w:tcPr>
          <w:p w14:paraId="0D6DC8C7">
            <w:pPr>
              <w:widowControl/>
              <w:spacing w:line="0" w:lineRule="atLeast"/>
              <w:jc w:val="center"/>
              <w:rPr>
                <w:rFonts w:hint="eastAsia" w:ascii="宋体" w:hAnsi="宋体" w:eastAsia="宋体" w:cs="宋体"/>
                <w:kern w:val="0"/>
                <w:szCs w:val="21"/>
              </w:rPr>
            </w:pPr>
          </w:p>
        </w:tc>
        <w:tc>
          <w:tcPr>
            <w:tcW w:w="663" w:type="pct"/>
            <w:vMerge w:val="continue"/>
            <w:vAlign w:val="center"/>
          </w:tcPr>
          <w:p w14:paraId="5BDAD97D">
            <w:pPr>
              <w:widowControl/>
              <w:spacing w:line="0" w:lineRule="atLeast"/>
              <w:jc w:val="center"/>
              <w:rPr>
                <w:rFonts w:hint="eastAsia" w:ascii="宋体" w:hAnsi="宋体" w:eastAsia="宋体" w:cs="宋体"/>
                <w:kern w:val="0"/>
                <w:szCs w:val="21"/>
              </w:rPr>
            </w:pPr>
          </w:p>
        </w:tc>
        <w:tc>
          <w:tcPr>
            <w:tcW w:w="2464" w:type="pct"/>
            <w:gridSpan w:val="2"/>
            <w:tcBorders>
              <w:bottom w:val="single" w:color="auto" w:sz="8" w:space="0"/>
            </w:tcBorders>
            <w:vAlign w:val="center"/>
          </w:tcPr>
          <w:p w14:paraId="11939158">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供应商须提供投标截止时间前3年在经营活动中没有重大违法记录的书面声明（截至投标截止时间成立不足3年的投标人可提供自成立以来无重大违法记录的书面声明）；</w:t>
            </w:r>
          </w:p>
        </w:tc>
        <w:tc>
          <w:tcPr>
            <w:tcW w:w="444" w:type="pct"/>
            <w:gridSpan w:val="3"/>
            <w:vMerge w:val="continue"/>
            <w:vAlign w:val="center"/>
          </w:tcPr>
          <w:p w14:paraId="19278414">
            <w:pPr>
              <w:widowControl/>
              <w:spacing w:line="0" w:lineRule="atLeast"/>
              <w:jc w:val="center"/>
              <w:rPr>
                <w:rFonts w:hint="eastAsia" w:ascii="宋体" w:hAnsi="宋体" w:eastAsia="宋体" w:cs="宋体"/>
                <w:kern w:val="0"/>
                <w:szCs w:val="21"/>
              </w:rPr>
            </w:pPr>
          </w:p>
        </w:tc>
        <w:tc>
          <w:tcPr>
            <w:tcW w:w="1079" w:type="pct"/>
            <w:gridSpan w:val="2"/>
            <w:vMerge w:val="continue"/>
            <w:vAlign w:val="center"/>
          </w:tcPr>
          <w:p w14:paraId="46B38442">
            <w:pPr>
              <w:widowControl/>
              <w:spacing w:line="0" w:lineRule="atLeast"/>
              <w:jc w:val="center"/>
              <w:rPr>
                <w:rFonts w:hint="eastAsia" w:ascii="宋体" w:hAnsi="宋体" w:eastAsia="宋体" w:cs="宋体"/>
                <w:kern w:val="0"/>
                <w:szCs w:val="21"/>
              </w:rPr>
            </w:pPr>
          </w:p>
        </w:tc>
      </w:tr>
      <w:tr w14:paraId="575B9CB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continue"/>
            <w:vAlign w:val="center"/>
          </w:tcPr>
          <w:p w14:paraId="5BF54EE5">
            <w:pPr>
              <w:widowControl/>
              <w:spacing w:line="0" w:lineRule="atLeast"/>
              <w:jc w:val="center"/>
              <w:rPr>
                <w:rFonts w:hint="eastAsia" w:ascii="宋体" w:hAnsi="宋体" w:eastAsia="宋体" w:cs="宋体"/>
                <w:kern w:val="0"/>
                <w:szCs w:val="21"/>
              </w:rPr>
            </w:pPr>
          </w:p>
        </w:tc>
        <w:tc>
          <w:tcPr>
            <w:tcW w:w="663" w:type="pct"/>
            <w:vMerge w:val="continue"/>
            <w:vAlign w:val="center"/>
          </w:tcPr>
          <w:p w14:paraId="62BD755B">
            <w:pPr>
              <w:widowControl/>
              <w:spacing w:line="0" w:lineRule="atLeast"/>
              <w:jc w:val="center"/>
              <w:rPr>
                <w:rFonts w:hint="eastAsia" w:ascii="宋体" w:hAnsi="宋体" w:eastAsia="宋体" w:cs="宋体"/>
                <w:kern w:val="0"/>
                <w:szCs w:val="21"/>
              </w:rPr>
            </w:pPr>
          </w:p>
        </w:tc>
        <w:tc>
          <w:tcPr>
            <w:tcW w:w="2464" w:type="pct"/>
            <w:gridSpan w:val="2"/>
            <w:tcBorders>
              <w:bottom w:val="single" w:color="auto" w:sz="8" w:space="0"/>
            </w:tcBorders>
            <w:vAlign w:val="center"/>
          </w:tcPr>
          <w:p w14:paraId="17ECE4D2">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按照《财政部关于在政府采购活动中查询及使用信用记录有关问题的通知》（财库〔2016〕125号）的要求，根据开标当日“信用中国”网站（www.creditchina.gov.cn）、中国政府采购网（www.ccgp.gov.cn）的信息</w:t>
            </w:r>
          </w:p>
        </w:tc>
        <w:tc>
          <w:tcPr>
            <w:tcW w:w="444" w:type="pct"/>
            <w:gridSpan w:val="3"/>
            <w:vMerge w:val="continue"/>
            <w:vAlign w:val="center"/>
          </w:tcPr>
          <w:p w14:paraId="0528FD00">
            <w:pPr>
              <w:widowControl/>
              <w:spacing w:line="0" w:lineRule="atLeast"/>
              <w:jc w:val="center"/>
              <w:rPr>
                <w:rFonts w:hint="eastAsia" w:ascii="宋体" w:hAnsi="宋体" w:eastAsia="宋体" w:cs="宋体"/>
                <w:kern w:val="0"/>
                <w:szCs w:val="21"/>
              </w:rPr>
            </w:pPr>
          </w:p>
        </w:tc>
        <w:tc>
          <w:tcPr>
            <w:tcW w:w="1079" w:type="pct"/>
            <w:gridSpan w:val="2"/>
            <w:vMerge w:val="continue"/>
            <w:vAlign w:val="center"/>
          </w:tcPr>
          <w:p w14:paraId="748BC857">
            <w:pPr>
              <w:widowControl/>
              <w:spacing w:line="0" w:lineRule="atLeast"/>
              <w:jc w:val="center"/>
              <w:rPr>
                <w:rFonts w:hint="eastAsia" w:ascii="宋体" w:hAnsi="宋体" w:eastAsia="宋体" w:cs="宋体"/>
                <w:kern w:val="0"/>
                <w:szCs w:val="21"/>
              </w:rPr>
            </w:pPr>
          </w:p>
        </w:tc>
      </w:tr>
      <w:tr w14:paraId="0B69B20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restart"/>
            <w:vAlign w:val="center"/>
          </w:tcPr>
          <w:p w14:paraId="1FAC5917">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2</w:t>
            </w:r>
          </w:p>
        </w:tc>
        <w:tc>
          <w:tcPr>
            <w:tcW w:w="663" w:type="pct"/>
            <w:vMerge w:val="restart"/>
            <w:vAlign w:val="center"/>
          </w:tcPr>
          <w:p w14:paraId="671D973E">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服务要求</w:t>
            </w:r>
          </w:p>
        </w:tc>
        <w:tc>
          <w:tcPr>
            <w:tcW w:w="2464" w:type="pct"/>
            <w:gridSpan w:val="2"/>
            <w:vAlign w:val="center"/>
          </w:tcPr>
          <w:p w14:paraId="7F13C078">
            <w:pPr>
              <w:spacing w:line="0" w:lineRule="atLeast"/>
              <w:rPr>
                <w:rFonts w:hint="eastAsia" w:ascii="宋体" w:hAnsi="宋体" w:eastAsia="宋体" w:cs="宋体"/>
                <w:szCs w:val="21"/>
              </w:rPr>
            </w:pPr>
            <w:r>
              <w:rPr>
                <w:rFonts w:hint="eastAsia" w:ascii="宋体" w:hAnsi="宋体" w:eastAsia="宋体" w:cs="宋体"/>
                <w:szCs w:val="21"/>
              </w:rPr>
              <w:t>所投产品硬件提供三年质保与软件终身升级服务，质保期内根据有关规范标准开展维护保养，提供7*24小时上门服务和2名持有行业相关资质认证的课程讲师驻场进行课程服务。</w:t>
            </w:r>
          </w:p>
        </w:tc>
        <w:tc>
          <w:tcPr>
            <w:tcW w:w="444" w:type="pct"/>
            <w:gridSpan w:val="3"/>
            <w:vMerge w:val="restart"/>
            <w:vAlign w:val="center"/>
          </w:tcPr>
          <w:p w14:paraId="5827B830">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是</w:t>
            </w:r>
          </w:p>
        </w:tc>
        <w:tc>
          <w:tcPr>
            <w:tcW w:w="1079" w:type="pct"/>
            <w:gridSpan w:val="2"/>
            <w:vMerge w:val="restart"/>
            <w:vAlign w:val="center"/>
          </w:tcPr>
          <w:p w14:paraId="4AA6897C">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保证服务要求</w:t>
            </w:r>
          </w:p>
        </w:tc>
      </w:tr>
      <w:tr w14:paraId="355E385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continue"/>
            <w:vAlign w:val="center"/>
          </w:tcPr>
          <w:p w14:paraId="3ACB099D">
            <w:pPr>
              <w:widowControl/>
              <w:spacing w:line="0" w:lineRule="atLeast"/>
              <w:jc w:val="center"/>
              <w:rPr>
                <w:rFonts w:hint="eastAsia" w:ascii="宋体" w:hAnsi="宋体" w:eastAsia="宋体" w:cs="宋体"/>
                <w:kern w:val="0"/>
                <w:szCs w:val="21"/>
              </w:rPr>
            </w:pPr>
          </w:p>
        </w:tc>
        <w:tc>
          <w:tcPr>
            <w:tcW w:w="663" w:type="pct"/>
            <w:vMerge w:val="continue"/>
            <w:vAlign w:val="center"/>
          </w:tcPr>
          <w:p w14:paraId="4F8C11CE">
            <w:pPr>
              <w:widowControl/>
              <w:spacing w:line="0" w:lineRule="atLeast"/>
              <w:jc w:val="center"/>
              <w:rPr>
                <w:rFonts w:hint="eastAsia" w:ascii="宋体" w:hAnsi="宋体" w:eastAsia="宋体" w:cs="宋体"/>
                <w:kern w:val="0"/>
                <w:szCs w:val="21"/>
              </w:rPr>
            </w:pPr>
          </w:p>
        </w:tc>
        <w:tc>
          <w:tcPr>
            <w:tcW w:w="2464" w:type="pct"/>
            <w:gridSpan w:val="2"/>
            <w:vAlign w:val="center"/>
          </w:tcPr>
          <w:p w14:paraId="0A8F7A24">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供应商需提供产品技术资料</w:t>
            </w:r>
          </w:p>
        </w:tc>
        <w:tc>
          <w:tcPr>
            <w:tcW w:w="444" w:type="pct"/>
            <w:gridSpan w:val="3"/>
            <w:vMerge w:val="continue"/>
            <w:vAlign w:val="center"/>
          </w:tcPr>
          <w:p w14:paraId="11C5C1F5">
            <w:pPr>
              <w:widowControl/>
              <w:spacing w:line="0" w:lineRule="atLeast"/>
              <w:jc w:val="center"/>
              <w:rPr>
                <w:rFonts w:hint="eastAsia" w:ascii="宋体" w:hAnsi="宋体" w:eastAsia="宋体" w:cs="宋体"/>
                <w:kern w:val="0"/>
                <w:szCs w:val="21"/>
              </w:rPr>
            </w:pPr>
          </w:p>
        </w:tc>
        <w:tc>
          <w:tcPr>
            <w:tcW w:w="1079" w:type="pct"/>
            <w:gridSpan w:val="2"/>
            <w:vMerge w:val="continue"/>
            <w:vAlign w:val="center"/>
          </w:tcPr>
          <w:p w14:paraId="5B87ED72">
            <w:pPr>
              <w:widowControl/>
              <w:spacing w:line="0" w:lineRule="atLeast"/>
              <w:jc w:val="center"/>
              <w:rPr>
                <w:rFonts w:hint="eastAsia" w:ascii="宋体" w:hAnsi="宋体" w:eastAsia="宋体" w:cs="宋体"/>
                <w:kern w:val="0"/>
                <w:szCs w:val="21"/>
              </w:rPr>
            </w:pPr>
          </w:p>
        </w:tc>
      </w:tr>
      <w:tr w14:paraId="25734AE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Merge w:val="continue"/>
            <w:vAlign w:val="center"/>
          </w:tcPr>
          <w:p w14:paraId="588DA4E9">
            <w:pPr>
              <w:widowControl/>
              <w:spacing w:line="0" w:lineRule="atLeast"/>
              <w:jc w:val="center"/>
              <w:rPr>
                <w:rFonts w:hint="eastAsia" w:ascii="宋体" w:hAnsi="宋体" w:eastAsia="宋体" w:cs="宋体"/>
                <w:kern w:val="0"/>
                <w:szCs w:val="21"/>
              </w:rPr>
            </w:pPr>
          </w:p>
        </w:tc>
        <w:tc>
          <w:tcPr>
            <w:tcW w:w="663" w:type="pct"/>
            <w:vMerge w:val="continue"/>
            <w:vAlign w:val="center"/>
          </w:tcPr>
          <w:p w14:paraId="61416C27">
            <w:pPr>
              <w:widowControl/>
              <w:spacing w:line="0" w:lineRule="atLeast"/>
              <w:jc w:val="center"/>
              <w:rPr>
                <w:rFonts w:hint="eastAsia" w:ascii="宋体" w:hAnsi="宋体" w:eastAsia="宋体" w:cs="宋体"/>
                <w:kern w:val="0"/>
                <w:szCs w:val="21"/>
              </w:rPr>
            </w:pPr>
          </w:p>
        </w:tc>
        <w:tc>
          <w:tcPr>
            <w:tcW w:w="2464" w:type="pct"/>
            <w:gridSpan w:val="2"/>
            <w:vAlign w:val="center"/>
          </w:tcPr>
          <w:p w14:paraId="202308F4">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供应商能够提供后期完整的服务内容</w:t>
            </w:r>
          </w:p>
        </w:tc>
        <w:tc>
          <w:tcPr>
            <w:tcW w:w="444" w:type="pct"/>
            <w:gridSpan w:val="3"/>
            <w:vMerge w:val="continue"/>
            <w:vAlign w:val="center"/>
          </w:tcPr>
          <w:p w14:paraId="13213C8C">
            <w:pPr>
              <w:widowControl/>
              <w:spacing w:line="0" w:lineRule="atLeast"/>
              <w:jc w:val="center"/>
              <w:rPr>
                <w:rFonts w:hint="eastAsia" w:ascii="宋体" w:hAnsi="宋体" w:eastAsia="宋体" w:cs="宋体"/>
                <w:kern w:val="0"/>
                <w:szCs w:val="21"/>
              </w:rPr>
            </w:pPr>
          </w:p>
        </w:tc>
        <w:tc>
          <w:tcPr>
            <w:tcW w:w="1079" w:type="pct"/>
            <w:gridSpan w:val="2"/>
            <w:vMerge w:val="continue"/>
            <w:vAlign w:val="center"/>
          </w:tcPr>
          <w:p w14:paraId="025E06A9">
            <w:pPr>
              <w:widowControl/>
              <w:spacing w:line="0" w:lineRule="atLeast"/>
              <w:jc w:val="center"/>
              <w:rPr>
                <w:rFonts w:hint="eastAsia" w:ascii="宋体" w:hAnsi="宋体" w:eastAsia="宋体" w:cs="宋体"/>
                <w:kern w:val="0"/>
                <w:szCs w:val="21"/>
              </w:rPr>
            </w:pPr>
          </w:p>
        </w:tc>
      </w:tr>
      <w:tr w14:paraId="12BFD5C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Align w:val="center"/>
          </w:tcPr>
          <w:p w14:paraId="1A00CADF">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3</w:t>
            </w:r>
          </w:p>
        </w:tc>
        <w:tc>
          <w:tcPr>
            <w:tcW w:w="663" w:type="pct"/>
            <w:vAlign w:val="center"/>
          </w:tcPr>
          <w:p w14:paraId="29CE1CBF">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交货期</w:t>
            </w:r>
          </w:p>
        </w:tc>
        <w:tc>
          <w:tcPr>
            <w:tcW w:w="2464" w:type="pct"/>
            <w:gridSpan w:val="2"/>
            <w:vAlign w:val="center"/>
          </w:tcPr>
          <w:p w14:paraId="0A26159D">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签订合同之日起30个工作日内</w:t>
            </w:r>
          </w:p>
        </w:tc>
        <w:tc>
          <w:tcPr>
            <w:tcW w:w="444" w:type="pct"/>
            <w:gridSpan w:val="3"/>
            <w:vAlign w:val="center"/>
          </w:tcPr>
          <w:p w14:paraId="681BB5E5">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是</w:t>
            </w:r>
          </w:p>
        </w:tc>
        <w:tc>
          <w:tcPr>
            <w:tcW w:w="1079" w:type="pct"/>
            <w:gridSpan w:val="2"/>
            <w:vAlign w:val="center"/>
          </w:tcPr>
          <w:p w14:paraId="4DFBD48C">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保证按期使用</w:t>
            </w:r>
          </w:p>
        </w:tc>
      </w:tr>
      <w:tr w14:paraId="7C2570A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Align w:val="center"/>
          </w:tcPr>
          <w:p w14:paraId="655DFD2D">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4</w:t>
            </w:r>
          </w:p>
        </w:tc>
        <w:tc>
          <w:tcPr>
            <w:tcW w:w="663" w:type="pct"/>
            <w:vAlign w:val="center"/>
          </w:tcPr>
          <w:p w14:paraId="4616C314">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交货地点</w:t>
            </w:r>
          </w:p>
        </w:tc>
        <w:tc>
          <w:tcPr>
            <w:tcW w:w="2464" w:type="pct"/>
            <w:gridSpan w:val="2"/>
            <w:vAlign w:val="center"/>
          </w:tcPr>
          <w:p w14:paraId="1C70408C">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学校指定地点</w:t>
            </w:r>
          </w:p>
        </w:tc>
        <w:tc>
          <w:tcPr>
            <w:tcW w:w="444" w:type="pct"/>
            <w:gridSpan w:val="3"/>
            <w:vAlign w:val="center"/>
          </w:tcPr>
          <w:p w14:paraId="29074BAF">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是</w:t>
            </w:r>
          </w:p>
        </w:tc>
        <w:tc>
          <w:tcPr>
            <w:tcW w:w="1079" w:type="pct"/>
            <w:gridSpan w:val="2"/>
            <w:vAlign w:val="center"/>
          </w:tcPr>
          <w:p w14:paraId="4EADE1DC">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保证按地点交付</w:t>
            </w:r>
          </w:p>
        </w:tc>
      </w:tr>
      <w:tr w14:paraId="5298E20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Align w:val="center"/>
          </w:tcPr>
          <w:p w14:paraId="7E26BEAE">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5</w:t>
            </w:r>
          </w:p>
        </w:tc>
        <w:tc>
          <w:tcPr>
            <w:tcW w:w="663" w:type="pct"/>
            <w:vAlign w:val="center"/>
          </w:tcPr>
          <w:p w14:paraId="324A0A8D">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付款方式</w:t>
            </w:r>
          </w:p>
        </w:tc>
        <w:tc>
          <w:tcPr>
            <w:tcW w:w="2464" w:type="pct"/>
            <w:gridSpan w:val="2"/>
            <w:vAlign w:val="center"/>
          </w:tcPr>
          <w:p w14:paraId="7F06D25C">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自签订合同之日起10日内，支付合同金额30%的货款，全部设备安装到位并验收合格后30日内，支付合同金额70%的货款</w:t>
            </w:r>
          </w:p>
        </w:tc>
        <w:tc>
          <w:tcPr>
            <w:tcW w:w="444" w:type="pct"/>
            <w:gridSpan w:val="3"/>
            <w:vAlign w:val="center"/>
          </w:tcPr>
          <w:p w14:paraId="2DB6F9C5">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否</w:t>
            </w:r>
          </w:p>
        </w:tc>
        <w:tc>
          <w:tcPr>
            <w:tcW w:w="1079" w:type="pct"/>
            <w:gridSpan w:val="2"/>
            <w:vAlign w:val="center"/>
          </w:tcPr>
          <w:p w14:paraId="0550A7D3">
            <w:pPr>
              <w:widowControl/>
              <w:spacing w:line="0" w:lineRule="atLeast"/>
              <w:jc w:val="center"/>
              <w:rPr>
                <w:rFonts w:hint="eastAsia" w:ascii="宋体" w:hAnsi="宋体" w:eastAsia="宋体" w:cs="宋体"/>
                <w:kern w:val="0"/>
                <w:szCs w:val="21"/>
              </w:rPr>
            </w:pPr>
          </w:p>
        </w:tc>
      </w:tr>
      <w:tr w14:paraId="57BDB83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Align w:val="center"/>
          </w:tcPr>
          <w:p w14:paraId="09E549C0">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6</w:t>
            </w:r>
          </w:p>
        </w:tc>
        <w:tc>
          <w:tcPr>
            <w:tcW w:w="663" w:type="pct"/>
            <w:vAlign w:val="center"/>
          </w:tcPr>
          <w:p w14:paraId="2D135F32">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采购方式</w:t>
            </w:r>
          </w:p>
        </w:tc>
        <w:tc>
          <w:tcPr>
            <w:tcW w:w="2464" w:type="pct"/>
            <w:gridSpan w:val="2"/>
            <w:vAlign w:val="center"/>
          </w:tcPr>
          <w:p w14:paraId="2FC52DF8">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综合评分</w:t>
            </w:r>
          </w:p>
        </w:tc>
        <w:tc>
          <w:tcPr>
            <w:tcW w:w="444" w:type="pct"/>
            <w:gridSpan w:val="3"/>
            <w:vAlign w:val="center"/>
          </w:tcPr>
          <w:p w14:paraId="735FF96B">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是</w:t>
            </w:r>
          </w:p>
        </w:tc>
        <w:tc>
          <w:tcPr>
            <w:tcW w:w="1079" w:type="pct"/>
            <w:gridSpan w:val="2"/>
            <w:vAlign w:val="center"/>
          </w:tcPr>
          <w:p w14:paraId="1F949027">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保证采购流程公开公正</w:t>
            </w:r>
          </w:p>
        </w:tc>
      </w:tr>
      <w:tr w14:paraId="54A3EA6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gridSpan w:val="2"/>
            <w:vAlign w:val="center"/>
          </w:tcPr>
          <w:p w14:paraId="780CC5D2">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7</w:t>
            </w:r>
          </w:p>
        </w:tc>
        <w:tc>
          <w:tcPr>
            <w:tcW w:w="663" w:type="pct"/>
            <w:vAlign w:val="center"/>
          </w:tcPr>
          <w:p w14:paraId="42ABB686">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其它要求</w:t>
            </w:r>
          </w:p>
        </w:tc>
        <w:tc>
          <w:tcPr>
            <w:tcW w:w="2464" w:type="pct"/>
            <w:gridSpan w:val="2"/>
            <w:vAlign w:val="center"/>
          </w:tcPr>
          <w:p w14:paraId="2F99CF20">
            <w:pPr>
              <w:widowControl/>
              <w:spacing w:line="0" w:lineRule="atLeast"/>
              <w:jc w:val="left"/>
              <w:rPr>
                <w:rFonts w:hint="eastAsia" w:ascii="宋体" w:hAnsi="宋体" w:eastAsia="宋体" w:cs="宋体"/>
                <w:kern w:val="0"/>
                <w:szCs w:val="21"/>
              </w:rPr>
            </w:pPr>
            <w:r>
              <w:rPr>
                <w:rFonts w:hint="eastAsia" w:ascii="宋体" w:hAnsi="宋体" w:eastAsia="宋体" w:cs="宋体"/>
                <w:kern w:val="0"/>
                <w:szCs w:val="21"/>
              </w:rPr>
              <w:t>提供的产品应通过相应的知识产权认证、节能产品认证、环境标识认证等。</w:t>
            </w:r>
          </w:p>
        </w:tc>
        <w:tc>
          <w:tcPr>
            <w:tcW w:w="444" w:type="pct"/>
            <w:gridSpan w:val="3"/>
            <w:vAlign w:val="center"/>
          </w:tcPr>
          <w:p w14:paraId="66264FE9">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是</w:t>
            </w:r>
          </w:p>
        </w:tc>
        <w:tc>
          <w:tcPr>
            <w:tcW w:w="1079" w:type="pct"/>
            <w:gridSpan w:val="2"/>
            <w:vAlign w:val="center"/>
          </w:tcPr>
          <w:p w14:paraId="625727A8">
            <w:pPr>
              <w:widowControl/>
              <w:spacing w:line="0" w:lineRule="atLeast"/>
              <w:jc w:val="center"/>
              <w:rPr>
                <w:rFonts w:hint="eastAsia" w:ascii="宋体" w:hAnsi="宋体" w:eastAsia="宋体" w:cs="宋体"/>
                <w:kern w:val="0"/>
                <w:szCs w:val="21"/>
              </w:rPr>
            </w:pPr>
            <w:r>
              <w:rPr>
                <w:rFonts w:hint="eastAsia" w:ascii="宋体" w:hAnsi="宋体" w:eastAsia="宋体" w:cs="宋体"/>
                <w:kern w:val="0"/>
                <w:szCs w:val="21"/>
              </w:rPr>
              <w:t>确保安全合法使用产品</w:t>
            </w:r>
          </w:p>
        </w:tc>
      </w:tr>
      <w:tr w14:paraId="3AE70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16" w:type="pct"/>
          <w:trHeight w:val="567" w:hRule="atLeast"/>
        </w:trPr>
        <w:tc>
          <w:tcPr>
            <w:tcW w:w="298" w:type="pct"/>
            <w:noWrap w:val="0"/>
            <w:vAlign w:val="center"/>
          </w:tcPr>
          <w:p w14:paraId="69802ED4">
            <w:pPr>
              <w:jc w:val="center"/>
              <w:rPr>
                <w:rFonts w:hint="eastAsia" w:ascii="宋体" w:hAnsi="宋体" w:cs="宋体"/>
                <w:b/>
                <w:bCs/>
                <w:color w:val="auto"/>
                <w:szCs w:val="21"/>
                <w:highlight w:val="none"/>
              </w:rPr>
            </w:pPr>
            <w:bookmarkStart w:id="0" w:name="_GoBack"/>
            <w:bookmarkEnd w:id="0"/>
            <w:r>
              <w:rPr>
                <w:rFonts w:hint="eastAsia" w:ascii="宋体" w:hAnsi="宋体" w:cs="宋体"/>
                <w:b/>
                <w:bCs/>
                <w:color w:val="auto"/>
                <w:szCs w:val="21"/>
                <w:highlight w:val="none"/>
              </w:rPr>
              <w:t>序号</w:t>
            </w:r>
          </w:p>
        </w:tc>
        <w:tc>
          <w:tcPr>
            <w:tcW w:w="807" w:type="pct"/>
            <w:gridSpan w:val="3"/>
            <w:noWrap w:val="0"/>
            <w:vAlign w:val="center"/>
          </w:tcPr>
          <w:p w14:paraId="38D15148">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考核内容</w:t>
            </w:r>
          </w:p>
        </w:tc>
        <w:tc>
          <w:tcPr>
            <w:tcW w:w="2376" w:type="pct"/>
            <w:gridSpan w:val="2"/>
            <w:noWrap w:val="0"/>
            <w:vAlign w:val="center"/>
          </w:tcPr>
          <w:p w14:paraId="711D2216">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标准及分值</w:t>
            </w:r>
          </w:p>
        </w:tc>
        <w:tc>
          <w:tcPr>
            <w:tcW w:w="430" w:type="pct"/>
            <w:noWrap w:val="0"/>
            <w:vAlign w:val="center"/>
          </w:tcPr>
          <w:p w14:paraId="2665BFB1">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考核得分</w:t>
            </w:r>
          </w:p>
        </w:tc>
        <w:tc>
          <w:tcPr>
            <w:tcW w:w="870" w:type="pct"/>
            <w:gridSpan w:val="2"/>
            <w:noWrap w:val="0"/>
            <w:vAlign w:val="center"/>
          </w:tcPr>
          <w:p w14:paraId="26857F61">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扣分原因</w:t>
            </w:r>
          </w:p>
        </w:tc>
      </w:tr>
      <w:tr w14:paraId="2D27E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16" w:type="pct"/>
          <w:trHeight w:val="1135" w:hRule="atLeast"/>
        </w:trPr>
        <w:tc>
          <w:tcPr>
            <w:tcW w:w="298" w:type="pct"/>
            <w:noWrap w:val="0"/>
            <w:vAlign w:val="center"/>
          </w:tcPr>
          <w:p w14:paraId="2EB78415">
            <w:pPr>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807" w:type="pct"/>
            <w:gridSpan w:val="3"/>
            <w:noWrap w:val="0"/>
            <w:vAlign w:val="center"/>
          </w:tcPr>
          <w:p w14:paraId="3CBA1DDC">
            <w:pPr>
              <w:jc w:val="center"/>
              <w:rPr>
                <w:rFonts w:hint="eastAsia" w:ascii="宋体" w:hAnsi="宋体" w:cs="宋体"/>
                <w:color w:val="auto"/>
                <w:szCs w:val="21"/>
                <w:highlight w:val="none"/>
              </w:rPr>
            </w:pPr>
            <w:r>
              <w:rPr>
                <w:rFonts w:hint="eastAsia" w:ascii="宋体" w:hAnsi="宋体" w:cs="宋体"/>
                <w:color w:val="auto"/>
                <w:szCs w:val="21"/>
                <w:highlight w:val="none"/>
              </w:rPr>
              <w:t>教学实践平台</w:t>
            </w:r>
          </w:p>
        </w:tc>
        <w:tc>
          <w:tcPr>
            <w:tcW w:w="2376" w:type="pct"/>
            <w:gridSpan w:val="2"/>
            <w:noWrap w:val="0"/>
            <w:vAlign w:val="center"/>
          </w:tcPr>
          <w:p w14:paraId="517DE18B">
            <w:pPr>
              <w:jc w:val="left"/>
              <w:rPr>
                <w:rFonts w:hint="eastAsia" w:ascii="宋体" w:hAnsi="宋体" w:cs="宋体"/>
                <w:color w:val="auto"/>
                <w:highlight w:val="none"/>
              </w:rPr>
            </w:pPr>
            <w:r>
              <w:rPr>
                <w:rFonts w:hint="eastAsia" w:ascii="宋体" w:hAnsi="宋体" w:cs="宋体"/>
                <w:color w:val="auto"/>
                <w:highlight w:val="none"/>
              </w:rPr>
              <w:t>标</w:t>
            </w:r>
            <w:r>
              <w:rPr>
                <w:rFonts w:ascii="宋体" w:hAnsi="宋体" w:cs="宋体"/>
                <w:color w:val="auto"/>
                <w:highlight w:val="none"/>
              </w:rPr>
              <w:t>“</w:t>
            </w:r>
            <w:r>
              <w:rPr>
                <w:rFonts w:hint="eastAsia" w:ascii="宋体" w:hAnsi="宋体" w:cs="宋体"/>
                <w:color w:val="auto"/>
                <w:highlight w:val="none"/>
              </w:rPr>
              <w:t>▲</w:t>
            </w:r>
            <w:r>
              <w:rPr>
                <w:rFonts w:ascii="宋体" w:hAnsi="宋体" w:cs="宋体"/>
                <w:color w:val="auto"/>
                <w:highlight w:val="none"/>
              </w:rPr>
              <w:t>”</w:t>
            </w:r>
            <w:r>
              <w:rPr>
                <w:rFonts w:hint="eastAsia" w:ascii="宋体" w:hAnsi="宋体" w:cs="宋体"/>
                <w:color w:val="auto"/>
                <w:highlight w:val="none"/>
              </w:rPr>
              <w:t>项</w:t>
            </w:r>
            <w:r>
              <w:rPr>
                <w:rFonts w:ascii="宋体" w:hAnsi="宋体" w:cs="宋体"/>
                <w:color w:val="auto"/>
                <w:highlight w:val="none"/>
              </w:rPr>
              <w:t>为重要</w:t>
            </w:r>
            <w:r>
              <w:rPr>
                <w:rFonts w:hint="eastAsia" w:ascii="宋体" w:hAnsi="宋体" w:cs="宋体"/>
                <w:color w:val="auto"/>
                <w:highlight w:val="none"/>
              </w:rPr>
              <w:t>功能</w:t>
            </w:r>
            <w:r>
              <w:rPr>
                <w:rFonts w:ascii="宋体" w:hAnsi="宋体" w:cs="宋体"/>
                <w:color w:val="auto"/>
                <w:highlight w:val="none"/>
              </w:rPr>
              <w:t>指标</w:t>
            </w:r>
            <w:r>
              <w:rPr>
                <w:rFonts w:hint="eastAsia" w:ascii="宋体" w:hAnsi="宋体" w:cs="宋体"/>
                <w:color w:val="auto"/>
                <w:highlight w:val="none"/>
              </w:rPr>
              <w:t>项</w:t>
            </w:r>
            <w:r>
              <w:rPr>
                <w:rFonts w:ascii="宋体" w:hAnsi="宋体" w:cs="宋体"/>
                <w:color w:val="auto"/>
                <w:highlight w:val="none"/>
              </w:rPr>
              <w:t>，共15项，每满足一项“</w:t>
            </w:r>
            <w:r>
              <w:rPr>
                <w:rFonts w:hint="eastAsia" w:ascii="宋体" w:hAnsi="宋体" w:cs="宋体"/>
                <w:color w:val="auto"/>
                <w:highlight w:val="none"/>
              </w:rPr>
              <w:t>▲</w:t>
            </w:r>
            <w:r>
              <w:rPr>
                <w:rFonts w:ascii="宋体" w:hAnsi="宋体" w:cs="宋体"/>
                <w:color w:val="auto"/>
                <w:highlight w:val="none"/>
              </w:rPr>
              <w:t>”指标得1分，不满足不得分</w:t>
            </w:r>
            <w:r>
              <w:rPr>
                <w:rFonts w:hint="eastAsia" w:ascii="宋体" w:hAnsi="宋体" w:cs="宋体"/>
                <w:color w:val="auto"/>
                <w:highlight w:val="none"/>
              </w:rPr>
              <w:t>。</w:t>
            </w:r>
          </w:p>
        </w:tc>
        <w:tc>
          <w:tcPr>
            <w:tcW w:w="430" w:type="pct"/>
            <w:noWrap w:val="0"/>
            <w:vAlign w:val="center"/>
          </w:tcPr>
          <w:p w14:paraId="45455FD1">
            <w:pPr>
              <w:jc w:val="center"/>
              <w:rPr>
                <w:rFonts w:hint="eastAsia" w:ascii="宋体" w:hAnsi="宋体" w:cs="宋体"/>
                <w:color w:val="auto"/>
                <w:highlight w:val="none"/>
              </w:rPr>
            </w:pPr>
          </w:p>
        </w:tc>
        <w:tc>
          <w:tcPr>
            <w:tcW w:w="870" w:type="pct"/>
            <w:gridSpan w:val="2"/>
            <w:noWrap w:val="0"/>
            <w:vAlign w:val="center"/>
          </w:tcPr>
          <w:p w14:paraId="3B521048">
            <w:pPr>
              <w:jc w:val="center"/>
              <w:rPr>
                <w:rFonts w:hint="eastAsia" w:ascii="宋体" w:hAnsi="宋体" w:cs="宋体"/>
                <w:color w:val="auto"/>
                <w:highlight w:val="none"/>
              </w:rPr>
            </w:pPr>
          </w:p>
        </w:tc>
      </w:tr>
      <w:tr w14:paraId="6760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16" w:type="pct"/>
          <w:trHeight w:val="1792" w:hRule="atLeast"/>
        </w:trPr>
        <w:tc>
          <w:tcPr>
            <w:tcW w:w="298" w:type="pct"/>
            <w:noWrap w:val="0"/>
            <w:vAlign w:val="center"/>
          </w:tcPr>
          <w:p w14:paraId="7CBC4F1D">
            <w:pPr>
              <w:jc w:val="center"/>
              <w:rPr>
                <w:rFonts w:hint="eastAsia" w:ascii="宋体" w:hAnsi="宋体" w:cs="宋体"/>
                <w:color w:val="auto"/>
                <w:szCs w:val="21"/>
                <w:highlight w:val="none"/>
              </w:rPr>
            </w:pPr>
            <w:r>
              <w:rPr>
                <w:rFonts w:hint="eastAsia" w:ascii="宋体" w:hAnsi="宋体" w:cs="宋体"/>
                <w:color w:val="auto"/>
                <w:szCs w:val="21"/>
                <w:highlight w:val="none"/>
              </w:rPr>
              <w:t>2</w:t>
            </w:r>
          </w:p>
        </w:tc>
        <w:tc>
          <w:tcPr>
            <w:tcW w:w="807" w:type="pct"/>
            <w:gridSpan w:val="3"/>
            <w:noWrap w:val="0"/>
            <w:vAlign w:val="center"/>
          </w:tcPr>
          <w:p w14:paraId="53EE60B1">
            <w:pPr>
              <w:jc w:val="center"/>
              <w:rPr>
                <w:rFonts w:hint="eastAsia" w:ascii="宋体" w:hAnsi="宋体" w:cs="宋体"/>
                <w:color w:val="auto"/>
                <w:szCs w:val="21"/>
                <w:highlight w:val="none"/>
                <w:shd w:val="clear" w:color="auto" w:fill="FFFFFF"/>
              </w:rPr>
            </w:pPr>
            <w:r>
              <w:rPr>
                <w:rFonts w:hint="eastAsia" w:ascii="宋体" w:hAnsi="宋体" w:cs="宋体"/>
                <w:color w:val="auto"/>
                <w:kern w:val="0"/>
                <w:szCs w:val="21"/>
                <w:highlight w:val="none"/>
                <w:lang w:bidi="ar"/>
              </w:rPr>
              <w:t>课程资源包</w:t>
            </w:r>
          </w:p>
        </w:tc>
        <w:tc>
          <w:tcPr>
            <w:tcW w:w="2376" w:type="pct"/>
            <w:gridSpan w:val="2"/>
            <w:noWrap w:val="0"/>
            <w:vAlign w:val="center"/>
          </w:tcPr>
          <w:p w14:paraId="3F378124">
            <w:pPr>
              <w:jc w:val="left"/>
              <w:rPr>
                <w:rFonts w:hint="eastAsia" w:ascii="宋体" w:hAnsi="宋体" w:cs="宋体"/>
                <w:color w:val="auto"/>
                <w:highlight w:val="none"/>
              </w:rPr>
            </w:pPr>
            <w:r>
              <w:rPr>
                <w:rFonts w:hint="eastAsia" w:ascii="宋体" w:hAnsi="宋体" w:cs="宋体"/>
                <w:color w:val="auto"/>
                <w:highlight w:val="none"/>
              </w:rPr>
              <w:t>1.内容及数量核对：资源包包含的课程P</w:t>
            </w:r>
            <w:r>
              <w:rPr>
                <w:rFonts w:ascii="宋体" w:hAnsi="宋体" w:cs="宋体"/>
                <w:color w:val="auto"/>
                <w:highlight w:val="none"/>
              </w:rPr>
              <w:t>PT</w:t>
            </w:r>
            <w:r>
              <w:rPr>
                <w:rFonts w:hint="eastAsia" w:ascii="宋体" w:hAnsi="宋体" w:cs="宋体"/>
                <w:color w:val="auto"/>
                <w:highlight w:val="none"/>
              </w:rPr>
              <w:t>、实验手册等配套资料等与招标文件一致，内容贴合安全可靠实验室教学需求。</w:t>
            </w:r>
          </w:p>
          <w:p w14:paraId="23DA2176">
            <w:pPr>
              <w:jc w:val="left"/>
              <w:rPr>
                <w:rFonts w:hint="eastAsia" w:ascii="宋体" w:hAnsi="宋体" w:cs="宋体"/>
                <w:color w:val="auto"/>
                <w:highlight w:val="none"/>
              </w:rPr>
            </w:pPr>
            <w:r>
              <w:rPr>
                <w:rFonts w:ascii="宋体" w:hAnsi="宋体" w:cs="宋体"/>
                <w:color w:val="auto"/>
                <w:highlight w:val="none"/>
              </w:rPr>
              <w:t>2</w:t>
            </w:r>
            <w:r>
              <w:rPr>
                <w:rFonts w:hint="eastAsia" w:ascii="宋体" w:hAnsi="宋体" w:cs="宋体"/>
                <w:color w:val="auto"/>
                <w:highlight w:val="none"/>
              </w:rPr>
              <w:t>.配套服务检验：平台维保期内，平台功能及课程内容免费升级更新。</w:t>
            </w:r>
          </w:p>
        </w:tc>
        <w:tc>
          <w:tcPr>
            <w:tcW w:w="430" w:type="pct"/>
            <w:noWrap w:val="0"/>
            <w:vAlign w:val="center"/>
          </w:tcPr>
          <w:p w14:paraId="70BC1BF8">
            <w:pPr>
              <w:jc w:val="center"/>
              <w:rPr>
                <w:rFonts w:hint="eastAsia" w:ascii="宋体" w:hAnsi="宋体" w:cs="宋体"/>
                <w:color w:val="auto"/>
                <w:highlight w:val="none"/>
              </w:rPr>
            </w:pPr>
          </w:p>
        </w:tc>
        <w:tc>
          <w:tcPr>
            <w:tcW w:w="870" w:type="pct"/>
            <w:gridSpan w:val="2"/>
            <w:noWrap w:val="0"/>
            <w:vAlign w:val="center"/>
          </w:tcPr>
          <w:p w14:paraId="56EB5FFB">
            <w:pPr>
              <w:jc w:val="center"/>
              <w:rPr>
                <w:rFonts w:hint="eastAsia" w:ascii="宋体" w:hAnsi="宋体" w:cs="宋体"/>
                <w:color w:val="auto"/>
                <w:highlight w:val="none"/>
              </w:rPr>
            </w:pPr>
          </w:p>
        </w:tc>
      </w:tr>
      <w:tr w14:paraId="17E05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16" w:type="pct"/>
          <w:trHeight w:val="2014" w:hRule="atLeast"/>
        </w:trPr>
        <w:tc>
          <w:tcPr>
            <w:tcW w:w="298" w:type="pct"/>
            <w:noWrap w:val="0"/>
            <w:vAlign w:val="center"/>
          </w:tcPr>
          <w:p w14:paraId="08FAA026">
            <w:pPr>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3</w:t>
            </w:r>
          </w:p>
        </w:tc>
        <w:tc>
          <w:tcPr>
            <w:tcW w:w="807" w:type="pct"/>
            <w:gridSpan w:val="3"/>
            <w:noWrap w:val="0"/>
            <w:vAlign w:val="center"/>
          </w:tcPr>
          <w:p w14:paraId="790ABF97">
            <w:pPr>
              <w:jc w:val="center"/>
              <w:rPr>
                <w:rFonts w:hint="eastAsia" w:ascii="宋体" w:hAnsi="宋体"/>
                <w:b/>
                <w:bCs/>
                <w:color w:val="auto"/>
                <w:szCs w:val="21"/>
                <w:highlight w:val="none"/>
              </w:rPr>
            </w:pPr>
            <w:r>
              <w:rPr>
                <w:rFonts w:hint="eastAsia" w:ascii="宋体" w:hAnsi="宋体" w:cs="宋体"/>
                <w:color w:val="auto"/>
                <w:highlight w:val="none"/>
              </w:rPr>
              <w:t>合同履约情况及文件存档</w:t>
            </w:r>
          </w:p>
        </w:tc>
        <w:tc>
          <w:tcPr>
            <w:tcW w:w="2376" w:type="pct"/>
            <w:gridSpan w:val="2"/>
            <w:noWrap w:val="0"/>
            <w:vAlign w:val="center"/>
          </w:tcPr>
          <w:p w14:paraId="7C9C0699">
            <w:pPr>
              <w:jc w:val="left"/>
              <w:rPr>
                <w:rFonts w:hint="eastAsia" w:ascii="宋体" w:hAnsi="宋体" w:cs="宋体"/>
                <w:color w:val="auto"/>
                <w:highlight w:val="none"/>
              </w:rPr>
            </w:pPr>
            <w:r>
              <w:rPr>
                <w:rFonts w:hint="eastAsia" w:ascii="宋体" w:hAnsi="宋体" w:cs="宋体"/>
                <w:color w:val="auto"/>
                <w:szCs w:val="22"/>
                <w:highlight w:val="none"/>
              </w:rPr>
              <w:t>1.</w:t>
            </w:r>
            <w:r>
              <w:rPr>
                <w:rFonts w:hint="eastAsia" w:ascii="宋体" w:hAnsi="宋体" w:cs="宋体"/>
                <w:color w:val="auto"/>
                <w:highlight w:val="none"/>
              </w:rPr>
              <w:t>合同履约情况核对：</w:t>
            </w:r>
            <w:r>
              <w:rPr>
                <w:rFonts w:ascii="宋体" w:hAnsi="宋体" w:cs="宋体"/>
                <w:color w:val="auto"/>
                <w:highlight w:val="none"/>
              </w:rPr>
              <w:t>严格按照合同约定工期</w:t>
            </w:r>
            <w:r>
              <w:rPr>
                <w:rFonts w:hint="eastAsia" w:ascii="宋体" w:hAnsi="宋体" w:cs="宋体"/>
                <w:color w:val="auto"/>
                <w:highlight w:val="none"/>
              </w:rPr>
              <w:t>执行，</w:t>
            </w:r>
            <w:r>
              <w:rPr>
                <w:rFonts w:ascii="宋体" w:hAnsi="宋体" w:cs="宋体"/>
                <w:color w:val="auto"/>
                <w:highlight w:val="none"/>
              </w:rPr>
              <w:t>无逾期</w:t>
            </w:r>
            <w:r>
              <w:rPr>
                <w:rFonts w:hint="eastAsia" w:ascii="宋体" w:hAnsi="宋体" w:cs="宋体"/>
                <w:color w:val="auto"/>
                <w:highlight w:val="none"/>
              </w:rPr>
              <w:t>，</w:t>
            </w:r>
            <w:r>
              <w:rPr>
                <w:rFonts w:ascii="宋体" w:hAnsi="宋体" w:cs="宋体"/>
                <w:color w:val="auto"/>
                <w:highlight w:val="none"/>
              </w:rPr>
              <w:t>合同约定的产品交付、安装调试、培训服务等内容均已完成，履约记录完整（</w:t>
            </w:r>
            <w:r>
              <w:rPr>
                <w:rFonts w:hint="eastAsia" w:ascii="宋体" w:hAnsi="宋体" w:cs="宋体"/>
                <w:color w:val="auto"/>
                <w:highlight w:val="none"/>
              </w:rPr>
              <w:t>3</w:t>
            </w:r>
            <w:r>
              <w:rPr>
                <w:rFonts w:ascii="宋体" w:hAnsi="宋体" w:cs="宋体"/>
                <w:color w:val="auto"/>
                <w:highlight w:val="none"/>
              </w:rPr>
              <w:t>分）</w:t>
            </w:r>
            <w:r>
              <w:rPr>
                <w:rFonts w:ascii="宋体" w:hAnsi="宋体" w:cs="宋体"/>
                <w:color w:val="auto"/>
                <w:highlight w:val="none"/>
              </w:rPr>
              <w:br w:type="textWrapping"/>
            </w:r>
            <w:r>
              <w:rPr>
                <w:rFonts w:hint="eastAsia" w:ascii="宋体" w:hAnsi="宋体" w:cs="宋体"/>
                <w:color w:val="auto"/>
                <w:highlight w:val="none"/>
              </w:rPr>
              <w:t>2.文件存档检验：</w:t>
            </w:r>
            <w:r>
              <w:rPr>
                <w:rFonts w:ascii="宋体" w:hAnsi="宋体" w:cs="宋体"/>
                <w:color w:val="auto"/>
                <w:highlight w:val="none"/>
              </w:rPr>
              <w:t>合同</w:t>
            </w:r>
            <w:r>
              <w:rPr>
                <w:rFonts w:hint="eastAsia" w:ascii="宋体" w:hAnsi="宋体" w:cs="宋体"/>
                <w:color w:val="auto"/>
                <w:highlight w:val="none"/>
              </w:rPr>
              <w:t>、操作手册</w:t>
            </w:r>
            <w:r>
              <w:rPr>
                <w:rFonts w:ascii="宋体" w:hAnsi="宋体" w:cs="宋体"/>
                <w:color w:val="auto"/>
                <w:highlight w:val="none"/>
              </w:rPr>
              <w:t>等相关文件存档规范，内容真实有效（</w:t>
            </w:r>
            <w:r>
              <w:rPr>
                <w:rFonts w:hint="eastAsia" w:ascii="宋体" w:hAnsi="宋体" w:cs="宋体"/>
                <w:color w:val="auto"/>
                <w:highlight w:val="none"/>
              </w:rPr>
              <w:t>2</w:t>
            </w:r>
            <w:r>
              <w:rPr>
                <w:rFonts w:ascii="宋体" w:hAnsi="宋体" w:cs="宋体"/>
                <w:color w:val="auto"/>
                <w:highlight w:val="none"/>
              </w:rPr>
              <w:t>分）</w:t>
            </w:r>
          </w:p>
        </w:tc>
        <w:tc>
          <w:tcPr>
            <w:tcW w:w="430" w:type="pct"/>
            <w:noWrap w:val="0"/>
            <w:vAlign w:val="center"/>
          </w:tcPr>
          <w:p w14:paraId="48963D59">
            <w:pPr>
              <w:jc w:val="center"/>
              <w:rPr>
                <w:rFonts w:hint="eastAsia" w:ascii="宋体" w:hAnsi="宋体" w:cs="宋体"/>
                <w:color w:val="auto"/>
                <w:highlight w:val="none"/>
              </w:rPr>
            </w:pPr>
          </w:p>
        </w:tc>
        <w:tc>
          <w:tcPr>
            <w:tcW w:w="870" w:type="pct"/>
            <w:gridSpan w:val="2"/>
            <w:noWrap w:val="0"/>
            <w:vAlign w:val="center"/>
          </w:tcPr>
          <w:p w14:paraId="35D2B6D3">
            <w:pPr>
              <w:jc w:val="center"/>
              <w:rPr>
                <w:rFonts w:hint="eastAsia" w:ascii="宋体" w:hAnsi="宋体" w:cs="宋体"/>
                <w:color w:val="auto"/>
                <w:highlight w:val="none"/>
              </w:rPr>
            </w:pPr>
          </w:p>
        </w:tc>
      </w:tr>
      <w:tr w14:paraId="7D7F3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16" w:type="pct"/>
          <w:trHeight w:val="1678" w:hRule="atLeast"/>
        </w:trPr>
        <w:tc>
          <w:tcPr>
            <w:tcW w:w="1106" w:type="pct"/>
            <w:gridSpan w:val="4"/>
            <w:noWrap w:val="0"/>
            <w:vAlign w:val="center"/>
          </w:tcPr>
          <w:p w14:paraId="0E2AE91C">
            <w:pPr>
              <w:jc w:val="center"/>
              <w:rPr>
                <w:rFonts w:hint="eastAsia" w:ascii="宋体" w:hAnsi="宋体" w:cs="宋体"/>
                <w:color w:val="auto"/>
                <w:szCs w:val="21"/>
                <w:highlight w:val="none"/>
              </w:rPr>
            </w:pPr>
            <w:r>
              <w:rPr>
                <w:rFonts w:hint="eastAsia" w:ascii="宋体" w:hAnsi="宋体" w:cs="宋体"/>
                <w:color w:val="auto"/>
                <w:szCs w:val="21"/>
                <w:highlight w:val="none"/>
              </w:rPr>
              <w:t>验收工作</w:t>
            </w:r>
          </w:p>
          <w:p w14:paraId="1874D531">
            <w:pPr>
              <w:jc w:val="center"/>
              <w:rPr>
                <w:rFonts w:hint="eastAsia" w:ascii="宋体" w:hAnsi="宋体" w:cs="宋体"/>
                <w:color w:val="auto"/>
                <w:szCs w:val="21"/>
                <w:highlight w:val="none"/>
              </w:rPr>
            </w:pPr>
            <w:r>
              <w:rPr>
                <w:rFonts w:hint="eastAsia" w:ascii="宋体" w:hAnsi="宋体" w:cs="宋体"/>
                <w:color w:val="auto"/>
                <w:szCs w:val="21"/>
                <w:highlight w:val="none"/>
              </w:rPr>
              <w:t>相关附件明细</w:t>
            </w:r>
          </w:p>
          <w:p w14:paraId="51A5F33E">
            <w:pPr>
              <w:jc w:val="center"/>
              <w:rPr>
                <w:rFonts w:hint="eastAsia" w:ascii="宋体" w:hAnsi="宋体" w:cs="宋体"/>
                <w:color w:val="auto"/>
                <w:szCs w:val="21"/>
                <w:highlight w:val="none"/>
              </w:rPr>
            </w:pPr>
            <w:r>
              <w:rPr>
                <w:rFonts w:hint="eastAsia" w:ascii="宋体" w:hAnsi="宋体" w:cs="宋体"/>
                <w:color w:val="auto"/>
                <w:szCs w:val="21"/>
                <w:highlight w:val="none"/>
              </w:rPr>
              <w:t>（如有）</w:t>
            </w:r>
          </w:p>
        </w:tc>
        <w:tc>
          <w:tcPr>
            <w:tcW w:w="3677" w:type="pct"/>
            <w:gridSpan w:val="5"/>
            <w:noWrap w:val="0"/>
            <w:vAlign w:val="top"/>
          </w:tcPr>
          <w:p w14:paraId="52B0443F">
            <w:pPr>
              <w:rPr>
                <w:rFonts w:hint="eastAsia" w:ascii="宋体" w:hAnsi="宋体" w:cs="宋体"/>
                <w:color w:val="auto"/>
                <w:szCs w:val="21"/>
                <w:highlight w:val="none"/>
              </w:rPr>
            </w:pPr>
          </w:p>
        </w:tc>
      </w:tr>
      <w:tr w14:paraId="1534B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16" w:type="pct"/>
          <w:trHeight w:val="567" w:hRule="atLeast"/>
        </w:trPr>
        <w:tc>
          <w:tcPr>
            <w:tcW w:w="1106" w:type="pct"/>
            <w:gridSpan w:val="4"/>
            <w:noWrap w:val="0"/>
            <w:vAlign w:val="center"/>
          </w:tcPr>
          <w:p w14:paraId="7620754A">
            <w:pPr>
              <w:jc w:val="center"/>
              <w:rPr>
                <w:rFonts w:hint="eastAsia" w:ascii="宋体" w:hAnsi="宋体" w:cs="宋体"/>
                <w:color w:val="auto"/>
                <w:szCs w:val="21"/>
                <w:highlight w:val="none"/>
              </w:rPr>
            </w:pPr>
            <w:r>
              <w:rPr>
                <w:rFonts w:hint="eastAsia" w:ascii="宋体" w:hAnsi="宋体" w:cs="宋体"/>
                <w:color w:val="auto"/>
                <w:szCs w:val="21"/>
                <w:highlight w:val="none"/>
              </w:rPr>
              <w:t>考核负责人签字</w:t>
            </w:r>
          </w:p>
        </w:tc>
        <w:tc>
          <w:tcPr>
            <w:tcW w:w="3677" w:type="pct"/>
            <w:gridSpan w:val="5"/>
            <w:noWrap w:val="0"/>
            <w:vAlign w:val="center"/>
          </w:tcPr>
          <w:p w14:paraId="7373234A">
            <w:pPr>
              <w:rPr>
                <w:rFonts w:hint="eastAsia" w:ascii="宋体" w:hAnsi="宋体" w:cs="宋体"/>
                <w:color w:val="auto"/>
                <w:szCs w:val="21"/>
                <w:highlight w:val="none"/>
              </w:rPr>
            </w:pPr>
          </w:p>
        </w:tc>
      </w:tr>
    </w:tbl>
    <w:p w14:paraId="2112874D">
      <w:pPr>
        <w:spacing w:line="560" w:lineRule="exact"/>
        <w:ind w:firstLine="480" w:firstLineChars="200"/>
        <w:jc w:val="left"/>
        <w:rPr>
          <w:rFonts w:ascii="仿宋" w:hAnsi="仿宋" w:eastAsia="仿宋"/>
          <w:color w:val="auto"/>
          <w:sz w:val="32"/>
          <w:szCs w:val="32"/>
          <w:highlight w:val="none"/>
        </w:rPr>
      </w:pPr>
      <w:r>
        <w:rPr>
          <w:rFonts w:hint="eastAsia" w:ascii="宋体" w:hAnsi="宋体"/>
          <w:color w:val="auto"/>
          <w:sz w:val="24"/>
          <w:highlight w:val="none"/>
        </w:rPr>
        <w:br w:type="page"/>
      </w:r>
      <w:r>
        <w:rPr>
          <w:rFonts w:hint="eastAsia" w:ascii="仿宋" w:hAnsi="仿宋" w:eastAsia="仿宋"/>
          <w:color w:val="auto"/>
          <w:sz w:val="32"/>
          <w:szCs w:val="32"/>
          <w:highlight w:val="none"/>
        </w:rPr>
        <w:t>包3-家具</w:t>
      </w:r>
    </w:p>
    <w:p w14:paraId="61FE0943">
      <w:pPr>
        <w:spacing w:line="560" w:lineRule="exact"/>
        <w:ind w:firstLine="640" w:firstLineChars="200"/>
        <w:jc w:val="left"/>
        <w:rPr>
          <w:rFonts w:hint="eastAsia" w:ascii="仿宋" w:hAnsi="仿宋" w:eastAsia="仿宋"/>
          <w:color w:val="auto"/>
          <w:sz w:val="32"/>
          <w:szCs w:val="32"/>
          <w:highlight w:val="none"/>
        </w:rPr>
      </w:pPr>
      <w:r>
        <w:rPr>
          <w:rFonts w:hint="eastAsia" w:ascii="仿宋" w:hAnsi="仿宋" w:eastAsia="仿宋"/>
          <w:color w:val="auto"/>
          <w:sz w:val="32"/>
          <w:szCs w:val="32"/>
          <w:highlight w:val="none"/>
        </w:rPr>
        <w:t>1</w:t>
      </w:r>
      <w:r>
        <w:rPr>
          <w:rFonts w:ascii="仿宋" w:hAnsi="仿宋" w:eastAsia="仿宋"/>
          <w:color w:val="auto"/>
          <w:sz w:val="32"/>
          <w:szCs w:val="32"/>
          <w:highlight w:val="none"/>
        </w:rPr>
        <w:t>.</w:t>
      </w:r>
      <w:r>
        <w:rPr>
          <w:rFonts w:hint="eastAsia" w:ascii="仿宋" w:hAnsi="仿宋" w:eastAsia="仿宋"/>
          <w:color w:val="auto"/>
          <w:sz w:val="32"/>
          <w:szCs w:val="32"/>
          <w:highlight w:val="none"/>
        </w:rPr>
        <w:t>技术要求</w:t>
      </w:r>
    </w:p>
    <w:p w14:paraId="24873CA0">
      <w:pPr>
        <w:pStyle w:val="50"/>
        <w:widowControl/>
        <w:ind w:firstLine="480"/>
        <w:rPr>
          <w:rFonts w:ascii="宋体" w:hAnsi="宋体" w:eastAsia="宋体"/>
          <w:color w:val="auto"/>
          <w:highlight w:val="none"/>
        </w:rPr>
      </w:pPr>
      <w:r>
        <w:rPr>
          <w:rFonts w:hint="eastAsia" w:ascii="宋体" w:hAnsi="宋体" w:eastAsia="宋体"/>
          <w:color w:val="auto"/>
          <w:highlight w:val="none"/>
        </w:rPr>
        <w:t>（1）供应商须承诺所提供的服务、人员、设备及耗材符合国家相关强制性规定。交货时采购人有权要求供应商出具所提供的服务、人员、设备及耗材符合上述规定的证明文件。</w:t>
      </w:r>
    </w:p>
    <w:p w14:paraId="28A0AEED">
      <w:pPr>
        <w:pStyle w:val="50"/>
        <w:widowControl/>
        <w:ind w:firstLine="480"/>
        <w:rPr>
          <w:rFonts w:ascii="宋体" w:hAnsi="宋体" w:eastAsia="宋体"/>
          <w:color w:val="auto"/>
          <w:highlight w:val="none"/>
        </w:rPr>
      </w:pPr>
      <w:r>
        <w:rPr>
          <w:rFonts w:hint="eastAsia" w:ascii="宋体" w:hAnsi="宋体" w:eastAsia="宋体"/>
          <w:color w:val="auto"/>
          <w:highlight w:val="none"/>
        </w:rPr>
        <w:t>（2）本项目不接受赠品或者与采购无关的其他商品、服务，供应商亦不得以采购人要求实施前述馈赠、回扣等行为。</w:t>
      </w:r>
    </w:p>
    <w:p w14:paraId="79A7C48E">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3</w:t>
      </w:r>
      <w:r>
        <w:rPr>
          <w:rFonts w:hint="eastAsia" w:ascii="宋体" w:hAnsi="宋体" w:eastAsia="宋体"/>
          <w:color w:val="auto"/>
          <w:highlight w:val="none"/>
        </w:rPr>
        <w:t>）供应商所提供的技术资料完整正确，数据和资料准确无误，能够保证设备按时正确地安装、调试和验收，并能满足正常运行和维修保养的需要。</w:t>
      </w:r>
    </w:p>
    <w:p w14:paraId="6480EE7F">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4</w:t>
      </w:r>
      <w:r>
        <w:rPr>
          <w:rFonts w:hint="eastAsia" w:ascii="宋体" w:hAnsi="宋体" w:eastAsia="宋体"/>
          <w:color w:val="auto"/>
          <w:highlight w:val="none"/>
        </w:rPr>
        <w:t>）响应产品须保证市场成熟度高，质量稳定性好，供应商所投及交付货物应无知识产权纠纷。若出现知识产权纠纷等法律问题，由供应商自行承担。</w:t>
      </w:r>
    </w:p>
    <w:p w14:paraId="6AB65D67">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5</w:t>
      </w:r>
      <w:r>
        <w:rPr>
          <w:rFonts w:hint="eastAsia" w:ascii="宋体" w:hAnsi="宋体" w:eastAsia="宋体"/>
          <w:color w:val="auto"/>
          <w:highlight w:val="none"/>
        </w:rPr>
        <w:t>）本项目产品中如有产品列入《环境标志产品政府采购品目清单》的产品，供应商须提供国家确定的认证机构出具的处于有效期之内的环境标志产品认证证书复印件并加盖公章。</w:t>
      </w:r>
    </w:p>
    <w:p w14:paraId="20B55294">
      <w:pPr>
        <w:pStyle w:val="50"/>
        <w:widowControl/>
        <w:ind w:firstLine="480"/>
        <w:rPr>
          <w:rFonts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6</w:t>
      </w:r>
      <w:r>
        <w:rPr>
          <w:rFonts w:hint="eastAsia" w:ascii="宋体" w:hAnsi="宋体" w:eastAsia="宋体"/>
          <w:color w:val="auto"/>
          <w:highlight w:val="none"/>
        </w:rPr>
        <w:t>）供应商按照项目需求中的要求，须在响应文件中对所投项目产品整体性能、产品的安全性和耐用性、产品的维修、维护方案、产品质量和稳定性、售后服务承诺、培训方案与培训计划等，提供详细的技术文件。</w:t>
      </w:r>
    </w:p>
    <w:p w14:paraId="0CBF1EB2">
      <w:pPr>
        <w:pStyle w:val="50"/>
        <w:widowControl/>
        <w:ind w:firstLine="480"/>
        <w:rPr>
          <w:rFonts w:hint="eastAsia" w:ascii="宋体" w:hAnsi="宋体" w:eastAsia="宋体"/>
          <w:color w:val="auto"/>
          <w:highlight w:val="none"/>
        </w:rPr>
      </w:pPr>
      <w:r>
        <w:rPr>
          <w:rFonts w:hint="eastAsia" w:ascii="宋体" w:hAnsi="宋体" w:eastAsia="宋体"/>
          <w:color w:val="auto"/>
          <w:highlight w:val="none"/>
        </w:rPr>
        <w:t>（</w:t>
      </w:r>
      <w:r>
        <w:rPr>
          <w:rFonts w:ascii="宋体" w:hAnsi="宋体" w:eastAsia="宋体"/>
          <w:color w:val="auto"/>
          <w:highlight w:val="none"/>
        </w:rPr>
        <w:t>7</w:t>
      </w:r>
      <w:r>
        <w:rPr>
          <w:rFonts w:hint="eastAsia" w:ascii="宋体" w:hAnsi="宋体" w:eastAsia="宋体"/>
          <w:color w:val="auto"/>
          <w:highlight w:val="none"/>
        </w:rPr>
        <w:t>）具体需求：</w:t>
      </w:r>
    </w:p>
    <w:p w14:paraId="56EB5B4D">
      <w:pPr>
        <w:pStyle w:val="50"/>
        <w:widowControl/>
        <w:ind w:firstLine="480"/>
        <w:rPr>
          <w:rFonts w:ascii="宋体" w:hAnsi="宋体" w:eastAsia="宋体"/>
          <w:color w:val="auto"/>
          <w:highlight w:val="none"/>
        </w:rPr>
      </w:pPr>
      <w:r>
        <w:rPr>
          <w:rFonts w:hint="eastAsia" w:ascii="宋体" w:hAnsi="宋体" w:eastAsia="宋体"/>
          <w:color w:val="auto"/>
          <w:highlight w:val="none"/>
        </w:rPr>
        <w:t>①教学、实验用桌，详见附件5</w:t>
      </w:r>
    </w:p>
    <w:p w14:paraId="44F17753">
      <w:pPr>
        <w:spacing w:line="560" w:lineRule="exact"/>
        <w:ind w:firstLine="640" w:firstLineChars="200"/>
        <w:jc w:val="left"/>
        <w:rPr>
          <w:rFonts w:ascii="仿宋" w:hAnsi="仿宋" w:eastAsia="仿宋"/>
          <w:color w:val="auto"/>
          <w:sz w:val="32"/>
          <w:szCs w:val="32"/>
          <w:highlight w:val="none"/>
        </w:rPr>
      </w:pPr>
      <w:r>
        <w:rPr>
          <w:rFonts w:hint="eastAsia" w:ascii="仿宋" w:hAnsi="仿宋" w:eastAsia="仿宋"/>
          <w:color w:val="auto"/>
          <w:sz w:val="32"/>
          <w:szCs w:val="32"/>
          <w:highlight w:val="none"/>
        </w:rPr>
        <w:br w:type="page"/>
      </w:r>
      <w:r>
        <w:rPr>
          <w:rFonts w:hint="eastAsia" w:ascii="仿宋" w:hAnsi="仿宋" w:eastAsia="仿宋"/>
          <w:color w:val="auto"/>
          <w:sz w:val="32"/>
          <w:szCs w:val="32"/>
          <w:highlight w:val="none"/>
        </w:rPr>
        <w:t>2</w:t>
      </w:r>
      <w:r>
        <w:rPr>
          <w:rFonts w:ascii="仿宋" w:hAnsi="仿宋" w:eastAsia="仿宋"/>
          <w:color w:val="auto"/>
          <w:sz w:val="32"/>
          <w:szCs w:val="32"/>
          <w:highlight w:val="none"/>
        </w:rPr>
        <w:t>.</w:t>
      </w:r>
      <w:r>
        <w:rPr>
          <w:rFonts w:hint="eastAsia" w:ascii="仿宋" w:hAnsi="仿宋" w:eastAsia="仿宋"/>
          <w:color w:val="auto"/>
          <w:sz w:val="32"/>
          <w:szCs w:val="32"/>
          <w:highlight w:val="none"/>
        </w:rPr>
        <w:t>商务要求</w:t>
      </w:r>
    </w:p>
    <w:tbl>
      <w:tblPr>
        <w:tblStyle w:val="12"/>
        <w:tblW w:w="5096"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605"/>
        <w:gridCol w:w="1152"/>
        <w:gridCol w:w="4282"/>
        <w:gridCol w:w="772"/>
        <w:gridCol w:w="1875"/>
      </w:tblGrid>
      <w:tr w14:paraId="5CFB75A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5" w:hRule="atLeast"/>
          <w:jc w:val="center"/>
        </w:trPr>
        <w:tc>
          <w:tcPr>
            <w:tcW w:w="348" w:type="pct"/>
            <w:noWrap w:val="0"/>
            <w:vAlign w:val="center"/>
          </w:tcPr>
          <w:p w14:paraId="75F1A76A">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序号</w:t>
            </w:r>
          </w:p>
        </w:tc>
        <w:tc>
          <w:tcPr>
            <w:tcW w:w="663" w:type="pct"/>
            <w:noWrap w:val="0"/>
            <w:vAlign w:val="center"/>
          </w:tcPr>
          <w:p w14:paraId="6C2FCF20">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需求条款</w:t>
            </w:r>
          </w:p>
        </w:tc>
        <w:tc>
          <w:tcPr>
            <w:tcW w:w="2464" w:type="pct"/>
            <w:noWrap w:val="0"/>
            <w:vAlign w:val="center"/>
          </w:tcPr>
          <w:p w14:paraId="04EE34FD">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具体要求</w:t>
            </w:r>
          </w:p>
        </w:tc>
        <w:tc>
          <w:tcPr>
            <w:tcW w:w="444" w:type="pct"/>
            <w:noWrap w:val="0"/>
            <w:vAlign w:val="center"/>
          </w:tcPr>
          <w:p w14:paraId="5BD17C45">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是否为实质性条款</w:t>
            </w:r>
          </w:p>
        </w:tc>
        <w:tc>
          <w:tcPr>
            <w:tcW w:w="1079" w:type="pct"/>
            <w:noWrap w:val="0"/>
            <w:vAlign w:val="center"/>
          </w:tcPr>
          <w:p w14:paraId="587620C6">
            <w:pPr>
              <w:widowControl/>
              <w:spacing w:line="0" w:lineRule="atLeast"/>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原因说明（实质性条款需列明原因）</w:t>
            </w:r>
          </w:p>
        </w:tc>
      </w:tr>
      <w:tr w14:paraId="1C4986D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restart"/>
            <w:noWrap w:val="0"/>
            <w:vAlign w:val="center"/>
          </w:tcPr>
          <w:p w14:paraId="5608C3E1">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1</w:t>
            </w:r>
          </w:p>
        </w:tc>
        <w:tc>
          <w:tcPr>
            <w:tcW w:w="663" w:type="pct"/>
            <w:vMerge w:val="restart"/>
            <w:noWrap w:val="0"/>
            <w:vAlign w:val="center"/>
          </w:tcPr>
          <w:p w14:paraId="4E74679A">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实质性资格要求</w:t>
            </w:r>
          </w:p>
        </w:tc>
        <w:tc>
          <w:tcPr>
            <w:tcW w:w="2464" w:type="pct"/>
            <w:tcBorders>
              <w:bottom w:val="single" w:color="auto" w:sz="8" w:space="0"/>
            </w:tcBorders>
            <w:noWrap w:val="0"/>
            <w:vAlign w:val="center"/>
          </w:tcPr>
          <w:p w14:paraId="78658FDD">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szCs w:val="21"/>
                <w:highlight w:val="none"/>
              </w:rPr>
              <w:t>提供经年检合格的营业执照复印件并加盖公章</w:t>
            </w:r>
          </w:p>
        </w:tc>
        <w:tc>
          <w:tcPr>
            <w:tcW w:w="444" w:type="pct"/>
            <w:vMerge w:val="restart"/>
            <w:noWrap w:val="0"/>
            <w:vAlign w:val="center"/>
          </w:tcPr>
          <w:p w14:paraId="5ACB5B6D">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vMerge w:val="restart"/>
            <w:noWrap w:val="0"/>
            <w:vAlign w:val="center"/>
          </w:tcPr>
          <w:p w14:paraId="41CD170B">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基本要求</w:t>
            </w:r>
          </w:p>
        </w:tc>
      </w:tr>
      <w:tr w14:paraId="50C82A5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3EE8EF39">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6EF380F7">
            <w:pPr>
              <w:widowControl/>
              <w:spacing w:line="0" w:lineRule="atLeast"/>
              <w:jc w:val="center"/>
              <w:rPr>
                <w:rFonts w:hint="eastAsia" w:ascii="宋体" w:hAnsi="宋体" w:cs="宋体"/>
                <w:color w:val="auto"/>
                <w:kern w:val="0"/>
                <w:szCs w:val="21"/>
                <w:highlight w:val="none"/>
              </w:rPr>
            </w:pPr>
          </w:p>
        </w:tc>
        <w:tc>
          <w:tcPr>
            <w:tcW w:w="2464" w:type="pct"/>
            <w:tcBorders>
              <w:bottom w:val="single" w:color="auto" w:sz="8" w:space="0"/>
            </w:tcBorders>
            <w:noWrap w:val="0"/>
            <w:vAlign w:val="center"/>
          </w:tcPr>
          <w:p w14:paraId="61D45288">
            <w:pPr>
              <w:widowControl/>
              <w:spacing w:line="0" w:lineRule="atLeast"/>
              <w:jc w:val="left"/>
              <w:rPr>
                <w:rFonts w:hint="eastAsia" w:ascii="宋体" w:hAnsi="宋体" w:cs="宋体"/>
                <w:color w:val="auto"/>
                <w:szCs w:val="21"/>
                <w:highlight w:val="none"/>
              </w:rPr>
            </w:pPr>
            <w:r>
              <w:rPr>
                <w:rFonts w:hint="eastAsia" w:ascii="宋体" w:hAnsi="宋体" w:cs="宋体"/>
                <w:color w:val="auto"/>
                <w:kern w:val="0"/>
                <w:szCs w:val="21"/>
                <w:highlight w:val="none"/>
              </w:rPr>
              <w:t>供应商须提供经会计师事务所审计的2024年度财务审计报告或投标文件开启时间前6个月以内银行出具的资信证明；</w:t>
            </w:r>
          </w:p>
        </w:tc>
        <w:tc>
          <w:tcPr>
            <w:tcW w:w="444" w:type="pct"/>
            <w:vMerge w:val="continue"/>
            <w:noWrap w:val="0"/>
            <w:vAlign w:val="center"/>
          </w:tcPr>
          <w:p w14:paraId="01E0C857">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6208F016">
            <w:pPr>
              <w:widowControl/>
              <w:spacing w:line="0" w:lineRule="atLeast"/>
              <w:jc w:val="center"/>
              <w:rPr>
                <w:rFonts w:hint="eastAsia" w:ascii="宋体" w:hAnsi="宋体" w:cs="宋体"/>
                <w:color w:val="auto"/>
                <w:kern w:val="0"/>
                <w:szCs w:val="21"/>
                <w:highlight w:val="none"/>
              </w:rPr>
            </w:pPr>
          </w:p>
        </w:tc>
      </w:tr>
      <w:tr w14:paraId="10D58FC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4451900D">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28E57468">
            <w:pPr>
              <w:widowControl/>
              <w:spacing w:line="0" w:lineRule="atLeast"/>
              <w:jc w:val="center"/>
              <w:rPr>
                <w:rFonts w:hint="eastAsia" w:ascii="宋体" w:hAnsi="宋体" w:cs="宋体"/>
                <w:color w:val="auto"/>
                <w:kern w:val="0"/>
                <w:szCs w:val="21"/>
                <w:highlight w:val="none"/>
              </w:rPr>
            </w:pPr>
          </w:p>
        </w:tc>
        <w:tc>
          <w:tcPr>
            <w:tcW w:w="2464" w:type="pct"/>
            <w:tcBorders>
              <w:bottom w:val="single" w:color="auto" w:sz="8" w:space="0"/>
            </w:tcBorders>
            <w:noWrap w:val="0"/>
            <w:vAlign w:val="center"/>
          </w:tcPr>
          <w:p w14:paraId="64BB4508">
            <w:pPr>
              <w:widowControl/>
              <w:spacing w:line="0" w:lineRule="atLeast"/>
              <w:jc w:val="left"/>
              <w:rPr>
                <w:rFonts w:hint="eastAsia" w:ascii="宋体" w:hAnsi="宋体" w:cs="宋体"/>
                <w:color w:val="auto"/>
                <w:szCs w:val="21"/>
                <w:highlight w:val="none"/>
              </w:rPr>
            </w:pPr>
            <w:r>
              <w:rPr>
                <w:rFonts w:hint="eastAsia" w:ascii="宋体" w:hAnsi="宋体" w:cs="宋体"/>
                <w:color w:val="auto"/>
                <w:kern w:val="0"/>
                <w:szCs w:val="21"/>
                <w:highlight w:val="none"/>
              </w:rPr>
              <w:t>供应商须提供法定代表人授权书</w:t>
            </w:r>
          </w:p>
        </w:tc>
        <w:tc>
          <w:tcPr>
            <w:tcW w:w="444" w:type="pct"/>
            <w:vMerge w:val="continue"/>
            <w:noWrap w:val="0"/>
            <w:vAlign w:val="center"/>
          </w:tcPr>
          <w:p w14:paraId="3EFBB665">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4FF8972D">
            <w:pPr>
              <w:widowControl/>
              <w:spacing w:line="0" w:lineRule="atLeast"/>
              <w:jc w:val="center"/>
              <w:rPr>
                <w:rFonts w:hint="eastAsia" w:ascii="宋体" w:hAnsi="宋体" w:cs="宋体"/>
                <w:color w:val="auto"/>
                <w:kern w:val="0"/>
                <w:szCs w:val="21"/>
                <w:highlight w:val="none"/>
              </w:rPr>
            </w:pPr>
          </w:p>
        </w:tc>
      </w:tr>
      <w:tr w14:paraId="349C143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4ABDA060">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4DFB30DF">
            <w:pPr>
              <w:widowControl/>
              <w:spacing w:line="0" w:lineRule="atLeast"/>
              <w:jc w:val="center"/>
              <w:rPr>
                <w:rFonts w:hint="eastAsia" w:ascii="宋体" w:hAnsi="宋体" w:cs="宋体"/>
                <w:color w:val="auto"/>
                <w:kern w:val="0"/>
                <w:szCs w:val="21"/>
                <w:highlight w:val="none"/>
              </w:rPr>
            </w:pPr>
          </w:p>
        </w:tc>
        <w:tc>
          <w:tcPr>
            <w:tcW w:w="2464" w:type="pct"/>
            <w:tcBorders>
              <w:bottom w:val="single" w:color="auto" w:sz="8" w:space="0"/>
            </w:tcBorders>
            <w:noWrap w:val="0"/>
            <w:vAlign w:val="center"/>
          </w:tcPr>
          <w:p w14:paraId="541543AE">
            <w:pPr>
              <w:widowControl/>
              <w:spacing w:line="0" w:lineRule="atLeast"/>
              <w:jc w:val="left"/>
              <w:rPr>
                <w:rFonts w:hint="eastAsia" w:ascii="宋体" w:hAnsi="宋体" w:cs="宋体"/>
                <w:color w:val="auto"/>
                <w:szCs w:val="21"/>
                <w:highlight w:val="none"/>
              </w:rPr>
            </w:pPr>
            <w:r>
              <w:rPr>
                <w:rFonts w:hint="eastAsia" w:ascii="宋体" w:hAnsi="宋体" w:cs="宋体"/>
                <w:color w:val="auto"/>
                <w:kern w:val="0"/>
                <w:szCs w:val="21"/>
                <w:highlight w:val="none"/>
              </w:rPr>
              <w:t>供应商须提供202</w:t>
            </w:r>
            <w:r>
              <w:rPr>
                <w:rFonts w:hint="eastAsia" w:ascii="宋体" w:hAnsi="宋体" w:cs="宋体"/>
                <w:color w:val="auto"/>
                <w:kern w:val="0"/>
                <w:szCs w:val="21"/>
                <w:highlight w:val="none"/>
                <w:lang w:val="en-US" w:eastAsia="zh-CN"/>
              </w:rPr>
              <w:t>5</w:t>
            </w:r>
            <w:r>
              <w:rPr>
                <w:rFonts w:hint="eastAsia" w:ascii="宋体" w:hAnsi="宋体" w:cs="宋体"/>
                <w:color w:val="auto"/>
                <w:kern w:val="0"/>
                <w:szCs w:val="21"/>
                <w:highlight w:val="none"/>
              </w:rPr>
              <w:t>年至少一个月依法纳税的相关证明材料，依法免税或者零申报的提供相应文件说明；</w:t>
            </w:r>
          </w:p>
        </w:tc>
        <w:tc>
          <w:tcPr>
            <w:tcW w:w="444" w:type="pct"/>
            <w:vMerge w:val="continue"/>
            <w:noWrap w:val="0"/>
            <w:vAlign w:val="center"/>
          </w:tcPr>
          <w:p w14:paraId="39ABCAF2">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401C2D6E">
            <w:pPr>
              <w:widowControl/>
              <w:spacing w:line="0" w:lineRule="atLeast"/>
              <w:jc w:val="center"/>
              <w:rPr>
                <w:rFonts w:hint="eastAsia" w:ascii="宋体" w:hAnsi="宋体" w:cs="宋体"/>
                <w:color w:val="auto"/>
                <w:kern w:val="0"/>
                <w:szCs w:val="21"/>
                <w:highlight w:val="none"/>
              </w:rPr>
            </w:pPr>
          </w:p>
        </w:tc>
      </w:tr>
      <w:tr w14:paraId="4F767CE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10C3D0B8">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11565E35">
            <w:pPr>
              <w:widowControl/>
              <w:spacing w:line="0" w:lineRule="atLeast"/>
              <w:jc w:val="center"/>
              <w:rPr>
                <w:rFonts w:hint="eastAsia" w:ascii="宋体" w:hAnsi="宋体" w:cs="宋体"/>
                <w:color w:val="auto"/>
                <w:kern w:val="0"/>
                <w:szCs w:val="21"/>
                <w:highlight w:val="none"/>
              </w:rPr>
            </w:pPr>
          </w:p>
        </w:tc>
        <w:tc>
          <w:tcPr>
            <w:tcW w:w="2464" w:type="pct"/>
            <w:tcBorders>
              <w:bottom w:val="single" w:color="auto" w:sz="8" w:space="0"/>
            </w:tcBorders>
            <w:noWrap w:val="0"/>
            <w:vAlign w:val="center"/>
          </w:tcPr>
          <w:p w14:paraId="02A9F747">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供应商须提供投标截止时间前3年在经营活动中没有重大违法记录的书面声明（截至投标截止时间成立不足3年的投标人可提供自成立以来无重大违法记录的书面声明）；</w:t>
            </w:r>
          </w:p>
        </w:tc>
        <w:tc>
          <w:tcPr>
            <w:tcW w:w="444" w:type="pct"/>
            <w:vMerge w:val="continue"/>
            <w:noWrap w:val="0"/>
            <w:vAlign w:val="center"/>
          </w:tcPr>
          <w:p w14:paraId="6593F13C">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62954410">
            <w:pPr>
              <w:widowControl/>
              <w:spacing w:line="0" w:lineRule="atLeast"/>
              <w:jc w:val="center"/>
              <w:rPr>
                <w:rFonts w:hint="eastAsia" w:ascii="宋体" w:hAnsi="宋体" w:cs="宋体"/>
                <w:color w:val="auto"/>
                <w:kern w:val="0"/>
                <w:szCs w:val="21"/>
                <w:highlight w:val="none"/>
              </w:rPr>
            </w:pPr>
          </w:p>
        </w:tc>
      </w:tr>
      <w:tr w14:paraId="27B6B85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vMerge w:val="continue"/>
            <w:noWrap w:val="0"/>
            <w:vAlign w:val="center"/>
          </w:tcPr>
          <w:p w14:paraId="1758FC6F">
            <w:pPr>
              <w:widowControl/>
              <w:spacing w:line="0" w:lineRule="atLeast"/>
              <w:jc w:val="center"/>
              <w:rPr>
                <w:rFonts w:hint="eastAsia" w:ascii="宋体" w:hAnsi="宋体" w:cs="宋体"/>
                <w:color w:val="auto"/>
                <w:kern w:val="0"/>
                <w:szCs w:val="21"/>
                <w:highlight w:val="none"/>
              </w:rPr>
            </w:pPr>
          </w:p>
        </w:tc>
        <w:tc>
          <w:tcPr>
            <w:tcW w:w="663" w:type="pct"/>
            <w:vMerge w:val="continue"/>
            <w:noWrap w:val="0"/>
            <w:vAlign w:val="center"/>
          </w:tcPr>
          <w:p w14:paraId="336FC63B">
            <w:pPr>
              <w:widowControl/>
              <w:spacing w:line="0" w:lineRule="atLeast"/>
              <w:jc w:val="center"/>
              <w:rPr>
                <w:rFonts w:hint="eastAsia" w:ascii="宋体" w:hAnsi="宋体" w:cs="宋体"/>
                <w:color w:val="auto"/>
                <w:kern w:val="0"/>
                <w:szCs w:val="21"/>
                <w:highlight w:val="none"/>
              </w:rPr>
            </w:pPr>
          </w:p>
        </w:tc>
        <w:tc>
          <w:tcPr>
            <w:tcW w:w="2464" w:type="pct"/>
            <w:tcBorders>
              <w:bottom w:val="single" w:color="auto" w:sz="8" w:space="0"/>
            </w:tcBorders>
            <w:noWrap w:val="0"/>
            <w:vAlign w:val="center"/>
          </w:tcPr>
          <w:p w14:paraId="51D3980B">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按照《财政部关于在政府采购活动中查询及使用信用记录有关问题的通知》（财库〔2016〕125号）的要求，根据开标当日“信用中国”网站（www.creditchina.gov.cn）、中国政府采购网（www.ccgp.gov.cn）的信息</w:t>
            </w:r>
          </w:p>
        </w:tc>
        <w:tc>
          <w:tcPr>
            <w:tcW w:w="444" w:type="pct"/>
            <w:vMerge w:val="continue"/>
            <w:noWrap w:val="0"/>
            <w:vAlign w:val="center"/>
          </w:tcPr>
          <w:p w14:paraId="6D9B94BC">
            <w:pPr>
              <w:widowControl/>
              <w:spacing w:line="0" w:lineRule="atLeast"/>
              <w:jc w:val="center"/>
              <w:rPr>
                <w:rFonts w:hint="eastAsia" w:ascii="宋体" w:hAnsi="宋体" w:cs="宋体"/>
                <w:color w:val="auto"/>
                <w:kern w:val="0"/>
                <w:szCs w:val="21"/>
                <w:highlight w:val="none"/>
              </w:rPr>
            </w:pPr>
          </w:p>
        </w:tc>
        <w:tc>
          <w:tcPr>
            <w:tcW w:w="1079" w:type="pct"/>
            <w:vMerge w:val="continue"/>
            <w:noWrap w:val="0"/>
            <w:vAlign w:val="center"/>
          </w:tcPr>
          <w:p w14:paraId="77F89E03">
            <w:pPr>
              <w:widowControl/>
              <w:spacing w:line="0" w:lineRule="atLeast"/>
              <w:jc w:val="center"/>
              <w:rPr>
                <w:rFonts w:hint="eastAsia" w:ascii="宋体" w:hAnsi="宋体" w:cs="宋体"/>
                <w:color w:val="auto"/>
                <w:kern w:val="0"/>
                <w:szCs w:val="21"/>
                <w:highlight w:val="none"/>
              </w:rPr>
            </w:pPr>
          </w:p>
        </w:tc>
      </w:tr>
      <w:tr w14:paraId="43E71E9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7E78AE87">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2</w:t>
            </w:r>
          </w:p>
        </w:tc>
        <w:tc>
          <w:tcPr>
            <w:tcW w:w="663" w:type="pct"/>
            <w:noWrap w:val="0"/>
            <w:vAlign w:val="center"/>
          </w:tcPr>
          <w:p w14:paraId="6F16D287">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服务要求</w:t>
            </w:r>
          </w:p>
        </w:tc>
        <w:tc>
          <w:tcPr>
            <w:tcW w:w="2464" w:type="pct"/>
            <w:noWrap w:val="0"/>
            <w:vAlign w:val="center"/>
          </w:tcPr>
          <w:p w14:paraId="7330BC36">
            <w:pPr>
              <w:keepNext w:val="0"/>
              <w:keepLines w:val="0"/>
              <w:pageBreakBefore w:val="0"/>
              <w:widowControl w:val="0"/>
              <w:kinsoku/>
              <w:wordWrap/>
              <w:overflowPunct/>
              <w:topLinePunct w:val="0"/>
              <w:autoSpaceDE w:val="0"/>
              <w:autoSpaceDN w:val="0"/>
              <w:bidi w:val="0"/>
              <w:adjustRightInd w:val="0"/>
              <w:snapToGrid/>
              <w:spacing w:line="240" w:lineRule="auto"/>
              <w:textAlignment w:val="auto"/>
              <w:rPr>
                <w:rFonts w:hint="eastAsia" w:ascii="宋体" w:hAnsi="宋体" w:cs="宋体"/>
                <w:color w:val="auto"/>
                <w:szCs w:val="21"/>
                <w:highlight w:val="none"/>
              </w:rPr>
            </w:pPr>
            <w:r>
              <w:rPr>
                <w:rFonts w:hint="eastAsia" w:ascii="宋体" w:hAnsi="宋体" w:eastAsia="宋体" w:cs="宋体"/>
                <w:color w:val="auto"/>
                <w:kern w:val="0"/>
                <w:szCs w:val="21"/>
                <w:highlight w:val="none"/>
              </w:rPr>
              <w:t>提供所投产品3年免费上门保修，终身维护，保修期内免费更换零配件。7×24小时技术响应，24小时内维修工程师到达维修现场，保修期自验收合格之日起计算。</w:t>
            </w:r>
          </w:p>
        </w:tc>
        <w:tc>
          <w:tcPr>
            <w:tcW w:w="444" w:type="pct"/>
            <w:noWrap w:val="0"/>
            <w:vAlign w:val="center"/>
          </w:tcPr>
          <w:p w14:paraId="4A3E46F3">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040F3A57">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保证服务要求</w:t>
            </w:r>
          </w:p>
        </w:tc>
      </w:tr>
      <w:tr w14:paraId="3EC89AA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7AB80932">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3</w:t>
            </w:r>
          </w:p>
        </w:tc>
        <w:tc>
          <w:tcPr>
            <w:tcW w:w="663" w:type="pct"/>
            <w:noWrap w:val="0"/>
            <w:vAlign w:val="center"/>
          </w:tcPr>
          <w:p w14:paraId="3EC5148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交货期</w:t>
            </w:r>
          </w:p>
        </w:tc>
        <w:tc>
          <w:tcPr>
            <w:tcW w:w="2464" w:type="pct"/>
            <w:noWrap w:val="0"/>
            <w:vAlign w:val="center"/>
          </w:tcPr>
          <w:p w14:paraId="306DA9DF">
            <w:pPr>
              <w:keepNext w:val="0"/>
              <w:keepLines w:val="0"/>
              <w:pageBreakBefore w:val="0"/>
              <w:widowControl w:val="0"/>
              <w:kinsoku/>
              <w:wordWrap/>
              <w:overflowPunct/>
              <w:topLinePunct w:val="0"/>
              <w:autoSpaceDE w:val="0"/>
              <w:autoSpaceDN w:val="0"/>
              <w:bidi w:val="0"/>
              <w:adjustRightInd w:val="0"/>
              <w:snapToGrid/>
              <w:spacing w:line="240" w:lineRule="auto"/>
              <w:textAlignment w:val="auto"/>
              <w:rPr>
                <w:rFonts w:hint="eastAsia" w:ascii="宋体" w:hAnsi="宋体" w:cs="宋体"/>
                <w:color w:val="auto"/>
                <w:kern w:val="0"/>
                <w:szCs w:val="21"/>
                <w:highlight w:val="none"/>
              </w:rPr>
            </w:pPr>
            <w:r>
              <w:rPr>
                <w:rFonts w:hint="eastAsia" w:ascii="宋体" w:hAnsi="宋体" w:cs="宋体"/>
                <w:color w:val="auto"/>
                <w:kern w:val="0"/>
                <w:szCs w:val="21"/>
                <w:highlight w:val="none"/>
              </w:rPr>
              <w:t>签订合同之日起30个工作日内</w:t>
            </w:r>
          </w:p>
        </w:tc>
        <w:tc>
          <w:tcPr>
            <w:tcW w:w="444" w:type="pct"/>
            <w:noWrap w:val="0"/>
            <w:vAlign w:val="center"/>
          </w:tcPr>
          <w:p w14:paraId="20425D9C">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1B0C4A8F">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保证按期使用</w:t>
            </w:r>
          </w:p>
        </w:tc>
      </w:tr>
      <w:tr w14:paraId="0847C42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22C4D512">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4</w:t>
            </w:r>
          </w:p>
        </w:tc>
        <w:tc>
          <w:tcPr>
            <w:tcW w:w="663" w:type="pct"/>
            <w:noWrap w:val="0"/>
            <w:vAlign w:val="center"/>
          </w:tcPr>
          <w:p w14:paraId="13059E06">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交货地点</w:t>
            </w:r>
          </w:p>
        </w:tc>
        <w:tc>
          <w:tcPr>
            <w:tcW w:w="2464" w:type="pct"/>
            <w:noWrap w:val="0"/>
            <w:vAlign w:val="center"/>
          </w:tcPr>
          <w:p w14:paraId="5ADF181B">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学校指定地点</w:t>
            </w:r>
          </w:p>
        </w:tc>
        <w:tc>
          <w:tcPr>
            <w:tcW w:w="444" w:type="pct"/>
            <w:noWrap w:val="0"/>
            <w:vAlign w:val="center"/>
          </w:tcPr>
          <w:p w14:paraId="67B37A35">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20E6929F">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保证按地点交付</w:t>
            </w:r>
          </w:p>
        </w:tc>
      </w:tr>
      <w:tr w14:paraId="484D4FF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7B65CA97">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5</w:t>
            </w:r>
          </w:p>
        </w:tc>
        <w:tc>
          <w:tcPr>
            <w:tcW w:w="663" w:type="pct"/>
            <w:noWrap w:val="0"/>
            <w:vAlign w:val="center"/>
          </w:tcPr>
          <w:p w14:paraId="6218B2E3">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付款方式</w:t>
            </w:r>
          </w:p>
        </w:tc>
        <w:tc>
          <w:tcPr>
            <w:tcW w:w="2464" w:type="pct"/>
            <w:noWrap w:val="0"/>
            <w:vAlign w:val="center"/>
          </w:tcPr>
          <w:p w14:paraId="71EBDF21">
            <w:pPr>
              <w:rPr>
                <w:rFonts w:hint="eastAsia" w:ascii="宋体" w:hAnsi="宋体" w:cs="宋体"/>
                <w:color w:val="auto"/>
                <w:kern w:val="0"/>
                <w:szCs w:val="21"/>
                <w:highlight w:val="none"/>
              </w:rPr>
            </w:pPr>
            <w:r>
              <w:rPr>
                <w:rFonts w:hint="eastAsia" w:ascii="宋体" w:hAnsi="宋体" w:eastAsia="宋体" w:cs="宋体"/>
                <w:color w:val="auto"/>
                <w:kern w:val="0"/>
                <w:szCs w:val="21"/>
                <w:highlight w:val="none"/>
              </w:rPr>
              <w:t>合同签订，货物全部安装调试完成并验收合格后采购人支付合同额的</w:t>
            </w:r>
            <w:r>
              <w:rPr>
                <w:rFonts w:hint="eastAsia" w:ascii="宋体" w:hAnsi="宋体" w:eastAsia="宋体" w:cs="宋体"/>
                <w:color w:val="auto"/>
                <w:kern w:val="0"/>
                <w:szCs w:val="21"/>
                <w:highlight w:val="none"/>
                <w:lang w:val="en-US" w:eastAsia="zh-CN"/>
              </w:rPr>
              <w:t>100</w:t>
            </w:r>
            <w:r>
              <w:rPr>
                <w:rFonts w:hint="eastAsia" w:ascii="宋体" w:hAnsi="宋体" w:eastAsia="宋体" w:cs="宋体"/>
                <w:color w:val="auto"/>
                <w:kern w:val="0"/>
                <w:szCs w:val="21"/>
                <w:highlight w:val="none"/>
              </w:rPr>
              <w:t>%。供应商须提供合法有效的发票（特殊情况以合同为准）。</w:t>
            </w:r>
          </w:p>
        </w:tc>
        <w:tc>
          <w:tcPr>
            <w:tcW w:w="444" w:type="pct"/>
            <w:noWrap w:val="0"/>
            <w:vAlign w:val="center"/>
          </w:tcPr>
          <w:p w14:paraId="630C5F90">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否</w:t>
            </w:r>
          </w:p>
        </w:tc>
        <w:tc>
          <w:tcPr>
            <w:tcW w:w="1079" w:type="pct"/>
            <w:noWrap w:val="0"/>
            <w:vAlign w:val="center"/>
          </w:tcPr>
          <w:p w14:paraId="0E0AD737">
            <w:pPr>
              <w:widowControl/>
              <w:spacing w:line="0" w:lineRule="atLeast"/>
              <w:jc w:val="center"/>
              <w:rPr>
                <w:rFonts w:hint="eastAsia" w:ascii="宋体" w:hAnsi="宋体" w:cs="宋体"/>
                <w:color w:val="auto"/>
                <w:kern w:val="0"/>
                <w:szCs w:val="21"/>
                <w:highlight w:val="none"/>
              </w:rPr>
            </w:pPr>
          </w:p>
        </w:tc>
      </w:tr>
      <w:tr w14:paraId="729975F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43A3E10E">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6</w:t>
            </w:r>
          </w:p>
        </w:tc>
        <w:tc>
          <w:tcPr>
            <w:tcW w:w="663" w:type="pct"/>
            <w:noWrap w:val="0"/>
            <w:vAlign w:val="center"/>
          </w:tcPr>
          <w:p w14:paraId="6F5E565E">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采购方式</w:t>
            </w:r>
          </w:p>
        </w:tc>
        <w:tc>
          <w:tcPr>
            <w:tcW w:w="2464" w:type="pct"/>
            <w:noWrap w:val="0"/>
            <w:vAlign w:val="center"/>
          </w:tcPr>
          <w:p w14:paraId="3E89105A">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综合评分</w:t>
            </w:r>
          </w:p>
        </w:tc>
        <w:tc>
          <w:tcPr>
            <w:tcW w:w="444" w:type="pct"/>
            <w:noWrap w:val="0"/>
            <w:vAlign w:val="center"/>
          </w:tcPr>
          <w:p w14:paraId="49CD1E10">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111F8B09">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保证采购流程公开公正</w:t>
            </w:r>
          </w:p>
        </w:tc>
      </w:tr>
      <w:tr w14:paraId="766290F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348" w:type="pct"/>
            <w:noWrap w:val="0"/>
            <w:vAlign w:val="center"/>
          </w:tcPr>
          <w:p w14:paraId="46DFE1A5">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7</w:t>
            </w:r>
          </w:p>
        </w:tc>
        <w:tc>
          <w:tcPr>
            <w:tcW w:w="663" w:type="pct"/>
            <w:noWrap w:val="0"/>
            <w:vAlign w:val="center"/>
          </w:tcPr>
          <w:p w14:paraId="3E39D8C3">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其它要求</w:t>
            </w:r>
          </w:p>
        </w:tc>
        <w:tc>
          <w:tcPr>
            <w:tcW w:w="2464" w:type="pct"/>
            <w:noWrap w:val="0"/>
            <w:vAlign w:val="center"/>
          </w:tcPr>
          <w:p w14:paraId="5BAA623A">
            <w:pPr>
              <w:widowControl/>
              <w:spacing w:line="0" w:lineRule="atLeas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提供的产品应通过相应的知识产权认证、节能产品认证、环境标识认证等。</w:t>
            </w:r>
          </w:p>
        </w:tc>
        <w:tc>
          <w:tcPr>
            <w:tcW w:w="444" w:type="pct"/>
            <w:noWrap w:val="0"/>
            <w:vAlign w:val="center"/>
          </w:tcPr>
          <w:p w14:paraId="0D087A04">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是</w:t>
            </w:r>
          </w:p>
        </w:tc>
        <w:tc>
          <w:tcPr>
            <w:tcW w:w="1079" w:type="pct"/>
            <w:noWrap w:val="0"/>
            <w:vAlign w:val="center"/>
          </w:tcPr>
          <w:p w14:paraId="254A1D7D">
            <w:pPr>
              <w:widowControl/>
              <w:spacing w:line="0" w:lineRule="atLeast"/>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确保安全合法使用产品</w:t>
            </w:r>
          </w:p>
        </w:tc>
      </w:tr>
    </w:tbl>
    <w:p w14:paraId="2C863B4B">
      <w:pPr>
        <w:spacing w:line="360" w:lineRule="auto"/>
        <w:ind w:firstLine="480" w:firstLineChars="200"/>
        <w:rPr>
          <w:rFonts w:hint="eastAsia" w:ascii="宋体" w:hAnsi="宋体"/>
          <w:b/>
          <w:bCs/>
          <w:color w:val="auto"/>
          <w:sz w:val="24"/>
          <w:highlight w:val="none"/>
        </w:rPr>
      </w:pPr>
    </w:p>
    <w:p w14:paraId="3951CC77">
      <w:pPr>
        <w:spacing w:line="360" w:lineRule="auto"/>
        <w:ind w:firstLine="480" w:firstLineChars="200"/>
        <w:rPr>
          <w:rFonts w:ascii="宋体" w:hAnsi="宋体"/>
          <w:b/>
          <w:bCs/>
          <w:color w:val="auto"/>
          <w:sz w:val="24"/>
          <w:highlight w:val="none"/>
        </w:rPr>
      </w:pPr>
      <w:r>
        <w:rPr>
          <w:rFonts w:hint="eastAsia" w:ascii="宋体" w:hAnsi="宋体"/>
          <w:b/>
          <w:bCs/>
          <w:color w:val="auto"/>
          <w:sz w:val="24"/>
          <w:highlight w:val="none"/>
        </w:rPr>
        <w:t>（1）</w:t>
      </w:r>
      <w:r>
        <w:rPr>
          <w:rFonts w:ascii="宋体" w:hAnsi="宋体"/>
          <w:b/>
          <w:bCs/>
          <w:color w:val="auto"/>
          <w:sz w:val="24"/>
          <w:highlight w:val="none"/>
        </w:rPr>
        <w:t>服务要求</w:t>
      </w:r>
    </w:p>
    <w:p w14:paraId="2C7D7EA9">
      <w:pPr>
        <w:spacing w:line="360" w:lineRule="auto"/>
        <w:ind w:firstLine="480" w:firstLineChars="200"/>
        <w:rPr>
          <w:rFonts w:hint="eastAsia" w:ascii="宋体" w:hAnsi="宋体" w:cs="Arial Unicode MS"/>
          <w:color w:val="auto"/>
          <w:sz w:val="24"/>
          <w:highlight w:val="none"/>
        </w:rPr>
      </w:pPr>
      <w:r>
        <w:rPr>
          <w:rFonts w:hint="eastAsia" w:ascii="宋体" w:hAnsi="宋体" w:cs="Arial Unicode MS"/>
          <w:color w:val="auto"/>
          <w:sz w:val="24"/>
          <w:highlight w:val="none"/>
        </w:rPr>
        <w:t>①投标供应商所供货物、服务与中标所示货物一致，不存在负偏差。如出现不一致视为投标供应商违约，投标供应商承担违约责任。</w:t>
      </w:r>
    </w:p>
    <w:p w14:paraId="642F82EA">
      <w:pPr>
        <w:spacing w:line="360" w:lineRule="auto"/>
        <w:ind w:firstLine="480" w:firstLineChars="200"/>
        <w:rPr>
          <w:rFonts w:hint="eastAsia" w:ascii="宋体" w:hAnsi="宋体" w:eastAsia="宋体"/>
          <w:color w:val="auto"/>
          <w:sz w:val="24"/>
          <w:highlight w:val="none"/>
        </w:rPr>
      </w:pPr>
      <w:r>
        <w:rPr>
          <w:rFonts w:hint="eastAsia" w:ascii="宋体" w:hAnsi="宋体" w:eastAsia="宋体" w:cs="Arial Unicode MS"/>
          <w:color w:val="auto"/>
          <w:sz w:val="24"/>
          <w:highlight w:val="none"/>
        </w:rPr>
        <w:t>②</w:t>
      </w:r>
      <w:r>
        <w:rPr>
          <w:rFonts w:hint="eastAsia" w:ascii="宋体" w:hAnsi="宋体" w:eastAsia="宋体"/>
          <w:color w:val="auto"/>
          <w:sz w:val="24"/>
          <w:highlight w:val="none"/>
        </w:rPr>
        <w:t>提供所投产品3年免费上门保修，终身维护，保修期内免费更换零配件。7×24小时技术响应，24小时内维修工程师到达维修现场，保修期自验收合格之日起计算。</w:t>
      </w:r>
    </w:p>
    <w:p w14:paraId="6ED0F4D1">
      <w:pPr>
        <w:autoSpaceDE w:val="0"/>
        <w:autoSpaceDN w:val="0"/>
        <w:adjustRightInd w:val="0"/>
        <w:spacing w:line="360" w:lineRule="auto"/>
        <w:ind w:firstLine="480" w:firstLineChars="200"/>
        <w:rPr>
          <w:rFonts w:hint="eastAsia" w:ascii="宋体" w:hAnsi="宋体" w:eastAsia="宋体" w:cs="Arial Unicode MS"/>
          <w:color w:val="auto"/>
          <w:sz w:val="24"/>
          <w:highlight w:val="none"/>
        </w:rPr>
      </w:pPr>
      <w:r>
        <w:rPr>
          <w:rFonts w:hint="eastAsia" w:ascii="宋体" w:hAnsi="宋体" w:eastAsia="宋体" w:cs="Arial Unicode MS"/>
          <w:color w:val="auto"/>
          <w:sz w:val="24"/>
          <w:highlight w:val="none"/>
        </w:rPr>
        <w:t>③</w:t>
      </w:r>
      <w:r>
        <w:rPr>
          <w:rFonts w:hint="eastAsia" w:ascii="宋体" w:hAnsi="宋体" w:eastAsia="宋体"/>
          <w:color w:val="auto"/>
          <w:sz w:val="24"/>
          <w:highlight w:val="none"/>
        </w:rPr>
        <w:t>投标文件中提供详细的服务方案，包括服务人员、服务机构、服务响应及到场解决问题的时间、生产、配送及安装方案、备品备件及易损件的供应服务方案。</w:t>
      </w:r>
    </w:p>
    <w:p w14:paraId="12234698">
      <w:pPr>
        <w:spacing w:line="360" w:lineRule="auto"/>
        <w:ind w:firstLine="480" w:firstLineChars="200"/>
        <w:rPr>
          <w:rFonts w:hint="eastAsia"/>
          <w:color w:val="auto"/>
          <w:highlight w:val="none"/>
        </w:rPr>
      </w:pPr>
      <w:r>
        <w:rPr>
          <w:rFonts w:hint="eastAsia" w:ascii="宋体" w:hAnsi="宋体" w:eastAsia="宋体" w:cs="Arial Unicode MS"/>
          <w:color w:val="auto"/>
          <w:sz w:val="24"/>
          <w:highlight w:val="none"/>
        </w:rPr>
        <w:t>④</w:t>
      </w:r>
      <w:r>
        <w:rPr>
          <w:rFonts w:hint="eastAsia" w:ascii="宋体" w:hAnsi="宋体" w:eastAsia="宋体" w:cs="Times New Roman"/>
          <w:color w:val="auto"/>
          <w:sz w:val="24"/>
          <w:highlight w:val="none"/>
        </w:rPr>
        <w:t>投标人须提供所投产品生产厂家服务机构情况，包括地址、联系方式及技术人员数量等。</w:t>
      </w:r>
    </w:p>
    <w:p w14:paraId="06BAF2D5">
      <w:pPr>
        <w:spacing w:line="360" w:lineRule="auto"/>
        <w:ind w:firstLine="480" w:firstLineChars="200"/>
        <w:rPr>
          <w:rFonts w:hint="eastAsia"/>
          <w:color w:val="auto"/>
          <w:highlight w:val="none"/>
        </w:rPr>
      </w:pPr>
      <w:r>
        <w:rPr>
          <w:rFonts w:hint="eastAsia" w:ascii="宋体" w:hAnsi="宋体" w:eastAsia="宋体" w:cs="Arial Unicode MS"/>
          <w:color w:val="auto"/>
          <w:sz w:val="24"/>
          <w:highlight w:val="none"/>
          <w:lang w:val="en-US" w:eastAsia="zh-CN"/>
        </w:rPr>
        <w:t>⑤</w:t>
      </w:r>
      <w:r>
        <w:rPr>
          <w:rFonts w:hint="eastAsia" w:ascii="宋体" w:hAnsi="宋体" w:eastAsia="宋体"/>
          <w:color w:val="auto"/>
          <w:sz w:val="24"/>
          <w:highlight w:val="none"/>
        </w:rPr>
        <w:t>提供原厂标准的易耗品、消耗材料价格清单及折扣率，保修期后设备维修的价格清单及折扣率。</w:t>
      </w:r>
    </w:p>
    <w:p w14:paraId="4749AF6C">
      <w:pPr>
        <w:spacing w:line="360" w:lineRule="auto"/>
        <w:ind w:firstLine="480" w:firstLineChars="200"/>
        <w:rPr>
          <w:rFonts w:ascii="宋体" w:hAnsi="宋体"/>
          <w:b/>
          <w:bCs/>
          <w:color w:val="auto"/>
          <w:sz w:val="24"/>
          <w:highlight w:val="none"/>
        </w:rPr>
      </w:pPr>
      <w:r>
        <w:rPr>
          <w:rFonts w:hint="eastAsia" w:ascii="宋体" w:hAnsi="宋体"/>
          <w:b/>
          <w:bCs/>
          <w:color w:val="auto"/>
          <w:sz w:val="24"/>
          <w:highlight w:val="none"/>
        </w:rPr>
        <w:t>（2）</w:t>
      </w:r>
      <w:r>
        <w:rPr>
          <w:rFonts w:ascii="宋体" w:hAnsi="宋体"/>
          <w:b/>
          <w:bCs/>
          <w:color w:val="auto"/>
          <w:sz w:val="24"/>
          <w:highlight w:val="none"/>
        </w:rPr>
        <w:t xml:space="preserve"> 工期、施工地点要求</w:t>
      </w:r>
    </w:p>
    <w:p w14:paraId="7C618D64">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①交货期：</w:t>
      </w:r>
      <w:r>
        <w:rPr>
          <w:rFonts w:hint="eastAsia" w:ascii="宋体" w:hAnsi="宋体" w:eastAsia="宋体" w:cs="Times New Roman"/>
          <w:color w:val="auto"/>
          <w:sz w:val="24"/>
          <w:highlight w:val="none"/>
        </w:rPr>
        <w:t>签订合同之日起30天内完成货到现场安装、调试完毕（特殊情况以合同为准）。供应商</w:t>
      </w:r>
      <w:r>
        <w:rPr>
          <w:rFonts w:hint="eastAsia" w:ascii="宋体" w:hAnsi="宋体" w:eastAsia="宋体" w:cs="Times New Roman"/>
          <w:color w:val="auto"/>
          <w:sz w:val="24"/>
          <w:highlight w:val="none"/>
          <w:lang w:val="en-US" w:eastAsia="zh-CN"/>
        </w:rPr>
        <w:t>须</w:t>
      </w:r>
      <w:r>
        <w:rPr>
          <w:rFonts w:hint="eastAsia" w:ascii="宋体" w:hAnsi="宋体" w:eastAsia="宋体" w:cs="Times New Roman"/>
          <w:color w:val="auto"/>
          <w:sz w:val="24"/>
          <w:highlight w:val="none"/>
        </w:rPr>
        <w:t>派有经验的技术人员到现场进行安装、直到家具正常使用。</w:t>
      </w:r>
    </w:p>
    <w:p w14:paraId="0AE74C02">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②交货地点：天津市大学软件学院</w:t>
      </w:r>
    </w:p>
    <w:p w14:paraId="23EBA578">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③提供制造商完整的随机资料，包括完整的使用和维修手册等。</w:t>
      </w:r>
    </w:p>
    <w:p w14:paraId="23C7A835">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④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生产企业的责任。</w:t>
      </w:r>
    </w:p>
    <w:p w14:paraId="2D4BD8E3">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⑤该项目属于交钥匙工程，需要在开标前提前踏勘，踏勘时间在开标前进行。</w:t>
      </w:r>
    </w:p>
    <w:p w14:paraId="064B6551">
      <w:pPr>
        <w:spacing w:line="360" w:lineRule="auto"/>
        <w:ind w:firstLine="480" w:firstLineChars="200"/>
        <w:rPr>
          <w:rFonts w:hint="eastAsia" w:ascii="宋体" w:hAnsi="宋体"/>
          <w:b/>
          <w:bCs/>
          <w:color w:val="auto"/>
          <w:sz w:val="24"/>
          <w:highlight w:val="none"/>
        </w:rPr>
      </w:pPr>
      <w:r>
        <w:rPr>
          <w:rFonts w:hint="eastAsia" w:ascii="宋体" w:hAnsi="宋体"/>
          <w:b/>
          <w:bCs/>
          <w:color w:val="auto"/>
          <w:sz w:val="24"/>
          <w:highlight w:val="none"/>
        </w:rPr>
        <w:t>（3）付款方式</w:t>
      </w:r>
    </w:p>
    <w:p w14:paraId="4DC7A2CC">
      <w:pPr>
        <w:autoSpaceDE w:val="0"/>
        <w:autoSpaceDN w:val="0"/>
        <w:adjustRightInd w:val="0"/>
        <w:spacing w:line="360" w:lineRule="auto"/>
        <w:ind w:firstLine="480" w:firstLineChars="200"/>
        <w:rPr>
          <w:rFonts w:hint="eastAsia" w:ascii="宋体" w:hAnsi="宋体"/>
          <w:b/>
          <w:bCs/>
          <w:color w:val="auto"/>
          <w:sz w:val="24"/>
          <w:highlight w:val="none"/>
        </w:rPr>
      </w:pPr>
      <w:r>
        <w:rPr>
          <w:rFonts w:hint="eastAsia" w:ascii="宋体" w:hAnsi="宋体"/>
          <w:color w:val="auto"/>
          <w:sz w:val="24"/>
          <w:highlight w:val="none"/>
        </w:rPr>
        <w:t>付款方式：</w:t>
      </w:r>
      <w:r>
        <w:rPr>
          <w:rFonts w:hint="eastAsia" w:ascii="宋体" w:hAnsi="宋体" w:eastAsia="宋体"/>
          <w:color w:val="auto"/>
          <w:sz w:val="24"/>
          <w:highlight w:val="none"/>
        </w:rPr>
        <w:t>合同签订，货物全部安装调试完成并验收合格后采购人支付合同额的</w:t>
      </w:r>
      <w:r>
        <w:rPr>
          <w:rFonts w:hint="eastAsia" w:ascii="宋体" w:hAnsi="宋体" w:eastAsia="宋体"/>
          <w:color w:val="auto"/>
          <w:sz w:val="24"/>
          <w:highlight w:val="none"/>
          <w:lang w:val="en-US" w:eastAsia="zh-CN"/>
        </w:rPr>
        <w:t>100</w:t>
      </w:r>
      <w:r>
        <w:rPr>
          <w:rFonts w:hint="eastAsia" w:ascii="宋体" w:hAnsi="宋体" w:eastAsia="宋体"/>
          <w:color w:val="auto"/>
          <w:sz w:val="24"/>
          <w:highlight w:val="none"/>
        </w:rPr>
        <w:t>%。供应商须提供合法有效的发票（特殊情况以合同为准）。</w:t>
      </w:r>
      <w:r>
        <w:rPr>
          <w:rFonts w:hint="eastAsia" w:ascii="宋体" w:hAnsi="宋体"/>
          <w:color w:val="auto"/>
          <w:sz w:val="24"/>
          <w:highlight w:val="none"/>
        </w:rPr>
        <w:br w:type="page"/>
      </w:r>
      <w:r>
        <w:rPr>
          <w:rFonts w:hint="eastAsia" w:ascii="宋体" w:hAnsi="宋体"/>
          <w:b/>
          <w:bCs/>
          <w:color w:val="auto"/>
          <w:sz w:val="24"/>
          <w:highlight w:val="none"/>
        </w:rPr>
        <w:t>（4）验收方案</w:t>
      </w:r>
    </w:p>
    <w:p w14:paraId="6D3835F1">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①验收组织形式：</w:t>
      </w:r>
    </w:p>
    <w:p w14:paraId="3D86823A">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自行组织</w:t>
      </w:r>
    </w:p>
    <w:p w14:paraId="619DE606">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委托第三方</w:t>
      </w:r>
    </w:p>
    <w:p w14:paraId="08CF4904">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②验收方式：</w:t>
      </w:r>
    </w:p>
    <w:p w14:paraId="6AD46D1C">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一次性验收</w:t>
      </w:r>
    </w:p>
    <w:p w14:paraId="5A3E39C5">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分节点验收</w:t>
      </w:r>
    </w:p>
    <w:p w14:paraId="69BFBE24">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分期验收（共分     期）</w:t>
      </w:r>
    </w:p>
    <w:p w14:paraId="0BB05508">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③验收考核、评分内容</w:t>
      </w:r>
    </w:p>
    <w:p w14:paraId="61F4AFDD">
      <w:pPr>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验收考核内容均</w:t>
      </w:r>
      <w:r>
        <w:rPr>
          <w:rFonts w:hint="eastAsia" w:ascii="宋体" w:hAnsi="宋体"/>
          <w:color w:val="auto"/>
          <w:sz w:val="24"/>
          <w:highlight w:val="none"/>
          <w:lang w:val="en-US" w:eastAsia="zh-CN"/>
        </w:rPr>
        <w:t>满足</w:t>
      </w:r>
      <w:r>
        <w:rPr>
          <w:rFonts w:hint="eastAsia" w:ascii="宋体" w:hAnsi="宋体"/>
          <w:color w:val="auto"/>
          <w:sz w:val="24"/>
          <w:highlight w:val="none"/>
        </w:rPr>
        <w:t>视为验收通过，否则应在限期内完成整改并重新组织验收，直至达到合格标准后再行付款，付款的时间则相应顺延。</w:t>
      </w:r>
    </w:p>
    <w:tbl>
      <w:tblPr>
        <w:tblStyle w:val="12"/>
        <w:tblW w:w="83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9"/>
        <w:gridCol w:w="1403"/>
        <w:gridCol w:w="4129"/>
        <w:gridCol w:w="748"/>
        <w:gridCol w:w="1512"/>
      </w:tblGrid>
      <w:tr w14:paraId="33637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19" w:type="dxa"/>
            <w:noWrap w:val="0"/>
            <w:vAlign w:val="center"/>
          </w:tcPr>
          <w:p w14:paraId="04054B55">
            <w:pPr>
              <w:spacing w:line="360" w:lineRule="auto"/>
              <w:rPr>
                <w:rFonts w:hint="eastAsia" w:ascii="宋体" w:hAnsi="宋体" w:cs="宋体"/>
                <w:b/>
                <w:bCs/>
                <w:color w:val="auto"/>
                <w:szCs w:val="21"/>
                <w:highlight w:val="none"/>
              </w:rPr>
            </w:pPr>
            <w:r>
              <w:rPr>
                <w:rFonts w:hint="eastAsia" w:ascii="宋体" w:hAnsi="宋体"/>
                <w:color w:val="auto"/>
                <w:sz w:val="24"/>
                <w:highlight w:val="none"/>
              </w:rPr>
              <w:br w:type="page"/>
            </w:r>
            <w:r>
              <w:rPr>
                <w:rFonts w:hint="eastAsia" w:ascii="宋体" w:hAnsi="宋体" w:cs="宋体"/>
                <w:b/>
                <w:bCs/>
                <w:color w:val="auto"/>
                <w:szCs w:val="21"/>
                <w:highlight w:val="none"/>
              </w:rPr>
              <w:t>序号</w:t>
            </w:r>
          </w:p>
        </w:tc>
        <w:tc>
          <w:tcPr>
            <w:tcW w:w="1403" w:type="dxa"/>
            <w:noWrap w:val="0"/>
            <w:vAlign w:val="center"/>
          </w:tcPr>
          <w:p w14:paraId="30239B25">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考核内容</w:t>
            </w:r>
          </w:p>
        </w:tc>
        <w:tc>
          <w:tcPr>
            <w:tcW w:w="4129" w:type="dxa"/>
            <w:noWrap w:val="0"/>
            <w:vAlign w:val="center"/>
          </w:tcPr>
          <w:p w14:paraId="4DE90A84">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标准及分值</w:t>
            </w:r>
          </w:p>
        </w:tc>
        <w:tc>
          <w:tcPr>
            <w:tcW w:w="748" w:type="dxa"/>
            <w:noWrap w:val="0"/>
            <w:vAlign w:val="center"/>
          </w:tcPr>
          <w:p w14:paraId="634ADAC8">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考核得分</w:t>
            </w:r>
          </w:p>
        </w:tc>
        <w:tc>
          <w:tcPr>
            <w:tcW w:w="1512" w:type="dxa"/>
            <w:noWrap w:val="0"/>
            <w:vAlign w:val="center"/>
          </w:tcPr>
          <w:p w14:paraId="011D5E33">
            <w:pPr>
              <w:jc w:val="center"/>
              <w:rPr>
                <w:rFonts w:hint="eastAsia" w:ascii="宋体" w:hAnsi="宋体" w:cs="宋体"/>
                <w:b/>
                <w:bCs/>
                <w:color w:val="auto"/>
                <w:szCs w:val="21"/>
                <w:highlight w:val="none"/>
              </w:rPr>
            </w:pPr>
            <w:r>
              <w:rPr>
                <w:rFonts w:hint="eastAsia" w:ascii="宋体" w:hAnsi="宋体" w:cs="宋体"/>
                <w:b/>
                <w:bCs/>
                <w:color w:val="auto"/>
                <w:szCs w:val="21"/>
                <w:highlight w:val="none"/>
              </w:rPr>
              <w:t>扣分原因</w:t>
            </w:r>
          </w:p>
        </w:tc>
      </w:tr>
      <w:tr w14:paraId="461EF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3" w:hRule="atLeast"/>
        </w:trPr>
        <w:tc>
          <w:tcPr>
            <w:tcW w:w="519" w:type="dxa"/>
            <w:noWrap w:val="0"/>
            <w:vAlign w:val="center"/>
          </w:tcPr>
          <w:p w14:paraId="18F4C5D1">
            <w:pPr>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1403" w:type="dxa"/>
            <w:noWrap w:val="0"/>
            <w:vAlign w:val="center"/>
          </w:tcPr>
          <w:p w14:paraId="5947C559">
            <w:pPr>
              <w:jc w:val="center"/>
              <w:rPr>
                <w:rFonts w:hint="eastAsia" w:ascii="宋体" w:hAnsi="宋体" w:cs="宋体"/>
                <w:color w:val="auto"/>
                <w:szCs w:val="21"/>
                <w:highlight w:val="none"/>
              </w:rPr>
            </w:pPr>
            <w:r>
              <w:rPr>
                <w:rFonts w:hint="eastAsia" w:ascii="宋体" w:hAnsi="宋体" w:cs="宋体"/>
                <w:color w:val="auto"/>
                <w:szCs w:val="21"/>
                <w:highlight w:val="none"/>
              </w:rPr>
              <w:t>基础物资</w:t>
            </w:r>
          </w:p>
        </w:tc>
        <w:tc>
          <w:tcPr>
            <w:tcW w:w="4129" w:type="dxa"/>
            <w:noWrap w:val="0"/>
            <w:vAlign w:val="center"/>
          </w:tcPr>
          <w:p w14:paraId="6E76E962">
            <w:pPr>
              <w:jc w:val="left"/>
              <w:rPr>
                <w:rFonts w:hint="eastAsia" w:ascii="宋体" w:hAnsi="宋体" w:cs="宋体"/>
                <w:color w:val="auto"/>
                <w:highlight w:val="none"/>
              </w:rPr>
            </w:pPr>
            <w:r>
              <w:rPr>
                <w:rFonts w:hint="eastAsia" w:ascii="宋体" w:hAnsi="宋体" w:cs="宋体"/>
                <w:color w:val="auto"/>
                <w:highlight w:val="none"/>
              </w:rPr>
              <w:t>1.外包装及外观检查：外包装完好无损；桌椅无破损、划痕、变形等情况，外观符合合同约定。</w:t>
            </w:r>
          </w:p>
          <w:p w14:paraId="1E76F4F1">
            <w:pPr>
              <w:jc w:val="left"/>
              <w:rPr>
                <w:rFonts w:hint="eastAsia" w:ascii="宋体" w:hAnsi="宋体" w:cs="宋体"/>
                <w:color w:val="auto"/>
                <w:highlight w:val="none"/>
              </w:rPr>
            </w:pPr>
            <w:r>
              <w:rPr>
                <w:rFonts w:hint="eastAsia" w:ascii="宋体" w:hAnsi="宋体" w:cs="宋体"/>
                <w:color w:val="auto"/>
                <w:highlight w:val="none"/>
              </w:rPr>
              <w:t>2.规格及材质核对：桌椅的尺寸、材质、款式等与合同约定一致；数量符合要求。</w:t>
            </w:r>
          </w:p>
          <w:p w14:paraId="2B4A0DE2">
            <w:pPr>
              <w:jc w:val="left"/>
              <w:rPr>
                <w:rFonts w:hint="eastAsia" w:ascii="宋体" w:hAnsi="宋体" w:cs="宋体"/>
                <w:color w:val="auto"/>
                <w:highlight w:val="none"/>
              </w:rPr>
            </w:pPr>
            <w:r>
              <w:rPr>
                <w:rFonts w:hint="eastAsia" w:ascii="宋体" w:hAnsi="宋体" w:cs="宋体"/>
                <w:color w:val="auto"/>
                <w:highlight w:val="none"/>
              </w:rPr>
              <w:t>3.安装检验：桌椅安装稳固，无晃动，各部件连接牢固，可以正常使用。</w:t>
            </w:r>
          </w:p>
          <w:p w14:paraId="693AF1C7">
            <w:pPr>
              <w:jc w:val="left"/>
              <w:rPr>
                <w:rFonts w:hint="eastAsia" w:ascii="宋体" w:hAnsi="宋体" w:cs="宋体"/>
                <w:color w:val="auto"/>
                <w:highlight w:val="none"/>
              </w:rPr>
            </w:pPr>
            <w:r>
              <w:rPr>
                <w:rFonts w:hint="eastAsia" w:ascii="宋体" w:hAnsi="宋体" w:cs="宋体"/>
                <w:color w:val="auto"/>
                <w:highlight w:val="none"/>
              </w:rPr>
              <w:t>4.使用及安全检验：桌椅承重等安全性能符合相关标准要求。</w:t>
            </w:r>
          </w:p>
          <w:p w14:paraId="12348E35">
            <w:pPr>
              <w:jc w:val="left"/>
              <w:rPr>
                <w:rFonts w:hint="eastAsia" w:ascii="宋体" w:hAnsi="宋体" w:cs="宋体"/>
                <w:color w:val="auto"/>
                <w:highlight w:val="none"/>
              </w:rPr>
            </w:pPr>
            <w:r>
              <w:rPr>
                <w:rFonts w:hint="eastAsia" w:ascii="宋体" w:hAnsi="宋体" w:cs="宋体"/>
                <w:color w:val="auto"/>
                <w:highlight w:val="none"/>
              </w:rPr>
              <w:t>5.售后服务核实：售后服务（如保修、维修等）符合合同约定。</w:t>
            </w:r>
          </w:p>
        </w:tc>
        <w:tc>
          <w:tcPr>
            <w:tcW w:w="748" w:type="dxa"/>
            <w:noWrap w:val="0"/>
            <w:vAlign w:val="center"/>
          </w:tcPr>
          <w:p w14:paraId="2ADAD93E">
            <w:pPr>
              <w:jc w:val="center"/>
              <w:rPr>
                <w:rFonts w:hint="eastAsia" w:ascii="宋体" w:hAnsi="宋体" w:cs="宋体"/>
                <w:color w:val="auto"/>
                <w:highlight w:val="none"/>
              </w:rPr>
            </w:pPr>
          </w:p>
        </w:tc>
        <w:tc>
          <w:tcPr>
            <w:tcW w:w="1512" w:type="dxa"/>
            <w:noWrap w:val="0"/>
            <w:vAlign w:val="center"/>
          </w:tcPr>
          <w:p w14:paraId="626BDF02">
            <w:pPr>
              <w:jc w:val="center"/>
              <w:rPr>
                <w:rFonts w:hint="eastAsia" w:ascii="宋体" w:hAnsi="宋体" w:cs="宋体"/>
                <w:color w:val="auto"/>
                <w:highlight w:val="none"/>
              </w:rPr>
            </w:pPr>
          </w:p>
        </w:tc>
      </w:tr>
      <w:tr w14:paraId="6EB57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4" w:hRule="atLeast"/>
        </w:trPr>
        <w:tc>
          <w:tcPr>
            <w:tcW w:w="519" w:type="dxa"/>
            <w:noWrap w:val="0"/>
            <w:vAlign w:val="center"/>
          </w:tcPr>
          <w:p w14:paraId="5EEDE46D">
            <w:pPr>
              <w:jc w:val="center"/>
              <w:rPr>
                <w:rFonts w:hint="eastAsia" w:ascii="宋体" w:hAnsi="宋体" w:cs="宋体"/>
                <w:color w:val="auto"/>
                <w:szCs w:val="21"/>
                <w:highlight w:val="none"/>
              </w:rPr>
            </w:pPr>
            <w:r>
              <w:rPr>
                <w:rFonts w:hint="eastAsia" w:ascii="宋体" w:hAnsi="宋体" w:cs="宋体"/>
                <w:color w:val="auto"/>
                <w:szCs w:val="21"/>
                <w:highlight w:val="none"/>
              </w:rPr>
              <w:t>2</w:t>
            </w:r>
          </w:p>
        </w:tc>
        <w:tc>
          <w:tcPr>
            <w:tcW w:w="1403" w:type="dxa"/>
            <w:noWrap w:val="0"/>
            <w:vAlign w:val="center"/>
          </w:tcPr>
          <w:p w14:paraId="538D9838">
            <w:pPr>
              <w:jc w:val="center"/>
              <w:rPr>
                <w:rFonts w:hint="eastAsia" w:ascii="宋体" w:hAnsi="宋体"/>
                <w:b/>
                <w:bCs/>
                <w:color w:val="auto"/>
                <w:szCs w:val="21"/>
                <w:highlight w:val="none"/>
              </w:rPr>
            </w:pPr>
            <w:r>
              <w:rPr>
                <w:rFonts w:hint="eastAsia" w:ascii="宋体" w:hAnsi="宋体" w:cs="宋体"/>
                <w:color w:val="auto"/>
                <w:highlight w:val="none"/>
              </w:rPr>
              <w:t>合同履约情况及文件存档</w:t>
            </w:r>
          </w:p>
        </w:tc>
        <w:tc>
          <w:tcPr>
            <w:tcW w:w="4129" w:type="dxa"/>
            <w:noWrap w:val="0"/>
            <w:vAlign w:val="center"/>
          </w:tcPr>
          <w:p w14:paraId="7C376C97">
            <w:pPr>
              <w:jc w:val="left"/>
              <w:rPr>
                <w:rFonts w:hint="eastAsia" w:ascii="宋体" w:hAnsi="宋体" w:cs="宋体"/>
                <w:color w:val="auto"/>
                <w:highlight w:val="none"/>
              </w:rPr>
            </w:pPr>
            <w:r>
              <w:rPr>
                <w:rFonts w:hint="eastAsia" w:ascii="宋体" w:hAnsi="宋体" w:cs="宋体"/>
                <w:color w:val="auto"/>
                <w:szCs w:val="22"/>
                <w:highlight w:val="none"/>
              </w:rPr>
              <w:t>1.</w:t>
            </w:r>
            <w:r>
              <w:rPr>
                <w:rFonts w:hint="eastAsia" w:ascii="宋体" w:hAnsi="宋体" w:cs="宋体"/>
                <w:color w:val="auto"/>
                <w:highlight w:val="none"/>
              </w:rPr>
              <w:t>合同履约情况核对：</w:t>
            </w:r>
            <w:r>
              <w:rPr>
                <w:rFonts w:ascii="宋体" w:hAnsi="宋体" w:cs="宋体"/>
                <w:color w:val="auto"/>
                <w:highlight w:val="none"/>
              </w:rPr>
              <w:t>严格按照合同约定工期</w:t>
            </w:r>
            <w:r>
              <w:rPr>
                <w:rFonts w:hint="eastAsia" w:ascii="宋体" w:hAnsi="宋体" w:cs="宋体"/>
                <w:color w:val="auto"/>
                <w:highlight w:val="none"/>
              </w:rPr>
              <w:t>执行，</w:t>
            </w:r>
            <w:r>
              <w:rPr>
                <w:rFonts w:ascii="宋体" w:hAnsi="宋体" w:cs="宋体"/>
                <w:color w:val="auto"/>
                <w:highlight w:val="none"/>
              </w:rPr>
              <w:t>无逾期</w:t>
            </w:r>
            <w:r>
              <w:rPr>
                <w:rFonts w:hint="eastAsia" w:ascii="宋体" w:hAnsi="宋体" w:cs="宋体"/>
                <w:color w:val="auto"/>
                <w:highlight w:val="none"/>
              </w:rPr>
              <w:t>，</w:t>
            </w:r>
            <w:r>
              <w:rPr>
                <w:rFonts w:ascii="宋体" w:hAnsi="宋体" w:cs="宋体"/>
                <w:color w:val="auto"/>
                <w:highlight w:val="none"/>
              </w:rPr>
              <w:t>合同约定的产品交付、安装调试、培训服务等内容均已完成，履约记录完整</w:t>
            </w:r>
            <w:r>
              <w:rPr>
                <w:rFonts w:ascii="宋体" w:hAnsi="宋体" w:cs="宋体"/>
                <w:color w:val="auto"/>
                <w:highlight w:val="none"/>
              </w:rPr>
              <w:br w:type="textWrapping"/>
            </w:r>
            <w:r>
              <w:rPr>
                <w:rFonts w:hint="eastAsia" w:ascii="宋体" w:hAnsi="宋体" w:cs="宋体"/>
                <w:color w:val="auto"/>
                <w:highlight w:val="none"/>
              </w:rPr>
              <w:t>2.文件存档检验：</w:t>
            </w:r>
            <w:r>
              <w:rPr>
                <w:rFonts w:ascii="宋体" w:hAnsi="宋体" w:cs="宋体"/>
                <w:color w:val="auto"/>
                <w:highlight w:val="none"/>
              </w:rPr>
              <w:t>合同</w:t>
            </w:r>
            <w:r>
              <w:rPr>
                <w:rFonts w:hint="eastAsia" w:ascii="宋体" w:hAnsi="宋体" w:cs="宋体"/>
                <w:color w:val="auto"/>
                <w:highlight w:val="none"/>
              </w:rPr>
              <w:t>、操作手册</w:t>
            </w:r>
            <w:r>
              <w:rPr>
                <w:rFonts w:ascii="宋体" w:hAnsi="宋体" w:cs="宋体"/>
                <w:color w:val="auto"/>
                <w:highlight w:val="none"/>
              </w:rPr>
              <w:t>等相关文件存档规范，内容真实有效</w:t>
            </w:r>
          </w:p>
        </w:tc>
        <w:tc>
          <w:tcPr>
            <w:tcW w:w="748" w:type="dxa"/>
            <w:noWrap w:val="0"/>
            <w:vAlign w:val="center"/>
          </w:tcPr>
          <w:p w14:paraId="0F6A5A32">
            <w:pPr>
              <w:jc w:val="center"/>
              <w:rPr>
                <w:rFonts w:hint="eastAsia" w:ascii="宋体" w:hAnsi="宋体" w:cs="宋体"/>
                <w:color w:val="auto"/>
                <w:highlight w:val="none"/>
              </w:rPr>
            </w:pPr>
          </w:p>
        </w:tc>
        <w:tc>
          <w:tcPr>
            <w:tcW w:w="1512" w:type="dxa"/>
            <w:noWrap w:val="0"/>
            <w:vAlign w:val="center"/>
          </w:tcPr>
          <w:p w14:paraId="5239894D">
            <w:pPr>
              <w:jc w:val="center"/>
              <w:rPr>
                <w:rFonts w:hint="eastAsia" w:ascii="宋体" w:hAnsi="宋体" w:cs="宋体"/>
                <w:color w:val="auto"/>
                <w:highlight w:val="none"/>
              </w:rPr>
            </w:pPr>
          </w:p>
        </w:tc>
      </w:tr>
      <w:tr w14:paraId="7A8CB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 w:hRule="atLeast"/>
        </w:trPr>
        <w:tc>
          <w:tcPr>
            <w:tcW w:w="1922" w:type="dxa"/>
            <w:gridSpan w:val="2"/>
            <w:noWrap w:val="0"/>
            <w:vAlign w:val="center"/>
          </w:tcPr>
          <w:p w14:paraId="3CEC133C">
            <w:pPr>
              <w:jc w:val="center"/>
              <w:rPr>
                <w:rFonts w:hint="eastAsia" w:ascii="宋体" w:hAnsi="宋体" w:cs="宋体"/>
                <w:color w:val="auto"/>
                <w:szCs w:val="21"/>
                <w:highlight w:val="none"/>
              </w:rPr>
            </w:pPr>
            <w:r>
              <w:rPr>
                <w:rFonts w:hint="eastAsia" w:ascii="宋体" w:hAnsi="宋体" w:cs="宋体"/>
                <w:color w:val="auto"/>
                <w:szCs w:val="21"/>
                <w:highlight w:val="none"/>
              </w:rPr>
              <w:t>验收工作</w:t>
            </w:r>
          </w:p>
          <w:p w14:paraId="1E8C8D2C">
            <w:pPr>
              <w:jc w:val="center"/>
              <w:rPr>
                <w:rFonts w:hint="eastAsia" w:ascii="宋体" w:hAnsi="宋体" w:cs="宋体"/>
                <w:color w:val="auto"/>
                <w:szCs w:val="21"/>
                <w:highlight w:val="none"/>
              </w:rPr>
            </w:pPr>
            <w:r>
              <w:rPr>
                <w:rFonts w:hint="eastAsia" w:ascii="宋体" w:hAnsi="宋体" w:cs="宋体"/>
                <w:color w:val="auto"/>
                <w:szCs w:val="21"/>
                <w:highlight w:val="none"/>
              </w:rPr>
              <w:t>相关附件明细</w:t>
            </w:r>
          </w:p>
          <w:p w14:paraId="73696432">
            <w:pPr>
              <w:jc w:val="center"/>
              <w:rPr>
                <w:rFonts w:hint="eastAsia" w:ascii="宋体" w:hAnsi="宋体" w:cs="宋体"/>
                <w:color w:val="auto"/>
                <w:szCs w:val="21"/>
                <w:highlight w:val="none"/>
              </w:rPr>
            </w:pPr>
            <w:r>
              <w:rPr>
                <w:rFonts w:hint="eastAsia" w:ascii="宋体" w:hAnsi="宋体" w:cs="宋体"/>
                <w:color w:val="auto"/>
                <w:szCs w:val="21"/>
                <w:highlight w:val="none"/>
              </w:rPr>
              <w:t>（如有）</w:t>
            </w:r>
          </w:p>
        </w:tc>
        <w:tc>
          <w:tcPr>
            <w:tcW w:w="6389" w:type="dxa"/>
            <w:gridSpan w:val="3"/>
            <w:noWrap w:val="0"/>
            <w:vAlign w:val="top"/>
          </w:tcPr>
          <w:p w14:paraId="7952D434">
            <w:pPr>
              <w:rPr>
                <w:rFonts w:hint="eastAsia" w:ascii="宋体" w:hAnsi="宋体" w:cs="宋体"/>
                <w:color w:val="auto"/>
                <w:szCs w:val="21"/>
                <w:highlight w:val="none"/>
              </w:rPr>
            </w:pPr>
          </w:p>
        </w:tc>
      </w:tr>
      <w:tr w14:paraId="7A5C9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922" w:type="dxa"/>
            <w:gridSpan w:val="2"/>
            <w:noWrap w:val="0"/>
            <w:vAlign w:val="center"/>
          </w:tcPr>
          <w:p w14:paraId="1730DDFB">
            <w:pPr>
              <w:jc w:val="center"/>
              <w:rPr>
                <w:rFonts w:hint="eastAsia" w:ascii="宋体" w:hAnsi="宋体" w:cs="宋体"/>
                <w:color w:val="auto"/>
                <w:szCs w:val="21"/>
                <w:highlight w:val="none"/>
              </w:rPr>
            </w:pPr>
            <w:r>
              <w:rPr>
                <w:rFonts w:hint="eastAsia" w:ascii="宋体" w:hAnsi="宋体" w:cs="宋体"/>
                <w:color w:val="auto"/>
                <w:szCs w:val="21"/>
                <w:highlight w:val="none"/>
              </w:rPr>
              <w:t>考核负责人签字</w:t>
            </w:r>
          </w:p>
        </w:tc>
        <w:tc>
          <w:tcPr>
            <w:tcW w:w="6389" w:type="dxa"/>
            <w:gridSpan w:val="3"/>
            <w:noWrap w:val="0"/>
            <w:vAlign w:val="center"/>
          </w:tcPr>
          <w:p w14:paraId="46B8134C">
            <w:pPr>
              <w:rPr>
                <w:rFonts w:hint="eastAsia" w:ascii="宋体" w:hAnsi="宋体" w:cs="宋体"/>
                <w:color w:val="auto"/>
                <w:szCs w:val="21"/>
                <w:highlight w:val="none"/>
              </w:rPr>
            </w:pPr>
          </w:p>
        </w:tc>
      </w:tr>
    </w:tbl>
    <w:p w14:paraId="224C655D">
      <w:pPr>
        <w:spacing w:line="360" w:lineRule="auto"/>
        <w:rPr>
          <w:rFonts w:hint="eastAsia" w:ascii="宋体" w:hAnsi="宋体"/>
          <w:color w:val="auto"/>
          <w:sz w:val="24"/>
          <w:highlight w:val="none"/>
        </w:rPr>
      </w:pPr>
    </w:p>
    <w:p w14:paraId="6FCA192C">
      <w:pPr>
        <w:spacing w:line="360" w:lineRule="auto"/>
        <w:rPr>
          <w:rFonts w:hint="eastAsia" w:ascii="宋体" w:hAnsi="宋体"/>
          <w:color w:val="auto"/>
          <w:sz w:val="24"/>
          <w:highlight w:val="none"/>
        </w:rPr>
      </w:pPr>
      <w:r>
        <w:rPr>
          <w:rFonts w:hint="eastAsia" w:ascii="宋体" w:hAnsi="宋体"/>
          <w:color w:val="auto"/>
          <w:sz w:val="24"/>
          <w:highlight w:val="none"/>
        </w:rPr>
        <w:t>附件1：包1—硬件设备技术要求—服务器</w:t>
      </w:r>
    </w:p>
    <w:p w14:paraId="3F5B5607">
      <w:pPr>
        <w:spacing w:line="360" w:lineRule="auto"/>
        <w:rPr>
          <w:rFonts w:hint="eastAsia" w:ascii="宋体" w:hAnsi="宋体"/>
          <w:color w:val="auto"/>
          <w:sz w:val="24"/>
          <w:highlight w:val="none"/>
        </w:rPr>
      </w:pPr>
    </w:p>
    <w:tbl>
      <w:tblPr>
        <w:tblStyle w:val="12"/>
        <w:tblW w:w="8452" w:type="dxa"/>
        <w:tblInd w:w="-14" w:type="dxa"/>
        <w:tblLayout w:type="fixed"/>
        <w:tblCellMar>
          <w:top w:w="0" w:type="dxa"/>
          <w:left w:w="108" w:type="dxa"/>
          <w:bottom w:w="0" w:type="dxa"/>
          <w:right w:w="108" w:type="dxa"/>
        </w:tblCellMar>
      </w:tblPr>
      <w:tblGrid>
        <w:gridCol w:w="500"/>
        <w:gridCol w:w="597"/>
        <w:gridCol w:w="678"/>
        <w:gridCol w:w="838"/>
        <w:gridCol w:w="742"/>
        <w:gridCol w:w="1952"/>
        <w:gridCol w:w="1855"/>
        <w:gridCol w:w="1290"/>
      </w:tblGrid>
      <w:tr w14:paraId="127A93B4">
        <w:tblPrEx>
          <w:tblCellMar>
            <w:top w:w="0" w:type="dxa"/>
            <w:left w:w="108" w:type="dxa"/>
            <w:bottom w:w="0" w:type="dxa"/>
            <w:right w:w="108" w:type="dxa"/>
          </w:tblCellMar>
        </w:tblPrEx>
        <w:trPr>
          <w:trHeight w:val="450" w:hRule="atLeast"/>
          <w:tblHeader/>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B35E6F9">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序号</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C7C443A">
            <w:pPr>
              <w:widowControl/>
              <w:jc w:val="left"/>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指标分类</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0AB89A4">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一级指标</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BC12DB6">
            <w:pPr>
              <w:widowControl/>
              <w:jc w:val="center"/>
              <w:textAlignment w:val="center"/>
              <w:rPr>
                <w:rFonts w:hint="eastAsia" w:ascii="宋体" w:hAnsi="宋体" w:cs="宋体"/>
                <w:b/>
                <w:bCs/>
                <w:color w:val="auto"/>
                <w:kern w:val="0"/>
                <w:sz w:val="18"/>
                <w:szCs w:val="18"/>
                <w:highlight w:val="none"/>
                <w:lang w:bidi="ar"/>
              </w:rPr>
            </w:pPr>
            <w:r>
              <w:rPr>
                <w:rFonts w:hint="eastAsia" w:ascii="宋体" w:hAnsi="宋体" w:cs="宋体"/>
                <w:b/>
                <w:bCs/>
                <w:color w:val="auto"/>
                <w:kern w:val="0"/>
                <w:sz w:val="18"/>
                <w:szCs w:val="18"/>
                <w:highlight w:val="none"/>
                <w:lang w:bidi="ar"/>
              </w:rPr>
              <w:t>二级</w:t>
            </w:r>
          </w:p>
          <w:p w14:paraId="4106FA8F">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235F5E1">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是否可以作为评分因素</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DFE0A1A">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指标要求</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F36757A">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采购人技术要求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37F5139">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指标使用说明</w:t>
            </w:r>
          </w:p>
        </w:tc>
      </w:tr>
      <w:tr w14:paraId="5592B7CB">
        <w:tblPrEx>
          <w:tblCellMar>
            <w:top w:w="0" w:type="dxa"/>
            <w:left w:w="108" w:type="dxa"/>
            <w:bottom w:w="0" w:type="dxa"/>
            <w:right w:w="108" w:type="dxa"/>
          </w:tblCellMar>
        </w:tblPrEx>
        <w:trPr>
          <w:trHeight w:val="2991"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7266BF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AD1777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C53B89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464B6A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★CPU信息</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0ACE31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249FC6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供应商给出CPU信息，包含CPU型号、物理核心数、主频、末级缓存容量、线程数、热设计功耗及支持内存的最高速率、通道数和位宽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4FEF48C">
            <w:pPr>
              <w:widowControl/>
              <w:jc w:val="left"/>
              <w:textAlignment w:val="center"/>
              <w:rPr>
                <w:rStyle w:val="51"/>
                <w:rFonts w:hint="default"/>
                <w:color w:val="auto"/>
                <w:highlight w:val="none"/>
                <w:lang w:bidi="ar"/>
              </w:rPr>
            </w:pPr>
            <w:r>
              <w:rPr>
                <w:rStyle w:val="51"/>
                <w:rFonts w:hint="default"/>
                <w:color w:val="auto"/>
                <w:highlight w:val="none"/>
                <w:lang w:bidi="ar"/>
              </w:rPr>
              <w:t>CPU：ARM架构，</w:t>
            </w:r>
          </w:p>
          <w:p w14:paraId="56CA07BE">
            <w:pPr>
              <w:widowControl/>
              <w:jc w:val="left"/>
              <w:textAlignment w:val="center"/>
              <w:rPr>
                <w:rStyle w:val="51"/>
                <w:rFonts w:hint="default"/>
                <w:color w:val="auto"/>
                <w:highlight w:val="none"/>
                <w:lang w:bidi="ar"/>
              </w:rPr>
            </w:pPr>
            <w:r>
              <w:rPr>
                <w:rStyle w:val="51"/>
                <w:rFonts w:hint="default"/>
                <w:color w:val="auto"/>
                <w:highlight w:val="none"/>
                <w:lang w:bidi="ar"/>
              </w:rPr>
              <w:t xml:space="preserve">物理核心数：2*48核 ，主频：2.6GHz，单个 CPU 末级缓存容量：48MB， </w:t>
            </w:r>
          </w:p>
          <w:p w14:paraId="352A95AF">
            <w:pPr>
              <w:widowControl/>
              <w:jc w:val="left"/>
              <w:textAlignment w:val="center"/>
              <w:rPr>
                <w:rStyle w:val="51"/>
                <w:rFonts w:hint="default"/>
                <w:color w:val="auto"/>
                <w:highlight w:val="none"/>
                <w:lang w:bidi="ar"/>
              </w:rPr>
            </w:pPr>
            <w:r>
              <w:rPr>
                <w:rStyle w:val="51"/>
                <w:rFonts w:hint="default"/>
                <w:color w:val="auto"/>
                <w:highlight w:val="none"/>
                <w:lang w:bidi="ar"/>
              </w:rPr>
              <w:t>线程数：2 个 CPU 共 96 线程，热设计功耗：150W，CPU支持内存最高速率：3200MT/s，CPU支持内存通道数：8（单 CPU），CPU支持内存位宽：64bit；</w:t>
            </w:r>
          </w:p>
          <w:p w14:paraId="1C44E617">
            <w:pPr>
              <w:widowControl/>
              <w:jc w:val="left"/>
              <w:textAlignment w:val="center"/>
              <w:rPr>
                <w:rStyle w:val="51"/>
                <w:rFonts w:hint="default"/>
                <w:color w:val="auto"/>
                <w:highlight w:val="none"/>
                <w:lang w:bidi="ar"/>
              </w:rPr>
            </w:pPr>
            <w:r>
              <w:rPr>
                <w:rFonts w:hint="eastAsia" w:ascii="宋体" w:hAnsi="宋体" w:cs="宋体"/>
                <w:color w:val="auto"/>
                <w:kern w:val="0"/>
                <w:sz w:val="18"/>
                <w:szCs w:val="18"/>
                <w:highlight w:val="none"/>
                <w:lang w:bidi="ar"/>
              </w:rPr>
              <w:t>★</w:t>
            </w:r>
            <w:r>
              <w:rPr>
                <w:rStyle w:val="51"/>
                <w:rFonts w:hint="default"/>
                <w:color w:val="auto"/>
                <w:highlight w:val="none"/>
                <w:lang w:bidi="ar"/>
              </w:rPr>
              <w:t>CPU通过安全可靠测评</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88811B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846F7CD">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9D8C07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57273D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11BD62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EA2370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★主板支持的CPU和内存情况</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23E53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68DF37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供应商给出主板支持的CPU和内存的型号数量</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ACE9EC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 CPU 数量：2 ，已配备内存型号：DDR4 RDIMM-32GB-3200MT/s-1.2V-ECC，已配备内存数量：16</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2A9314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0485535">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24BB8A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41E23F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515A1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0D3C10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★主板内存槽数量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F3A472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07FB7E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非板载内存的可扩展插槽数量应不少于4个</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E4F049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非板载内存的可扩展插槽数量应为32个</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586904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实配的内存插槽数越多，内存扩展能力越强</w:t>
            </w:r>
          </w:p>
        </w:tc>
      </w:tr>
      <w:tr w14:paraId="122AEFCB">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246FF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C94335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68C80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90CA2D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★主板存储接口</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CC5839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BFC291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至少支持SATA、SAS、M.2、U.2等存储接口中的1种</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125E0C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 B1,支持存储接口：SATA、SAS、U.2、PCIe</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24618D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配置的接口种类越多可支持存储设备类型越多</w:t>
            </w:r>
          </w:p>
        </w:tc>
      </w:tr>
      <w:tr w14:paraId="423CAF65">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CBB05C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35FF8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30DDD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AEB2F8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★PCIe插槽接口</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F8CD3C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9A754C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符合PCIe3.0或以上的高速串行计算机扩展总线标准，PCIe的接口速率与位宽需保证向下兼容</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38DF20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符合PCIe4.0的高速串行计算机扩展总线标准，PCIe的接口速率与位宽需保证向下兼容</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514FA5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采购人根据需要选择PCIe插槽接口。PCIe插槽协议版本越高越好</w:t>
            </w:r>
          </w:p>
        </w:tc>
      </w:tr>
      <w:tr w14:paraId="2AD58E37">
        <w:tblPrEx>
          <w:tblCellMar>
            <w:top w:w="0" w:type="dxa"/>
            <w:left w:w="108" w:type="dxa"/>
            <w:bottom w:w="0" w:type="dxa"/>
            <w:right w:w="108" w:type="dxa"/>
          </w:tblCellMar>
        </w:tblPrEx>
        <w:trPr>
          <w:trHeight w:val="27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480991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BBA970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FF490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D02CF9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★主板PCIe插槽数量及规格</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C30DD3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8D76A7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a)高度大于44.45mm双路或以上服务器PCIe插槽或接口应不少于5个；b)单路服务器PCIe插槽或接口应不少于4个，可通过扩展卡进行插槽扩展</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4DFCBF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a)高度86.1 mm，双路服务器，PCIe插槽8个;</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7214F7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实配的PCIe插槽数越多，扩展能力越强，但PCIe插槽过多会影响产品轻薄化小型化</w:t>
            </w:r>
          </w:p>
        </w:tc>
      </w:tr>
      <w:tr w14:paraId="5E47F75D">
        <w:tblPrEx>
          <w:tblCellMar>
            <w:top w:w="0" w:type="dxa"/>
            <w:left w:w="108" w:type="dxa"/>
            <w:bottom w:w="0" w:type="dxa"/>
            <w:right w:w="108" w:type="dxa"/>
          </w:tblCellMar>
        </w:tblPrEx>
        <w:trPr>
          <w:trHeight w:val="76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8EA5A3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1CD33E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1C2D1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4286F8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特殊孔位及接口</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85894D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0AB33C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服务器机箱内主板可根据用户实际使用需求支持安装多功能导入装置板卡，机箱内需预留多功能导入装置板卡安装位置，容量不小于55mm×45mm×15mm（长×宽×高，单位毫米）；b)服务器主板可根据用户实际使用需求预留满足USB2.0或USB3.0数据传输规范的接口，工作电压5V，采用USB2.0时，最大过电流应不小于0.5A，采用USB3.0时，最大过电流应不小于1A</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B727E9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a)服务器机箱内主板可根据实际使用需求支持安装多功能导入装置板卡，机箱内需预留多功能导入装置板卡安装位置，容量具体尺寸为447 mm*790 mm*86.1 mm（宽*深*高）；b)服务器主板可根据实际使用需求预留满足 USB3.0数据传输规范的接口，工作电压5V，采用USB3.0时，最大过电流应1A。</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18AFD8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C92061C">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29AD53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7861A0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  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1A5FE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75F9FB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板载网络接口</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01E21B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175FE3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若支持板载网络接口应不少于1个1GE网口</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FA2A30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板载 1GE 网络接口数量：4</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449CBF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采购人根据需要选择板载网络接口数量及传输速率。一般网络接口速率越高、端口数量越多说明服务器整机的网络能力越强</w:t>
            </w:r>
          </w:p>
        </w:tc>
      </w:tr>
      <w:tr w14:paraId="5E223FC0">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8BD302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AD8A86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  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932DA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E4A657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主板OCP插槽数量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D09C6E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BB108B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支持OCP2.0及以上插槽的数量不少于1个</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D643DF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OCP2.0 插槽总数：2（空置槽位数：1）</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920F0D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采购人根据需要选择OCP插槽数量。支持OCP网卡越多扩展能力越强</w:t>
            </w:r>
          </w:p>
        </w:tc>
      </w:tr>
      <w:tr w14:paraId="7A5AD1C3">
        <w:tblPrEx>
          <w:tblCellMar>
            <w:top w:w="0" w:type="dxa"/>
            <w:left w:w="108" w:type="dxa"/>
            <w:bottom w:w="0" w:type="dxa"/>
            <w:right w:w="108" w:type="dxa"/>
          </w:tblCellMar>
        </w:tblPrEx>
        <w:trPr>
          <w:trHeight w:val="4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E41984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6CEBE1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E52BBE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941E82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7AEB25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33061B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FCC2BA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配备内存数量：16</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171405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5E57CD5">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E8473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0DC96C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71ECB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E6AC7D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★内存规格</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741080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A8879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≥DDR4</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33B66C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内存规格为DDR4</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4CBB0D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采购人根据需要选择产品支持内存规格。支持内存代次越高越好</w:t>
            </w:r>
          </w:p>
        </w:tc>
      </w:tr>
      <w:tr w14:paraId="79CB44E3">
        <w:tblPrEx>
          <w:tblCellMar>
            <w:top w:w="0" w:type="dxa"/>
            <w:left w:w="108" w:type="dxa"/>
            <w:bottom w:w="0" w:type="dxa"/>
            <w:right w:w="108" w:type="dxa"/>
          </w:tblCellMar>
        </w:tblPrEx>
        <w:trPr>
          <w:trHeight w:val="31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35D37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A6C100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84DF6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874223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★内存通道</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AB287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BDD98B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支持多个内存接口通道，每个通道可支持1DPC或2DPC，当支持2DPC时，印制电路板上应具备插槽的序号标识，具体通道数应在随机文件中明确</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8F1BA2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支持多个内存接口通道，每个通道可支持1DPC或2DPC，当支持2DPC时，印制电路板上应具备插槽的序号标识，具体通道数已在随机文件中明确</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A8780E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服务器常见为3通道和4通道，通道数越多，产品配置多内存时越能发挥内存最高性能</w:t>
            </w:r>
          </w:p>
        </w:tc>
      </w:tr>
      <w:tr w14:paraId="07567A37">
        <w:tblPrEx>
          <w:tblCellMar>
            <w:top w:w="0" w:type="dxa"/>
            <w:left w:w="108" w:type="dxa"/>
            <w:bottom w:w="0" w:type="dxa"/>
            <w:right w:w="108" w:type="dxa"/>
          </w:tblCellMar>
        </w:tblPrEx>
        <w:trPr>
          <w:trHeight w:val="38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C0176B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A23E5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308F464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5E9B65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硬盘类型</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7C10C0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B14131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供应商给出服务器支持硬磁盘和固态盘类型及规格</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6292DF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支持SAS硬盘、SATA硬盘、NVMe硬盘等，支持2.5英寸SAS SSD、SATA SSD，支持NVME SSD，规格支持480GB、960GB、1.92TB、1.6TB、3.2TB、3.84TB、7.68TB等规格</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8FAA17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3F13737">
        <w:tblPrEx>
          <w:tblCellMar>
            <w:top w:w="0" w:type="dxa"/>
            <w:left w:w="108" w:type="dxa"/>
            <w:bottom w:w="0" w:type="dxa"/>
            <w:right w:w="108" w:type="dxa"/>
          </w:tblCellMar>
        </w:tblPrEx>
        <w:trPr>
          <w:trHeight w:val="38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B64C31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C6856A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AFA64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2F1110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★硬磁盘实配容量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239902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F5354F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服务器产品至少要配备一款存储设备a)若配备硬磁盘，服务器提供的实配硬磁盘可用容量应不小于600GBb)若配备固态盘，实配固态盘单盘可用容量不小于480GB，NVMeSSD容量不小于960GB</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FD2747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服务器配置两款存储硬盘a),配置2块硬盘，单盘600GB，硬盘类型为2.5英寸机械硬盘，6块4TB硬盘，硬盘类型为3.5英寸机械硬盘，</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F972C9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硬盘容量越大数据存储能力越强</w:t>
            </w:r>
          </w:p>
        </w:tc>
      </w:tr>
      <w:tr w14:paraId="2F7FE3F7">
        <w:tblPrEx>
          <w:tblCellMar>
            <w:top w:w="0" w:type="dxa"/>
            <w:left w:w="108" w:type="dxa"/>
            <w:bottom w:w="0" w:type="dxa"/>
            <w:right w:w="108" w:type="dxa"/>
          </w:tblCellMar>
        </w:tblPrEx>
        <w:trPr>
          <w:trHeight w:val="27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6C2FAF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4EC19A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1EA22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D1E06F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硬盘接口类型</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B0E8A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EA53D3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a)若配备硬磁盘，应提供SAS3.0或SATA3.0及以上接口；b)若配备固态盘，应提供至少1种类型固态盘接口，如UFS、SATA、PCIe等</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AA41DE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硬盘接口类型为SAS3.0</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BD1716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采购人根据需要明确硬盘接口类型</w:t>
            </w:r>
          </w:p>
        </w:tc>
      </w:tr>
      <w:tr w14:paraId="630F1C09">
        <w:tblPrEx>
          <w:tblCellMar>
            <w:top w:w="0" w:type="dxa"/>
            <w:left w:w="108" w:type="dxa"/>
            <w:bottom w:w="0" w:type="dxa"/>
            <w:right w:w="108" w:type="dxa"/>
          </w:tblCellMar>
        </w:tblPrEx>
        <w:trPr>
          <w:trHeight w:val="31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B2859E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83A75B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5FB54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B6776B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★硬盘实配数量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A9CC54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6AB5E4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a)若配备硬磁盘，服务器提供的实配硬磁盘数量应不小于2块，可实现互为备份；b)若配备固态盘，实配盘数应不小于1块</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304657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提供2块SAS机械硬盘组件-600GB-12Gb/s-10Krpm-128MB及以上-2.5英寸；提供6块SATA机械硬盘组件-4000GB-6Gb/s-7.2Krpm-128MB及以上-3.5英寸</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0C36FB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建议采购人选择2块及以上HDD盘，便于采购人扩容及组建RAID</w:t>
            </w:r>
          </w:p>
        </w:tc>
      </w:tr>
      <w:tr w14:paraId="14F4EE80">
        <w:tblPrEx>
          <w:tblCellMar>
            <w:top w:w="0" w:type="dxa"/>
            <w:left w:w="108" w:type="dxa"/>
            <w:bottom w:w="0" w:type="dxa"/>
            <w:right w:w="108" w:type="dxa"/>
          </w:tblCellMar>
        </w:tblPrEx>
        <w:trPr>
          <w:trHeight w:val="47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D5E9EA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1B86A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9A80A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453E1F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★硬盘插槽数量及规格</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8B0547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2476A9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供应商应给出配置的硬盘尺寸，如2.5英寸、3.5英寸硬磁盘；b)机箱高度为88.9mm的服务器可支持的硬盘数量应不少于8块，机箱高度为44.45mm的服务器可支持的硬盘数量应不少于4块。c)存储型服务器可支持硬盘数量应不少于24块</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3D7C07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a)配置的600GB硬盘，尺寸2.5英寸、配置的4000GB硬盘，尺寸为3.5英寸硬磁盘;b)机箱高度为88.9mm的服务器可支持的硬盘数量应12块。</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5A842F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可支持的硬盘数量越多，产品存储扩展能力越强</w:t>
            </w:r>
          </w:p>
        </w:tc>
      </w:tr>
      <w:tr w14:paraId="7C587A0D">
        <w:tblPrEx>
          <w:tblCellMar>
            <w:top w:w="0" w:type="dxa"/>
            <w:left w:w="108" w:type="dxa"/>
            <w:bottom w:w="0" w:type="dxa"/>
            <w:right w:w="108" w:type="dxa"/>
          </w:tblCellMar>
        </w:tblPrEx>
        <w:trPr>
          <w:trHeight w:val="42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67D069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7A64D0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C5E24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AB7F9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硬盘其他参数要求</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8EC3F4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D0A1B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bdr w:val="single" w:color="000000" w:sz="4" w:space="0"/>
                <w:lang w:bidi="ar"/>
              </w:rPr>
              <w:drawing>
                <wp:anchor distT="0" distB="0" distL="114300" distR="114300" simplePos="0" relativeHeight="251659264" behindDoc="0" locked="0" layoutInCell="1" allowOverlap="1">
                  <wp:simplePos x="0" y="0"/>
                  <wp:positionH relativeFrom="column">
                    <wp:posOffset>11430</wp:posOffset>
                  </wp:positionH>
                  <wp:positionV relativeFrom="paragraph">
                    <wp:posOffset>471805</wp:posOffset>
                  </wp:positionV>
                  <wp:extent cx="76835" cy="47625"/>
                  <wp:effectExtent l="0" t="0" r="0" b="0"/>
                  <wp:wrapNone/>
                  <wp:docPr id="1" name="textbox1"/>
                  <wp:cNvGraphicFramePr/>
                  <a:graphic xmlns:a="http://schemas.openxmlformats.org/drawingml/2006/main">
                    <a:graphicData uri="http://schemas.openxmlformats.org/drawingml/2006/picture">
                      <pic:pic xmlns:pic="http://schemas.openxmlformats.org/drawingml/2006/picture">
                        <pic:nvPicPr>
                          <pic:cNvPr id="1" name="textbox1"/>
                          <pic:cNvPicPr/>
                        </pic:nvPicPr>
                        <pic:blipFill>
                          <a:blip r:embed="rId5"/>
                          <a:stretch>
                            <a:fillRect/>
                          </a:stretch>
                        </pic:blipFill>
                        <pic:spPr>
                          <a:xfrm>
                            <a:off x="0" y="0"/>
                            <a:ext cx="76835" cy="47625"/>
                          </a:xfrm>
                          <a:prstGeom prst="rect">
                            <a:avLst/>
                          </a:prstGeom>
                          <a:noFill/>
                          <a:ln>
                            <a:noFill/>
                          </a:ln>
                        </pic:spPr>
                      </pic:pic>
                    </a:graphicData>
                  </a:graphic>
                </wp:anchor>
              </w:drawing>
            </w:r>
            <w:r>
              <w:rPr>
                <w:rFonts w:hint="eastAsia" w:ascii="宋体" w:hAnsi="宋体" w:cs="宋体"/>
                <w:color w:val="auto"/>
                <w:kern w:val="0"/>
                <w:sz w:val="18"/>
                <w:szCs w:val="18"/>
                <w:highlight w:val="none"/>
                <w:lang w:bidi="ar"/>
              </w:rPr>
              <w:t>a)机械硬盘准备时间应不大于30s；侧面固定螺丝孔数量可为4孔或6孔；工作状态环境温度应满足5℃55℃,其它参数应符合GB/T12628的相关规定；b)若服务器支持固态盘，固态盘符合SJ/T11654相关规定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CF20B5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 机械硬盘准备时间不大于30s;侧面固定螺丝孔数量可为4孔或6孔；工作状态环境温度应满足5℃-55℃,其它参数应符合GB/T12628的相关规定；b)服务器支持固态盘，固态盘符合SJ/T11654相关规定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0BBF84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C39F72D">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C91EF2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333F93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58E36A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RAID卡规格（若支持RAID卡）</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2BC663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RAID卡支持的SAS</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968AFA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4B802B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83CA40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应实配RAID卡，且SAS接口数为8</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B210DC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RAID卡支持的SAS接口数越多，存储扩展能力越高，存储空间组合划分越灵活</w:t>
            </w:r>
          </w:p>
        </w:tc>
      </w:tr>
      <w:tr w14:paraId="415F9B25">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D2461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110F6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D78D5C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SAS直通卡规格(若支持SAS直通卡)</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4DEF9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SAS直通卡SAS接口数量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DAA605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61ED3F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C1C003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SAS直通卡SAS接口数量0</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F68AE6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采购人根据需要选择SAS直通卡数量和通道数量。SAS接口数越多，硬盘扩展能力越强</w:t>
            </w:r>
          </w:p>
        </w:tc>
      </w:tr>
      <w:tr w14:paraId="4FEF7497">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FE7B5C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0CF394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5FC94E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HBA卡规格(若支持HBA直通卡)</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26EB7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HBA卡端口数量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473AB1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20056B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23D698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HBA卡端口数量0</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37C17C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采购人根据需要选择FCHBA卡的端口数量</w:t>
            </w:r>
          </w:p>
        </w:tc>
      </w:tr>
      <w:tr w14:paraId="5BD70406">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8477D2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3768EA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5691A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3C04B6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★网口速率和数量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983E60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AABB9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配备网口数量不少于1个，且网口速率不少于1GE</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C08A5E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配备网口数量4个，且网口速率1GE</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5A1CD1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采购人根据需要选择配备的网口速率和数量。传输速率越高、端口数量越多服务器整机的网络通信能力越强</w:t>
            </w:r>
          </w:p>
        </w:tc>
      </w:tr>
      <w:tr w14:paraId="430A9B9D">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7DC253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B1D7CB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8958E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06A287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存储型服务器网口速率和数量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F322AE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736334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存储型服务器1GE网口数量不少于2个，10GE以上网口数量不少于2个</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EDA5F17">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290" w:type="dxa"/>
            <w:tcBorders>
              <w:top w:val="single" w:color="000000" w:sz="4" w:space="0"/>
              <w:left w:val="single" w:color="000000" w:sz="4" w:space="0"/>
              <w:bottom w:val="single" w:color="000000" w:sz="4" w:space="0"/>
              <w:right w:val="nil"/>
            </w:tcBorders>
            <w:noWrap w:val="0"/>
            <w:vAlign w:val="center"/>
          </w:tcPr>
          <w:p w14:paraId="4E89CE5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采购人根据需要选择配备网口速率和数量。传输速率越高、端口数量越多服务器整机的网络通信能力越强</w:t>
            </w:r>
          </w:p>
        </w:tc>
      </w:tr>
      <w:tr w14:paraId="3C22784F">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9C43F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EA97C1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54408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D90ADA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独立网卡网口数量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F33747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B79EC0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若配备独立网卡，独立网卡网口数量≥0</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05D3FE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若配备独立网卡，独立网卡网口数量0</w:t>
            </w:r>
          </w:p>
        </w:tc>
        <w:tc>
          <w:tcPr>
            <w:tcW w:w="1290" w:type="dxa"/>
            <w:tcBorders>
              <w:top w:val="single" w:color="000000" w:sz="4" w:space="0"/>
              <w:left w:val="single" w:color="000000" w:sz="4" w:space="0"/>
              <w:bottom w:val="single" w:color="000000" w:sz="4" w:space="0"/>
              <w:right w:val="nil"/>
            </w:tcBorders>
            <w:noWrap w:val="0"/>
            <w:vAlign w:val="center"/>
          </w:tcPr>
          <w:p w14:paraId="0B73A38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采购人根据需要选择独立网卡网口数量</w:t>
            </w:r>
          </w:p>
        </w:tc>
      </w:tr>
      <w:tr w14:paraId="3195690B">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6BB2E3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4DB783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2DA60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ACD6B3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独立网卡接口类型</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021A57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71D070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支持RJ45/QSFP/SFP等</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FD66C4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支持RJ45/QSFP/SFP等</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28C690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若有需要，采购人根据需要选择独立网卡接口。一般千兆以下网络选用RJ45电接口，超过千兆网络选用SFP、QSFP光接口</w:t>
            </w:r>
          </w:p>
        </w:tc>
      </w:tr>
      <w:tr w14:paraId="6C4E179B">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F1376E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E3C6CB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1DA12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70B8D8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板载网卡接口类型</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9628DD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E492D8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支持RJ45/QSFP/SFP等</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A04E3F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支持RJ45/QSFP/SFP等</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54CE7F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采购人根据需要选择板载网卡接口类型。一般千兆以下网络选用RJ45电接口，超过千兆网络选用SFP光接口</w:t>
            </w:r>
          </w:p>
        </w:tc>
      </w:tr>
      <w:tr w14:paraId="324BDF5E">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DEC05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05F829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273378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外部接口规格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F14F99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★显示接口</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834623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19C207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显示接口类型应不少于1种，如：VGA、DP、HDMI等</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0D6C8F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显示接口类型1种，如:VGA</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3A441E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采购人根据需要选择显示接口</w:t>
            </w:r>
          </w:p>
        </w:tc>
      </w:tr>
      <w:tr w14:paraId="65A0F93B">
        <w:tblPrEx>
          <w:tblCellMar>
            <w:top w:w="0" w:type="dxa"/>
            <w:left w:w="108" w:type="dxa"/>
            <w:bottom w:w="0" w:type="dxa"/>
            <w:right w:w="108" w:type="dxa"/>
          </w:tblCellMar>
        </w:tblPrEx>
        <w:trPr>
          <w:trHeight w:val="27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3959DB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F76C62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0EBF9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D4C2A9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★USB接口</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96F1E8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F0BA03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配备USB接口，如USB2.0、USB3.0等</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FA52D3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配备USB接口，如USB2.0、USB3.0等</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51093D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采购人根据需要选择USB接口数量。USB接口的数量越多外接设备能力越强，协议版本越高传输速率越高（USB3.0传输速度高于USB2.0）</w:t>
            </w:r>
          </w:p>
        </w:tc>
      </w:tr>
      <w:tr w14:paraId="64ACD83C">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422F69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29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ABCA94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FCE3D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002DF8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特殊接口及孔位</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1A5A95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124308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前面板预留1个专用USB母座接口孔位</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F947A6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前面板预留1个专用USB母座接口孔位</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35EA06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采购人根据需要选择配备特殊接口及孔位产品</w:t>
            </w:r>
          </w:p>
        </w:tc>
      </w:tr>
      <w:tr w14:paraId="781215BD">
        <w:tblPrEx>
          <w:tblCellMar>
            <w:top w:w="0" w:type="dxa"/>
            <w:left w:w="108" w:type="dxa"/>
            <w:bottom w:w="0" w:type="dxa"/>
            <w:right w:w="108" w:type="dxa"/>
          </w:tblCellMar>
        </w:tblPrEx>
        <w:trPr>
          <w:trHeight w:val="29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02B784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40FB69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1149A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1B2346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其他接口</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C23EE4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F2B0C7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a)串口数量不少于1个，并可实现GB/T6107或GB/T26803.2的相关功能；b)服务器主机前面板可根据用户实际使用需求预留1个专用USB母座接口孔位</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5EAC87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a)串口数量1个，并可实现GB/T6107或GB/T26803.2的相关功能；b)服务器主机前面板可根据用户实际使用需求预留1个专用USB母座接口孔位</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D0D462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若有特殊需求，采购人可根据需要选择支持接口如：PS/2接口、BMC管理端口等</w:t>
            </w:r>
          </w:p>
        </w:tc>
      </w:tr>
      <w:tr w14:paraId="4CBF20A1">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6EA488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4A953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B5BE5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DA14A8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电源冗余模式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6B7EC1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6238FF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整机电源模块按1+1冗余或N+1冗余配置</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1B320E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整机电源模块按1+1冗余配置</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BCB9C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采购人根据需要选择电池冗余模式。配有电源冗余的服务器，可靠性较高</w:t>
            </w:r>
          </w:p>
        </w:tc>
      </w:tr>
      <w:tr w14:paraId="6163BC6D">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0E8BB7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9BAC9E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87941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1EF3DB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★电源模块数量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F763A1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172F66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7AE095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电源模块数量2</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B7E7DF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采购人根据需要选择电源模块数量。一般配备冗余电源模块。</w:t>
            </w:r>
          </w:p>
        </w:tc>
      </w:tr>
      <w:tr w14:paraId="5AE14FA1">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9F999C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114AD0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88ED6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66879D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★电源功率</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3DC296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DDE56F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电源模块功率应有一定冗余，满足处理器满载时的需求</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5D0D03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电源模块功率有一定冗余，满足处理器满载时的需求，单电源功率900W，配备双电源</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7D6334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一般情况下，电源功率越大能够支持的服务器负载也越大，但电源能效和负载相同情况下电源功率越大损耗越大</w:t>
            </w:r>
          </w:p>
        </w:tc>
      </w:tr>
      <w:tr w14:paraId="14F8ED49">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440B33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286A53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C047F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9E5D9C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电源指示灯</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3F117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25CF99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配备电源指示灯，指示待机、工作异常等状态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58E6AB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配备电源指示灯，指示待机、工作异常等状态</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948951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电源指示灯可以表现指示状态，可方便用户使用</w:t>
            </w:r>
          </w:p>
        </w:tc>
      </w:tr>
      <w:tr w14:paraId="32452937">
        <w:tblPrEx>
          <w:tblCellMar>
            <w:top w:w="0" w:type="dxa"/>
            <w:left w:w="108" w:type="dxa"/>
            <w:bottom w:w="0" w:type="dxa"/>
            <w:right w:w="108" w:type="dxa"/>
          </w:tblCellMar>
        </w:tblPrEx>
        <w:trPr>
          <w:trHeight w:val="819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CB706F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8208B7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2CD7CB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CC2F9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★外观和结构</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08683D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56AB43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DA276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679B7B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F402687">
        <w:tblPrEx>
          <w:tblCellMar>
            <w:top w:w="0" w:type="dxa"/>
            <w:left w:w="108" w:type="dxa"/>
            <w:bottom w:w="0" w:type="dxa"/>
            <w:right w:w="108" w:type="dxa"/>
          </w:tblCellMar>
        </w:tblPrEx>
        <w:trPr>
          <w:trHeight w:val="27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DFD99E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9BFCAC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224B8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81AA0F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★尺寸（高×宽×深）</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9787FC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3DD569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供应商给出产品尺寸；设计应遵循标准化、系列化的要求；机箱的内部结构符合通用部件的安装需要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974E7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产品尺寸：（高×宽×深）86.1 mm×447mm×790 mm；设计遵循标准化、系列化的要求；机箱的内部结构符合通用部件的安装需要</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5CEA99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4FF1A98">
        <w:tblPrEx>
          <w:tblCellMar>
            <w:top w:w="0" w:type="dxa"/>
            <w:left w:w="108" w:type="dxa"/>
            <w:bottom w:w="0" w:type="dxa"/>
            <w:right w:w="108" w:type="dxa"/>
          </w:tblCellMar>
        </w:tblPrEx>
        <w:trPr>
          <w:trHeight w:val="27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AFC82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66F51C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9449F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A3271A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服务器导轨</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BDCD5C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BB231C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供应商给出导轨尺寸、安装方式等信息</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DA7ED7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机柜前后方孔条的距离范围为 610mm~914mm，可安装在满足IEC297标准的19英寸宽通用机柜中，推荐机柜深度≥600mm，可提供安装指南</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A25CE0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706546D">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DC913D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4D5DBE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DBA7B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A1C159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CPU个数与机柜高度单位(U)比</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EF38F9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80A650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供应商给出CPU个数与机柜高度</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2D8995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配置2个CPU，设备高度86.1 mm</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79239A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758BAAA">
        <w:tblPrEx>
          <w:tblCellMar>
            <w:top w:w="0" w:type="dxa"/>
            <w:left w:w="108" w:type="dxa"/>
            <w:bottom w:w="0" w:type="dxa"/>
            <w:right w:w="108" w:type="dxa"/>
          </w:tblCellMar>
        </w:tblPrEx>
        <w:trPr>
          <w:trHeight w:val="36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E20880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39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510F9C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8EFF0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6B2AFA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★环境适应性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93ACE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2B8EEA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气候环境适应性应符合GB/T9813.3的有关规定，工作温度10~35℃,贮存运输温度-40～55℃;工作相对湿度35%～80%，贮存运输相对湿度20％～93%（40℃);大气压86～106kPa</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1C7FF2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气候环境适应性应符合GB/T9813.3的有关规定，工作温度10~35℃,贮存运输温度-40～55℃;工作相对湿度35%～80%，贮存运输相对湿度20％～93%（40℃);大气压86～106kPa</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B7DFB4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63BFF31">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7995C9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1417BC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C9750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6D9574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特殊机型环境适应性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DC0B8F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4B3482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边缘应用服务器，工作环境温度宜为0～45℃,短期工作可承受环境温度宜为-5～55℃,液冷服务器贮存运输温度宜为-30～55℃</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09FB63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76907A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ED22012">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AF09B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88E378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AA3CE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40272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★机械环境适应性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195E2F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DB927E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机械环境适应性应符合GB/T9813.3的有关规定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CA75C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机械环境适应性应符合GB/T9813.3的有关规定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683347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9960354">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863E9B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F139EC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BE455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1A630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★噪声</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0EA841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0ED0A3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符合GB/T9813.3的有关规定，在产品说明中给出具体测试值塔式服务器噪声在空闲状态下不大于50dB</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3395FD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符合GB/T9813.3的有关规定，在产品说明中给出具体测试值塔式服务器噪声在空闲状态下不大于50dB</w:t>
            </w:r>
          </w:p>
        </w:tc>
        <w:tc>
          <w:tcPr>
            <w:tcW w:w="1290" w:type="dxa"/>
            <w:tcBorders>
              <w:top w:val="single" w:color="000000" w:sz="4" w:space="0"/>
              <w:left w:val="single" w:color="000000" w:sz="4" w:space="0"/>
              <w:bottom w:val="single" w:color="000000" w:sz="4" w:space="0"/>
              <w:right w:val="nil"/>
            </w:tcBorders>
            <w:noWrap w:val="0"/>
            <w:vAlign w:val="center"/>
          </w:tcPr>
          <w:p w14:paraId="123DFAF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4865A37">
        <w:tblPrEx>
          <w:tblCellMar>
            <w:top w:w="0" w:type="dxa"/>
            <w:left w:w="108" w:type="dxa"/>
            <w:bottom w:w="0" w:type="dxa"/>
            <w:right w:w="108" w:type="dxa"/>
          </w:tblCellMar>
        </w:tblPrEx>
        <w:trPr>
          <w:trHeight w:val="63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8DDE24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109058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6FCB9C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AI计算单元规格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AF45D1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AI计算单元</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5F42AC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A647C6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AI计算单元应符合如下要求：a)具备人工智能加速处理器，计算精度至少支持FP16、BF16、FP32、FP64、INT8和INT16等中的1种；b)单推理卡或模块，具备视频解析、文本识别、语音分析等推理能力；在视觉场景下配备可直接调用的接口实现视觉计算加速，路数不小于64（1080P30FPS）</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32A2E8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7FE7AA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若有特殊需求采购人根据实要需求选择AI计算单元。配备AI计算单元的产品，可大幅提升在特定场景下，典型功能的计算性能，如人脸识别、图片识别、数据挖掘等</w:t>
            </w:r>
          </w:p>
        </w:tc>
      </w:tr>
      <w:tr w14:paraId="51B8194A">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EA7818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6F0C7F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C6ABD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415D6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一键式迁移</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94071F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8D31AC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若服务器配备AI计算单元，提供训练脚本迁移工具</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586E5F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B059CC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支持一键式可提高系统迁移易用性</w:t>
            </w:r>
          </w:p>
        </w:tc>
      </w:tr>
      <w:tr w14:paraId="41BEFDC2">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C79054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696A59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66C4399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1D891E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★机柜尺寸</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EE12DD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67C409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供应商给出长度、高度和深度</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F143B7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高度42U ，宽带标准19英寸机架，深度范围为 600mm至1325mm</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D9160F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采购人可根据需要选择机柜尺寸</w:t>
            </w:r>
          </w:p>
        </w:tc>
      </w:tr>
      <w:tr w14:paraId="5F924122">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8076EF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713111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F7FCC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5BD74C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机柜管理板</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8926D4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69F542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配备机柜管理板</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043CB2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配备机柜管理板</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AA8C5E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高密度服务器、液冷服务器等一般配备机柜管理板</w:t>
            </w:r>
          </w:p>
        </w:tc>
      </w:tr>
      <w:tr w14:paraId="3051BB4B">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3DB8BB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BA5ED3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D2A96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D02BE6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机柜电源规格</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8BDA2D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F09016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a)机柜电源支持集中供电，电源输入不少于2路且支持自动切换；b)机柜电源模块支持N+1冗余配置，电源模块可独立更换</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2AD6D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机柜电源支持集中供电，电源输入不少于2路且支持自动切换；b)机柜电源模块支持N+1冗余配置，电源模块可独立更换</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792707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供电能力越强，越能满足计算节点的供电要求，配备冗余电源可确保极端情况下服务器稳定运行</w:t>
            </w:r>
          </w:p>
        </w:tc>
      </w:tr>
      <w:tr w14:paraId="78682A0E">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C578F9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5E55FD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9EC03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D6B08A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★主板外部接口种类</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2BC69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A75A77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支持USB、显示、管理等接口，如：VGA、DP、HDMI、USB3.0、PS/2接口、BMC管理端口</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775A41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支持USB、显示、管理等接口，如：VGA、USB3.0、BMC管理端口</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5E59A7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若有特殊需要，采购人根据需要选择其他接口。实配的接口类型越多，可兼容外部设备种类越多</w:t>
            </w:r>
          </w:p>
        </w:tc>
      </w:tr>
      <w:tr w14:paraId="07535D27">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1EC97A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49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C650B8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78E23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A35DC1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主板防烧板设计</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65A7E2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657712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支持主板防烧板设计，保证电源故障后不扩散</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F36441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支持主板防烧板设计，保证电源故障后不扩散</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57AC1B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具备防烧板设计，可以提升服务器电气安全，避免发生火灾</w:t>
            </w:r>
          </w:p>
        </w:tc>
      </w:tr>
      <w:tr w14:paraId="083C0E42">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596197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BDA690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65E97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ACF0AC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扩展功能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1BC67D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445A24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实现至少一种扩展功能，如存储功能卡、显示功能卡、运算加速功能卡及网络功能卡等扩展功能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65BE60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实现两种扩展功能，如运算加速功能卡及网络功能卡等扩展功能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B0619C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可扩展能力越强越有利于采购人后期升级产品</w:t>
            </w:r>
          </w:p>
        </w:tc>
      </w:tr>
      <w:tr w14:paraId="7D731776">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B85AEB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034820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C0CE31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943019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7B64F0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973DC5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支持网络连接、网络访问、数据交换和网络管控功能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DE699C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支持网络连接、网络访问、数据交换和网络管控功能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90A8C0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6BCC642">
        <w:tblPrEx>
          <w:tblCellMar>
            <w:top w:w="0" w:type="dxa"/>
            <w:left w:w="108" w:type="dxa"/>
            <w:bottom w:w="0" w:type="dxa"/>
            <w:right w:w="108" w:type="dxa"/>
          </w:tblCellMar>
        </w:tblPrEx>
        <w:trPr>
          <w:trHeight w:val="40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7F74A1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F26C7A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56F2F8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B0AEF4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★计算处理</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17C318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582588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支持通用计算及虚拟化功能。处理器需集成整型计算单元、浮点计算单元、内存控制器、I/O模块等，处理器与存储部件、网络部件、I/O部件等组成计算系统，提供数据处理、网络接入等计算相关功能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237974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支持通用计算及虚拟化功能。处理器需集成整型计算单元、浮点计算单元、内存控制器、I/O模块等，处理器与存储部件、网络部件、I/O部件等组成计算系统，提供数据处理、网络接入等计算相关功能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92C748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9F035E9">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3F6F18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2150AB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DCD9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B27A0C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★密码算法实现</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39FD53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7C4E8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CPU芯片应符合GM/T0008的相关规定，或芯片密码模块应符合GB/T37092或GM/T0028的相关规定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5A3FFB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CPU芯片符合GM/T0008的相关规定，或芯片密码模块应符合GB/T37092或GM/T0028的相关规定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64F979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通过商用密码检测机构检测并经商用密码认证机构认证合格</w:t>
            </w:r>
          </w:p>
        </w:tc>
      </w:tr>
      <w:tr w14:paraId="741E9CD3">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A17481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F52957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3A3C0D4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6117F9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内存校验</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7281A6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6B640C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支持内存校验或内存增强型纠错功能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4B97FB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支持内存校验或内存增强型纠错功能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261BF2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支持该功能可提升数据准确性和完整性，但也会损耗一定性能</w:t>
            </w:r>
          </w:p>
        </w:tc>
      </w:tr>
      <w:tr w14:paraId="7958E51D">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06B51E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720376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20FB2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top"/>
          </w:tcPr>
          <w:p w14:paraId="1E9B1A08">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SATASSDNAND健康状态上报</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F5110D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AA9DF0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支持关键外部存储器（硬磁盘、SSD等）的健康状态上报并进行故障诊断</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D031FE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支持关键外部存储器（硬磁盘、SSD等）的健康状态上报并进行故障诊断</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E7BD41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支持该功能有助于提升产品运维能力</w:t>
            </w:r>
          </w:p>
        </w:tc>
      </w:tr>
      <w:tr w14:paraId="6249043A">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2A1DE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BC02D2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59314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top"/>
          </w:tcPr>
          <w:p w14:paraId="54AC9B7B">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SATASSD单die故障隔离</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FCD8FD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2FF4F8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支持SSD关键外部存储器中单存储晶元故障隔离</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36A99A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支持SSD关键外部存储器中单存储晶元故障隔离</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EFF28A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支持该功能可降低业务异常中断风险</w:t>
            </w:r>
          </w:p>
        </w:tc>
      </w:tr>
      <w:tr w14:paraId="7D8BE8AA">
        <w:tblPrEx>
          <w:tblCellMar>
            <w:top w:w="0" w:type="dxa"/>
            <w:left w:w="108" w:type="dxa"/>
            <w:bottom w:w="0" w:type="dxa"/>
            <w:right w:w="108" w:type="dxa"/>
          </w:tblCellMar>
        </w:tblPrEx>
        <w:trPr>
          <w:trHeight w:val="47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E98AF2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90AC7E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1117B1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RAID卡功能（若支持RAID卡）</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847338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RAID卡RAID级别支持</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F4AE7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D41BEA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RAID模式支持RAID0/1/10/5，存储型支持RAID0/1/5/6/10/50/60</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9D2114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RAID模式支持RAID0/1/10/5/6/50/60</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377518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RAID卡支持的RAID级别越多，表明存储分配功能越丰富；RAID0/1等级是基本的RAID功能，RAID5/6对RAID卡主控芯片的计算性能有很高要求。一般低端RAID卡仅支持RAID0/1及其复合RAID；高端RAID卡支持RAID5/6及其复合RAID</w:t>
            </w:r>
          </w:p>
        </w:tc>
      </w:tr>
      <w:tr w14:paraId="632F6BA8">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5848C2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9ED052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B7237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F86EA5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RAID卡BBU单元</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7809A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4FC232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RAID卡支持电池或电容备份单元</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56B349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RAID卡支持电容备份单元</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C6F5B4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支持BBU单元可提升系统可靠性</w:t>
            </w:r>
          </w:p>
        </w:tc>
      </w:tr>
      <w:tr w14:paraId="7B5CD750">
        <w:tblPrEx>
          <w:tblCellMar>
            <w:top w:w="0" w:type="dxa"/>
            <w:left w:w="108" w:type="dxa"/>
            <w:bottom w:w="0" w:type="dxa"/>
            <w:right w:w="108" w:type="dxa"/>
          </w:tblCellMar>
        </w:tblPrEx>
        <w:trPr>
          <w:trHeight w:val="31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B5FE8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59 </w:t>
            </w:r>
          </w:p>
        </w:tc>
        <w:tc>
          <w:tcPr>
            <w:tcW w:w="597" w:type="dxa"/>
            <w:tcBorders>
              <w:top w:val="single" w:color="000000" w:sz="4" w:space="0"/>
              <w:left w:val="single" w:color="000000" w:sz="4" w:space="0"/>
              <w:bottom w:val="single" w:color="000000" w:sz="4" w:space="0"/>
              <w:right w:val="single" w:color="000000" w:sz="4" w:space="0"/>
            </w:tcBorders>
            <w:noWrap w:val="0"/>
            <w:vAlign w:val="top"/>
          </w:tcPr>
          <w:p w14:paraId="3F4FAEF3">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A315E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光驱功能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77862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光驱类型（是否支持RW，以及光盘类型CD/DVD）</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4A0A86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FEC92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若配备光驱，应提供光驱的安装形式（如内置、外置）、光驱读写类型（如只读、可刻录等）、光盘类型的兼容列表（如CD-ROM、CD-RW、DVD±RW等）</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22CA8F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若配备光驱，应提供光驱的安装形式（如内置、外置）、光驱读写类型（如只读、可刻录等）、光盘类型的兼容列表（如CD-ROM、CD-RW、DVD±RW等）</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62CB94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配备光驱便于直接读取光盘</w:t>
            </w:r>
          </w:p>
        </w:tc>
      </w:tr>
      <w:tr w14:paraId="45214D69">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897877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60 </w:t>
            </w:r>
          </w:p>
        </w:tc>
        <w:tc>
          <w:tcPr>
            <w:tcW w:w="597" w:type="dxa"/>
            <w:tcBorders>
              <w:top w:val="single" w:color="000000" w:sz="4" w:space="0"/>
              <w:left w:val="single" w:color="000000" w:sz="4" w:space="0"/>
              <w:bottom w:val="single" w:color="000000" w:sz="4" w:space="0"/>
              <w:right w:val="single" w:color="000000" w:sz="4" w:space="0"/>
            </w:tcBorders>
            <w:noWrap w:val="0"/>
            <w:vAlign w:val="top"/>
          </w:tcPr>
          <w:p w14:paraId="631C185C">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6B3AE3F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26CA5F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★电源热插拔</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62739F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84540C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整机电源模块应具备热插拔功能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B34192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整机电源模块应具备热插拔功能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21805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支持此功能可提高运维管理效率</w:t>
            </w:r>
          </w:p>
        </w:tc>
      </w:tr>
      <w:tr w14:paraId="3ADE02DE">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76BC64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61 </w:t>
            </w:r>
          </w:p>
        </w:tc>
        <w:tc>
          <w:tcPr>
            <w:tcW w:w="597" w:type="dxa"/>
            <w:tcBorders>
              <w:top w:val="single" w:color="000000" w:sz="4" w:space="0"/>
              <w:left w:val="single" w:color="000000" w:sz="4" w:space="0"/>
              <w:bottom w:val="single" w:color="000000" w:sz="4" w:space="0"/>
              <w:right w:val="single" w:color="000000" w:sz="4" w:space="0"/>
            </w:tcBorders>
            <w:noWrap w:val="0"/>
            <w:vAlign w:val="top"/>
          </w:tcPr>
          <w:p w14:paraId="20D36EE0">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B48E96">
            <w:pPr>
              <w:jc w:val="left"/>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4F10AB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★电源过流保护</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F87BA8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BCEEEE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支持过流及短路保护的功能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BEEA77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支持过流及短路保护的功能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77D7A4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支持此功能可提升产品安全性</w:t>
            </w:r>
          </w:p>
        </w:tc>
      </w:tr>
      <w:tr w14:paraId="115DA008">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95A599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62 </w:t>
            </w:r>
          </w:p>
        </w:tc>
        <w:tc>
          <w:tcPr>
            <w:tcW w:w="597" w:type="dxa"/>
            <w:tcBorders>
              <w:top w:val="single" w:color="000000" w:sz="4" w:space="0"/>
              <w:left w:val="single" w:color="000000" w:sz="4" w:space="0"/>
              <w:bottom w:val="single" w:color="000000" w:sz="4" w:space="0"/>
              <w:right w:val="single" w:color="000000" w:sz="4" w:space="0"/>
            </w:tcBorders>
            <w:noWrap w:val="0"/>
            <w:vAlign w:val="top"/>
          </w:tcPr>
          <w:p w14:paraId="52D8FB4D">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E04EFD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BDC9DF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★散热方式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7CC8D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4A17A6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支持风冷或液冷等散热方式</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5A37D8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支持风冷散热方式</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99AA9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5436192">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C2292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63 </w:t>
            </w:r>
          </w:p>
        </w:tc>
        <w:tc>
          <w:tcPr>
            <w:tcW w:w="597" w:type="dxa"/>
            <w:tcBorders>
              <w:top w:val="single" w:color="000000" w:sz="4" w:space="0"/>
              <w:left w:val="single" w:color="000000" w:sz="4" w:space="0"/>
              <w:bottom w:val="single" w:color="000000" w:sz="4" w:space="0"/>
              <w:right w:val="single" w:color="000000" w:sz="4" w:space="0"/>
            </w:tcBorders>
            <w:noWrap w:val="0"/>
            <w:vAlign w:val="top"/>
          </w:tcPr>
          <w:p w14:paraId="270A840F">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48776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81C4FF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其他功能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0273D4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33A850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a)支持关键部件冗余（包括电源、风扇等）；b)支持熔断保护与恢复功能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B31F0A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a)支持关键部件冗余（包括电源、风扇等）；b)支持熔断保护与恢复功能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391FD7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F250E4A">
        <w:tblPrEx>
          <w:tblCellMar>
            <w:top w:w="0" w:type="dxa"/>
            <w:left w:w="108" w:type="dxa"/>
            <w:bottom w:w="0" w:type="dxa"/>
            <w:right w:w="108" w:type="dxa"/>
          </w:tblCellMar>
        </w:tblPrEx>
        <w:trPr>
          <w:trHeight w:val="312" w:hRule="atLeast"/>
        </w:trPr>
        <w:tc>
          <w:tcPr>
            <w:tcW w:w="500" w:type="dxa"/>
            <w:vMerge w:val="restart"/>
            <w:tcBorders>
              <w:top w:val="single" w:color="000000" w:sz="4" w:space="0"/>
              <w:left w:val="single" w:color="000000" w:sz="4" w:space="0"/>
              <w:bottom w:val="single" w:color="000000" w:sz="4" w:space="0"/>
              <w:right w:val="single" w:color="000000" w:sz="4" w:space="0"/>
            </w:tcBorders>
            <w:noWrap w:val="0"/>
            <w:vAlign w:val="center"/>
          </w:tcPr>
          <w:p w14:paraId="34FDA9A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64 </w:t>
            </w:r>
          </w:p>
        </w:tc>
        <w:tc>
          <w:tcPr>
            <w:tcW w:w="597" w:type="dxa"/>
            <w:vMerge w:val="restart"/>
            <w:tcBorders>
              <w:top w:val="single" w:color="000000" w:sz="4" w:space="0"/>
              <w:left w:val="single" w:color="000000" w:sz="4" w:space="0"/>
              <w:bottom w:val="single" w:color="000000" w:sz="4" w:space="0"/>
              <w:right w:val="single" w:color="000000" w:sz="4" w:space="0"/>
            </w:tcBorders>
            <w:noWrap w:val="0"/>
            <w:vAlign w:val="center"/>
          </w:tcPr>
          <w:p w14:paraId="745A22F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632683A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管理系统功能</w:t>
            </w:r>
          </w:p>
        </w:tc>
        <w:tc>
          <w:tcPr>
            <w:tcW w:w="838" w:type="dxa"/>
            <w:vMerge w:val="restart"/>
            <w:tcBorders>
              <w:top w:val="single" w:color="000000" w:sz="4" w:space="0"/>
              <w:left w:val="single" w:color="000000" w:sz="4" w:space="0"/>
              <w:bottom w:val="single" w:color="000000" w:sz="4" w:space="0"/>
              <w:right w:val="single" w:color="000000" w:sz="4" w:space="0"/>
            </w:tcBorders>
            <w:noWrap w:val="0"/>
            <w:vAlign w:val="center"/>
          </w:tcPr>
          <w:p w14:paraId="6861CF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★BMC固件基础功能</w:t>
            </w:r>
          </w:p>
        </w:tc>
        <w:tc>
          <w:tcPr>
            <w:tcW w:w="742" w:type="dxa"/>
            <w:vMerge w:val="restart"/>
            <w:tcBorders>
              <w:top w:val="single" w:color="000000" w:sz="4" w:space="0"/>
              <w:left w:val="single" w:color="000000" w:sz="4" w:space="0"/>
              <w:bottom w:val="single" w:color="000000" w:sz="4" w:space="0"/>
              <w:right w:val="single" w:color="000000" w:sz="4" w:space="0"/>
            </w:tcBorders>
            <w:noWrap w:val="0"/>
            <w:vAlign w:val="center"/>
          </w:tcPr>
          <w:p w14:paraId="1523D24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vMerge w:val="restart"/>
            <w:tcBorders>
              <w:top w:val="single" w:color="000000" w:sz="4" w:space="0"/>
              <w:left w:val="single" w:color="000000" w:sz="4" w:space="0"/>
              <w:bottom w:val="single" w:color="000000" w:sz="4" w:space="0"/>
              <w:right w:val="single" w:color="000000" w:sz="4" w:space="0"/>
            </w:tcBorders>
            <w:noWrap w:val="0"/>
            <w:vAlign w:val="center"/>
          </w:tcPr>
          <w:p w14:paraId="01BB882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c>
          <w:tcPr>
            <w:tcW w:w="1855" w:type="dxa"/>
            <w:vMerge w:val="restart"/>
            <w:tcBorders>
              <w:top w:val="single" w:color="000000" w:sz="4" w:space="0"/>
              <w:left w:val="single" w:color="000000" w:sz="4" w:space="0"/>
              <w:bottom w:val="single" w:color="000000" w:sz="4" w:space="0"/>
              <w:right w:val="single" w:color="000000" w:sz="4" w:space="0"/>
            </w:tcBorders>
            <w:noWrap w:val="0"/>
            <w:vAlign w:val="center"/>
          </w:tcPr>
          <w:p w14:paraId="3105EEE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c>
          <w:tcPr>
            <w:tcW w:w="1290" w:type="dxa"/>
            <w:vMerge w:val="restart"/>
            <w:tcBorders>
              <w:top w:val="single" w:color="000000" w:sz="4" w:space="0"/>
              <w:left w:val="single" w:color="000000" w:sz="4" w:space="0"/>
              <w:bottom w:val="single" w:color="000000" w:sz="4" w:space="0"/>
              <w:right w:val="single" w:color="000000" w:sz="4" w:space="0"/>
            </w:tcBorders>
            <w:noWrap w:val="0"/>
            <w:vAlign w:val="center"/>
          </w:tcPr>
          <w:p w14:paraId="246E3E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若有特殊需求，采购人根据需要增减所需功能</w:t>
            </w:r>
          </w:p>
        </w:tc>
      </w:tr>
      <w:tr w14:paraId="6C6F9E75">
        <w:tblPrEx>
          <w:tblCellMar>
            <w:top w:w="0" w:type="dxa"/>
            <w:left w:w="108" w:type="dxa"/>
            <w:bottom w:w="0" w:type="dxa"/>
            <w:right w:w="108" w:type="dxa"/>
          </w:tblCellMar>
        </w:tblPrEx>
        <w:trPr>
          <w:trHeight w:val="312" w:hRule="atLeast"/>
        </w:trPr>
        <w:tc>
          <w:tcPr>
            <w:tcW w:w="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452659">
            <w:pPr>
              <w:jc w:val="center"/>
              <w:rPr>
                <w:rFonts w:hint="eastAsia" w:ascii="宋体" w:hAnsi="宋体" w:cs="宋体"/>
                <w:color w:val="auto"/>
                <w:sz w:val="18"/>
                <w:szCs w:val="18"/>
                <w:highlight w:val="none"/>
              </w:rPr>
            </w:pPr>
          </w:p>
        </w:tc>
        <w:tc>
          <w:tcPr>
            <w:tcW w:w="59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E2CBAD">
            <w:pPr>
              <w:jc w:val="left"/>
              <w:rPr>
                <w:rFonts w:hint="eastAsia" w:ascii="宋体" w:hAnsi="宋体" w:cs="宋体"/>
                <w:color w:val="auto"/>
                <w:sz w:val="18"/>
                <w:szCs w:val="18"/>
                <w:highlight w:val="none"/>
              </w:rPr>
            </w:pP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AF73CE">
            <w:pPr>
              <w:jc w:val="center"/>
              <w:rPr>
                <w:rFonts w:hint="eastAsia" w:ascii="宋体" w:hAnsi="宋体" w:cs="宋体"/>
                <w:color w:val="auto"/>
                <w:sz w:val="18"/>
                <w:szCs w:val="18"/>
                <w:highlight w:val="none"/>
              </w:rPr>
            </w:pPr>
          </w:p>
        </w:tc>
        <w:tc>
          <w:tcPr>
            <w:tcW w:w="83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965C59">
            <w:pPr>
              <w:jc w:val="left"/>
              <w:rPr>
                <w:rFonts w:hint="eastAsia" w:ascii="宋体" w:hAnsi="宋体" w:cs="宋体"/>
                <w:color w:val="auto"/>
                <w:sz w:val="18"/>
                <w:szCs w:val="18"/>
                <w:highlight w:val="none"/>
              </w:rPr>
            </w:pPr>
          </w:p>
        </w:tc>
        <w:tc>
          <w:tcPr>
            <w:tcW w:w="74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B67403">
            <w:pPr>
              <w:jc w:val="center"/>
              <w:rPr>
                <w:rFonts w:hint="eastAsia" w:ascii="宋体" w:hAnsi="宋体" w:cs="宋体"/>
                <w:color w:val="auto"/>
                <w:sz w:val="18"/>
                <w:szCs w:val="18"/>
                <w:highlight w:val="none"/>
              </w:rPr>
            </w:pPr>
          </w:p>
        </w:tc>
        <w:tc>
          <w:tcPr>
            <w:tcW w:w="195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F520C5">
            <w:pPr>
              <w:jc w:val="left"/>
              <w:rPr>
                <w:rFonts w:hint="eastAsia" w:ascii="宋体" w:hAnsi="宋体" w:cs="宋体"/>
                <w:color w:val="auto"/>
                <w:sz w:val="18"/>
                <w:szCs w:val="18"/>
                <w:highlight w:val="none"/>
              </w:rPr>
            </w:pPr>
          </w:p>
        </w:tc>
        <w:tc>
          <w:tcPr>
            <w:tcW w:w="18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7ADC35">
            <w:pPr>
              <w:jc w:val="left"/>
              <w:rPr>
                <w:rFonts w:hint="eastAsia" w:ascii="宋体" w:hAnsi="宋体" w:cs="宋体"/>
                <w:color w:val="auto"/>
                <w:sz w:val="18"/>
                <w:szCs w:val="18"/>
                <w:highlight w:val="none"/>
              </w:rPr>
            </w:pPr>
          </w:p>
        </w:tc>
        <w:tc>
          <w:tcPr>
            <w:tcW w:w="129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6B87E9">
            <w:pPr>
              <w:jc w:val="left"/>
              <w:rPr>
                <w:rFonts w:hint="eastAsia" w:ascii="宋体" w:hAnsi="宋体" w:cs="宋体"/>
                <w:color w:val="auto"/>
                <w:sz w:val="18"/>
                <w:szCs w:val="18"/>
                <w:highlight w:val="none"/>
              </w:rPr>
            </w:pPr>
          </w:p>
        </w:tc>
      </w:tr>
      <w:tr w14:paraId="42D12C12">
        <w:tblPrEx>
          <w:tblCellMar>
            <w:top w:w="0" w:type="dxa"/>
            <w:left w:w="108" w:type="dxa"/>
            <w:bottom w:w="0" w:type="dxa"/>
            <w:right w:w="108" w:type="dxa"/>
          </w:tblCellMar>
        </w:tblPrEx>
        <w:trPr>
          <w:trHeight w:val="36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7419C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97BD09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0C6D2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79E907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BMC固件增强功能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6AF90B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2683A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a）网络控制、安装提供图形访问界面网络；b）设备的BMC管理软件界面显示报警信息，且能够按报警的严重程度进行区分；c）WebGUI采用BMC端口直连，平均响应时间为不大于1s</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B7C9FE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a）网络控制、安装提供图形访问界面网络；b）设备的BMC管理软件界面显示报警信息，且能够按报警的严重程度进行区分；c）WebGUI采用BMC端口直连，平均响应时间为不大于1s</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77F9D8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若有特殊需求，采购人根据需要增减所需功能</w:t>
            </w:r>
          </w:p>
        </w:tc>
      </w:tr>
      <w:tr w14:paraId="07C59501">
        <w:tblPrEx>
          <w:tblCellMar>
            <w:top w:w="0" w:type="dxa"/>
            <w:left w:w="108" w:type="dxa"/>
            <w:bottom w:w="0" w:type="dxa"/>
            <w:right w:w="108" w:type="dxa"/>
          </w:tblCellMar>
        </w:tblPrEx>
        <w:trPr>
          <w:trHeight w:val="819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A1B689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E0DA50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73F71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91A656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★BIOS固件基础功能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46F65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18F57D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380061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5426F6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若有特殊需求，采购人根据需要增减所需功能</w:t>
            </w:r>
          </w:p>
        </w:tc>
      </w:tr>
      <w:tr w14:paraId="3A3AA039">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778ABC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67 </w:t>
            </w:r>
          </w:p>
        </w:tc>
        <w:tc>
          <w:tcPr>
            <w:tcW w:w="597" w:type="dxa"/>
            <w:tcBorders>
              <w:top w:val="single" w:color="000000" w:sz="4" w:space="0"/>
              <w:left w:val="single" w:color="000000" w:sz="4" w:space="0"/>
              <w:bottom w:val="single" w:color="000000" w:sz="4" w:space="0"/>
              <w:right w:val="single" w:color="000000" w:sz="4" w:space="0"/>
            </w:tcBorders>
            <w:noWrap w:val="0"/>
            <w:vAlign w:val="top"/>
          </w:tcPr>
          <w:p w14:paraId="6B7D8C15">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261EC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CBDB43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★远程控制</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F6E6E7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868F26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支持远程关机和重新启动功能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74443E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支持远程关机和重新启动功能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8204BD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支持该功能便于产品运维</w:t>
            </w:r>
          </w:p>
        </w:tc>
      </w:tr>
      <w:tr w14:paraId="2E92A2EA">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EDC08D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0CAD802">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A646CE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操作系统及驱动功能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57EAA6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★操作系统及驱动的升级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386D5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18C486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支持通过网络、闪存盘对操作系统、驱动进行升级</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0CEE72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支持通过网络、闪存盘对操作系统、驱动进行升级</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10A83F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C649E66">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29A4A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69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3144D3D">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3D178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988B0E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操作系统及驱动的备份还原</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9E97DE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92424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支持操作系统备份及还原功能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A8C97D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支持操作系统备份及还原功能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64026D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支持该功能有助于提升产品数据安全性</w:t>
            </w:r>
          </w:p>
        </w:tc>
      </w:tr>
      <w:tr w14:paraId="718D68AA">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87D7ED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E97A39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9B19D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AB4CEC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★操作系统功能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D63289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000510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a)支持访问控制、安全审计、网络接入鉴别等功能；b)操作系统其他功能应满足操作系统政府采购需求标准中加*的指标要求</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35C733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a)支持访问控制、安全审计、网络接入鉴别等功能；b)操作系统其他功能应满足操作系统政府采购需求标准中加*的指标要求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E59BA2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如有特殊需求采购人可补充相关要求</w:t>
            </w:r>
          </w:p>
        </w:tc>
      </w:tr>
      <w:tr w14:paraId="63F27F36">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92CF3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B489CE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06A772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中文信息处理功能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75EAE2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★中文信息处理</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B05A68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B30AE3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符合GB18030的有关规定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75FC76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符合GB18030的有关规定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063570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涉及中文信息处理内容应符合GB18030要求</w:t>
            </w:r>
          </w:p>
        </w:tc>
      </w:tr>
      <w:tr w14:paraId="032455CF">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6B9B4E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FE52A01">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3432075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CE5BE6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机柜管理功能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C696C2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E668A2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机柜管理系统包括服务器节点BMC管理系统、机柜管理系统或交换节点管理系统</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B80BE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机柜管理系统包括服务器节点BMC管理系统、机柜管理系统或交换节点管理系统</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78704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支持该功能管理更加方便用户管理设备</w:t>
            </w:r>
          </w:p>
        </w:tc>
      </w:tr>
      <w:tr w14:paraId="0348BA74">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4D782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DD957D9">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1439C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9C0623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机柜通信方式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A94D0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CA0554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若配备机柜管理板可实现包括：资产管理、电源模块、功耗管理和液冷漏液检测等功能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9BCF82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若配备机柜管理板可实现包括：资产管理、电源模块、功耗管理和液冷漏液检测等功能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D03966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支持该功能便于统一管理机柜内整机产品</w:t>
            </w:r>
          </w:p>
        </w:tc>
      </w:tr>
      <w:tr w14:paraId="0569C054">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4CF077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F0A3498">
            <w:pPr>
              <w:widowControl/>
              <w:jc w:val="left"/>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29096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EB1DD1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多集群作业管理</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E5829E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A94135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支持多集群作业管理功能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075DC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支持多集群作业管理功能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AF770A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支持该功能能有效提升集群管理效率和利用率</w:t>
            </w:r>
          </w:p>
        </w:tc>
      </w:tr>
      <w:tr w14:paraId="1AFAE810">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FB0B8B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A65CAC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668ECB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关键部件安全要求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811ACC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★关键部件安全要求3</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B9EB97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638364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CPU和操作系统等关键部件应当符合安全可靠测评要求</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C3B022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CPU和操作系统等关键部件符合安全可靠测评要求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A538DD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通过政府有关部门指定的中国信息安全测评中心和国家保密科技测评中心网站查看安全可靠测评结果</w:t>
            </w:r>
          </w:p>
        </w:tc>
      </w:tr>
      <w:tr w14:paraId="3F1C321F">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A54031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926F33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6AAAB46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固件安全要求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C9792D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★故障检测</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0BFF9B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FAB2A7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支持故障检测功能，可以检测到具体的FRU（内存、硬盘等）的故障并发出告警</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573919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支持故障检测功能，可以检测到具体的FRU（内存、硬盘等）的故障并发出告警</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0185A5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36491587">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617C9F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2FE056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F19E6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96D30F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内存故障智能预测和自愈修复</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44249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6DDB26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支持内存故障智能预测和自愈修复，提前自动硬隔离，避免内存故障引起的非预期宕机以及内存寿命的降低</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157E09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支持内存故障智能预测和自愈修复，提前自动硬隔离，避免内存故障引起的非预期宕机以及内存寿命的降低</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3511E6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49184E90">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F10D62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A17B34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818E3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F32DBC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硬盘故障智能预测</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A6C444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56AB74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支持硬盘故障智能预测，基于故障模型预测出硬盘的故障</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C2372F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支持硬盘故障智能预测，基于故障模型预测出硬盘的故障</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18547F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7716D4FD">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C48FF9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79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1B614D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5F31A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9E76E0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PCIe链路故障智能诊断</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4C1AF9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5F852A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支持PCIe链路故障智能诊断，判断出现故障的PCIe链路</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1D38FF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支持PCIe链路故障智能诊断，判断出现故障的PCIe链路</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463475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28C07988">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D11030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9EEF9A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4135D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D56810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内存故障隔离</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DCD648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8037C6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支持内存故障隔离，在内存产生CE故障时，内存地址被隔离成功，服务器正常运行，业务系统不中断</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0464CE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支持内存故障隔离，在内存产生CE故障时，内存地址被隔离成功，服务器正常运行，业务系统不中断</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0D041B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12EFBC41">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1C515B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5383C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3261C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3D4B80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内存、PCIe卡的故障精准告警功能</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5EDF9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CCEB97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支持内存、PCIe卡的故障精准告警功能，触发告警并明确指示具体的故障位置</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4C8A80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支持内存、PCIe卡的故障精准告警功能，触发告警并明确指示具体的故障位置</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77308F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34DDCEC2">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5524EB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1C2A66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EFC3D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9C38B6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异常下电关键数据保护</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4D24E6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14B598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支持异常下电关键数据保护，支持数据备份恢复机制，防止系统异常掉电导致的数据文件丢失</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823516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支持异常下电关键数据保护，支持数据备份恢复机制，防止系统异常掉电导致的数据文件丢失</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D3160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7273689E">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508C01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C62A94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CF4B8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D66420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BMC/BIOS固件双镜像保护</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38C4C2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D10BEB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支持BMC/BIOS固件双镜像保护，运行异常时自动切换到备份镜像运行，提升系统稳定性</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469291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支持BMC/BIOS固件双镜像保护，运行异常时自动切换到备份镜像运行，提升系统稳定性</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F85FB5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7704C750">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A9F16C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FD1031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59208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26C3B6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CPU核重启隔离</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05F4D3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445F2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支持CPU核发生不可纠正故障后，重启后由BIOS隔离该故障核，OS不可见，防止OS再次使用导致系统异常，核0除外</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5E7B8F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支持CPU核发生不可纠正故障后，重启后由BIOS隔离该故障核，OS不可见，防止OS再次使用导致系统异常，核0除外</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E77B7C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7856DD17">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088D3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48BC21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8C308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2806F4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内存地址隔离</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2647F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583641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在硬件支持的情况下，支持故障内存地址重启后隔离</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9FD609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在硬件支持的情况下，支持故障内存地址重启后隔离</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05407E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1E19A017">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C57AEA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85A1B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27C48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9D3D14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内存存储阵列替换</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1531EC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2A4B33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在硬件支持的情况下，支持故障内存存储阵列替换</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EE6331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在硬件支持的情况下，支持故障内存存储阵列替换</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1457D5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4F1F2C44">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C05B8E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17D868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AAFC1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D8F4C9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安全启动</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391CF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18C908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支持执行环境要求在整个系统启动的过程中，系统应提供一个机制来保护平台的完整性</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A246FB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支持执行环境要求在整个系统启动的过程中，系统应提供一个机制来保护平台的完整性</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1C70C9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277B50FD">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B5CA3B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63F1C6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0D35AAC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系统安全要求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A77FD0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syslog双向鉴别</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248319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E49AE4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支持系统日志双向鉴别，对服务器根证书和客户端根证书进行鉴别</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EF10D3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支持系统日志双向鉴别，对服务器根证书和客户端根证书进行鉴别</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D2F784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781234F4">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8AA64A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89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5B2968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46348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597807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★弱口令字典检查</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55C17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8D837C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支持弱口令字典检查功能，出现在弱口令字典中的字符串不能被设置为用户口令</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6D35D0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支持弱口令字典检查功能，出现在弱口令字典中的字符串不能被设置为用户口令</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3D62F9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717159A1">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CFA763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7E5A5C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21657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539BE4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★白名单访问控制</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F2650D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9047BD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支持基于时间、IP或MAC白名单访问控制</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0EF9E1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支持基于时间、IP或MAC白名单访问控制</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C70C11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10CF5216">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4199A4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F2501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7955D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1F0123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双因素鉴别</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AF594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D79D24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支持使用客户端证书和证书密码的双因素鉴别方式登录管理系统</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B42C9E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支持使用客户端证书和证书密码的双因素鉴别方式登录管理系统</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2C14FD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3F5142B0">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AA5033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F5B8E6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B3D74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532490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★二次鉴别</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4D4270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147EA0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支持二次鉴别功能。对于用户配置、权限配置、公钥导入等重要的管理操作，已登录用户应通过二次鉴别后，才能执行操作</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1AE268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支持二次鉴别功能。对于用户配置、权限配置、公钥导入等重要的管理操作，已登录用户应通过二次鉴别后，才能执行操作</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8EE5D1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16538D5E">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3236A3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8289B9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739CA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29B77D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匿名化用户告警接收邮箱</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8657CA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3C605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支持带外管理系统中的用户告警接收邮箱进行匿名化处理</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4C7319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支持带外管理系统中的用户告警接收邮箱进行匿名化处理</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E1E9D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4DFB4878">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44E606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A7A758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C08C2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DF5700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★密码证书安全加密存储</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786555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D9A702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支持对带外管理系统中的用户口令和证书等敏感信息进行加密存储，禁止使用私有的和业界已知不安全的密码算法</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A69DF5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支持对带外管理系统中的用户口令和证书等敏感信息进行加密存储，禁止使用私有的和业界已知不安全的密码算法</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9B3CBB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28E5EC64">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ED5476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F6903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8164A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0B21F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★敏感信息安全加密传输</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B6B798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C7DE40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支持使用安全的传输加密协议（如SSH或HTTPS等）传输用户的敏感信息</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85B5F1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支持使用安全的传输加密协议（如SSH或HTTPS等）传输用户的敏感信息</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03E401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支持该功能可有效提升系统安全性和稳定性</w:t>
            </w:r>
          </w:p>
        </w:tc>
      </w:tr>
      <w:tr w14:paraId="0BE006AE">
        <w:tblPrEx>
          <w:tblCellMar>
            <w:top w:w="0" w:type="dxa"/>
            <w:left w:w="108" w:type="dxa"/>
            <w:bottom w:w="0" w:type="dxa"/>
            <w:right w:w="108" w:type="dxa"/>
          </w:tblCellMar>
        </w:tblPrEx>
        <w:trPr>
          <w:trHeight w:val="42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DFAC7D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01B408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6A6CD0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信息安全要求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109E5B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★研发过程安全</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86C7A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D3D28E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供应商承诺，生产商已建立从需求、设计、开发、测试、维护端到端的开发流程管理机制，输出和保存开发流程中每个阶段的产品需求清单、设计文档、开发文档、测试记录等材料，保证各个流程可追溯</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EBFC1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供应商承诺，生产商已建立从需求、设计、开发、测试、维护端到端的开发流程管理机制，输出和保存开发流程中每个阶段的产品需求清单、设计文档、开发文档、测试记录等材料，保证各个流程可追溯</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A59D03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58B8052">
        <w:tblPrEx>
          <w:tblCellMar>
            <w:top w:w="0" w:type="dxa"/>
            <w:left w:w="108" w:type="dxa"/>
            <w:bottom w:w="0" w:type="dxa"/>
            <w:right w:w="108" w:type="dxa"/>
          </w:tblCellMar>
        </w:tblPrEx>
        <w:trPr>
          <w:trHeight w:val="22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12CC13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D585AA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3C66C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FF516A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漏洞管理</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55C61F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87B655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供应商承诺，生产商已建立漏洞全量视图，保证产品版本涉及到的所有漏洞(如驱动程序、BMC软件等)都可以查看</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A5DC97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供应商承诺，生产商已建立漏洞全量视图，保证产品版本涉及到的所有漏洞(如驱动程序、BMC软件等)都可以查看</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75468A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FAA2233">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66EC84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B64EC2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771B4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0532C3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网络关键设备服务器要求</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480319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4E0E37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作为网络关键设备的服务器应符合GB40050的相关规定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BDB04F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作为网络关键设备的服务器应符合GB40050的相关规定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25EA3A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6A5C7CC">
        <w:tblPrEx>
          <w:tblCellMar>
            <w:top w:w="0" w:type="dxa"/>
            <w:left w:w="108" w:type="dxa"/>
            <w:bottom w:w="0" w:type="dxa"/>
            <w:right w:w="108" w:type="dxa"/>
          </w:tblCellMar>
        </w:tblPrEx>
        <w:trPr>
          <w:trHeight w:val="819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53ABEA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99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62E3F8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13462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3956F6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增强要求</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0EA929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5DB291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通过国家相关部门的认证和许可</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57EAA7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通过国家相关部门的认证和许可</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C0E4B9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支持的增强功能越多产品安全性越高，但也会造成性能损耗；若支持可信计算可参考GB/T29827的相关规定</w:t>
            </w:r>
          </w:p>
        </w:tc>
      </w:tr>
      <w:tr w14:paraId="1FCCD963">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BED6D5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F21F56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38AC11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物理安全</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37B0AF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★物理安全</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1B22F2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B6EA45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安全要求应符合GB4943.1的规定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9A3752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安全要求应符合GB4943.1的规定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37518F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2C1CB0C">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2DF83B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EE8F52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8675C7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限用物质的限量要求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4F474B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★限用物质的限量要求</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ED9215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C6E128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限用物质的限量应符合GB/T26572的要求</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41748C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限用物质的限量应符合GB/T26572的要求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E9173A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1316840">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3B61CC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99CDEC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911559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51069E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★CPU主频</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CA4257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B7A0C8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≥1.8GHz</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52A310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CPU主频为2.6GHz</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965C3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同类型CPU主频越高性能越强</w:t>
            </w:r>
          </w:p>
        </w:tc>
      </w:tr>
      <w:tr w14:paraId="17D16D52">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3E6751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12E7FF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6AF8F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53560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★单CPU核数</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3A0A81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51E65A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DA1D0E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单CPU核数48核</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ABAF1A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核数越多，多任务并行执行能力越强</w:t>
            </w:r>
          </w:p>
        </w:tc>
      </w:tr>
      <w:tr w14:paraId="66B642EA">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577644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5407C5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85705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777973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★单CPU末级缓存容量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07F148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440A93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≥8MB</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0A789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单CPU末级缓存容量48MB</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E0C947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缓存容量(cache)容量越大，缓存命中的概率越大。cache命中率跟容量正向相关</w:t>
            </w:r>
          </w:p>
        </w:tc>
      </w:tr>
      <w:tr w14:paraId="6F408CA5">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E39BEB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947848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294BB2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CC69AC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单内存模块容量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D84DD4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E91A33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≥16GB</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7E5AAA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单内存模块容量32GB</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46D40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一般配置容量越大性能越好</w:t>
            </w:r>
          </w:p>
        </w:tc>
      </w:tr>
      <w:tr w14:paraId="67E5ED9D">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56F1C9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8ABA6A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BCBA6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C76999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★内存速率</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E5BBFF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D29479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≥2666MT/s</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59E96C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内存速率3200MT/s（实际工作速率2933MT/s）</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F050A0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内存速率越高性能越好</w:t>
            </w:r>
          </w:p>
        </w:tc>
      </w:tr>
      <w:tr w14:paraId="68FA8698">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DC0738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CB8D59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B3E2B7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C952FA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硬盘转速</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65D8B1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773B1C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安装的硬磁盘转速不小于7200rpm</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6F966D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安装的600GB硬磁盘转速：10000rpm，安装的4TB硬盘转速：7200rpm</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0D1FC4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机械硬盘转速越高读写性能越好</w:t>
            </w:r>
          </w:p>
        </w:tc>
      </w:tr>
      <w:tr w14:paraId="7306A4C7">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119641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A7785F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E11D81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0681A7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RAID卡缓存容量大小</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333FCD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39865E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若配备RAID卡且RAID卡有缓存容量，容量不少于1GB</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BCBFB7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RAID卡缓存容量：4GB</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EE6D0F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缓存容量越大，性能越好</w:t>
            </w:r>
          </w:p>
        </w:tc>
      </w:tr>
      <w:tr w14:paraId="34B358A5">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7FFAB0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109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AD1D1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tcBorders>
              <w:top w:val="single" w:color="000000" w:sz="4" w:space="0"/>
              <w:left w:val="single" w:color="000000" w:sz="4" w:space="0"/>
              <w:bottom w:val="single" w:color="000000" w:sz="4" w:space="0"/>
              <w:right w:val="single" w:color="000000" w:sz="4" w:space="0"/>
            </w:tcBorders>
            <w:noWrap w:val="0"/>
            <w:vAlign w:val="top"/>
          </w:tcPr>
          <w:p w14:paraId="01E55052">
            <w:pPr>
              <w:widowControl/>
              <w:jc w:val="center"/>
              <w:textAlignment w:val="top"/>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FCHBA卡性能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2BA1B3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FCHBA卡速率</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8683E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084689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若配备FCHBA卡，单端口最大的连接速率不少于8Gb/s</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F222D4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DB84D6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速率越高网卡性能越强</w:t>
            </w:r>
          </w:p>
        </w:tc>
      </w:tr>
      <w:tr w14:paraId="002650F2">
        <w:tblPrEx>
          <w:tblCellMar>
            <w:top w:w="0" w:type="dxa"/>
            <w:left w:w="108" w:type="dxa"/>
            <w:bottom w:w="0" w:type="dxa"/>
            <w:right w:w="108" w:type="dxa"/>
          </w:tblCellMar>
        </w:tblPrEx>
        <w:trPr>
          <w:trHeight w:val="4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05251E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D9347B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6FFD38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F633C1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独立网卡速率</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A9495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378E4F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≥10GE</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35FB4DA">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452190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AF38F68">
        <w:tblPrEx>
          <w:tblCellMar>
            <w:top w:w="0" w:type="dxa"/>
            <w:left w:w="108" w:type="dxa"/>
            <w:bottom w:w="0" w:type="dxa"/>
            <w:right w:w="108" w:type="dxa"/>
          </w:tblCellMar>
        </w:tblPrEx>
        <w:trPr>
          <w:trHeight w:val="4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B68C7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315663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B12B9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5290E3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板载网卡速率</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4AA219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60EB28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≥1GE</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57D7D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板载网卡速率1GE</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9F784C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BB08FDF">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0A10AF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64BAC9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382773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电源能耗</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C791C3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★电源能耗</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A8C8CD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67CD23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符合GB/T9813.3的有关规定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E869D4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符合GB/T9813.3的有关规定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0FF343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277E87E">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E5CA20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F382A3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3273867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部件兼容性要求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A3D91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★内存兼容性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0E37001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A83F24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适配3种及以上厂商的内存产品，且均不低于产品支持的内存规格</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9194B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适配3种及以上厂商的内存产品，且均不低于产品支持的内存规格</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5E07A4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4CB7BC9">
        <w:tblPrEx>
          <w:tblCellMar>
            <w:top w:w="0" w:type="dxa"/>
            <w:left w:w="108" w:type="dxa"/>
            <w:bottom w:w="0" w:type="dxa"/>
            <w:right w:w="108" w:type="dxa"/>
          </w:tblCellMar>
        </w:tblPrEx>
        <w:trPr>
          <w:trHeight w:val="15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88B320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64262F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539F5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6C1B5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★固态存储兼容性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CF8737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A6292C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适配3种或以上厂商的固态存储产品，且均不低于产品支持的固态存储设备规格</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1B8770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适配3种或以上厂商的固态存储产品，且均不低于产品支持的固态存储设备规格</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85C66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42776F4">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8EC7A5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DC628A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17B7C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C45713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FCHBA卡兼容性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C512F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98538A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FCHBA应适配两种或以上厂商产品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2DD5F0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FCHBA应适配两种或以上厂商产品</w:t>
            </w:r>
          </w:p>
        </w:tc>
        <w:tc>
          <w:tcPr>
            <w:tcW w:w="1290" w:type="dxa"/>
            <w:tcBorders>
              <w:top w:val="single" w:color="000000" w:sz="4" w:space="0"/>
              <w:left w:val="single" w:color="000000" w:sz="4" w:space="0"/>
              <w:bottom w:val="single" w:color="000000" w:sz="4" w:space="0"/>
              <w:right w:val="nil"/>
            </w:tcBorders>
            <w:noWrap w:val="0"/>
            <w:vAlign w:val="center"/>
          </w:tcPr>
          <w:p w14:paraId="50FFBB5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FBD222A">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3E175C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0A73C8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25647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9BD00B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RAID卡兼容性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8366D0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C8FEA2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RAID卡应适配两种或以上厂商产品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FE20D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 RAID 卡：</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MegaRAID 9560-16i 8GB</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Adaptec SmartRAID 3152-8i</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4A6A76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48DC5A9">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6606D5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30EE4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59FBA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A29D06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★网卡兼容性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BB60FF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B61D35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网卡应适配两种或以上厂商产品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2D3D95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兼容网卡：</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华为 TM210</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 xml:space="preserve">Intel 82599ES </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Mellanox SC332</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Netswift RP1000P2SFP-A</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5E3953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39CC3CD">
        <w:tblPrEx>
          <w:tblCellMar>
            <w:top w:w="0" w:type="dxa"/>
            <w:left w:w="108" w:type="dxa"/>
            <w:bottom w:w="0" w:type="dxa"/>
            <w:right w:w="108" w:type="dxa"/>
          </w:tblCellMar>
        </w:tblPrEx>
        <w:trPr>
          <w:trHeight w:val="76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CA23D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FD7BB4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5D5A4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C0A42A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★功能卡兼容性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350F55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82F55E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内置或适配符合PCIe的功能卡，如：网络功能卡、存储功能卡及图形显示功能卡</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C81B6C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内置符合 PCIe 的功能卡：</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网络功能卡：独立网卡：Intel 82599ES</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HBA 卡：华为 SP526</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存储功能卡：RAID 卡：MegaRAID 9560-8i 4GB</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图形显示功能卡：Atlas 300I Pro</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可兼容符合 PCIe 的功能卡：</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网络功能卡：独立网卡：Netswift  RP1000P2SFP-A</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HBA 卡：Emulex LPe32002-AP</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存储功能卡：RAID 卡：Adaptec SmartRAID 3152-8i</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44673C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2F8D2C0">
        <w:tblPrEx>
          <w:tblCellMar>
            <w:top w:w="0" w:type="dxa"/>
            <w:left w:w="108" w:type="dxa"/>
            <w:bottom w:w="0" w:type="dxa"/>
            <w:right w:w="108" w:type="dxa"/>
          </w:tblCellMar>
        </w:tblPrEx>
        <w:trPr>
          <w:trHeight w:val="47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51524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119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F261DF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402A01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外设兼容性</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903C1E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★外设兼容性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04084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2A5D13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兼容多种主流生产商的外部设备，包括显示器、键盘、鼠标、闪存盘、移动硬盘、USB光驱及KVM等，要求使用不同厂商的外部设备时，系统均能正常识别和安装驱动</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C22508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兼容外部设备：</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显示器：天宫之印 AXS24BC2</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键盘：虹信 TGK101</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鼠标：罗技 M590</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闪存盘：忆捷 SU60 256GB</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移动硬盘：三星 MU-PE1T0S 1TB</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USB 光驱：绿联 CM138</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KVM：大唐保镖 HL-1716、神盾卫士 SLA-708</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EEEE59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9138C18">
        <w:tblPrEx>
          <w:tblCellMar>
            <w:top w:w="0" w:type="dxa"/>
            <w:left w:w="108" w:type="dxa"/>
            <w:bottom w:w="0" w:type="dxa"/>
            <w:right w:w="108" w:type="dxa"/>
          </w:tblCellMar>
        </w:tblPrEx>
        <w:trPr>
          <w:trHeight w:val="20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3991C9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D02C1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06B0EB6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软件兼容性</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CD03BA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★数据库兼容</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2F4BF12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22A96F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兼容3个及以上厂商的数据库产品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50D473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兼容厂商的数据库产品MariaDB V10.3.9</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MySQL V5.7.27</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MongoDB V3.6.13</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PGSQL V11.3</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90D2C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4B13FFC">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B218AA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34609A4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AF601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8D9DF8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★中间件兼容</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498888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245323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兼容3个及以上厂商的中间件产品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12249E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兼容中间件：</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JB0SS V17.0.0</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Tomcat V8.5.86</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WebLogic V10.3.3.0</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5BBA63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A361744">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64624E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20B2E4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CF5D2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C248F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★平台软件兼容</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C77FCC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85F56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兼容3个及以上厂商的大数据平台</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6D2B32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兼容大数据平台：</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Hadoop V3.3.6</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HBase V2.4.17</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Kafka V2.12-3.6.1</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30261C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3948DB0">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8A8D91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E60BB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C9355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70C931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虚拟化软件兼容</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281B0C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BFF103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兼容2款及以上虚拟化软件</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C880E5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兼容虚拟化软件：</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huawei FusionCompute 8.x.x</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QEMU V4.1.0</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6C2595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D22A137">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E1D18A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96B37D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F89826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存储可靠性要求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5AAC9E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SATASSD可靠性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E26A5F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6E1DC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SSD的m1值（MTBF的不可接受值）不低于200000h</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35C7E0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m1值（MTBF 的不可接受值）300000h</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2A13810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MTBF值越大可靠性越强</w:t>
            </w:r>
          </w:p>
        </w:tc>
      </w:tr>
      <w:tr w14:paraId="235DC895">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BCD905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CDB169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A1D9D7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整机可靠性要求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93F346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★整机可靠性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6C8D2C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E1504C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m1值（MTBF的不可接受值）不得低于30000h</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27B247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m1值（MTBF 的不可接受值）300000h</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C7798D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m1值（MTBF的不可接受值）不得低于10000小时</w:t>
            </w:r>
          </w:p>
        </w:tc>
      </w:tr>
      <w:tr w14:paraId="6C16A51D">
        <w:tblPrEx>
          <w:tblCellMar>
            <w:top w:w="0" w:type="dxa"/>
            <w:left w:w="108" w:type="dxa"/>
            <w:bottom w:w="0" w:type="dxa"/>
            <w:right w:w="108" w:type="dxa"/>
          </w:tblCellMar>
        </w:tblPrEx>
        <w:trPr>
          <w:trHeight w:val="6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1CB693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F975C7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DA32C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ACD570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★风扇可靠性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58503E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95DE8F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风扇寿命应不低于40000h</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A39A2A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风扇寿命为40000h</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2C6F3F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寿命越长越好</w:t>
            </w:r>
          </w:p>
        </w:tc>
      </w:tr>
      <w:tr w14:paraId="77CD318E">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01543B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B49C3E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F31E1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A2C2C9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★部件可靠性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302A83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60C5B3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支持硬盘、电源、风扇热插拔(内置风扇除外)</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3C7547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支持硬盘、电源、风扇热插拔(内置风扇除外)</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3708B5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支持热插拔可提高运维管理效率</w:t>
            </w:r>
          </w:p>
        </w:tc>
      </w:tr>
      <w:tr w14:paraId="4B0AE1F8">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DAEFAD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5D0AB7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包装及运输要求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1A981D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包装及运输要求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8193BA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★标志、包装、运输和贮存</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4B1E4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3820AB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符合GB/T9813.3和商品包装政府采购需求标准的相关规定</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7D9BC2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符合GB/T9813.3和商品包装政府采购需求标准的相关规定</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346CB8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72D7051">
        <w:tblPrEx>
          <w:tblCellMar>
            <w:top w:w="0" w:type="dxa"/>
            <w:left w:w="108" w:type="dxa"/>
            <w:bottom w:w="0" w:type="dxa"/>
            <w:right w:w="108" w:type="dxa"/>
          </w:tblCellMar>
        </w:tblPrEx>
        <w:trPr>
          <w:trHeight w:val="63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24B917F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129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15674A9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D975C4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服务响应</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41C298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★服务响应</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3E6B9B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9204B3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86E75D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BF6FB7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采购人可根据实际需要提出更高要求</w:t>
            </w:r>
          </w:p>
        </w:tc>
      </w:tr>
      <w:tr w14:paraId="27A74B91">
        <w:tblPrEx>
          <w:tblCellMar>
            <w:top w:w="0" w:type="dxa"/>
            <w:left w:w="108" w:type="dxa"/>
            <w:bottom w:w="0" w:type="dxa"/>
            <w:right w:w="108" w:type="dxa"/>
          </w:tblCellMar>
        </w:tblPrEx>
        <w:trPr>
          <w:trHeight w:val="13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BDC882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385D27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CDDBD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32B98F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★培训服务</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57444C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95D2B3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供应商提供培训材料、产品手册、培训视频等培训相关内容</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0B617A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供应商提供培训材料、产品手册、培训视频等培训相关内容</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A295A1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培训材料越详细，越丰富越好</w:t>
            </w:r>
          </w:p>
        </w:tc>
      </w:tr>
      <w:tr w14:paraId="321EA4BC">
        <w:tblPrEx>
          <w:tblCellMar>
            <w:top w:w="0" w:type="dxa"/>
            <w:left w:w="108" w:type="dxa"/>
            <w:bottom w:w="0" w:type="dxa"/>
            <w:right w:w="108" w:type="dxa"/>
          </w:tblCellMar>
        </w:tblPrEx>
        <w:trPr>
          <w:trHeight w:val="495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84C7D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D4207C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2604394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服务周期</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FCF8B3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★服务周期</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FC6B06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0BCE5B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D691DD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a)产品免费服务周期(含换件和维修)3年;b)设备停产后继续提供质量保障服务(含备品备件)，服务终止时间与最后一批设备交付时间间隔6年;c)产品停止服务时间提前1年告知客户;d)产品发布日期需在随机文件中明确</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35D12A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采购人可根据实际需要提出更高要求</w:t>
            </w:r>
          </w:p>
        </w:tc>
      </w:tr>
      <w:tr w14:paraId="5A7C185B">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F1EB39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2414F8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08B58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服务工具要求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84E06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★工具要求</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82652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5484F9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供应商提供设置服务器硬件、辅助操作系统安装等功能的辅助工具和管理软件。且随附软件应具有合法授权或版权</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182B52F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满足，供应商提供设置服务器硬件、辅助操作系统安装等功能的辅助工具和管理软件。且随附软件应具有合法授权或版权</w:t>
            </w:r>
          </w:p>
        </w:tc>
        <w:tc>
          <w:tcPr>
            <w:tcW w:w="1290" w:type="dxa"/>
            <w:tcBorders>
              <w:top w:val="single" w:color="000000" w:sz="4" w:space="0"/>
              <w:left w:val="single" w:color="000000" w:sz="4" w:space="0"/>
              <w:bottom w:val="single" w:color="000000" w:sz="4" w:space="0"/>
              <w:right w:val="nil"/>
            </w:tcBorders>
            <w:noWrap w:val="0"/>
            <w:vAlign w:val="center"/>
          </w:tcPr>
          <w:p w14:paraId="2D722DD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262C623">
        <w:tblPrEx>
          <w:tblCellMar>
            <w:top w:w="0" w:type="dxa"/>
            <w:left w:w="108" w:type="dxa"/>
            <w:bottom w:w="0" w:type="dxa"/>
            <w:right w:w="108" w:type="dxa"/>
          </w:tblCellMar>
        </w:tblPrEx>
        <w:trPr>
          <w:trHeight w:val="33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79BD7E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DB998D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93214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5A03C9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辅助工具</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C0A007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6FD88A9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支持如下功能a)本地的数据备份和还原功能；b)网络的数据备份和还原功能；c)服务器操作系统的自动安装功能；d)服务器所配硬件需要的驱动程序和系统补丁</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EAE127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满足，支持如下功能a)本地的数据备份和还原功能；b)网络的数据备份和还原功能；c)服务器操作系统的自动安装功能；d)服务器所配硬件需要的驱动程序和系统补丁</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E8C61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AC4D711">
        <w:tblPrEx>
          <w:tblCellMar>
            <w:top w:w="0" w:type="dxa"/>
            <w:left w:w="108" w:type="dxa"/>
            <w:bottom w:w="0" w:type="dxa"/>
            <w:right w:w="108" w:type="dxa"/>
          </w:tblCellMar>
        </w:tblPrEx>
        <w:trPr>
          <w:trHeight w:val="247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5EFE31F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8214EA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9EA8A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437F31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★驱动安装升级指引</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FC2D8D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A16071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供应商提供出厂安装的配件所需的驱动程序，形式包括但不限于驱动光盘、驱动下载链接等。其他配件应提供指引</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14628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满足，供应商提供出厂安装的配件所需的驱动程序，形式包括但不限于驱动光盘、驱动下载链接等。其他配件应提供指引</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941717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C4E059D">
        <w:tblPrEx>
          <w:tblCellMar>
            <w:top w:w="0" w:type="dxa"/>
            <w:left w:w="108" w:type="dxa"/>
            <w:bottom w:w="0" w:type="dxa"/>
            <w:right w:w="108" w:type="dxa"/>
          </w:tblCellMar>
        </w:tblPrEx>
        <w:trPr>
          <w:trHeight w:val="9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F237F7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3D4AC8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39974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F29240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随机附开盖工具</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A0D19D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297199B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随服务器打包提供开机箱工具</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F59FC9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满足，随服务器打包提供开机箱工具</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789E78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CF1D394">
        <w:tblPrEx>
          <w:tblCellMar>
            <w:top w:w="0" w:type="dxa"/>
            <w:left w:w="108" w:type="dxa"/>
            <w:bottom w:w="0" w:type="dxa"/>
            <w:right w:w="108" w:type="dxa"/>
          </w:tblCellMar>
        </w:tblPrEx>
        <w:trPr>
          <w:trHeight w:val="56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B1CAB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136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9A119C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2A188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690CD6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代码迁移工具</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568610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C082A2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DB959D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提供从其他CPU架构到当前服务器CPU架构的软件迁移工具产品，支持软件包迁移评估，对满足产品重构要求的软件包，能重构为当前服务器CPU架构的软件包。提供源码迁移功能，检查分析C/C++/Fortran/Go/解释型语言/汇编等源码文件，基于产品功能给出迁移指导</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7E5755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8E87E01">
        <w:tblPrEx>
          <w:tblCellMar>
            <w:top w:w="0" w:type="dxa"/>
            <w:left w:w="108" w:type="dxa"/>
            <w:bottom w:w="0" w:type="dxa"/>
            <w:right w:w="108" w:type="dxa"/>
          </w:tblCellMar>
        </w:tblPrEx>
        <w:trPr>
          <w:trHeight w:val="38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8F48AC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137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5CC5F3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BFBAC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CDDF76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性能分析工具</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7018449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1B84B6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供应商提供支持当前服务器CPU架构的性能分析工具产品，支持系统性能分析、Java性能分析和系统诊断，可分析系统或应用在CPU、内存、IO、网络等方面的性能，并给出优化建议</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5F77D4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满足，供应商提供支持当前服务器CPU架构的性能分析工具产品，支持系统性能分析、Java性能分析和系统诊断，可分析系统或应用在CPU、内存、IO、网络等方面的性能，并给出优化建议</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4C90A5A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F9B30FD">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154D60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138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6B7BEF3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443B8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FD21CC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跨架构平台应用兼容</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45788EA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5C15BB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跨CPU架构平台应用兼容工具，可兼容一种或者一种以上不同架构平台的应用</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644D37B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满足，跨CPU架构平台应用兼容工具，可兼容一种或者一种以上不同架构平台的应用</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5F36B56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A967DEC">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4FA294A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139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97574E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77C55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4380D7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★管理软件</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11873E4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42D78B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具备资源管理、系统管理、性能监控、健康监控、基于网络控制、报警设置功能</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735233F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满足，具备资源管理、系统管理、性能监控、健康监控、基于网络控制、报警设置功能</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005FBF6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82666F4">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AD71A6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140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761FF89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6E82EA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增值服务</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FC596F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★厂家升级产品软件与扩容服务</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3F118C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13F09EB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供应商提供原厂级的部件/软件产品升级和扩容能力</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1FDCA0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满足，供应商提供原厂级的部件/软件产品升级和扩容能力</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15AC184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采购人可根据实际需要提出更高要求</w:t>
            </w:r>
          </w:p>
        </w:tc>
      </w:tr>
      <w:tr w14:paraId="43C98C48">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7DB2A8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141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2E68503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5319D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B68AC8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服务保障升级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FF185B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3A5B152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供应商有偿提供远程技术支持、软件授权服务、备件更换服务、现场支承服务</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0E391E1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满足，供应商有偿提供远程技术支持、软件授权服务、备件更换服务、现场支承服务</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82D3B8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采购人可根据实际需求选择相关服务</w:t>
            </w:r>
          </w:p>
        </w:tc>
      </w:tr>
      <w:tr w14:paraId="285E5DDF">
        <w:tblPrEx>
          <w:tblCellMar>
            <w:top w:w="0" w:type="dxa"/>
            <w:left w:w="108" w:type="dxa"/>
            <w:bottom w:w="0" w:type="dxa"/>
            <w:right w:w="108" w:type="dxa"/>
          </w:tblCellMar>
        </w:tblPrEx>
        <w:trPr>
          <w:trHeight w:val="11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6674FDF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142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F6FB34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C67CB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F9D3D1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★提供上门服务</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686438E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4A95B5C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供应商具备提供上门服务的能力(可收费)</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424A63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满足，供应商具备提供上门服务的能力(可收费)</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63BFB50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29849B7">
        <w:tblPrEx>
          <w:tblCellMar>
            <w:top w:w="0" w:type="dxa"/>
            <w:left w:w="108" w:type="dxa"/>
            <w:bottom w:w="0" w:type="dxa"/>
            <w:right w:w="108" w:type="dxa"/>
          </w:tblCellMar>
        </w:tblPrEx>
        <w:trPr>
          <w:trHeight w:val="38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391406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143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0810295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A81AC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EF66EA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业务场景性能优化服务及整体架构升级服务</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D8683B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3042BE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供应商提供针对特定业务场景性能优化服务及整体架构升级服务</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564E4F8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满足，供应商提供针对特定业务场景性能优化服务及整体架构升级服务</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C87B7B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相比未使能优化前的业务性能提升比例越大越好，架构升级服务，当现有架构满足不了用户业务规模，提供保证业务连续性和平稳扩容架构升级服务，针对大的行业用户后期大扩容需求。</w:t>
            </w:r>
          </w:p>
        </w:tc>
      </w:tr>
      <w:tr w14:paraId="22D6710F">
        <w:tblPrEx>
          <w:tblCellMar>
            <w:top w:w="0" w:type="dxa"/>
            <w:left w:w="108" w:type="dxa"/>
            <w:bottom w:w="0" w:type="dxa"/>
            <w:right w:w="108" w:type="dxa"/>
          </w:tblCellMar>
        </w:tblPrEx>
        <w:trPr>
          <w:trHeight w:val="292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155B80B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144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573251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供保要求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4235E5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供应链质量</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4F9FB9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★抗干扰性</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53F558C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7A1207B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当产品部件出现供应风险时，应通知客户并提供风险应对方案确保产品的服务保障，必要时应停止相关受影响产品的销售</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27E4378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满足，当产品部件出现供应风险时，应通知客户并提供风险应对方案确保产品的服务保障，必要时应停止相关受影响产品的销售</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7C9F215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同类器件/软件件可替代供应商越多越好</w:t>
            </w:r>
          </w:p>
        </w:tc>
      </w:tr>
      <w:tr w14:paraId="4BB26037">
        <w:tblPrEx>
          <w:tblCellMar>
            <w:top w:w="0" w:type="dxa"/>
            <w:left w:w="108" w:type="dxa"/>
            <w:bottom w:w="0" w:type="dxa"/>
            <w:right w:w="108" w:type="dxa"/>
          </w:tblCellMar>
        </w:tblPrEx>
        <w:trPr>
          <w:trHeight w:val="1800"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14:paraId="0CA573E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145 </w:t>
            </w:r>
          </w:p>
        </w:tc>
        <w:tc>
          <w:tcPr>
            <w:tcW w:w="597" w:type="dxa"/>
            <w:tcBorders>
              <w:top w:val="single" w:color="000000" w:sz="4" w:space="0"/>
              <w:left w:val="single" w:color="000000" w:sz="4" w:space="0"/>
              <w:bottom w:val="single" w:color="000000" w:sz="4" w:space="0"/>
              <w:right w:val="single" w:color="000000" w:sz="4" w:space="0"/>
            </w:tcBorders>
            <w:noWrap w:val="0"/>
            <w:vAlign w:val="center"/>
          </w:tcPr>
          <w:p w14:paraId="485B987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供保要求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45356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B27714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★供应能力证明</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14:paraId="3A292B7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1952" w:type="dxa"/>
            <w:tcBorders>
              <w:top w:val="single" w:color="000000" w:sz="4" w:space="0"/>
              <w:left w:val="single" w:color="000000" w:sz="4" w:space="0"/>
              <w:bottom w:val="single" w:color="000000" w:sz="4" w:space="0"/>
              <w:right w:val="single" w:color="000000" w:sz="4" w:space="0"/>
            </w:tcBorders>
            <w:noWrap w:val="0"/>
            <w:vAlign w:val="center"/>
          </w:tcPr>
          <w:p w14:paraId="56BF230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供应商提供供应链稳定承诺书，确保产品的部件在产品服务周期内稳定供货</w:t>
            </w:r>
          </w:p>
        </w:tc>
        <w:tc>
          <w:tcPr>
            <w:tcW w:w="1855" w:type="dxa"/>
            <w:tcBorders>
              <w:top w:val="single" w:color="000000" w:sz="4" w:space="0"/>
              <w:left w:val="single" w:color="000000" w:sz="4" w:space="0"/>
              <w:bottom w:val="single" w:color="000000" w:sz="4" w:space="0"/>
              <w:right w:val="single" w:color="000000" w:sz="4" w:space="0"/>
            </w:tcBorders>
            <w:noWrap w:val="0"/>
            <w:vAlign w:val="center"/>
          </w:tcPr>
          <w:p w14:paraId="3F701A0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满足，供应商提供供应链稳定承诺书，确保产品的部件在产品服务周期内稳定供货</w:t>
            </w:r>
          </w:p>
        </w:tc>
        <w:tc>
          <w:tcPr>
            <w:tcW w:w="1290" w:type="dxa"/>
            <w:tcBorders>
              <w:top w:val="single" w:color="000000" w:sz="4" w:space="0"/>
              <w:left w:val="single" w:color="000000" w:sz="4" w:space="0"/>
              <w:bottom w:val="single" w:color="000000" w:sz="4" w:space="0"/>
              <w:right w:val="single" w:color="000000" w:sz="4" w:space="0"/>
            </w:tcBorders>
            <w:noWrap w:val="0"/>
            <w:vAlign w:val="center"/>
          </w:tcPr>
          <w:p w14:paraId="35C5D19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bl>
    <w:p w14:paraId="1CDD7D51">
      <w:pPr>
        <w:spacing w:line="360" w:lineRule="auto"/>
        <w:rPr>
          <w:rFonts w:hint="eastAsia" w:ascii="宋体" w:hAnsi="宋体"/>
          <w:color w:val="auto"/>
          <w:sz w:val="24"/>
          <w:highlight w:val="none"/>
        </w:rPr>
      </w:pPr>
    </w:p>
    <w:p w14:paraId="3B08E931">
      <w:pPr>
        <w:spacing w:line="360" w:lineRule="auto"/>
        <w:rPr>
          <w:rFonts w:hint="eastAsia" w:ascii="宋体" w:hAnsi="宋体"/>
          <w:color w:val="auto"/>
          <w:sz w:val="24"/>
          <w:highlight w:val="none"/>
        </w:rPr>
      </w:pPr>
      <w:r>
        <w:rPr>
          <w:rFonts w:hint="eastAsia" w:ascii="宋体" w:hAnsi="宋体"/>
          <w:color w:val="auto"/>
          <w:sz w:val="24"/>
          <w:highlight w:val="none"/>
        </w:rPr>
        <w:br w:type="page"/>
      </w:r>
      <w:r>
        <w:rPr>
          <w:rFonts w:hint="eastAsia" w:ascii="宋体" w:hAnsi="宋体"/>
          <w:color w:val="auto"/>
          <w:sz w:val="24"/>
          <w:highlight w:val="none"/>
        </w:rPr>
        <w:t>附件2：包1—硬件设备技术要求—台式计算机</w:t>
      </w:r>
    </w:p>
    <w:p w14:paraId="59CF9672">
      <w:pPr>
        <w:spacing w:line="360" w:lineRule="auto"/>
        <w:ind w:firstLine="480" w:firstLineChars="200"/>
        <w:rPr>
          <w:rFonts w:hint="eastAsia" w:ascii="宋体" w:hAnsi="宋体"/>
          <w:b/>
          <w:bCs/>
          <w:color w:val="auto"/>
          <w:sz w:val="24"/>
          <w:highlight w:val="none"/>
        </w:rPr>
      </w:pPr>
      <w:r>
        <w:rPr>
          <w:rFonts w:hint="eastAsia" w:ascii="宋体" w:hAnsi="宋体"/>
          <w:b/>
          <w:bCs/>
          <w:color w:val="auto"/>
          <w:sz w:val="24"/>
          <w:highlight w:val="none"/>
        </w:rPr>
        <w:t>1.主机</w:t>
      </w:r>
    </w:p>
    <w:tbl>
      <w:tblPr>
        <w:tblStyle w:val="12"/>
        <w:tblW w:w="8205" w:type="dxa"/>
        <w:tblInd w:w="93" w:type="dxa"/>
        <w:tblLayout w:type="fixed"/>
        <w:tblCellMar>
          <w:top w:w="0" w:type="dxa"/>
          <w:left w:w="108" w:type="dxa"/>
          <w:bottom w:w="0" w:type="dxa"/>
          <w:right w:w="108" w:type="dxa"/>
        </w:tblCellMar>
      </w:tblPr>
      <w:tblGrid>
        <w:gridCol w:w="508"/>
        <w:gridCol w:w="627"/>
        <w:gridCol w:w="678"/>
        <w:gridCol w:w="838"/>
        <w:gridCol w:w="646"/>
        <w:gridCol w:w="2388"/>
        <w:gridCol w:w="1208"/>
        <w:gridCol w:w="1312"/>
      </w:tblGrid>
      <w:tr w14:paraId="3C535E39">
        <w:tblPrEx>
          <w:tblCellMar>
            <w:top w:w="0" w:type="dxa"/>
            <w:left w:w="108" w:type="dxa"/>
            <w:bottom w:w="0" w:type="dxa"/>
            <w:right w:w="108" w:type="dxa"/>
          </w:tblCellMar>
        </w:tblPrEx>
        <w:trPr>
          <w:trHeight w:val="1327" w:hRule="atLeast"/>
          <w:tblHeader/>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F917337">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序号</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2BDD958">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指标分类</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09905885">
            <w:pPr>
              <w:widowControl/>
              <w:jc w:val="center"/>
              <w:textAlignment w:val="center"/>
              <w:rPr>
                <w:rFonts w:hint="eastAsia" w:ascii="宋体" w:hAnsi="宋体" w:cs="宋体"/>
                <w:b/>
                <w:bCs/>
                <w:color w:val="auto"/>
                <w:kern w:val="0"/>
                <w:sz w:val="18"/>
                <w:szCs w:val="18"/>
                <w:highlight w:val="none"/>
                <w:lang w:bidi="ar"/>
              </w:rPr>
            </w:pPr>
            <w:r>
              <w:rPr>
                <w:rFonts w:hint="eastAsia" w:ascii="宋体" w:hAnsi="宋体" w:cs="宋体"/>
                <w:b/>
                <w:bCs/>
                <w:color w:val="auto"/>
                <w:kern w:val="0"/>
                <w:sz w:val="18"/>
                <w:szCs w:val="18"/>
                <w:highlight w:val="none"/>
                <w:lang w:bidi="ar"/>
              </w:rPr>
              <w:t>一级</w:t>
            </w:r>
          </w:p>
          <w:p w14:paraId="330F0C7C">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59B12F6">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二级指标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5E96018">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是否可以作为评分因素</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DB7D55C">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指标要求</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1C76171">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采购人技术要求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D15B954">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指标使用说明</w:t>
            </w:r>
          </w:p>
        </w:tc>
      </w:tr>
      <w:tr w14:paraId="635EDC27">
        <w:tblPrEx>
          <w:tblCellMar>
            <w:top w:w="0" w:type="dxa"/>
            <w:left w:w="108" w:type="dxa"/>
            <w:bottom w:w="0" w:type="dxa"/>
            <w:right w:w="108" w:type="dxa"/>
          </w:tblCellMar>
        </w:tblPrEx>
        <w:trPr>
          <w:trHeight w:val="24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DF3A4F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8B54B5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3BF54F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51000F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★CPU信息</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E85CF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045B9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供应商给出CPU信息，包含CPU型号、物理核心数、主频、末级缓存容量、线程数、热设计功耗及内存的最高速率、通道数和位宽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E25E3F5">
            <w:pPr>
              <w:widowControl/>
              <w:jc w:val="left"/>
              <w:textAlignment w:val="center"/>
              <w:rPr>
                <w:rFonts w:ascii="宋体" w:hAnsi="宋体" w:cs="宋体"/>
                <w:color w:val="auto"/>
                <w:kern w:val="0"/>
                <w:sz w:val="18"/>
                <w:szCs w:val="18"/>
                <w:highlight w:val="none"/>
                <w:lang w:bidi="ar"/>
              </w:rPr>
            </w:pPr>
            <w:r>
              <w:rPr>
                <w:rFonts w:hint="eastAsia" w:ascii="宋体" w:hAnsi="宋体" w:cs="宋体"/>
                <w:color w:val="auto"/>
                <w:kern w:val="0"/>
                <w:sz w:val="18"/>
                <w:szCs w:val="18"/>
                <w:highlight w:val="none"/>
                <w:lang w:bidi="ar"/>
              </w:rPr>
              <w:t>CPU架构ARM</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物理核心数≥8</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最高主频≥2.0GHz</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内存最高速率：≥5500MT/s</w:t>
            </w:r>
          </w:p>
          <w:p w14:paraId="7B3DC05B">
            <w:pPr>
              <w:widowControl/>
              <w:jc w:val="left"/>
              <w:textAlignment w:val="center"/>
              <w:rPr>
                <w:rFonts w:ascii="宋体" w:hAnsi="宋体" w:cs="宋体"/>
                <w:color w:val="auto"/>
                <w:kern w:val="0"/>
                <w:sz w:val="18"/>
                <w:szCs w:val="18"/>
                <w:highlight w:val="none"/>
                <w:lang w:bidi="ar"/>
              </w:rPr>
            </w:pPr>
            <w:r>
              <w:rPr>
                <w:rFonts w:hint="eastAsia" w:ascii="宋体" w:hAnsi="宋体" w:cs="宋体"/>
                <w:color w:val="auto"/>
                <w:kern w:val="0"/>
                <w:sz w:val="18"/>
                <w:szCs w:val="18"/>
                <w:highlight w:val="none"/>
                <w:lang w:bidi="ar"/>
              </w:rPr>
              <w:t>末级缓存容量≥</w:t>
            </w:r>
            <w:r>
              <w:rPr>
                <w:rFonts w:ascii="宋体" w:hAnsi="宋体" w:cs="宋体"/>
                <w:color w:val="auto"/>
                <w:kern w:val="0"/>
                <w:sz w:val="18"/>
                <w:szCs w:val="18"/>
                <w:highlight w:val="none"/>
                <w:lang w:bidi="ar"/>
              </w:rPr>
              <w:t>4</w:t>
            </w:r>
            <w:r>
              <w:rPr>
                <w:rFonts w:hint="eastAsia" w:ascii="宋体" w:hAnsi="宋体" w:cs="宋体"/>
                <w:color w:val="auto"/>
                <w:kern w:val="0"/>
                <w:sz w:val="18"/>
                <w:szCs w:val="18"/>
                <w:highlight w:val="none"/>
                <w:lang w:bidi="ar"/>
              </w:rPr>
              <w:t>MB</w:t>
            </w:r>
          </w:p>
          <w:p w14:paraId="7D1A57EE">
            <w:pPr>
              <w:widowControl/>
              <w:jc w:val="left"/>
              <w:textAlignment w:val="center"/>
              <w:rPr>
                <w:rFonts w:hint="eastAsia" w:ascii="宋体" w:hAnsi="宋体" w:cs="宋体"/>
                <w:color w:val="auto"/>
                <w:kern w:val="0"/>
                <w:sz w:val="18"/>
                <w:szCs w:val="18"/>
                <w:highlight w:val="none"/>
                <w:lang w:bidi="ar"/>
              </w:rPr>
            </w:pPr>
            <w:r>
              <w:rPr>
                <w:rFonts w:hint="eastAsia" w:ascii="宋体" w:hAnsi="宋体" w:cs="宋体"/>
                <w:color w:val="auto"/>
                <w:kern w:val="0"/>
                <w:sz w:val="18"/>
                <w:szCs w:val="18"/>
                <w:highlight w:val="none"/>
                <w:lang w:bidi="ar"/>
              </w:rPr>
              <w:t>线程数≥1</w:t>
            </w:r>
            <w:r>
              <w:rPr>
                <w:rFonts w:ascii="宋体" w:hAnsi="宋体" w:cs="宋体"/>
                <w:color w:val="auto"/>
                <w:kern w:val="0"/>
                <w:sz w:val="18"/>
                <w:szCs w:val="18"/>
                <w:highlight w:val="none"/>
                <w:lang w:bidi="ar"/>
              </w:rPr>
              <w:t>2</w:t>
            </w:r>
            <w:r>
              <w:rPr>
                <w:rFonts w:hint="eastAsia" w:ascii="宋体" w:hAnsi="宋体" w:cs="宋体"/>
                <w:color w:val="auto"/>
                <w:kern w:val="0"/>
                <w:sz w:val="18"/>
                <w:szCs w:val="18"/>
                <w:highlight w:val="none"/>
                <w:lang w:bidi="ar"/>
              </w:rPr>
              <w:br w:type="textWrapping"/>
            </w:r>
            <w:r>
              <w:rPr>
                <w:rFonts w:hint="eastAsia" w:ascii="宋体" w:hAnsi="宋体" w:cs="宋体"/>
                <w:color w:val="auto"/>
                <w:kern w:val="0"/>
                <w:sz w:val="18"/>
                <w:szCs w:val="18"/>
                <w:highlight w:val="none"/>
                <w:lang w:bidi="ar"/>
              </w:rPr>
              <w:t>供应商给出其他CPU信息：热设计功耗、通道数、位宽</w:t>
            </w:r>
          </w:p>
          <w:p w14:paraId="4ECE8A01">
            <w:pPr>
              <w:widowControl/>
              <w:jc w:val="left"/>
              <w:textAlignment w:val="center"/>
              <w:rPr>
                <w:rFonts w:hint="eastAsia" w:ascii="宋体" w:hAnsi="宋体" w:cs="宋体"/>
                <w:color w:val="auto"/>
                <w:kern w:val="0"/>
                <w:sz w:val="18"/>
                <w:szCs w:val="18"/>
                <w:highlight w:val="none"/>
                <w:lang w:bidi="ar"/>
              </w:rPr>
            </w:pPr>
            <w:r>
              <w:rPr>
                <w:rFonts w:hint="eastAsia" w:ascii="宋体" w:hAnsi="宋体" w:cs="宋体"/>
                <w:color w:val="auto"/>
                <w:kern w:val="0"/>
                <w:sz w:val="18"/>
                <w:szCs w:val="18"/>
                <w:highlight w:val="none"/>
                <w:lang w:bidi="ar"/>
              </w:rPr>
              <w:t>★</w:t>
            </w:r>
            <w:r>
              <w:rPr>
                <w:rStyle w:val="51"/>
                <w:rFonts w:hint="default"/>
                <w:color w:val="auto"/>
                <w:highlight w:val="none"/>
                <w:lang w:bidi="ar"/>
              </w:rPr>
              <w:t>CPU通过安全可靠测评</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712A49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2E44EDD">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854AC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1FE24C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818A90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A8BE4F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★内存配置容量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B94E02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195616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≥8GB</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8B81D1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≥16G</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8D3561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采购人根据需要选择内存配置容量，一般配置容量越大越好</w:t>
            </w:r>
          </w:p>
        </w:tc>
      </w:tr>
      <w:tr w14:paraId="69DE29B7">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8461AD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29D78B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F8784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72519B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★内存类型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745E7C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3D431F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支持DDR4/LPDDR4/LPDDR4X及以上内存类型</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7008D2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 xml:space="preserve"> 支持DDR5或LPDDR5 及以上内存类型</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022352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采购人根据需要选择内存类型</w:t>
            </w:r>
          </w:p>
        </w:tc>
      </w:tr>
      <w:tr w14:paraId="5D616EC8">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70588A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2E2091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8946B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DF6AA4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★内存条配置数量（板载内存不涉及）</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DE43B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A19E4F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194094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376BEF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EFF40D0">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15F27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3530FA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A373E0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92F8C1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★主板集成模块</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74F3ED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042533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集成资源扩展模块、计算处理模块、音频扩展模块等，主板的互联拓扑可通过处理器或交换电路实现</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67015E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AA0097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21AFFFB">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45CB15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DFF80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5C917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4C02A3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★主板支持的CPU和内存情况</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F11ACA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B5C1BF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供应商给出主板支持的CPU和内存型号和数量</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A2257F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FD4E7B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78244F5">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C839FC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7F007E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E85DE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4643DB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主板内置PCIe插槽数量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AB0346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104001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支持PCIe插槽数量不少于2个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C3963F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AD60EA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采购人根据需要，对内置PCIe插槽数量提出要求。如果产品提供PCIe插槽，数量越多扩展能力越强，但PCIe插槽过多会影响产品轻薄化小型化</w:t>
            </w:r>
          </w:p>
        </w:tc>
      </w:tr>
      <w:tr w14:paraId="23CFC77B">
        <w:tblPrEx>
          <w:tblCellMar>
            <w:top w:w="0" w:type="dxa"/>
            <w:left w:w="108" w:type="dxa"/>
            <w:bottom w:w="0" w:type="dxa"/>
            <w:right w:w="108" w:type="dxa"/>
          </w:tblCellMar>
        </w:tblPrEx>
        <w:trPr>
          <w:trHeight w:val="29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C1FBD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888FF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F328B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C37CA2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特殊孔位及接口</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F4D7D6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51C5A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a）预留满足USB3.0数据传输规范的接口，工作电压5V，最大过电流应不小于3A；b)预留多功能导入装置板卡安装孔位，采用内置方式与主机一体化集成，容量不小于145mm×125mm×16.5mm（长×宽×高）</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FDAF81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CB1C63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083A9AB">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FE06A7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34F391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3344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566AF2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★主板其他内置接口</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812369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8E4E2D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供应商给出相关SATA、M.2、USB接口数量及占用状态</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AF277D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809ABE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采购人根据需要选择主板其他内置接口。支持接口的种类、数量越多产品升级可扩展能力越好</w:t>
            </w:r>
          </w:p>
        </w:tc>
      </w:tr>
      <w:tr w14:paraId="7A294C1D">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6D03F5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2B19D2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7CFDB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B395F5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★单内存插槽最大可支持容量（板载内存</w:t>
            </w:r>
            <w:r>
              <w:rPr>
                <w:rFonts w:hint="eastAsia" w:ascii="宋体" w:hAnsi="宋体" w:cs="宋体"/>
                <w:color w:val="auto"/>
                <w:kern w:val="0"/>
                <w:sz w:val="18"/>
                <w:szCs w:val="18"/>
                <w:highlight w:val="none"/>
                <w:lang w:val="en-US" w:eastAsia="zh-CN" w:bidi="ar"/>
              </w:rPr>
              <w:t>不涉及</w:t>
            </w:r>
            <w:r>
              <w:rPr>
                <w:rFonts w:hint="eastAsia" w:ascii="宋体" w:hAnsi="宋体" w:cs="宋体"/>
                <w:color w:val="auto"/>
                <w:kern w:val="0"/>
                <w:sz w:val="18"/>
                <w:szCs w:val="18"/>
                <w:highlight w:val="none"/>
                <w:lang w:bidi="ar"/>
              </w:rPr>
              <w:t>）</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8CE93B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1CBABE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≥8GB</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2D50A9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A8DC99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采购人根据需要选择单内存插槽最大可支持容量，一般可支持的扩展最大容量越大，产品升级扩展能力越强</w:t>
            </w:r>
          </w:p>
        </w:tc>
      </w:tr>
      <w:tr w14:paraId="596D3149">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B1E252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870546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DF7AE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C2E917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★内存插槽满配时提供的最高内存总容量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F7D4F2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ECD967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≥16GB</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22EBB7F">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54E9AB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采购人根据需要选择内存插槽满配时提供的最高内存总容量，可支持的内存插槽满配时提供的最高内存总容量越大，产品升级扩展能力越强</w:t>
            </w:r>
          </w:p>
        </w:tc>
      </w:tr>
      <w:tr w14:paraId="4B85FA84">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63518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93FE25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0556E0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存储设备规格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5D97D6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★固态盘数量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41AF9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7F4BFA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5BCBC7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3ED7C6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74653DA">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3FF56A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F5F7EF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FC2B2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865934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★固态存储容量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BC9430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B40FEF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≥240GB</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C1A08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w:t>
            </w:r>
            <w:r>
              <w:rPr>
                <w:rFonts w:ascii="宋体" w:hAnsi="宋体" w:cs="宋体"/>
                <w:color w:val="auto"/>
                <w:kern w:val="0"/>
                <w:sz w:val="18"/>
                <w:szCs w:val="18"/>
                <w:highlight w:val="none"/>
                <w:lang w:bidi="ar"/>
              </w:rPr>
              <w:t>40</w:t>
            </w:r>
            <w:r>
              <w:rPr>
                <w:rFonts w:hint="eastAsia" w:ascii="宋体" w:hAnsi="宋体" w:cs="宋体"/>
                <w:color w:val="auto"/>
                <w:kern w:val="0"/>
                <w:sz w:val="18"/>
                <w:szCs w:val="18"/>
                <w:highlight w:val="none"/>
                <w:lang w:bidi="ar"/>
              </w:rPr>
              <w:t>GB</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8E99C6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采购人根据需要选择固态存储容量，存储容量越大，可存储数据越多</w:t>
            </w:r>
          </w:p>
        </w:tc>
      </w:tr>
      <w:tr w14:paraId="4EEE57E7">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1E7FF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E31C04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C6E9D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0FEC4F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★机械硬盘数量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6DFD70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9D8A0F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c>
          <w:tcPr>
            <w:tcW w:w="1208" w:type="dxa"/>
            <w:tcBorders>
              <w:top w:val="single" w:color="000000" w:sz="4" w:space="0"/>
              <w:left w:val="single" w:color="000000" w:sz="4" w:space="0"/>
              <w:bottom w:val="single" w:color="000000" w:sz="4" w:space="0"/>
              <w:right w:val="single" w:color="000000" w:sz="4" w:space="0"/>
            </w:tcBorders>
            <w:noWrap w:val="0"/>
            <w:vAlign w:val="top"/>
          </w:tcPr>
          <w:p w14:paraId="3389737B">
            <w:pPr>
              <w:rPr>
                <w:rFonts w:hint="eastAsia" w:eastAsia="宋体"/>
                <w:color w:val="auto"/>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8BFBB2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A8EC0E3">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B3355D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C3D31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42DB8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9D5A3E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★机械硬盘总容量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34F960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3318A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≥500GB</w:t>
            </w:r>
          </w:p>
        </w:tc>
        <w:tc>
          <w:tcPr>
            <w:tcW w:w="1208" w:type="dxa"/>
            <w:tcBorders>
              <w:top w:val="single" w:color="000000" w:sz="4" w:space="0"/>
              <w:left w:val="single" w:color="000000" w:sz="4" w:space="0"/>
              <w:bottom w:val="single" w:color="000000" w:sz="4" w:space="0"/>
              <w:right w:val="single" w:color="000000" w:sz="4" w:space="0"/>
            </w:tcBorders>
            <w:noWrap w:val="0"/>
            <w:vAlign w:val="top"/>
          </w:tcPr>
          <w:p w14:paraId="22063192">
            <w:pPr>
              <w:rPr>
                <w:rFonts w:hint="eastAsia" w:eastAsia="宋体"/>
                <w:color w:val="auto"/>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FE253E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采购人根据需要选择机械硬盘总容量，容量越大，可存储数据越多</w:t>
            </w:r>
          </w:p>
        </w:tc>
      </w:tr>
      <w:tr w14:paraId="7010F89D">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064395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AE8BCB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882AE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528ABE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★机械硬盘转速</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0855E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DF02B2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≥5400rpm</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240874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6533DA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采购人根据需要选择机械硬盘转速，机械硬盘转速越高读写性能越好</w:t>
            </w:r>
          </w:p>
        </w:tc>
      </w:tr>
      <w:tr w14:paraId="1BAF66D9">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94CD39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78E130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8B866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A1ACC5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机械硬盘接口协议</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C46372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95EA1E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支持SATA3.0及以上或SAS3.0及以上接口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8049207">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1F7C71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采购人根据需要选择机械硬盘接口协议，支持接口版本和种类越多，可匹配的硬盘类型越多</w:t>
            </w:r>
          </w:p>
        </w:tc>
      </w:tr>
      <w:tr w14:paraId="564C7F09">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CC2198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6C431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1733F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7CF93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★机械硬盘形态</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7FF1B9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9E1F77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2.5英寸或3.5英寸等</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6E2C91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5AB784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2F193E1">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E8DA2D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84D873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899D7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170DB6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固态存储接口协议</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C31D4B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9355CA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UFS/SATA/PCIe/NVMe等类型接口协议</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402F5C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B092A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采购人根据需要选择固态存储接口协议，支持接口种类越多，可匹配的硬盘类型越多</w:t>
            </w:r>
          </w:p>
        </w:tc>
      </w:tr>
      <w:tr w14:paraId="2367B4CC">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B3209C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9D7015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F89C8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8A835A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★固态存储形态</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531108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14C485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采用插卡或板载等形态，可选用符合M.2或2.5寸SATA或mSATA等标准的插卡形态</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3A83C0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43017E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625B2CE">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97F0D9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5BD9DF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5C0C5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B949B3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存储设备扩展盘位</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7F5D9A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B278D3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DF3D05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2905E4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采购人根据需要选择存储设备扩展盘位，支持接口数量越多扩展能力越好</w:t>
            </w:r>
          </w:p>
        </w:tc>
      </w:tr>
      <w:tr w14:paraId="0AA9B752">
        <w:tblPrEx>
          <w:tblCellMar>
            <w:top w:w="0" w:type="dxa"/>
            <w:left w:w="108" w:type="dxa"/>
            <w:bottom w:w="0" w:type="dxa"/>
            <w:right w:w="108" w:type="dxa"/>
          </w:tblCellMar>
        </w:tblPrEx>
        <w:trPr>
          <w:trHeight w:val="24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E1AF5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FA5ECA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071A6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EDF92A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★存储设备其他参数要求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8D6B8A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A7299D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a)固态盘应符合SJ/T11654相关规定；b)机械硬盘准备时间应不大于30s；侧面固定螺丝孔数量可为4孔或6孔；工作状态环境温度应满足5℃~55℃;其它参数应符合GB/T12628相关规定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128A1A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2A253A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94F4632">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FBBB37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132B25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B2AD78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20E1FD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★显卡类型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FECEF3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98EEBF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独立显卡或集成显卡</w:t>
            </w:r>
          </w:p>
        </w:tc>
        <w:tc>
          <w:tcPr>
            <w:tcW w:w="1208" w:type="dxa"/>
            <w:tcBorders>
              <w:top w:val="single" w:color="000000" w:sz="4" w:space="0"/>
              <w:left w:val="single" w:color="000000" w:sz="4" w:space="0"/>
              <w:bottom w:val="single" w:color="000000" w:sz="4" w:space="0"/>
              <w:right w:val="single" w:color="000000" w:sz="4" w:space="0"/>
            </w:tcBorders>
            <w:noWrap w:val="0"/>
            <w:vAlign w:val="top"/>
          </w:tcPr>
          <w:p w14:paraId="112D0944">
            <w:pPr>
              <w:rPr>
                <w:color w:val="auto"/>
                <w:highlight w:val="none"/>
              </w:rPr>
            </w:pPr>
            <w:r>
              <w:rPr>
                <w:rFonts w:hint="eastAsia" w:ascii="宋体" w:hAnsi="宋体" w:cs="宋体"/>
                <w:color w:val="auto"/>
                <w:kern w:val="0"/>
                <w:sz w:val="18"/>
                <w:szCs w:val="18"/>
                <w:highlight w:val="none"/>
                <w:lang w:bidi="ar"/>
              </w:rPr>
              <w:t>独立显卡或集成显卡</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04FB0D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39CB00A">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832E7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9D6EA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6FC2E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714C8C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★独立显卡显存类型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26561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475362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若配置独立显卡，显存类型应为DDR3/DDR4/GDDR5/GDDR6/LPDDR4</w:t>
            </w:r>
          </w:p>
        </w:tc>
        <w:tc>
          <w:tcPr>
            <w:tcW w:w="1208" w:type="dxa"/>
            <w:tcBorders>
              <w:top w:val="single" w:color="000000" w:sz="4" w:space="0"/>
              <w:left w:val="single" w:color="000000" w:sz="4" w:space="0"/>
              <w:bottom w:val="single" w:color="000000" w:sz="4" w:space="0"/>
              <w:right w:val="single" w:color="000000" w:sz="4" w:space="0"/>
            </w:tcBorders>
            <w:noWrap w:val="0"/>
            <w:vAlign w:val="top"/>
          </w:tcPr>
          <w:p w14:paraId="3A04F658">
            <w:pPr>
              <w:rPr>
                <w:rFonts w:hint="eastAsia" w:eastAsia="宋体"/>
                <w:color w:val="auto"/>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187B96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如有特殊需求，采购人根据需要明确显存类型。相同显存类型，代次越高，性能越好</w:t>
            </w:r>
          </w:p>
        </w:tc>
      </w:tr>
      <w:tr w14:paraId="0F59DAFC">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1F5D6D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CC1C8B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4794F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C970B3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★独立显卡显存位宽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B24A07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770733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若配置独立显卡，显存位宽≥16位</w:t>
            </w:r>
          </w:p>
        </w:tc>
        <w:tc>
          <w:tcPr>
            <w:tcW w:w="1208" w:type="dxa"/>
            <w:tcBorders>
              <w:top w:val="single" w:color="000000" w:sz="4" w:space="0"/>
              <w:left w:val="single" w:color="000000" w:sz="4" w:space="0"/>
              <w:bottom w:val="single" w:color="000000" w:sz="4" w:space="0"/>
              <w:right w:val="single" w:color="000000" w:sz="4" w:space="0"/>
            </w:tcBorders>
            <w:noWrap w:val="0"/>
            <w:vAlign w:val="top"/>
          </w:tcPr>
          <w:p w14:paraId="7EF030C2">
            <w:pPr>
              <w:rPr>
                <w:rFonts w:hint="eastAsia" w:eastAsia="宋体"/>
                <w:color w:val="auto"/>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214361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相同显示核心下，显存位宽越大越好</w:t>
            </w:r>
          </w:p>
        </w:tc>
      </w:tr>
      <w:tr w14:paraId="6300DDB3">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0393ED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2CFF35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92A8D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75C1B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★独立显卡显存容量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EB65B9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B7FF9C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若配置独立显卡，显存容量≥1GB</w:t>
            </w:r>
          </w:p>
        </w:tc>
        <w:tc>
          <w:tcPr>
            <w:tcW w:w="1208" w:type="dxa"/>
            <w:tcBorders>
              <w:top w:val="single" w:color="000000" w:sz="4" w:space="0"/>
              <w:left w:val="single" w:color="000000" w:sz="4" w:space="0"/>
              <w:bottom w:val="single" w:color="000000" w:sz="4" w:space="0"/>
              <w:right w:val="single" w:color="000000" w:sz="4" w:space="0"/>
            </w:tcBorders>
            <w:noWrap w:val="0"/>
            <w:vAlign w:val="top"/>
          </w:tcPr>
          <w:p w14:paraId="68B7C72B">
            <w:pPr>
              <w:rPr>
                <w:rFonts w:hint="eastAsia" w:eastAsia="宋体"/>
                <w:color w:val="auto"/>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55A5DE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相同显示核心下，显存容量越大越好</w:t>
            </w:r>
          </w:p>
        </w:tc>
      </w:tr>
      <w:tr w14:paraId="50A9D87D">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D141A7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6008B9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0D29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FF7F00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独立显卡接口协议</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E5926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705040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支持PCIe协议版本大于等于2.0或HT（HyperTransport）协议版本大于等于3.0的独立显卡接口协议</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AD6EAD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908315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PCIe的版本号越高，PCIeLane数量越多，显卡与处理器之间的带宽越大，显卡性能越好</w:t>
            </w:r>
          </w:p>
        </w:tc>
      </w:tr>
      <w:tr w14:paraId="457AC634">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943060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AD3CF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9EB5EF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外设规格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BA83D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传声器数量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3F45F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C45983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2D52AE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AB00D9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ED9F39E">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064A38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A660D7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7BC7C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D76FC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扬声器数量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AB5C72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0C82F0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9E9ADF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29B7BB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扬声器的数量越多，立体声输出效果越好</w:t>
            </w:r>
          </w:p>
        </w:tc>
      </w:tr>
      <w:tr w14:paraId="49C88FB7">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AC0D0A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E26892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97B16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C4A6D4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★鼠标数量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BC0E1F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E870D4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FFE7F3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0EEA95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8DDC643">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060B3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337AD0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88996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AABB28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1151A5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B3BC67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B0CD61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79F1ED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C77CEFD">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5201C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817042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FF1DC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BA9067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摄像头数量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44DBC4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C3F579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3653D6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AE7512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E4D89AE">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1AEBC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418FB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77888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AEFBED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光驱数量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B62AD3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DF5A99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2DDF8A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155BE7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E02FABB">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61FC63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6D421C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C6057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FD00A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★键盘按键数目</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99063F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80A577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61键/86键/101键/104键等</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27C50A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97785E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采购人根据需要选择键盘按键数目</w:t>
            </w:r>
          </w:p>
        </w:tc>
      </w:tr>
      <w:tr w14:paraId="3AFD6674">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EC7D3A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31EC39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D09FE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F5A3A4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摄像头像素</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1EA632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F7DF2A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≥50万</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DB8C99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BFCE29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采购人根据需要选择摄像头像素。像素越高图像越清晰</w:t>
            </w:r>
          </w:p>
        </w:tc>
      </w:tr>
      <w:tr w14:paraId="52EBD11B">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41DFD4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E4E854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AA17F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BC2B47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摄像头分辨率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381B72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F7E8FA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≥800*600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B59222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BCA68C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采购人根据需要选择摄像头分辨率。分辨率越高，图像越清晰</w:t>
            </w:r>
          </w:p>
        </w:tc>
      </w:tr>
      <w:tr w14:paraId="213FBF13">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D05F33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EB1E32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AF64C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EC373E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扬声器功率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F8D3F2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959169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≥1瓦/个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81F8D4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EE9127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76B8BA9">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375BEB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C14FD5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F00AA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0CDBA3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扬声器频率范围</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06D818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AB0A8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不低于（100Hz-8kHz）范围</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C3AE85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DAB840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采购人根据需要选择扬声器频率范围。频率范围越大效果越好，考察频段内波动越小越好</w:t>
            </w:r>
          </w:p>
        </w:tc>
      </w:tr>
      <w:tr w14:paraId="3FF8C5CB">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8EA2E4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9CB22A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652ED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D3A24D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扬声器总谐波失真</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885FA2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DE323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谐波失真在100Hz-7kHz频率范围内不高于10%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EC15A0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3300DB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采购人根据需要选择扬声器总谐波失真。频段内失真越小越好</w:t>
            </w:r>
          </w:p>
        </w:tc>
      </w:tr>
      <w:tr w14:paraId="2BB7322E">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469CCE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2A3CC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F64C8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A7E74A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扬声器最大声压级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AA26FC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2C8AAD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最大声压级在粉红噪声播放场景下，工作距离处声压级不低于70dB</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CA88B5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81336C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采购人根据需要选择扬声器最大声压级。扬声器的最大声压级一般是越大越好</w:t>
            </w:r>
          </w:p>
        </w:tc>
      </w:tr>
      <w:tr w14:paraId="299B9AC7">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48CAF7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FF76AE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2FF9D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B87C1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★键盘连接方式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AFC45A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D31D17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有线或无线</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04234AF">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7FD0AC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11AF97F">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6D0CC6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A795DF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638DF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990BFD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★键盘键程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78EDA7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18134B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2.3mm~4.0mm</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FBA1AB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CB6FF8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如有特殊需求，采购人根据需要选择，键程长短关系到使用手感，键程长会感到弹性十足；键程短的键盘打字会更加快捷、省力</w:t>
            </w:r>
          </w:p>
        </w:tc>
      </w:tr>
      <w:tr w14:paraId="5B0FED5C">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E5C68C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61FF6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FCE55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431A31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★键盘按键压力</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E4B79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380949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按键压力应在0.54N±0.14N</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36FBE7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09DDC6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特殊使用的键盘的按键，其压力应由采购人根据需要确定详细参数</w:t>
            </w:r>
          </w:p>
        </w:tc>
      </w:tr>
      <w:tr w14:paraId="7802F557">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A7F342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5B4B0E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E0397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4409D2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★有线键盘连接线</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7DA95F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C714CD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≥1.5米</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0210F4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15BE67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如有特殊需求，采购人根据需要选择有线键盘连接线</w:t>
            </w:r>
          </w:p>
        </w:tc>
      </w:tr>
      <w:tr w14:paraId="2902FECE">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748F17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D08C97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EC7FB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249AB6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★键盘颜色</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953403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F92CF1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黑色/白色/银色等商务色系</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83D9D1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E44B32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如有特殊需求，采购人根据需要选择键盘颜色</w:t>
            </w:r>
          </w:p>
        </w:tc>
      </w:tr>
      <w:tr w14:paraId="676D1349">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3669E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CFF54E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ECAB9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DF56CA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键盘其他要求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3A120B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B6E24A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键盘外观结构、连接方式、主要功能、安全、电磁兼容性、可靠性应符合GB/T14081的相关规定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6BBBF0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3BA635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E62D08B">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CE467F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00926B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C3AFD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D38A45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★鼠标连接方式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212061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02BEEC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有线或无线</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3971F2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D1A0F7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25D0AC6">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5CD14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981009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7FA84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83D7B2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★有线鼠标连接线</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A5735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C9699B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≥1.5米</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96B888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0E3788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如有特殊需求，采购人根据需要选择连接线长度</w:t>
            </w:r>
          </w:p>
        </w:tc>
      </w:tr>
      <w:tr w14:paraId="34328E0A">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6419F9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BA02CF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41F09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3AD6A7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★鼠标DPI分辨率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1603FF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CC739C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800~1600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7D93AA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291245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如有特殊需求，采购人根据需要选择鼠标DPI分辨率。数值越高，鼠标越灵敏</w:t>
            </w:r>
          </w:p>
        </w:tc>
      </w:tr>
      <w:tr w14:paraId="623449E6">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7FB39C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5E3738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48AAF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779C1B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★鼠标颜色</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624F9B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79F1BD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黑色/银色/白色等商务色系</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DD0407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52B6BB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如有特殊需求，采购人根据需要选择鼠标颜色</w:t>
            </w:r>
          </w:p>
        </w:tc>
      </w:tr>
      <w:tr w14:paraId="35C9E4DC">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408BE7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C6EE37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B26E0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1C2F75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★鼠标其他要求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2DB138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AE506C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其它参数应符合GB/T26245的相关规定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5374DE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114A02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7EA9FBF">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F55FB7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C6EF67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2C9AB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D155E0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内置光驱</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7C2C18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3A2CF3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支持内置光驱</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1E19E2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C0DB73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支持内置光驱，更便于用户使用</w:t>
            </w:r>
          </w:p>
        </w:tc>
      </w:tr>
      <w:tr w14:paraId="0BBF2A96">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4D8416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8C6C74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4EEB65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网络设备规格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3E289E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★有线网卡数量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980507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ADD9F0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54792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37BF64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500A2A7">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78FFA8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599D5C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0BBCA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092CD3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无线网卡及天线数量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CCFC8F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AD9152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960ED3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857D37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05E3DA9">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9446F9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25B5FA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EA8CD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F2182B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单无线网卡天线数量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DC8F19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D770EC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D657B5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00C12B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采购人根据需要选择单无线网卡天线数量。天线的数量越多，速率越高，指向性越好</w:t>
            </w:r>
          </w:p>
        </w:tc>
      </w:tr>
      <w:tr w14:paraId="1D487A50">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8E6665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BC801E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028978B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外部接口规格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15DD97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★USB接口数量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96229F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28ABAB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机箱前面板应提供不少于3个USB接口（含2个USB3.0及以上接口）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25A97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机箱前面板应提供不少于3个USB接口（含2个USB3.0及以上接口）</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78FB92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USB接口的数量越多，可同时外接设备数量越多。一般USB3.0传输速度高于2.0</w:t>
            </w:r>
          </w:p>
        </w:tc>
      </w:tr>
      <w:tr w14:paraId="0496B967">
        <w:tblPrEx>
          <w:tblCellMar>
            <w:top w:w="0" w:type="dxa"/>
            <w:left w:w="108" w:type="dxa"/>
            <w:bottom w:w="0" w:type="dxa"/>
            <w:right w:w="108" w:type="dxa"/>
          </w:tblCellMar>
        </w:tblPrEx>
        <w:trPr>
          <w:trHeight w:val="15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F32FAC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4A089B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C6617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72688B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USB母座接口要求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8B349F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9CE22D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机箱前面板额外预留2个专用USB母座接口孔位和1个通用A型USB母座接口孔位，采用横向排列中心间距应不小于27mm</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487A13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2ED26A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42125D6">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E8A143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B74933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829BA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208F6B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★视频接口数量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D669DF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62777C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AB19EE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A215C9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0E5E0F5">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BD6046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69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76344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1EFF7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084A5C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★音频接口数量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77B203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F402AC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1A348FF">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8DEA1E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E779D94">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CCB9B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84D012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EB9C6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06986B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存储卡接口数量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A70E23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0CD1C5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2CBA8F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E7DBE8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采购人根据需要选择存储卡接口类型及数量</w:t>
            </w:r>
          </w:p>
        </w:tc>
      </w:tr>
      <w:tr w14:paraId="6B53FB29">
        <w:tblPrEx>
          <w:tblCellMar>
            <w:top w:w="0" w:type="dxa"/>
            <w:left w:w="108" w:type="dxa"/>
            <w:bottom w:w="0" w:type="dxa"/>
            <w:right w:w="108" w:type="dxa"/>
          </w:tblCellMar>
        </w:tblPrEx>
        <w:trPr>
          <w:trHeight w:val="27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FA19DD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F12955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850479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整机基础规格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521128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★整机外观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9FCC4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F96017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a)产品表面不应有凹痕、划伤、裂缝、变形和污染等。表面涂层均匀，不应起泡、龟裂、脱落和磨损，金属零部件无锈蚀及其它机械损伤；b)产品表面说明功能的文字、符号、标志，应清晰、端正、牢固</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6F918B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AF4EA2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47710B5">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D24878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F57A1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3F6FE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AB057B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★状态指示灯</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AD9E66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E4DE0F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在产品显著位置提供状态指示功能，如运行状态，并由供应商提供详细参数</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A50B14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C771F5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通过指示灯可查看机器运行状态或存储状态</w:t>
            </w:r>
          </w:p>
        </w:tc>
      </w:tr>
      <w:tr w14:paraId="19EABEF1">
        <w:tblPrEx>
          <w:tblCellMar>
            <w:top w:w="0" w:type="dxa"/>
            <w:left w:w="108" w:type="dxa"/>
            <w:bottom w:w="0" w:type="dxa"/>
            <w:right w:w="108" w:type="dxa"/>
          </w:tblCellMar>
        </w:tblPrEx>
        <w:trPr>
          <w:trHeight w:val="3557"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BA237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60CF4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4E5F6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6F7213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★整机结构</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B1F7E3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6B6DEC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C61E9A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CC46D9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B6112CA">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6CD57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EC100F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49723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9CE843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★机箱防护要求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7BDEA6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E735E6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机箱应符合GB/T4208中IP20防护要求</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4C010B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60C50F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5EADE52">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8E1239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F05AC1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49C06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883F2C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★整机噪音</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CFAF6A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3BF5A4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产品工作在空闲状态下，产品的声功率级应不超过4.5Bel</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8E66EA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31BA88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C15D490">
        <w:tblPrEx>
          <w:tblCellMar>
            <w:top w:w="0" w:type="dxa"/>
            <w:left w:w="108" w:type="dxa"/>
            <w:bottom w:w="0" w:type="dxa"/>
            <w:right w:w="108" w:type="dxa"/>
          </w:tblCellMar>
        </w:tblPrEx>
        <w:trPr>
          <w:trHeight w:val="36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A95921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AAD9F4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37B1C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750C3C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★整机散热</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646BAF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97ED0C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9F2163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36C205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671D849">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60460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785988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F3DDC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6B8FE4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★整机能效限定值</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077B74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3AC405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产品能效限定值应达到GB28380-2012标准中能效等级2级及以上</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6FED60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1BDEBC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能效值越低消耗电能越少（1级低于2级，2级低于3级）</w:t>
            </w:r>
          </w:p>
        </w:tc>
      </w:tr>
      <w:tr w14:paraId="00F89199">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BEAB7B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B43146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FCC5F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A25BC7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★机身材质</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921BC7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5E3BCD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塑料/金属等</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B48E12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1C5156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采购人根据需要选择机身材质</w:t>
            </w:r>
          </w:p>
        </w:tc>
      </w:tr>
      <w:tr w14:paraId="1F86DDDA">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916A66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9ECE20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AF187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87C89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★机身颜色</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7AE3C8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4E576C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灰色/黑色等商务色系</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1B5F21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4E2721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采购人根据需要选择机身颜色</w:t>
            </w:r>
          </w:p>
        </w:tc>
      </w:tr>
      <w:tr w14:paraId="6D575D8D">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A480F5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6D95AC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5B0C8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876843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★机箱尺寸容量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BED545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FDA7F3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机箱体积应不大于30L</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AA0495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机箱体积应不大于10L</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3FA58C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整机尺寸与采购人办公位置的布局有关，采购人依照办公位置的布局选择合适的机箱尺寸</w:t>
            </w:r>
          </w:p>
        </w:tc>
      </w:tr>
      <w:tr w14:paraId="32DBA9AF">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2C3D5B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1B28A7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4301038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D5497A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★CPU物理核数</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25F6FB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E92A79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616F57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B51462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核数越多，多任务并行执行能力越强</w:t>
            </w:r>
          </w:p>
        </w:tc>
      </w:tr>
      <w:tr w14:paraId="5F9FB9A6">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205EBD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921F8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3B068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94DC34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★CPU主频</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F07723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27B98F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≥1.8GHz</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5F926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≥2.0GHz</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2431D8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同类型CPU主频越高性能越强</w:t>
            </w:r>
          </w:p>
        </w:tc>
      </w:tr>
      <w:tr w14:paraId="2B7B16CE">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3811B1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B19EAB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94B0D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CB783A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★CPU末级缓存容量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24FE99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F74C82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≥2MB</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2F326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r>
              <w:rPr>
                <w:rFonts w:ascii="宋体" w:hAnsi="宋体" w:cs="宋体"/>
                <w:color w:val="auto"/>
                <w:kern w:val="0"/>
                <w:sz w:val="18"/>
                <w:szCs w:val="18"/>
                <w:highlight w:val="none"/>
                <w:lang w:bidi="ar"/>
              </w:rPr>
              <w:t>4</w:t>
            </w:r>
            <w:r>
              <w:rPr>
                <w:rFonts w:hint="eastAsia" w:ascii="宋体" w:hAnsi="宋体" w:cs="宋体"/>
                <w:color w:val="auto"/>
                <w:kern w:val="0"/>
                <w:sz w:val="18"/>
                <w:szCs w:val="18"/>
                <w:highlight w:val="none"/>
                <w:lang w:bidi="ar"/>
              </w:rPr>
              <w:t>MB</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6DDE1C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缓存（cache）容量越大，缓存命中的概率越大。缓存命中率跟容量、指令流水等正向相关，通常情况下缓存容量越大性能越好</w:t>
            </w:r>
          </w:p>
        </w:tc>
      </w:tr>
      <w:tr w14:paraId="50865ADE">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E6F7D7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42B121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3E9CB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0BEDA3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★CPU支持的内存最高速率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77D18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437502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≥2666MT/s</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4617F2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≥5500MT/s</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79C706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速率越高数据传输率越高</w:t>
            </w:r>
          </w:p>
        </w:tc>
      </w:tr>
      <w:tr w14:paraId="20F637EE">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3943ED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A8BF63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2ADB2F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0B5F2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★内存读写速率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B40A21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CB4C84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≥2666MT/s</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3CD8BF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≥5500MT/s</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00216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速率越高数据传输率越高</w:t>
            </w:r>
          </w:p>
        </w:tc>
      </w:tr>
      <w:tr w14:paraId="727190DF">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93ABFF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446EE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A93BC4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1D6260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★显示分辨率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89D971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D17B37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≥1920x1080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0648E6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8DF049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分辨率越高，表示显卡性能越高</w:t>
            </w:r>
          </w:p>
        </w:tc>
      </w:tr>
      <w:tr w14:paraId="6C41BEEA">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3297FC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D77378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BDFB1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20457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★显卡显示芯片核心频率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39D2E2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D53DCE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≥300MHz</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ACA9DC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E3A769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相同显示核心下，工作频率越高，性能越高</w:t>
            </w:r>
          </w:p>
        </w:tc>
      </w:tr>
      <w:tr w14:paraId="329E8D97">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B001B7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3A508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AFC18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31E546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★显存等效频率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CD628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08A844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≥1000MT/s</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87AF96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F349BA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相同显示核心下，显存频率越高，性能越高，但是功耗也会越高</w:t>
            </w:r>
          </w:p>
        </w:tc>
      </w:tr>
      <w:tr w14:paraId="613C9A3B">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67FE15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A489C6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3AFC9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8CF0FB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★显卡可支持多屏同时显示数量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2CB0BD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81F538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显卡应支持2块屏幕同时显示，分辨率应不低于1920×1080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756315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3F9520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支持的屏幕数量越多，每个屏幕的分辨率越高，表明显卡功能越强</w:t>
            </w:r>
          </w:p>
        </w:tc>
      </w:tr>
      <w:tr w14:paraId="66DC832A">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B60C74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D41CAD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0C58682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网络设备性能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AEA7A6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★有线网卡速率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CF90B6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BEFD2F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最高速率应不低于1000Mbps，应支持10Mbps、100Mbps、1000Mbps速率自适应</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18DA31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8E7A6A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速率越高，网络传输速度越快，综合成本和接口能力，建议千兆选用电口，千兆以上选用光口</w:t>
            </w:r>
          </w:p>
        </w:tc>
      </w:tr>
      <w:tr w14:paraId="0A037FAC">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8F238B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FBB586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A2D69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6ECC4A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支持无线网络通信技术协议</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3F2B59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4EF404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支持WAPI或WiFi5.0及以上协议</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6B892D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9CB0EE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采购人根据需要选择支持无线网络通信技术协议。理论协议速率越高越好</w:t>
            </w:r>
          </w:p>
        </w:tc>
      </w:tr>
      <w:tr w14:paraId="28E76ACA">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C55658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A0EBEC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C56A8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FC2A44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无线网卡频宽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115B60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F30869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≥20MHz</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2F3363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801526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采购人根据需要选择无线网卡频宽。支持的最大频宽越大越好</w:t>
            </w:r>
          </w:p>
        </w:tc>
      </w:tr>
      <w:tr w14:paraId="2C205B3F">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08414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D880CC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02C9362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2E3697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★内存扩展接口(板载内存</w:t>
            </w:r>
            <w:r>
              <w:rPr>
                <w:rFonts w:hint="eastAsia" w:ascii="宋体" w:hAnsi="宋体" w:cs="宋体"/>
                <w:color w:val="auto"/>
                <w:kern w:val="0"/>
                <w:sz w:val="18"/>
                <w:szCs w:val="18"/>
                <w:highlight w:val="none"/>
                <w:lang w:eastAsia="zh-CN" w:bidi="ar"/>
              </w:rPr>
              <w:t>不做要求</w:t>
            </w:r>
            <w:r>
              <w:rPr>
                <w:rFonts w:hint="eastAsia" w:ascii="宋体" w:hAnsi="宋体" w:cs="宋体"/>
                <w:color w:val="auto"/>
                <w:kern w:val="0"/>
                <w:sz w:val="18"/>
                <w:szCs w:val="18"/>
                <w:highlight w:val="none"/>
                <w:lang w:bidi="ar"/>
              </w:rPr>
              <w:t>)</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AF0CB7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465050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≥2个</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6018877">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2BDC5C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采购人根据需要提出更高要求</w:t>
            </w:r>
          </w:p>
        </w:tc>
      </w:tr>
      <w:tr w14:paraId="49E77707">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FB7E3F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CE2CDC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32B3F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165FCF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存储扩展接口(板载存储</w:t>
            </w:r>
            <w:r>
              <w:rPr>
                <w:rFonts w:hint="eastAsia" w:ascii="宋体" w:hAnsi="宋体" w:cs="宋体"/>
                <w:color w:val="auto"/>
                <w:kern w:val="0"/>
                <w:sz w:val="18"/>
                <w:szCs w:val="18"/>
                <w:highlight w:val="none"/>
                <w:lang w:eastAsia="zh-CN" w:bidi="ar"/>
              </w:rPr>
              <w:t>不做要求</w:t>
            </w:r>
            <w:r>
              <w:rPr>
                <w:rFonts w:hint="eastAsia" w:ascii="宋体" w:hAnsi="宋体" w:cs="宋体"/>
                <w:color w:val="auto"/>
                <w:kern w:val="0"/>
                <w:sz w:val="18"/>
                <w:szCs w:val="18"/>
                <w:highlight w:val="none"/>
                <w:lang w:bidi="ar"/>
              </w:rPr>
              <w:t>)</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9E214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86D977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供应商给出主板支持存储扩展接口类型，如UFS3.0、SATA3.0、SAS3.0、M.2等类型接口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C1A36D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931FF0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6FC09EC">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54CB8E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354510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ED722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686316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★主板USB瞬间过流保护</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ED79FF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BE7AE1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支持有瞬间过流保护功能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8BF0BE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1E2EE8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该功能为整机应对USB外设损坏情况下的保护机制</w:t>
            </w:r>
          </w:p>
        </w:tc>
      </w:tr>
      <w:tr w14:paraId="129DC2BF">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2AAE65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C688FA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E686A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51B5AE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★主板防静电保护</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410D7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7E27D8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支持防静电保护功能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01DBC3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54E642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14C782C">
        <w:tblPrEx>
          <w:tblCellMar>
            <w:top w:w="0" w:type="dxa"/>
            <w:left w:w="108" w:type="dxa"/>
            <w:bottom w:w="0" w:type="dxa"/>
            <w:right w:w="108" w:type="dxa"/>
          </w:tblCellMar>
        </w:tblPrEx>
        <w:trPr>
          <w:trHeight w:val="38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6B0C49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7407A8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8A9C3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EC13D7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★I/O接口功能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1ACFA0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EB55FC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DD0F78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B31E16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24739D1">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E26997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73566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6136F5D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EFF005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★显卡外接显示接口</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3A7FE4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B77BF1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显卡至少支持VGA、HDMI、DVI、DP、Type-C中1种显示接口，并与显示器接口相匹配</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7C1ED1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CDEE48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FAC2850">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A8680F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4E963B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44F79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E8134D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独立显卡数量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F6D120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89B2AE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≥0</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0107B4F">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08BDA7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EC30C8D">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25AACE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DE96BB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AA5184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外设功能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B1441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摄像头物理隐私保护开关</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7FBFCD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C83F2E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支持物理隐私保护开关</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7D1F68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02FDB1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该功能可防止隐私泄露</w:t>
            </w:r>
          </w:p>
        </w:tc>
      </w:tr>
      <w:tr w14:paraId="0212CCAF">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4D30C3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E3AA94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06250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9D359D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传声器降噪</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91BDD0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6707A1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支持降噪功能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4C4A68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A3C8C8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该功能可以提升通话质量</w:t>
            </w:r>
          </w:p>
        </w:tc>
      </w:tr>
      <w:tr w14:paraId="51F10C06">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987D9B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AB4ABE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A9639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90C139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键盘背光</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7C9BE9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4EDCE4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支持键盘背光</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B70CC9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DD185D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8D91825">
        <w:tblPrEx>
          <w:tblCellMar>
            <w:top w:w="0" w:type="dxa"/>
            <w:left w:w="108" w:type="dxa"/>
            <w:bottom w:w="0" w:type="dxa"/>
            <w:right w:w="108" w:type="dxa"/>
          </w:tblCellMar>
        </w:tblPrEx>
        <w:trPr>
          <w:trHeight w:val="33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C4DFF5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1E86FC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7443A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1AB1B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光驱功能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7ABE5D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9920F2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光驱应支持只读、刻录等类型；最大读取速度CD不低于24×150KB/s；最大读取速度DVD不低于8×358KB/s；最大刻录速度CD不低于24×150KB/s；最大刻录速度DVD不低于6×1358KB/s；兼容光盘类型包含只读光盘、可读写光盘、可擦写光盘等</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90481F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2EB8A9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7102896">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1D3E18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C024A0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312022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6BF93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★存储功能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5357BA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2057A4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通过SATA固态存储/PCIe固态存储/UFS固态存储/SATA硬磁盘等存储部件提供存储功能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A2B773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FA8E96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77FEB8D">
        <w:tblPrEx>
          <w:tblCellMar>
            <w:top w:w="0" w:type="dxa"/>
            <w:left w:w="108" w:type="dxa"/>
            <w:bottom w:w="0" w:type="dxa"/>
            <w:right w:w="108" w:type="dxa"/>
          </w:tblCellMar>
        </w:tblPrEx>
        <w:trPr>
          <w:trHeight w:val="29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380D6B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EE7B1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D3B4BA">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226347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内置控制器固态存储加密</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3FB724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C46CC9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态存储通过内置控制器硬件支持加密，不依赖处理器，保障数据安全性，但不得影响存储性能。a)支持加密功能，且加密功能开启不影响SSD读写性能；b)支持固件加密、安全启动和安全升级；c)支持数据的安全擦除</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3F25AD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AE8F1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采购人根据需要增减相应要求</w:t>
            </w:r>
          </w:p>
        </w:tc>
      </w:tr>
      <w:tr w14:paraId="1C5A2DD2">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E71F5A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AE3CD1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4232C6E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网络设备功能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674D3D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★网络功能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2A4EC1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07330E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a)支持网络连接、网络开启/关闭功能；b)支持访问网络和数据交换功能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AA7A3F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0F129D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9A9288E">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B942B3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119</w:t>
            </w:r>
          </w:p>
        </w:tc>
        <w:tc>
          <w:tcPr>
            <w:tcW w:w="627" w:type="dxa"/>
            <w:tcBorders>
              <w:top w:val="single" w:color="000000" w:sz="4" w:space="0"/>
              <w:left w:val="single" w:color="000000" w:sz="4" w:space="0"/>
              <w:bottom w:val="single" w:color="000000" w:sz="4" w:space="0"/>
              <w:right w:val="single" w:color="000000" w:sz="4" w:space="0"/>
            </w:tcBorders>
            <w:noWrap w:val="0"/>
            <w:vAlign w:val="top"/>
          </w:tcPr>
          <w:p w14:paraId="677261DE">
            <w:pPr>
              <w:jc w:val="center"/>
              <w:rPr>
                <w:rFonts w:hint="eastAsia" w:ascii="宋体" w:hAnsi="宋体" w:cs="宋体"/>
                <w:color w:val="auto"/>
                <w:sz w:val="22"/>
                <w:szCs w:val="22"/>
                <w:highlight w:val="none"/>
              </w:rPr>
            </w:pP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3563D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5104BA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无线网卡频段</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632D5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AF3863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支持双频段</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956E72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CBEE09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一般无线网卡双频段为2.4GHz、5GHz</w:t>
            </w:r>
          </w:p>
        </w:tc>
      </w:tr>
      <w:tr w14:paraId="6DCEFAE1">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BFB9AF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4F28C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6CF07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9ACBEC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物理开关</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3C80D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360C2A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支持网络设备物理开关</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8A6A54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970770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6D731C7">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269993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269C77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0F47F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638EBE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★数据传输</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E43FA3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5FD21A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支持数据传输能力，并提供数据流量和异常日志记录功能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DA474F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6AC29F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1AD450A">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981F48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1ABFB4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8BC97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864A73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蓝牙协议</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9722DD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14C43C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若支持蓝牙模块，蓝牙协议不低于5.0版本</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D1447F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263650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支持的蓝牙标准越高越好</w:t>
            </w:r>
          </w:p>
        </w:tc>
      </w:tr>
      <w:tr w14:paraId="2EF16DC6">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934049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C2418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09D97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A9D18A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★有线网卡接口类型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AC1BC9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EA2AC5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支持RJ45接口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0B24AB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73C6E5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如有特殊需求，采购人根据需要选择有线网卡接口类型</w:t>
            </w:r>
          </w:p>
        </w:tc>
      </w:tr>
      <w:tr w14:paraId="0EF8D551">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52E7E1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CFC336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BE681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1FF9A5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无线网卡标准</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2E0ED0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B6A2E0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若配备无线网卡，产品应符合GB15629.11所有部分</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FD643D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10496B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FBB1BCD">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05191A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FBCD1D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2E340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60C27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★网络设备拆装</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5489C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18E559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网络设备支持物理拆装，包括无线网卡和蓝牙模块等</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A6CBF0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2A4B26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7EE063F">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FF2C65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E30E41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FC895B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外部接口功能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906FEA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★音频接口类型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20A075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04CC15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支持3.5mm孔径3段式或4段式接口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1BEF5F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19B4D5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4段式支持麦克风和左右声道，3段式仅支持左右声道</w:t>
            </w:r>
          </w:p>
        </w:tc>
      </w:tr>
      <w:tr w14:paraId="11141423">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F2260C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089A8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A06B7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8C30D8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★视频接口类型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12EFB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DE27B0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至少支持VGA、HDMI、DVI、DP、Type-C中1种显示接口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6F683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至少支持VGA、HDMI、DVI、DP、Type-C中1种显示接口</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30915E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采购人根据需要选择视频接口；相同视频接口，支持的版本越高，支持的分辨率越高</w:t>
            </w:r>
          </w:p>
        </w:tc>
      </w:tr>
      <w:tr w14:paraId="0044F7C6">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F007D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91443D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18283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DA5EBF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★HDMI、DP、Type-C显示接口要求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E91630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2FDB54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若提供HDMI或DP或Type-C作为显示接口，应支持音频和视频同步输出</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F8F602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1B4EE4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EFCA615">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10D0BA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129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B0E2CE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BE54B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B96136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其他接口</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C4262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61F3C6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a)支持串行接口，可实现GB/T6107的功能；b)支持并行接口，可实现GB/T18235.1的功能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F289E0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A2E808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如有特殊需求，采购人根据需要选择支持的接口，如PS/2接口等</w:t>
            </w:r>
          </w:p>
        </w:tc>
      </w:tr>
      <w:tr w14:paraId="05C28982">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98638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B77AFD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CED6C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C3D20F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存储卡接口类型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39402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01A3F0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支持SD、TF等存储卡接口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FABC847">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AEE165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如有特殊需求，采购人根据需要选择存储卡接口类型</w:t>
            </w:r>
          </w:p>
        </w:tc>
      </w:tr>
      <w:tr w14:paraId="7490A6A1">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D9C383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B0C251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50A45A2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0E3622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★电源线适配能力</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8F900B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C28205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电源适配器电线组件应符合GB/T15934的要求，可拆线的插头和连接器可以不做要求</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716C8D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A7971B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电源线适配能力越强越好</w:t>
            </w:r>
          </w:p>
        </w:tc>
      </w:tr>
      <w:tr w14:paraId="16944CEA">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D994DC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3CDFE3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1905A70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操作系统及软件功能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7CDAB7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★中文信息处理要求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5D2BD6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6C0156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符合GB18030的相关规定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A7D3B7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546E15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2B6B962">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853111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F25D6B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DC74F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8CA86E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★操作系统备份及还原功能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03B67E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5E159A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支持操作系统备份及还原功能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B4E2B6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0C9793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当操作系统分区损坏的情况下，支持操作系统还原到出厂状态</w:t>
            </w:r>
          </w:p>
        </w:tc>
      </w:tr>
      <w:tr w14:paraId="34B45058">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D8284F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D2512E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1EB8F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411612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★固件备份还原能力</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52710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454B6B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支持备份及还原固件的功能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604F1B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8537D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AC67D83">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550D9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CAFFFB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17921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5CD0B5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★操作系统及驱动升级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75B3CA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981E75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支持通过网络、闪存盘等方式对操作系统、驱动进行升级</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6F8F29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3D4BA7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支持在线升级能力可以提升服务效率</w:t>
            </w:r>
          </w:p>
        </w:tc>
      </w:tr>
      <w:tr w14:paraId="56FD1141">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24972B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82F69B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D2CF7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DEE1C3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★固件升级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39080F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D0FC12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支持通过网络、闪存盘等方式对固件进行升级</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D39D29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28AD85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6B69E32">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173B94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5895EA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337F2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9627F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★BIOS支持关闭通讯接口</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A7C77F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C8BEC8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支持BIOS关闭以太网及USB接口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982FBD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BA14FF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68EDD2E">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C71620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9446C4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5722E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015841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★固件查看信息</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52943D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B84035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支持查看固件版本、内存信息、主板信息、处理器信息和系统时间信息等功能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83F8AD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AA2DA0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EBB3FA2">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D53FA9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139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061F8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8EAA6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3FAD4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★固件设置启动顺序</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BB4F8D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9427F8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支持设置启动顺序功能，并按照设置的启动顺序启动</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D020B8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28F50F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E7DFE64">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81F5A7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3B02C6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55EDC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455F2C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★固件设置口令</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673670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E8B07C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支持设置口令、修改口令、验证口令功能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49BDBE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B42F5C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FE29E1A">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B87E3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2FF3FD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4A46D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340C17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★固件设置网络引导</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1D3539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F9CEED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支持网络引导启动和关闭功能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1879D8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3223D7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F83C4B1">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F30CC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8818A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3FDB430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生物识别功能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7AFC8C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指纹识别</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063E45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1D9051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指纹识别功能符合GB/T37742的相关规定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011A80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4FA9D6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指纹识别具有安全、便捷等特征，依照采购人的实际场景选择</w:t>
            </w:r>
          </w:p>
        </w:tc>
      </w:tr>
      <w:tr w14:paraId="6D60EEE6">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F28E3D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EDCA7C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3F3D6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EC997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人脸识别</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059481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A47E2D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人脸识别功能符合GB/T37036.3的相关规定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104D2B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C6FC04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人脸识别具有安全、便捷等特征，依照采购人的实际场景选择</w:t>
            </w:r>
          </w:p>
        </w:tc>
      </w:tr>
      <w:tr w14:paraId="21291A74">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A79EB5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307716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F9958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50A057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静脉识别</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85BED3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D018D5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指静脉识别功能符合GB/T33135的相关规定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A8F339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209878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指静脉识别具有安全、便捷等特征，依照采购人的实际场景选择</w:t>
            </w:r>
          </w:p>
        </w:tc>
      </w:tr>
      <w:tr w14:paraId="0FD40F55">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E55558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603B00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AEF1DB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硬件加速功能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08E822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NPU/GPU等AI加速模块</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A04282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42B1C4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支持NPU/GPU等AI加速模块</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695996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7BF44F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1113A40">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61552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C05F88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F1615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EC0255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视频编解码加速模块</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EDB6B8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8E8F77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支持视频编解码加速模块</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FF2331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130A9D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支持此模块可以降低高清视频播放的功耗，占用更少的CPU资源</w:t>
            </w:r>
          </w:p>
        </w:tc>
      </w:tr>
      <w:tr w14:paraId="1FFEC6C7">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185154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3712AC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6C464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3C5C0D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影像处理加速模块</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D1D575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B67BAC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支持影像处理加速模块</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B9933B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F867B6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支持此模块可以提高高清影像数据处理速度</w:t>
            </w:r>
          </w:p>
        </w:tc>
      </w:tr>
      <w:tr w14:paraId="044C85D8">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600AA9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CD6AB9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3C46944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存储设备可靠性</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FF6984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★固态存储寿命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F4CF48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FEF93E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TBW≥80TB（条件：240GB硬盘容量）</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56BEA6F">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957B27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TBW越大，固态存储的使用寿命越长</w:t>
            </w:r>
          </w:p>
        </w:tc>
      </w:tr>
      <w:tr w14:paraId="6AB8C5A6">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B311C2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149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54BAE0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AF16D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181C7E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★机械硬盘寿命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DE5AA5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E503FE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通电时间≥5万小时</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3674647">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C79607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寿命越长越好</w:t>
            </w:r>
          </w:p>
        </w:tc>
      </w:tr>
      <w:tr w14:paraId="6DF1A56F">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C04B4E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2BF24F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F72F71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外设可靠性</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9497D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★键盘按键寿命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33E914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780B3C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≥1000万次</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D7AEE1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0791BE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键盘按键寿命越大越耐用</w:t>
            </w:r>
          </w:p>
        </w:tc>
      </w:tr>
      <w:tr w14:paraId="7A790B3D">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9C6F4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9B1CBC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81CA0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6088B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★鼠标按键寿命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FE3A35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BA1543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≥500万次</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FCCD99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8CD167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鼠标按键寿命越大越耐用</w:t>
            </w:r>
          </w:p>
        </w:tc>
      </w:tr>
      <w:tr w14:paraId="3BC7B7CC">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107FFD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E826EA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00B3F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6D907C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★键盘鼠标线材寿命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DF896E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8766B6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键盘鼠标所用线材经±60°弯折不低于3000次，功能、外观完好</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A5B569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2E8752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可承受弯折次数越高越耐用</w:t>
            </w:r>
          </w:p>
        </w:tc>
      </w:tr>
      <w:tr w14:paraId="744C491F">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9E5277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6FB4C8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0F4ED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D0E41E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★风扇寿命</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53E277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57B093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≥4万小时</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8A7B8E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3D4AA6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寿命越长越耐用</w:t>
            </w:r>
          </w:p>
        </w:tc>
      </w:tr>
      <w:tr w14:paraId="5B9305BD">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79D933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1EEA5C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083EBD8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整机可靠性要求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ADD361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★电磁兼容性要求的抗扰度</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5F83FB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C20102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符合GB/T9254.2的规定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D65548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F53F1E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514777F">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4F996A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5F3117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368A2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0D7300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★环境条件要求的气候环境适应性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99788E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0D3907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符合GB/T9813.1中规定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630991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2B6FF9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ED06B97">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4CB03A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B53FCC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64E75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B8F52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★环境条件要求的振动适应性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3DEAD5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8ED456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符合GB/T9813.1中规定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A51DA2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8BBB3D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02B09FA">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FD4AA6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F8B5EC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020FF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695BDE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★环境条件要求的冲击适应性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E3454D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317399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符合GB/T9813.1中规定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F9B494F">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2F7AEC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CFB1742">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0BBF92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9905BF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A9002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1EA189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★环境条件要求的碰撞适应性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B89A40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C40A86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符合GB/T9813.1中规定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F14147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1FDB1A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7EFD8ED">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7836FF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A8C308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CB6FE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DF14CC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★环境条件要求的运输包装件跌落适应性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C8DA09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33A46F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符合GB/T9813.1中规定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2B4D38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EC850F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336D325">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349FFF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A1F390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7A0B8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716AF7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★MTBF测试</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370E8D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8F984D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MTBF(m1)≥3万小时</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4026C9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E2BBAB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如有特殊需求，采购人根据需要提出更高要求。MTBF时间越长，产品的可靠性越好</w:t>
            </w:r>
          </w:p>
        </w:tc>
      </w:tr>
      <w:tr w14:paraId="391534D7">
        <w:tblPrEx>
          <w:tblCellMar>
            <w:top w:w="0" w:type="dxa"/>
            <w:left w:w="108" w:type="dxa"/>
            <w:bottom w:w="0" w:type="dxa"/>
            <w:right w:w="108" w:type="dxa"/>
          </w:tblCellMar>
        </w:tblPrEx>
        <w:trPr>
          <w:trHeight w:val="13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B57070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FBFF3D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4EC6292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ED434E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★常用软件兼容</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F18A81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310499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支持流式软件、版式软件、浏览器、邮件采购人端、解压软件、多媒体、图形图像处理等常用软件</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1ECA301">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94B452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22FBB57">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4D4FD3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DC8EC0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010B1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3B400C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★数据库兼容</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5CB188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5B9D41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兼容3个及以上厂商的数据库产品</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332C5C2">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187B56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22D00C1">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11A32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0ACE8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92ED4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711304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★中间件兼容</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792B22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646D4C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兼容3个及以上厂商中间件产品</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5ABDFB3">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0CE2C4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C835A2C">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DD5652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286ED7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D6978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9787A3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★平台软件兼容</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79F6F5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B6D21D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兼容3个及以上厂商云计算及大数据平台</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8809B0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980217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0E58482">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411FD9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CA50F6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包装及运输要求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1A7FD4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包装及运输要求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ECE48F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★标志、包装、运输和贮存</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2D33E7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EA9ED0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符合GB/T9813.1和商品包装政府采购需求标准的相关规定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EFA205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6AC3E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A6090D4">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EC3C4C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3C654A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4EEA14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EACCF6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★配置检查工具</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1ACF74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9656DD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供应商提供自检测试工具</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5CBAA3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C62ACD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方便用户进行设备检测</w:t>
            </w:r>
          </w:p>
        </w:tc>
      </w:tr>
      <w:tr w14:paraId="18E37BFC">
        <w:tblPrEx>
          <w:tblCellMar>
            <w:top w:w="0" w:type="dxa"/>
            <w:left w:w="108" w:type="dxa"/>
            <w:bottom w:w="0" w:type="dxa"/>
            <w:right w:w="108" w:type="dxa"/>
          </w:tblCellMar>
        </w:tblPrEx>
        <w:trPr>
          <w:trHeight w:val="45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B77E08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225B0A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1F80A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06515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★服务响应</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CE6F92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78DB89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7A3393B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567BF2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如有特殊需求，采购人根据需要提出更高要求</w:t>
            </w:r>
          </w:p>
        </w:tc>
      </w:tr>
      <w:tr w14:paraId="40B192AF">
        <w:tblPrEx>
          <w:tblCellMar>
            <w:top w:w="0" w:type="dxa"/>
            <w:left w:w="108" w:type="dxa"/>
            <w:bottom w:w="0" w:type="dxa"/>
            <w:right w:w="108" w:type="dxa"/>
          </w:tblCellMar>
        </w:tblPrEx>
        <w:trPr>
          <w:trHeight w:val="22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A577C2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9B01C9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7837D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4735D5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★服务周期</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0E8B9C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0ACD6E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a)设备停产后应继续提供质量保障服务（含备品备件），服务终止时间与最后一批设备交付时间间隔不低于6年；b)产品停止服务时间应提前1年告知；c)应明确产品发布日期</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25FF3C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40E1BB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如有特殊需求，采购人根据需要提出更高要求</w:t>
            </w:r>
          </w:p>
        </w:tc>
      </w:tr>
      <w:tr w14:paraId="69C81661">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DF5DE4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75EE5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8A2B4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00A65E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★预装操作系统</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750020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7FC3897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预装符合桌面操作系统政府采购需求标准的正版操作系统</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272630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B55098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预装的操作系统符合《操作系统政府采购需求标准》中加*指标要求，如有特殊需求采购人可补充相关要求</w:t>
            </w:r>
          </w:p>
        </w:tc>
      </w:tr>
      <w:tr w14:paraId="5547BA06">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4B786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BE27F6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7862A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D06D60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★培训服务</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7741DE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1EA83A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供应商提供培训材料、产品手册、培训视频等培训相关内容</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7133BC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EA18B7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67759019">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7C0559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454DC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6154F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1151B6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★典型问题解决手册</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FA26FB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292B986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供应商提供典型问题解决说明文档或视频</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2F6E8A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5BCFDF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2880F71">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0B10D17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8C3F69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D11702">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440170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★厂家升级软件与扩容服务</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93EFEB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CE7C09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供应商提供上门升级部件/软件与扩容的增值服务</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C7FABC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2B5FED9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17BE3E4">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C2A3D3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0AB6E8F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D7510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FA99D4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★整机质量服务要求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1D0065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0B8AB4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免费服务周期（含换件和维修）应不小于3年</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D0F656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0C0B43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如有特殊需求，采购人根据需要提出更高要求</w:t>
            </w:r>
          </w:p>
        </w:tc>
      </w:tr>
      <w:tr w14:paraId="1D7D4731">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BF32D5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0EBC0B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9E703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ABDF10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★合格证书要求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DBC762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330DC6E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供应商提供产品合格证</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9070A47">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8D570D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5BA5181">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4C47E1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D4C1E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81E7D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DA49CD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★开箱组装/使用指导要求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1F1C8F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4F70632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供应商提供开箱组装/使用指导</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476E2DC">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64BB39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1D249A1">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F461F4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1FD3CF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EB8E6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E037F4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★驱动下载服务要求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562ADF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CA4FB1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供应商提供驱动光盘或下载方式</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B093C9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367927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6B622E7">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A95E8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C3F109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1BC0E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35327C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★兼容适配软件下载服务要求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5585E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288CF4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供应商提供兼容适配软件下载渠道（光盘、网站）</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59472D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38D32FE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C1AFEFB">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2FF7E1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179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2B1937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服务要求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E9B54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CAA878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跨架构平台应用兼容</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583E4A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1827B9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供应商提供跨架构平台的应用兼容工具，支持一种或者一种以上不同架构平台的应用</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32E0C7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136430B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7C3F7B0E">
        <w:tblPrEx>
          <w:tblCellMar>
            <w:top w:w="0" w:type="dxa"/>
            <w:left w:w="108" w:type="dxa"/>
            <w:bottom w:w="0" w:type="dxa"/>
            <w:right w:w="108" w:type="dxa"/>
          </w:tblCellMar>
        </w:tblPrEx>
        <w:trPr>
          <w:trHeight w:val="15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4D2EF9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180</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68E1FF8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供应保障要求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7D55188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供应链合规性</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0464E6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★产品部件保障</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D0797A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DEF97F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供应商保障产品主要部件，提供6年的备件服务能力（自购买之日起），或提供可兼容原设备的升级换代产品</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582AB16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CC7955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如有特殊需求，采购人根据需要提出更高要求</w:t>
            </w:r>
          </w:p>
        </w:tc>
      </w:tr>
      <w:tr w14:paraId="3B734F24">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197949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181</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45634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供应保障要求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6D37003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供应链质量</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CC8C9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★抗干扰性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5E8C2B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D095D3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当产品部件出现供应风险时，供应商应通知采购人并提供风险应对方案确保产品的服务保障</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1DB0D9C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59CB88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2EBB312A">
        <w:tblPrEx>
          <w:tblCellMar>
            <w:top w:w="0" w:type="dxa"/>
            <w:left w:w="108" w:type="dxa"/>
            <w:bottom w:w="0" w:type="dxa"/>
            <w:right w:w="108" w:type="dxa"/>
          </w:tblCellMar>
        </w:tblPrEx>
        <w:trPr>
          <w:trHeight w:val="112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038E9C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182</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AB286C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供应保障要求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241E51">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1A3B26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★供应能力证明</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057AA1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73424F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供应商提供供应链稳定承诺书，确保产品的部件在产品服务周期内稳定供货</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33156E3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05D82B9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1C3A5E07">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6FC1D69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183</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2176549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B9EF6A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关键部件安全要求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64A250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★关键部件安全要求3</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A87AF0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5445741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CPU和操作系统等关键部件应当符合安全可靠测评要求</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6EE802E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CPU和操作系统等关键部件应当符合安全可靠测评要求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BB69C0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通过政府有关部门指定的中国信息安全测评中心和国家保密科技测评中心网站查看安全可靠测评结果</w:t>
            </w:r>
          </w:p>
        </w:tc>
      </w:tr>
      <w:tr w14:paraId="4F8F93D0">
        <w:tblPrEx>
          <w:tblCellMar>
            <w:top w:w="0" w:type="dxa"/>
            <w:left w:w="108" w:type="dxa"/>
            <w:bottom w:w="0" w:type="dxa"/>
            <w:right w:w="108" w:type="dxa"/>
          </w:tblCellMar>
        </w:tblPrEx>
        <w:trPr>
          <w:trHeight w:val="15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29F1A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184</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10410D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50AEFD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整机安全性要求</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7A3F44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★密码算法实现</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7B7D2D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E69986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CPU芯片应符合GM/T0008的相关规定，或芯片密码模块应符合GB/T37092或GM/T0028的相关规定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CB50E2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70ADC95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通过商用密码检测机构检测并经商用密码认证机构认证合格</w:t>
            </w:r>
          </w:p>
        </w:tc>
      </w:tr>
      <w:tr w14:paraId="6E8F2AE9">
        <w:tblPrEx>
          <w:tblCellMar>
            <w:top w:w="0" w:type="dxa"/>
            <w:left w:w="108" w:type="dxa"/>
            <w:bottom w:w="0" w:type="dxa"/>
            <w:right w:w="108" w:type="dxa"/>
          </w:tblCellMar>
        </w:tblPrEx>
        <w:trPr>
          <w:trHeight w:val="675"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5D8CF24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185</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5B2B65B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FB714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243527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USB端口管控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6526F4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E8CA86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支持USB端口管控</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4CE66C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7D56A0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支持USB端口管控可以提高整机安全性，降低通过USB端口数据泄密</w:t>
            </w:r>
          </w:p>
        </w:tc>
      </w:tr>
      <w:tr w14:paraId="295C4A7A">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1460789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186</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3C0C489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1D3867">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C5368A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安全物理锁</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9477D9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894055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支持安全物理锁</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2351F0BA">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A53D54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CBE3D53">
        <w:tblPrEx>
          <w:tblCellMar>
            <w:top w:w="0" w:type="dxa"/>
            <w:left w:w="108" w:type="dxa"/>
            <w:bottom w:w="0" w:type="dxa"/>
            <w:right w:w="108" w:type="dxa"/>
          </w:tblCellMar>
        </w:tblPrEx>
        <w:trPr>
          <w:trHeight w:val="27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34C7050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187</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491E40B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A8B3E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7DEA1A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★信息安全基本要求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82DAC7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6D53100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a)产品应符合GB/T39276的5.2的规定；b)生产厂商应建立漏洞跟踪表，保证产品版本涉及到的漏洞(如驱动程序等)可查看；c)产品不得包含已知的恶意代码或漏洞，不存在未声明的指令、功能、接口</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29928D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61EA704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F9C04C9">
        <w:tblPrEx>
          <w:tblCellMar>
            <w:top w:w="0" w:type="dxa"/>
            <w:left w:w="108" w:type="dxa"/>
            <w:bottom w:w="0" w:type="dxa"/>
            <w:right w:w="108" w:type="dxa"/>
          </w:tblCellMar>
        </w:tblPrEx>
        <w:trPr>
          <w:trHeight w:val="90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70D3F96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188</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73462F3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16F1CD">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1F89EF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★固件安全启动</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8F2BE1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10F0DAB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支持固件安全启动功能，固件启动过程中只有通过启动校验才能正常启动</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4BDDB8E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45EC3CF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418559B">
        <w:tblPrEx>
          <w:tblCellMar>
            <w:top w:w="0" w:type="dxa"/>
            <w:left w:w="108" w:type="dxa"/>
            <w:bottom w:w="0" w:type="dxa"/>
            <w:right w:w="108" w:type="dxa"/>
          </w:tblCellMar>
        </w:tblPrEx>
        <w:trPr>
          <w:trHeight w:val="450" w:hRule="atLeast"/>
        </w:trPr>
        <w:tc>
          <w:tcPr>
            <w:tcW w:w="508" w:type="dxa"/>
            <w:tcBorders>
              <w:top w:val="single" w:color="000000" w:sz="4" w:space="0"/>
              <w:left w:val="single" w:color="000000" w:sz="4" w:space="0"/>
              <w:bottom w:val="single" w:color="000000" w:sz="4" w:space="0"/>
              <w:right w:val="single" w:color="000000" w:sz="4" w:space="0"/>
            </w:tcBorders>
            <w:noWrap w:val="0"/>
            <w:vAlign w:val="center"/>
          </w:tcPr>
          <w:p w14:paraId="23AE299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189</w:t>
            </w:r>
          </w:p>
        </w:tc>
        <w:tc>
          <w:tcPr>
            <w:tcW w:w="627" w:type="dxa"/>
            <w:tcBorders>
              <w:top w:val="single" w:color="000000" w:sz="4" w:space="0"/>
              <w:left w:val="single" w:color="000000" w:sz="4" w:space="0"/>
              <w:bottom w:val="single" w:color="000000" w:sz="4" w:space="0"/>
              <w:right w:val="single" w:color="000000" w:sz="4" w:space="0"/>
            </w:tcBorders>
            <w:noWrap w:val="0"/>
            <w:vAlign w:val="center"/>
          </w:tcPr>
          <w:p w14:paraId="139020C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安全要求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F8ED5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878866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★限用物质的限量要求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D43A51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388" w:type="dxa"/>
            <w:tcBorders>
              <w:top w:val="single" w:color="000000" w:sz="4" w:space="0"/>
              <w:left w:val="single" w:color="000000" w:sz="4" w:space="0"/>
              <w:bottom w:val="single" w:color="000000" w:sz="4" w:space="0"/>
              <w:right w:val="single" w:color="000000" w:sz="4" w:space="0"/>
            </w:tcBorders>
            <w:noWrap w:val="0"/>
            <w:vAlign w:val="center"/>
          </w:tcPr>
          <w:p w14:paraId="0CDD000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符合GB/T26572中规定</w:t>
            </w:r>
          </w:p>
        </w:tc>
        <w:tc>
          <w:tcPr>
            <w:tcW w:w="1208" w:type="dxa"/>
            <w:tcBorders>
              <w:top w:val="single" w:color="000000" w:sz="4" w:space="0"/>
              <w:left w:val="single" w:color="000000" w:sz="4" w:space="0"/>
              <w:bottom w:val="single" w:color="000000" w:sz="4" w:space="0"/>
              <w:right w:val="single" w:color="000000" w:sz="4" w:space="0"/>
            </w:tcBorders>
            <w:noWrap w:val="0"/>
            <w:vAlign w:val="center"/>
          </w:tcPr>
          <w:p w14:paraId="0B2E1EB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312" w:type="dxa"/>
            <w:tcBorders>
              <w:top w:val="single" w:color="000000" w:sz="4" w:space="0"/>
              <w:left w:val="single" w:color="000000" w:sz="4" w:space="0"/>
              <w:bottom w:val="single" w:color="000000" w:sz="4" w:space="0"/>
              <w:right w:val="single" w:color="000000" w:sz="4" w:space="0"/>
            </w:tcBorders>
            <w:noWrap w:val="0"/>
            <w:vAlign w:val="center"/>
          </w:tcPr>
          <w:p w14:paraId="5CA96DF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bl>
    <w:p w14:paraId="5659A9C9">
      <w:pPr>
        <w:spacing w:line="360" w:lineRule="auto"/>
        <w:rPr>
          <w:rFonts w:hint="eastAsia" w:ascii="宋体" w:hAnsi="宋体"/>
          <w:b/>
          <w:bCs/>
          <w:color w:val="auto"/>
          <w:sz w:val="24"/>
          <w:highlight w:val="none"/>
        </w:rPr>
      </w:pPr>
      <w:r>
        <w:rPr>
          <w:rFonts w:hint="eastAsia" w:ascii="宋体" w:hAnsi="宋体"/>
          <w:color w:val="auto"/>
          <w:sz w:val="24"/>
          <w:highlight w:val="none"/>
        </w:rPr>
        <w:br w:type="page"/>
      </w:r>
      <w:r>
        <w:rPr>
          <w:rFonts w:hint="eastAsia" w:ascii="宋体" w:hAnsi="宋体"/>
          <w:b/>
          <w:bCs/>
          <w:color w:val="auto"/>
          <w:sz w:val="24"/>
          <w:highlight w:val="none"/>
        </w:rPr>
        <w:t>2.显示器</w:t>
      </w:r>
    </w:p>
    <w:tbl>
      <w:tblPr>
        <w:tblStyle w:val="12"/>
        <w:tblW w:w="8216" w:type="dxa"/>
        <w:tblInd w:w="93" w:type="dxa"/>
        <w:tblLayout w:type="fixed"/>
        <w:tblCellMar>
          <w:top w:w="0" w:type="dxa"/>
          <w:left w:w="108" w:type="dxa"/>
          <w:bottom w:w="0" w:type="dxa"/>
          <w:right w:w="108" w:type="dxa"/>
        </w:tblCellMar>
      </w:tblPr>
      <w:tblGrid>
        <w:gridCol w:w="529"/>
        <w:gridCol w:w="606"/>
        <w:gridCol w:w="678"/>
        <w:gridCol w:w="838"/>
        <w:gridCol w:w="646"/>
        <w:gridCol w:w="2177"/>
        <w:gridCol w:w="1113"/>
        <w:gridCol w:w="1629"/>
      </w:tblGrid>
      <w:tr w14:paraId="660FF807">
        <w:tblPrEx>
          <w:tblCellMar>
            <w:top w:w="0" w:type="dxa"/>
            <w:left w:w="108" w:type="dxa"/>
            <w:bottom w:w="0" w:type="dxa"/>
            <w:right w:w="108" w:type="dxa"/>
          </w:tblCellMar>
        </w:tblPrEx>
        <w:trPr>
          <w:trHeight w:val="112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3C0C8CF3">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序号</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30384794">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指标分类</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64BB2019">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一级指标</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583B813">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二级指标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DECA918">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是否可以作为评分因素</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2E2B5C6A">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指标要求</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BB39ECE">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采购人技术要求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1564E376">
            <w:pPr>
              <w:widowControl/>
              <w:jc w:val="center"/>
              <w:textAlignment w:val="center"/>
              <w:rPr>
                <w:rFonts w:hint="eastAsia" w:ascii="宋体" w:hAnsi="宋体" w:cs="宋体"/>
                <w:b/>
                <w:bCs/>
                <w:color w:val="auto"/>
                <w:sz w:val="18"/>
                <w:szCs w:val="18"/>
                <w:highlight w:val="none"/>
              </w:rPr>
            </w:pPr>
            <w:r>
              <w:rPr>
                <w:rFonts w:hint="eastAsia" w:ascii="宋体" w:hAnsi="宋体" w:cs="宋体"/>
                <w:b/>
                <w:bCs/>
                <w:color w:val="auto"/>
                <w:kern w:val="0"/>
                <w:sz w:val="18"/>
                <w:szCs w:val="18"/>
                <w:highlight w:val="none"/>
                <w:lang w:bidi="ar"/>
              </w:rPr>
              <w:t>指标使用说明</w:t>
            </w:r>
          </w:p>
        </w:tc>
      </w:tr>
      <w:tr w14:paraId="518103A0">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1AD51C7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28</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5055443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2F60FE8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显示设备规格</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B8007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★显示屏屏占比</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5758EF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76E5803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EBE84BB">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≥80%</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33CF158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屏占比越高,有效屏幕面积越大</w:t>
            </w:r>
          </w:p>
        </w:tc>
      </w:tr>
      <w:tr w14:paraId="3C89C6A0">
        <w:tblPrEx>
          <w:tblCellMar>
            <w:top w:w="0" w:type="dxa"/>
            <w:left w:w="108" w:type="dxa"/>
            <w:bottom w:w="0" w:type="dxa"/>
            <w:right w:w="108" w:type="dxa"/>
          </w:tblCellMar>
        </w:tblPrEx>
        <w:trPr>
          <w:trHeight w:val="157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2D111F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29</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6364BCF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BC722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75EE6F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★显示屏分辨率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40732A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701396B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≥1920x1080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B36E9B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≥1920x1080</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7B90D32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采购人根据需要选择显示屏的分辨率，一般越高图像越清晰（注：显示器分辨率过高会导致显示字体偏小，建议日常办公显示屏分辨率不大于2048x1080）</w:t>
            </w:r>
          </w:p>
        </w:tc>
      </w:tr>
      <w:tr w14:paraId="706931BF">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2719F01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30</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7AB9645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1259E3">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9D713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显示屏像素密度</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BA703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09F4EC7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≥85像素/英寸</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8FD2E9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≥85像素/英寸</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13EF1E5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PPI值越高，显示屏显示的图像越精细</w:t>
            </w:r>
          </w:p>
        </w:tc>
      </w:tr>
      <w:tr w14:paraId="174437B7">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53B0D7C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31</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60D209A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C952A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7659EC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显示屏可视角度</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40B3D3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787A9B1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水平≥170°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1254144">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5909591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通常情况下可视角度越大越好</w:t>
            </w:r>
          </w:p>
        </w:tc>
      </w:tr>
      <w:tr w14:paraId="61B08A93">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7C7F6A6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32</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2D3DFE6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B5E06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5AC039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★显示屏尺寸</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AD8E9B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244E1DD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≥23英寸</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7963F26">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≥27英寸</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6355562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如有特殊需求，采购人根据需要自行设定尺寸要求</w:t>
            </w:r>
          </w:p>
        </w:tc>
      </w:tr>
      <w:tr w14:paraId="51C5F6D1">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35D8240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33</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1EF0CD1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D397E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5B00538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★显示屏屏幕比例</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B0B5FA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5667518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16:9/3:2/21:9/16:10等</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EB110D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16:9/3:2/21:9/16:10等</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41309BD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采购人根据需要选择显示屏屏幕比例</w:t>
            </w:r>
          </w:p>
        </w:tc>
      </w:tr>
      <w:tr w14:paraId="46EA1673">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1C0FB53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34</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3A1BEAF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F85B3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C19A27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★显示器外观颜色</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E1FEBC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429EB98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黑色/白色/银色等商务色系</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0448FD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黑色/白色/银色等商务色系</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17EEB47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如有特殊需求，采购人根据需要选择显示器颜色</w:t>
            </w:r>
          </w:p>
        </w:tc>
      </w:tr>
      <w:tr w14:paraId="20D0E564">
        <w:tblPrEx>
          <w:tblCellMar>
            <w:top w:w="0" w:type="dxa"/>
            <w:left w:w="108" w:type="dxa"/>
            <w:bottom w:w="0" w:type="dxa"/>
            <w:right w:w="108" w:type="dxa"/>
          </w:tblCellMar>
        </w:tblPrEx>
        <w:trPr>
          <w:trHeight w:val="13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25622A9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35</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50B3F29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59808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BD5A24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★显示屏防蓝光</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0AD5C5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4FF764B0">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支持防蓝光模式，蓝光加权辐射亮度比应≤0.0012W/(·cd·sr)（瓦每坎特拉每球面度）</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94B091F">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7B851C12">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蓝光加权辐射亮度比越低，对于人眼黄斑和人体节律影响越少，可参照SJ/T11841.2.2-2022</w:t>
            </w:r>
          </w:p>
        </w:tc>
      </w:tr>
      <w:tr w14:paraId="0614BDF0">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14EF2FF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36</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3C554E4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C65CE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645976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★显示屏低频闪</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FCE005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7AB3530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显示屏应支持低频闪≤-35dB</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43DEAF65">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26A3C55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数值越低，人眼越不容易察觉画面有闪烁</w:t>
            </w:r>
          </w:p>
        </w:tc>
      </w:tr>
      <w:tr w14:paraId="4F0EE31F">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4F1A2A6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37</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16C50F0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产品规格</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768F46">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141B97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★显示屏防炫目</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262EB0B">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69B4AA0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显示屏镜面反射率≤10%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B098836">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0B104ED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数值越低，环境光越不容易干扰显示画面</w:t>
            </w:r>
          </w:p>
        </w:tc>
      </w:tr>
      <w:tr w14:paraId="1B2706A5">
        <w:tblPrEx>
          <w:tblCellMar>
            <w:top w:w="0" w:type="dxa"/>
            <w:left w:w="108" w:type="dxa"/>
            <w:bottom w:w="0" w:type="dxa"/>
            <w:right w:w="108" w:type="dxa"/>
          </w:tblCellMar>
        </w:tblPrEx>
        <w:trPr>
          <w:trHeight w:val="67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5D93A91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90</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48EF7A8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8B0EE7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显示设备性能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1FDF3A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★显示屏刷新率</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55AA49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3AC6B38C">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≥75Hz</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722735D">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≥75Hz</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5196EE8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通常情况下，刷新率越高，所显示的图像（画面）稳定性就越好</w:t>
            </w:r>
          </w:p>
        </w:tc>
      </w:tr>
      <w:tr w14:paraId="63CBA902">
        <w:tblPrEx>
          <w:tblCellMar>
            <w:top w:w="0" w:type="dxa"/>
            <w:left w:w="108" w:type="dxa"/>
            <w:bottom w:w="0" w:type="dxa"/>
            <w:right w:w="108" w:type="dxa"/>
          </w:tblCellMar>
        </w:tblPrEx>
        <w:trPr>
          <w:trHeight w:val="67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310E625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91</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1CD1FC7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CB83B5">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DD5EA2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★显示屏位深</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167ACA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67EC50B4">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≥8位</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5A240DE">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19C2C92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每个像素使用的信息位数越多，可用的颜色就越多，颜色表现就更逼真</w:t>
            </w:r>
          </w:p>
        </w:tc>
      </w:tr>
      <w:tr w14:paraId="0767624D">
        <w:tblPrEx>
          <w:tblCellMar>
            <w:top w:w="0" w:type="dxa"/>
            <w:left w:w="108" w:type="dxa"/>
            <w:bottom w:w="0" w:type="dxa"/>
            <w:right w:w="108" w:type="dxa"/>
          </w:tblCellMar>
        </w:tblPrEx>
        <w:trPr>
          <w:trHeight w:val="67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0F15943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92</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6C6636E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84522C">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4855F53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★显示屏色域</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7F3E11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2EDD1527">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≥99%sRGB</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02D157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≥99%sRGB</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3687A75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色域越广能显示的色彩范围更广，人眼看到的画面也会越丰富越真实</w:t>
            </w:r>
          </w:p>
        </w:tc>
      </w:tr>
      <w:tr w14:paraId="446ABB19">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1688BDB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93</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664FAEB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0642C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0D72E3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★显示屏色准</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25EDB25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11F039F9">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△E≤4</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50D6A2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△E≤4</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6AB473B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△E越低，颜色失真越小</w:t>
            </w:r>
          </w:p>
        </w:tc>
      </w:tr>
      <w:tr w14:paraId="0940D7D9">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4FEAEF2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94</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4205C52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5742B8">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B0FC26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★显示屏响应时间</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6DB08D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22B2FCD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≤8ms</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6742F36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≤8ms</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3C0E8BAA">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响应时间越短越好</w:t>
            </w:r>
          </w:p>
        </w:tc>
      </w:tr>
      <w:tr w14:paraId="63807A73">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7FDF325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95</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17C7277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DF3ABF">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CBF1AE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★显示屏亮度</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4D9ECFA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70B363C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≥250尼特</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30105B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≥250尼特</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35C8F461">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显示屏最高亮度越高越好</w:t>
            </w:r>
          </w:p>
        </w:tc>
      </w:tr>
      <w:tr w14:paraId="4CDA4052">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208190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96</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3DE8905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DC8219">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71A7AB7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★显示屏亮度一致性</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6B866F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550B26F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≥70%</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BAD702D">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086EE58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一致性越高，显示同样画面时均匀性越好</w:t>
            </w:r>
          </w:p>
        </w:tc>
      </w:tr>
      <w:tr w14:paraId="6B80F784">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043C346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97</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13F761E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F02F84">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7F8142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★显示屏对比度</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59BED60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是</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089D699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≥500：1</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7032822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≥500：1</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4D44709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对比度越大越好，对比度越大一般来说色彩更鲜明</w:t>
            </w:r>
          </w:p>
        </w:tc>
      </w:tr>
      <w:tr w14:paraId="565A88E6">
        <w:tblPrEx>
          <w:tblCellMar>
            <w:top w:w="0" w:type="dxa"/>
            <w:left w:w="108" w:type="dxa"/>
            <w:bottom w:w="0" w:type="dxa"/>
            <w:right w:w="108" w:type="dxa"/>
          </w:tblCellMar>
        </w:tblPrEx>
        <w:trPr>
          <w:trHeight w:val="67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0EC8C33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98</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31408D8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性能要求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17242E">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27F7108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★显示屏其他参数</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59A9A37">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10ECD60E">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其它参数应符合SJ/T11292的相关规定</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DF934BB">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34F4D4D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3BA0A396">
        <w:tblPrEx>
          <w:tblCellMar>
            <w:top w:w="0" w:type="dxa"/>
            <w:left w:w="108" w:type="dxa"/>
            <w:bottom w:w="0" w:type="dxa"/>
            <w:right w:w="108" w:type="dxa"/>
          </w:tblCellMar>
        </w:tblPrEx>
        <w:trPr>
          <w:trHeight w:val="45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34B14B8F">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109</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2D112EF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restart"/>
            <w:tcBorders>
              <w:top w:val="single" w:color="000000" w:sz="4" w:space="0"/>
              <w:left w:val="single" w:color="000000" w:sz="4" w:space="0"/>
              <w:bottom w:val="single" w:color="000000" w:sz="4" w:space="0"/>
              <w:right w:val="single" w:color="000000" w:sz="4" w:space="0"/>
            </w:tcBorders>
            <w:noWrap w:val="0"/>
            <w:vAlign w:val="center"/>
          </w:tcPr>
          <w:p w14:paraId="7C1DACC9">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显示设备功能</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3869EE53">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★显示器接口</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16AD3AB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483E2365">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显示器应与显卡外接显示接口匹配</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136B65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4658399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4844CC56">
        <w:tblPrEx>
          <w:tblCellMar>
            <w:top w:w="0" w:type="dxa"/>
            <w:left w:w="108" w:type="dxa"/>
            <w:bottom w:w="0" w:type="dxa"/>
            <w:right w:w="108" w:type="dxa"/>
          </w:tblCellMar>
        </w:tblPrEx>
        <w:trPr>
          <w:trHeight w:val="90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0535031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110</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34801456">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F23C1B">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0B503044">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★显示器支架</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6D137CC2">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026CF8E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显示器应提供显示器支架，根据采购人需求支持屏幕旋转、升降等</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559BE958">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30D03E3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54189977">
        <w:tblPrEx>
          <w:tblCellMar>
            <w:top w:w="0" w:type="dxa"/>
            <w:left w:w="108" w:type="dxa"/>
            <w:bottom w:w="0" w:type="dxa"/>
            <w:right w:w="108" w:type="dxa"/>
          </w:tblCellMar>
        </w:tblPrEx>
        <w:trPr>
          <w:trHeight w:val="90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15C0AB8A">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111</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56C4DB01">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功能要求</w:t>
            </w:r>
          </w:p>
        </w:tc>
        <w:tc>
          <w:tcPr>
            <w:tcW w:w="67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313F00">
            <w:pPr>
              <w:jc w:val="center"/>
              <w:rPr>
                <w:rFonts w:hint="eastAsia" w:ascii="宋体" w:hAnsi="宋体" w:cs="宋体"/>
                <w:color w:val="auto"/>
                <w:sz w:val="18"/>
                <w:szCs w:val="18"/>
                <w:highlight w:val="none"/>
              </w:rPr>
            </w:pP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1EC062E0">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★显示器参数调节</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30CDB448">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3571C93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a)提供OSD选单按钮用于调节色彩、模式等；b)支持色温、亮度、对比度调节</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7ED15D0">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56349B6F">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w:t>
            </w:r>
          </w:p>
        </w:tc>
      </w:tr>
      <w:tr w14:paraId="0EEE2887">
        <w:tblPrEx>
          <w:tblCellMar>
            <w:top w:w="0" w:type="dxa"/>
            <w:left w:w="108" w:type="dxa"/>
            <w:bottom w:w="0" w:type="dxa"/>
            <w:right w:w="108" w:type="dxa"/>
          </w:tblCellMar>
        </w:tblPrEx>
        <w:trPr>
          <w:trHeight w:val="900"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26AD7AE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150</w:t>
            </w:r>
          </w:p>
        </w:tc>
        <w:tc>
          <w:tcPr>
            <w:tcW w:w="606" w:type="dxa"/>
            <w:tcBorders>
              <w:top w:val="single" w:color="000000" w:sz="4" w:space="0"/>
              <w:left w:val="single" w:color="000000" w:sz="4" w:space="0"/>
              <w:bottom w:val="single" w:color="000000" w:sz="4" w:space="0"/>
              <w:right w:val="single" w:color="000000" w:sz="4" w:space="0"/>
            </w:tcBorders>
            <w:noWrap w:val="0"/>
            <w:vAlign w:val="center"/>
          </w:tcPr>
          <w:p w14:paraId="7C7924ED">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可靠性要求</w:t>
            </w:r>
          </w:p>
        </w:tc>
        <w:tc>
          <w:tcPr>
            <w:tcW w:w="678" w:type="dxa"/>
            <w:tcBorders>
              <w:top w:val="single" w:color="000000" w:sz="4" w:space="0"/>
              <w:left w:val="single" w:color="000000" w:sz="4" w:space="0"/>
              <w:bottom w:val="single" w:color="000000" w:sz="4" w:space="0"/>
              <w:right w:val="single" w:color="000000" w:sz="4" w:space="0"/>
            </w:tcBorders>
            <w:noWrap w:val="0"/>
            <w:vAlign w:val="center"/>
          </w:tcPr>
          <w:p w14:paraId="1A9A56C5">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显示设备可靠性</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14:paraId="650C6CEE">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★显示屏屏幕失效点</w:t>
            </w:r>
          </w:p>
        </w:tc>
        <w:tc>
          <w:tcPr>
            <w:tcW w:w="646" w:type="dxa"/>
            <w:tcBorders>
              <w:top w:val="single" w:color="000000" w:sz="4" w:space="0"/>
              <w:left w:val="single" w:color="000000" w:sz="4" w:space="0"/>
              <w:bottom w:val="single" w:color="000000" w:sz="4" w:space="0"/>
              <w:right w:val="single" w:color="000000" w:sz="4" w:space="0"/>
            </w:tcBorders>
            <w:noWrap w:val="0"/>
            <w:vAlign w:val="center"/>
          </w:tcPr>
          <w:p w14:paraId="75057C8C">
            <w:pPr>
              <w:widowControl/>
              <w:jc w:val="center"/>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否</w:t>
            </w:r>
          </w:p>
        </w:tc>
        <w:tc>
          <w:tcPr>
            <w:tcW w:w="2177" w:type="dxa"/>
            <w:tcBorders>
              <w:top w:val="single" w:color="000000" w:sz="4" w:space="0"/>
              <w:left w:val="single" w:color="000000" w:sz="4" w:space="0"/>
              <w:bottom w:val="single" w:color="000000" w:sz="4" w:space="0"/>
              <w:right w:val="single" w:color="000000" w:sz="4" w:space="0"/>
            </w:tcBorders>
            <w:noWrap w:val="0"/>
            <w:vAlign w:val="center"/>
          </w:tcPr>
          <w:p w14:paraId="1F7A6F78">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符合GB/T9813.2的要求</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3B0F6559">
            <w:pPr>
              <w:widowControl/>
              <w:jc w:val="left"/>
              <w:textAlignment w:val="center"/>
              <w:rPr>
                <w:rFonts w:hint="eastAsia" w:ascii="宋体" w:hAnsi="宋体" w:eastAsia="宋体" w:cs="宋体"/>
                <w:color w:val="auto"/>
                <w:sz w:val="18"/>
                <w:szCs w:val="18"/>
                <w:highlight w:val="none"/>
                <w:lang w:eastAsia="zh-CN"/>
              </w:rPr>
            </w:pPr>
            <w:r>
              <w:rPr>
                <w:rFonts w:hint="eastAsia" w:ascii="宋体" w:hAnsi="宋体" w:cs="宋体"/>
                <w:color w:val="auto"/>
                <w:kern w:val="0"/>
                <w:sz w:val="18"/>
                <w:szCs w:val="18"/>
                <w:highlight w:val="none"/>
                <w:lang w:eastAsia="zh-CN" w:bidi="ar"/>
              </w:rPr>
              <w:t>不做要求</w:t>
            </w:r>
          </w:p>
        </w:tc>
        <w:tc>
          <w:tcPr>
            <w:tcW w:w="1629" w:type="dxa"/>
            <w:tcBorders>
              <w:top w:val="single" w:color="000000" w:sz="4" w:space="0"/>
              <w:left w:val="single" w:color="000000" w:sz="4" w:space="0"/>
              <w:bottom w:val="single" w:color="000000" w:sz="4" w:space="0"/>
              <w:right w:val="single" w:color="000000" w:sz="4" w:space="0"/>
            </w:tcBorders>
            <w:noWrap w:val="0"/>
            <w:vAlign w:val="center"/>
          </w:tcPr>
          <w:p w14:paraId="2D65F2D3">
            <w:pPr>
              <w:widowControl/>
              <w:jc w:val="left"/>
              <w:textAlignment w:val="center"/>
              <w:rPr>
                <w:rFonts w:hint="eastAsia" w:ascii="宋体" w:hAnsi="宋体" w:cs="宋体"/>
                <w:color w:val="auto"/>
                <w:sz w:val="18"/>
                <w:szCs w:val="18"/>
                <w:highlight w:val="none"/>
              </w:rPr>
            </w:pPr>
            <w:r>
              <w:rPr>
                <w:rFonts w:hint="eastAsia" w:ascii="宋体" w:hAnsi="宋体" w:cs="宋体"/>
                <w:color w:val="auto"/>
                <w:kern w:val="0"/>
                <w:sz w:val="18"/>
                <w:szCs w:val="18"/>
                <w:highlight w:val="none"/>
                <w:lang w:bidi="ar"/>
              </w:rPr>
              <w:t>采购人根据需要提出更高要求。显示屏失效点越少越好</w:t>
            </w:r>
          </w:p>
        </w:tc>
      </w:tr>
    </w:tbl>
    <w:p w14:paraId="01D2E735">
      <w:pPr>
        <w:spacing w:line="360" w:lineRule="auto"/>
        <w:rPr>
          <w:rFonts w:hint="eastAsia" w:ascii="宋体" w:hAnsi="宋体"/>
          <w:color w:val="auto"/>
          <w:sz w:val="24"/>
          <w:highlight w:val="none"/>
        </w:rPr>
      </w:pPr>
    </w:p>
    <w:p w14:paraId="7D9ECB43">
      <w:pPr>
        <w:spacing w:line="360" w:lineRule="auto"/>
        <w:rPr>
          <w:rFonts w:hint="eastAsia" w:ascii="宋体" w:hAnsi="宋体"/>
          <w:color w:val="auto"/>
          <w:sz w:val="24"/>
          <w:highlight w:val="none"/>
        </w:rPr>
      </w:pPr>
      <w:r>
        <w:rPr>
          <w:rFonts w:hint="eastAsia" w:ascii="宋体" w:hAnsi="宋体"/>
          <w:color w:val="auto"/>
          <w:sz w:val="24"/>
          <w:highlight w:val="none"/>
        </w:rPr>
        <w:br w:type="page"/>
      </w:r>
      <w:r>
        <w:rPr>
          <w:rFonts w:hint="eastAsia" w:ascii="宋体" w:hAnsi="宋体"/>
          <w:color w:val="auto"/>
          <w:sz w:val="24"/>
          <w:highlight w:val="none"/>
        </w:rPr>
        <w:t>附件3：包1—硬件设备技术要求—交换设备</w:t>
      </w:r>
    </w:p>
    <w:tbl>
      <w:tblPr>
        <w:tblStyle w:val="12"/>
        <w:tblpPr w:leftFromText="180" w:rightFromText="180" w:vertAnchor="text" w:horzAnchor="page" w:tblpXSpec="center" w:tblpY="216"/>
        <w:tblOverlap w:val="never"/>
        <w:tblW w:w="49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9"/>
        <w:gridCol w:w="1135"/>
        <w:gridCol w:w="4528"/>
        <w:gridCol w:w="679"/>
        <w:gridCol w:w="679"/>
        <w:gridCol w:w="679"/>
      </w:tblGrid>
      <w:tr w14:paraId="406ED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05" w:type="pct"/>
            <w:noWrap w:val="0"/>
            <w:vAlign w:val="center"/>
          </w:tcPr>
          <w:p w14:paraId="3EF0DD32">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序号</w:t>
            </w:r>
          </w:p>
        </w:tc>
        <w:tc>
          <w:tcPr>
            <w:tcW w:w="676" w:type="pct"/>
            <w:noWrap w:val="0"/>
            <w:vAlign w:val="center"/>
          </w:tcPr>
          <w:p w14:paraId="61D6EB36">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产品</w:t>
            </w:r>
          </w:p>
          <w:p w14:paraId="5748E420">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类型</w:t>
            </w:r>
          </w:p>
        </w:tc>
        <w:tc>
          <w:tcPr>
            <w:tcW w:w="2700" w:type="pct"/>
            <w:tcBorders>
              <w:bottom w:val="single" w:color="auto" w:sz="4" w:space="0"/>
            </w:tcBorders>
            <w:noWrap w:val="0"/>
            <w:vAlign w:val="center"/>
          </w:tcPr>
          <w:p w14:paraId="450D251F">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技术要求</w:t>
            </w:r>
          </w:p>
        </w:tc>
        <w:tc>
          <w:tcPr>
            <w:tcW w:w="405" w:type="pct"/>
            <w:noWrap w:val="0"/>
            <w:vAlign w:val="center"/>
          </w:tcPr>
          <w:p w14:paraId="34267AB9">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单位</w:t>
            </w:r>
          </w:p>
        </w:tc>
        <w:tc>
          <w:tcPr>
            <w:tcW w:w="405" w:type="pct"/>
            <w:noWrap w:val="0"/>
            <w:vAlign w:val="center"/>
          </w:tcPr>
          <w:p w14:paraId="0EFBB357">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数量</w:t>
            </w:r>
          </w:p>
        </w:tc>
        <w:tc>
          <w:tcPr>
            <w:tcW w:w="405" w:type="pct"/>
            <w:noWrap w:val="0"/>
            <w:vAlign w:val="center"/>
          </w:tcPr>
          <w:p w14:paraId="3D1DEDBD">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产地</w:t>
            </w:r>
          </w:p>
        </w:tc>
      </w:tr>
      <w:tr w14:paraId="4D841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405" w:type="pct"/>
            <w:noWrap w:val="0"/>
            <w:vAlign w:val="center"/>
          </w:tcPr>
          <w:p w14:paraId="14D10AE8">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w:t>
            </w:r>
          </w:p>
        </w:tc>
        <w:tc>
          <w:tcPr>
            <w:tcW w:w="676" w:type="pct"/>
            <w:noWrap w:val="0"/>
            <w:vAlign w:val="center"/>
          </w:tcPr>
          <w:p w14:paraId="0E152A83">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教学一体机交换节点</w:t>
            </w:r>
          </w:p>
        </w:tc>
        <w:tc>
          <w:tcPr>
            <w:tcW w:w="2700" w:type="pct"/>
            <w:tcBorders>
              <w:top w:val="single" w:color="auto" w:sz="4" w:space="0"/>
              <w:left w:val="single" w:color="auto" w:sz="4" w:space="0"/>
              <w:bottom w:val="single" w:color="auto" w:sz="4" w:space="0"/>
              <w:right w:val="single" w:color="auto" w:sz="4" w:space="0"/>
            </w:tcBorders>
            <w:noWrap w:val="0"/>
            <w:vAlign w:val="center"/>
          </w:tcPr>
          <w:p w14:paraId="7EA5030B">
            <w:pPr>
              <w:jc w:val="left"/>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10/100/1000BASE-T以太网端口≥48个；万兆SFP+接口≥4个；支持MAC地址≥32K，支持ARP表项≥2K</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27D1E68F">
            <w:pPr>
              <w:widowControl/>
              <w:spacing w:line="0" w:lineRule="atLeast"/>
              <w:jc w:val="center"/>
              <w:textAlignment w:val="center"/>
              <w:rPr>
                <w:rFonts w:hint="eastAsia" w:ascii="宋体" w:hAnsi="宋体" w:cs="宋体"/>
                <w:color w:val="auto"/>
                <w:szCs w:val="21"/>
                <w:highlight w:val="none"/>
              </w:rPr>
            </w:pPr>
            <w:r>
              <w:rPr>
                <w:rFonts w:hint="eastAsia" w:ascii="宋体" w:hAnsi="宋体" w:cs="宋体"/>
                <w:color w:val="auto"/>
                <w:szCs w:val="21"/>
                <w:highlight w:val="none"/>
              </w:rPr>
              <w:t>台</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7E013479">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4C1F1B13">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国产</w:t>
            </w:r>
          </w:p>
        </w:tc>
      </w:tr>
    </w:tbl>
    <w:p w14:paraId="73E9DFC7">
      <w:pPr>
        <w:spacing w:line="360" w:lineRule="auto"/>
        <w:jc w:val="left"/>
        <w:rPr>
          <w:rFonts w:hint="eastAsia" w:ascii="宋体" w:hAnsi="宋体"/>
          <w:color w:val="auto"/>
          <w:sz w:val="24"/>
          <w:highlight w:val="none"/>
        </w:rPr>
      </w:pPr>
      <w:r>
        <w:rPr>
          <w:rFonts w:hint="eastAsia" w:ascii="宋体" w:hAnsi="宋体"/>
          <w:color w:val="auto"/>
          <w:sz w:val="24"/>
          <w:highlight w:val="none"/>
        </w:rPr>
        <w:br w:type="page"/>
      </w:r>
      <w:r>
        <w:rPr>
          <w:rFonts w:hint="eastAsia" w:ascii="宋体" w:hAnsi="宋体"/>
          <w:color w:val="auto"/>
          <w:sz w:val="24"/>
          <w:highlight w:val="none"/>
        </w:rPr>
        <w:t>附件4：包2-软件技术要求—应用软件</w:t>
      </w:r>
    </w:p>
    <w:tbl>
      <w:tblPr>
        <w:tblStyle w:val="12"/>
        <w:tblW w:w="49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9"/>
        <w:gridCol w:w="1137"/>
        <w:gridCol w:w="4524"/>
        <w:gridCol w:w="678"/>
        <w:gridCol w:w="678"/>
        <w:gridCol w:w="678"/>
      </w:tblGrid>
      <w:tr w14:paraId="30026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405" w:type="pct"/>
            <w:noWrap w:val="0"/>
            <w:vAlign w:val="center"/>
          </w:tcPr>
          <w:p w14:paraId="6C09507F">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序号</w:t>
            </w:r>
          </w:p>
        </w:tc>
        <w:tc>
          <w:tcPr>
            <w:tcW w:w="677" w:type="pct"/>
            <w:noWrap w:val="0"/>
            <w:vAlign w:val="center"/>
          </w:tcPr>
          <w:p w14:paraId="5D323A31">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产品</w:t>
            </w:r>
          </w:p>
          <w:p w14:paraId="2A14550F">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类型</w:t>
            </w:r>
          </w:p>
        </w:tc>
        <w:tc>
          <w:tcPr>
            <w:tcW w:w="2699" w:type="pct"/>
            <w:tcBorders>
              <w:bottom w:val="single" w:color="auto" w:sz="4" w:space="0"/>
            </w:tcBorders>
            <w:noWrap w:val="0"/>
            <w:vAlign w:val="center"/>
          </w:tcPr>
          <w:p w14:paraId="30957A54">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技术要求</w:t>
            </w:r>
          </w:p>
        </w:tc>
        <w:tc>
          <w:tcPr>
            <w:tcW w:w="405" w:type="pct"/>
            <w:noWrap w:val="0"/>
            <w:vAlign w:val="center"/>
          </w:tcPr>
          <w:p w14:paraId="0A4F48F6">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单位</w:t>
            </w:r>
          </w:p>
        </w:tc>
        <w:tc>
          <w:tcPr>
            <w:tcW w:w="405" w:type="pct"/>
            <w:noWrap w:val="0"/>
            <w:vAlign w:val="center"/>
          </w:tcPr>
          <w:p w14:paraId="69A772A9">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数量</w:t>
            </w:r>
          </w:p>
        </w:tc>
        <w:tc>
          <w:tcPr>
            <w:tcW w:w="405" w:type="pct"/>
            <w:noWrap w:val="0"/>
            <w:vAlign w:val="center"/>
          </w:tcPr>
          <w:p w14:paraId="1C1BD556">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产地</w:t>
            </w:r>
          </w:p>
        </w:tc>
      </w:tr>
      <w:tr w14:paraId="1FA5C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15B144B9">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w:t>
            </w:r>
          </w:p>
        </w:tc>
        <w:tc>
          <w:tcPr>
            <w:tcW w:w="677" w:type="pct"/>
            <w:noWrap w:val="0"/>
            <w:vAlign w:val="center"/>
          </w:tcPr>
          <w:p w14:paraId="4F7E32AE">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教学实践平台-基础模块</w:t>
            </w:r>
          </w:p>
        </w:tc>
        <w:tc>
          <w:tcPr>
            <w:tcW w:w="2699" w:type="pct"/>
            <w:tcBorders>
              <w:top w:val="single" w:color="auto" w:sz="4" w:space="0"/>
              <w:left w:val="single" w:color="auto" w:sz="4" w:space="0"/>
              <w:bottom w:val="single" w:color="auto" w:sz="4" w:space="0"/>
              <w:right w:val="single" w:color="auto" w:sz="4" w:space="0"/>
            </w:tcBorders>
            <w:noWrap w:val="0"/>
            <w:vAlign w:val="center"/>
          </w:tcPr>
          <w:p w14:paraId="20C6F40D">
            <w:pPr>
              <w:pStyle w:val="5"/>
              <w:widowControl/>
              <w:spacing w:line="0" w:lineRule="atLeas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w:t>
            </w:r>
            <w:r>
              <w:rPr>
                <w:rFonts w:ascii="宋体" w:hAnsi="宋体" w:cs="宋体"/>
                <w:color w:val="auto"/>
                <w:kern w:val="0"/>
                <w:szCs w:val="21"/>
                <w:highlight w:val="none"/>
                <w:lang w:bidi="ar"/>
              </w:rPr>
              <w:t>1.需提供对应计算机软件著作权等证书。【需提供复印件】</w:t>
            </w:r>
          </w:p>
          <w:p w14:paraId="591CCDAF">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2.整体架构为 B/S 架构，基于微服务架构进行服务器部署，支持Chrome等浏览器用户端访问。系统并发用户数≥100（用户需自备高性能服务器或校园私有云或公有云环境）。</w:t>
            </w:r>
          </w:p>
          <w:p w14:paraId="3A52FCD2">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3.平台能够通过建立多个资源库和一系列微服务对平台资源进行分类管理，并通过调用微服务的接口，以及不同的整合方式，以服务的形式展现给用户。</w:t>
            </w:r>
          </w:p>
          <w:p w14:paraId="5359FA8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4.支持被学校已有教学平台集成，可向已有教学平台开放课程、实验等教学资源，学员可以在已有教学平台上，免登陆访问被集成的教学资源。</w:t>
            </w:r>
          </w:p>
          <w:p w14:paraId="1FB923F2">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5.支持管理员创建、删除、编辑、查询学员账号，账号信息包含账号、姓名、学号/工号、组织名称、手机号、邮箱、账号状态等。</w:t>
            </w:r>
          </w:p>
          <w:p w14:paraId="00441A40">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6.支持管理员批量导入/导出学员账号，批量重置学员账号密码。</w:t>
            </w:r>
          </w:p>
          <w:p w14:paraId="26A43B3A">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▲7.支持管理员创建、删除、编辑、查询组织，最多可创建5级子组织。【需提供功能截图，交付功能要与截图示例相同】</w:t>
            </w:r>
          </w:p>
          <w:p w14:paraId="308A67B5">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8.支持管理员创建、删除、编辑、查询管理员和教师账号，账号信息包含账号、姓名、学号/工号、角色、管理范围（组织）、手机号、邮箱、账号状态等。</w:t>
            </w:r>
          </w:p>
          <w:p w14:paraId="3EED2A26">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9.支持自定义网站信息，包括Logo、网站名称、网站介绍、版权信息等。</w:t>
            </w:r>
          </w:p>
          <w:p w14:paraId="5B656677">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10.大屏内容包含 ：①平台教学情况，平台功能的使用情况，平台的资源负载监控； ② 班级、学员数量等及教学资源数量的可视化查看；③ 对学生行为活动、课程和实验学习时长实现 TOP5 排行榜动态呈现；④ 支持编辑各模块的数据并能进行初始化。</w:t>
            </w:r>
          </w:p>
          <w:p w14:paraId="037EE29E">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11.支持教师创建、删除、编辑、查询学员账号，账号信息包含账号、姓名、学号/工号、组织名称、手机号、邮箱、账号状态等。</w:t>
            </w:r>
          </w:p>
          <w:p w14:paraId="1005581F">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12.支持教师批量导入\导出学员账号，批量重置学员账号密码。</w:t>
            </w:r>
          </w:p>
          <w:p w14:paraId="733E7C66">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13.支持教师创建、编辑、预览、发布、查询、删除班级，班级中支持配置教师，学员和学员小组，以及配置班级的标准实验、自主实验、课程等资源。</w:t>
            </w:r>
          </w:p>
          <w:p w14:paraId="10DC71F3">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14.支持创建、编辑、预览、发布、复制、删除课程，课程可按卡片式和列表式进行切换呈现。</w:t>
            </w:r>
            <w:r>
              <w:rPr>
                <w:rFonts w:ascii="宋体" w:hAnsi="宋体" w:cs="宋体"/>
                <w:color w:val="auto"/>
                <w:kern w:val="0"/>
                <w:szCs w:val="21"/>
                <w:highlight w:val="none"/>
                <w:lang w:bidi="ar"/>
              </w:rPr>
              <w:tab/>
            </w:r>
          </w:p>
          <w:p w14:paraId="5E112DCF">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15.支持对课程名称、版本、课程库、配套试题、学时等信息的编辑。</w:t>
            </w:r>
          </w:p>
          <w:p w14:paraId="209D627A">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16.支持添加课程大纲、课程标准、教案等课程材料，仅教师可见。</w:t>
            </w:r>
          </w:p>
          <w:p w14:paraId="16CFADBC">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▲17.支持混排课设计模式：混排模式下可以添加图文、视频、实验、测一测等内容，呈纵向排列；支持不同的课程章节自定义不同的课程模式。【需提供功能截图，交付功能要与截图示例相同】</w:t>
            </w:r>
          </w:p>
          <w:p w14:paraId="0265197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▲18.支持文档课设计模式：文档课模式下可以添加文档、视频、实验等内容，呈横向排列；支持不同的课程章节自定义不同的课程模式。【需提供功能截图，交付功能要与截图示例相同】</w:t>
            </w:r>
          </w:p>
          <w:p w14:paraId="1C4E9FDE">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19.支持创建、编辑、删除和移动课程库，支持创建3级子目录，支持通过课程库对课程进行分类管理。</w:t>
            </w:r>
          </w:p>
          <w:p w14:paraId="38EF1484">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w:t>
            </w:r>
            <w:r>
              <w:rPr>
                <w:rFonts w:hint="eastAsia" w:ascii="宋体" w:hAnsi="宋体" w:cs="宋体"/>
                <w:color w:val="auto"/>
                <w:kern w:val="0"/>
                <w:szCs w:val="21"/>
                <w:highlight w:val="none"/>
                <w:lang w:bidi="ar"/>
              </w:rPr>
              <w:t>0.</w:t>
            </w:r>
            <w:r>
              <w:rPr>
                <w:rFonts w:ascii="宋体" w:hAnsi="宋体" w:cs="宋体"/>
                <w:color w:val="auto"/>
                <w:kern w:val="0"/>
                <w:szCs w:val="21"/>
                <w:highlight w:val="none"/>
                <w:lang w:bidi="ar"/>
              </w:rPr>
              <w:t>支持上传ppt,pptx,doc,docx,pdf,xls,xlsx,zip,rar,jpeg,jpg,mp4,md等格式的课程素材；支持编辑素材名称、素材目录、使用权限。</w:t>
            </w:r>
          </w:p>
          <w:p w14:paraId="124BB033">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21.支持创建、编辑、删除和移动素材库，支持创建3级子目录，通过素材库对素材进行分类管理。</w:t>
            </w:r>
          </w:p>
          <w:p w14:paraId="3E8FE4F1">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22.支持创建、预览、发布、删除，复制实验，支持按照实验名称、关联课程、技术方向、实验类别、实验环境等检索实验。</w:t>
            </w:r>
          </w:p>
          <w:p w14:paraId="227DB30C">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23.支持同一实验选择多个实验手册，且实验手册和实验资料支持区分教师版和学生版，不同角色在实验操作界面可查看不同的实验手册和实验资料。</w:t>
            </w:r>
          </w:p>
          <w:p w14:paraId="43279038">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24.支持设置学生能否复制实验手册的内容。</w:t>
            </w:r>
          </w:p>
          <w:p w14:paraId="4932778E">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25.支持创建自主实验，自主实验不含实验手册，学员可以脱离实验手册，并自定义实验环境进行自主实验，培养学员实践探究能力。</w:t>
            </w:r>
          </w:p>
          <w:p w14:paraId="1448C229">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26.支持实验过程中，学员通过截屏和输入笔记生成实验报告。</w:t>
            </w:r>
          </w:p>
          <w:p w14:paraId="35035E1C">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27.支持实验结束，教师查看全部实验报告，并给实验报告评分。</w:t>
            </w:r>
          </w:p>
          <w:p w14:paraId="05CD3AF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28.支持在线创建实验手册，支持导入本地实验手册，实验手册支持Markdown和PDF两种格式，支持在线查看实验手册。</w:t>
            </w:r>
          </w:p>
          <w:p w14:paraId="4D8A0F91">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29.支持本地导入实验视频、资料和工程文件，支持pdf、mp4、zip等格式；支持在线修改实验素材名称。</w:t>
            </w:r>
            <w:r>
              <w:rPr>
                <w:rFonts w:ascii="宋体" w:hAnsi="宋体" w:cs="宋体"/>
                <w:color w:val="auto"/>
                <w:kern w:val="0"/>
                <w:szCs w:val="21"/>
                <w:highlight w:val="none"/>
                <w:lang w:bidi="ar"/>
              </w:rPr>
              <w:tab/>
            </w:r>
          </w:p>
          <w:p w14:paraId="627BDED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▲30.支持监控实验环境（容器和虚拟机），包括账号、姓名、状态、实验名称、开始时间、实验时长等，支持教师下线实验环境。【需提供功能截图，交付功能要与截图示例相同】</w:t>
            </w:r>
          </w:p>
          <w:p w14:paraId="3DE25B2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31.支持创建、删除、编辑、查询知识点，支持将知识点和题目进行关联。</w:t>
            </w:r>
          </w:p>
          <w:p w14:paraId="40E13578">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32.支持创建、编辑、删除和移动知识点库，支持创建3级子目录。</w:t>
            </w:r>
          </w:p>
          <w:p w14:paraId="1DCD4503">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33.支持创建、编辑、预览、移动复制和删除题目，支持按模板批量导入试题，支持按题目、题型、难度和知识点检索题目。</w:t>
            </w:r>
          </w:p>
          <w:p w14:paraId="2D4C230A">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34.支持创建、编辑、删除、移动试题库，支持创建3级子目录，支持通过题库对题目进行归类管理。</w:t>
            </w:r>
          </w:p>
          <w:p w14:paraId="78693865">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▲35.支持创建单选题、多选题、判断题、填空题、主观题5种题型，题目支持设置默认分值、关联知识点、正确答案、答案解析等。【需提供功能截图，交付功能要与截图示例相同】</w:t>
            </w:r>
          </w:p>
          <w:p w14:paraId="309D34DE">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36.支持创建、编辑、预览、复制和删除理论试卷；支持根据试卷名称、组卷类型、创建人等信息检索试卷。</w:t>
            </w:r>
          </w:p>
          <w:p w14:paraId="76F444A6">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37.支持锁定理论试卷的编辑权限，锁定后，仅创建者可编辑试卷。</w:t>
            </w:r>
          </w:p>
          <w:p w14:paraId="3D6CC7A0">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38.支持创建、编辑、删除、移动理论试卷库，支持创建3级子目录，支持通过试卷库对试卷进行归类管理。</w:t>
            </w:r>
          </w:p>
          <w:p w14:paraId="1C09FEC1">
            <w:pPr>
              <w:pStyle w:val="5"/>
              <w:widowControl/>
              <w:spacing w:line="0" w:lineRule="atLeast"/>
              <w:textAlignment w:val="center"/>
              <w:rPr>
                <w:rFonts w:ascii="宋体" w:hAnsi="宋体" w:cs="宋体"/>
                <w:color w:val="auto"/>
                <w:kern w:val="0"/>
                <w:szCs w:val="21"/>
                <w:highlight w:val="none"/>
                <w:lang w:bidi="ar"/>
              </w:rPr>
            </w:pPr>
            <w:r>
              <w:rPr>
                <w:rFonts w:ascii="宋体" w:hAnsi="宋体" w:cs="宋体"/>
                <w:color w:val="auto"/>
                <w:kern w:val="0"/>
                <w:szCs w:val="21"/>
                <w:highlight w:val="none"/>
                <w:lang w:bidi="ar"/>
              </w:rPr>
              <w:t>39.支持固定组卷，教师从题库中人工挑选题目组成试卷。</w:t>
            </w:r>
          </w:p>
          <w:p w14:paraId="7D9C707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▲40.支持随机组卷，系统根据设置的题库、难度、知识点等规则，从题库中自动挑选题目组成试卷，包括分库抽题和多库混合式抽题两种模式。【需提供功能截图，交付功能要与截图示例相同】</w:t>
            </w:r>
          </w:p>
          <w:p w14:paraId="440118A5">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41.支持灵活设置计分规则、题目顺序、及格分等。</w:t>
            </w:r>
          </w:p>
          <w:p w14:paraId="15F875B1">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42.支持创建、编辑、删除、预览、复制、统计理论考试，支持教师查看实验考试列表，可按照考试名称、技术方向、发布状态等信息进行检索。</w:t>
            </w:r>
          </w:p>
          <w:p w14:paraId="51F46F3C">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43.支持对考试名称、考试封面、编辑权限、考试简介、考试时间、考试时长、考试次数等进行设置。</w:t>
            </w:r>
          </w:p>
          <w:p w14:paraId="795356BC">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▲44.支持教师设置考试防作弊措施，防作弊规则包括：题目乱序、答案乱序；支持内容不可复制、禁止使用F12，支持防切屏，支持设置最多允许切屏次数。【需提供功能截图，交付功能要与截图示例相同】</w:t>
            </w:r>
          </w:p>
          <w:p w14:paraId="45164FCC">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▲45.支持创建理论考试时关联单份试卷或多份试卷，可进行标准化考试或AB卷考试，满足不同考试场景需求。【需提供功能截图，交付功能要与截图示例相同】</w:t>
            </w:r>
          </w:p>
          <w:p w14:paraId="02FCECA9">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52.支持教师查看班级整体考试情况，包括应考人数、实考人数、参考率、及格率、最高分、最低分、平均分、平均次数、平均时长等信息；支持导出统计结果。</w:t>
            </w:r>
          </w:p>
          <w:p w14:paraId="1AD99E6E">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▲46.支持教师查看班级所有考生成绩详情，包括学员姓名、考试各题型得分、考试次数、最高成绩、平均成绩；支持导出统计结果。【需提供功能截图，交付功能要与截图示例相同】</w:t>
            </w:r>
          </w:p>
          <w:p w14:paraId="7420D865">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47.支持教师查看班级习题统计，包括每一道试题答题人次、正确人次、正确率以及答题详情；支持导出统计结果。</w:t>
            </w:r>
          </w:p>
          <w:p w14:paraId="305BC72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48.支持教师设置证书发放规则，学员按要求完成学习或考试，可自动获得结课或结业证书。</w:t>
            </w:r>
          </w:p>
          <w:p w14:paraId="7884A564">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49.支持自动生成证书管理可视化数据：含认证学员数、已获证学员数、未获证学员数、认证项目、获证率等；支持按班级、学员、认证状态等条件快速搜索查询。【需提供功能截图，交付功能要与截图示例相同】</w:t>
            </w:r>
          </w:p>
          <w:p w14:paraId="24EFA872">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50.支持手动发证：支持教师上传证书模板数据，生成可下载的电子证书；教师自主下载并打印后，可为学员颁发（纸质）证书。</w:t>
            </w:r>
          </w:p>
          <w:p w14:paraId="29619DD6">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51.支持教学前台显示班级已关联的课程，包括课程封面、课程名称、课程简介、课程章节数等信息；从课程卡片可进入课程详情页；支持通过名称对课程进行搜索。</w:t>
            </w:r>
          </w:p>
          <w:p w14:paraId="12061021">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52.支持课程详情页展示课程名称、课程封面、课程目录、学习进度、关联资源统计等；支持设置是否可拖动视频。</w:t>
            </w:r>
          </w:p>
          <w:p w14:paraId="714C5C78">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53.支持以目录树形式展示课程章节，支持章节目录展开与收起；支持展示课程章节已关联的课件类型：文档、视频、实验、图文、测验；支持用户直接从课程章节下进入实验。</w:t>
            </w:r>
            <w:r>
              <w:rPr>
                <w:rFonts w:ascii="宋体" w:hAnsi="宋体" w:cs="宋体"/>
                <w:color w:val="auto"/>
                <w:kern w:val="0"/>
                <w:szCs w:val="21"/>
                <w:highlight w:val="none"/>
                <w:lang w:bidi="ar"/>
              </w:rPr>
              <w:tab/>
            </w:r>
          </w:p>
          <w:p w14:paraId="17E1B7D5">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54.支持自动保存并展示课程进度，各章节学习进度实时更新，下次进入自动定位进入教学进度。</w:t>
            </w:r>
          </w:p>
          <w:p w14:paraId="5CD6E8B0">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55.支持教师查看课件备注页，查看教学参考资料，仅教师可见。</w:t>
            </w:r>
          </w:p>
          <w:p w14:paraId="4516F66B">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56.支持以图形化界面，同时查看多个班级的班级学习时长、课程学习时长、实验学习时长等数据，进行学情分析总结，支持按7天、近1月、近1年时间维度进行班级间学情对比。</w:t>
            </w:r>
          </w:p>
          <w:p w14:paraId="03FE386C">
            <w:pPr>
              <w:pStyle w:val="5"/>
              <w:widowControl/>
              <w:spacing w:line="0" w:lineRule="atLeast"/>
              <w:textAlignment w:val="center"/>
              <w:rPr>
                <w:rFonts w:hint="eastAsia" w:ascii="宋体" w:hAnsi="宋体" w:cs="宋体"/>
                <w:color w:val="auto"/>
                <w:kern w:val="0"/>
                <w:szCs w:val="21"/>
                <w:highlight w:val="none"/>
                <w:lang w:bidi="ar"/>
              </w:rPr>
            </w:pPr>
            <w:r>
              <w:rPr>
                <w:rFonts w:ascii="宋体" w:hAnsi="宋体" w:cs="宋体"/>
                <w:color w:val="auto"/>
                <w:kern w:val="0"/>
                <w:szCs w:val="21"/>
                <w:highlight w:val="none"/>
                <w:lang w:bidi="ar"/>
              </w:rPr>
              <w:t>57.支持教师按照学习时长，查看学员排行榜、课程排行榜、实验排行榜。58. 教师运营大屏： ①平台教学情况，平台功能的使用情况，平台的资源负载监控； ② 班级、学员数量等及教学资源数量的可视化查看；③ 对学生行为活动、课程和实验学习时长实现 TOP5 排行榜动态呈现</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7C97C763">
            <w:pPr>
              <w:widowControl/>
              <w:spacing w:line="0" w:lineRule="atLeast"/>
              <w:jc w:val="center"/>
              <w:textAlignment w:val="center"/>
              <w:rPr>
                <w:rFonts w:hint="eastAsia" w:ascii="宋体" w:hAnsi="宋体" w:cs="宋体"/>
                <w:color w:val="auto"/>
                <w:szCs w:val="21"/>
                <w:highlight w:val="none"/>
              </w:rPr>
            </w:pPr>
            <w:r>
              <w:rPr>
                <w:rFonts w:hint="eastAsia" w:ascii="宋体" w:hAnsi="宋体" w:cs="宋体"/>
                <w:color w:val="auto"/>
                <w:szCs w:val="21"/>
                <w:highlight w:val="none"/>
              </w:rPr>
              <w:t>套</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73AB7AED">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54CFEC1D">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国产</w:t>
            </w:r>
          </w:p>
        </w:tc>
      </w:tr>
    </w:tbl>
    <w:p w14:paraId="232C58FF">
      <w:pPr>
        <w:spacing w:line="360" w:lineRule="auto"/>
        <w:jc w:val="left"/>
        <w:rPr>
          <w:rFonts w:ascii="宋体" w:hAnsi="宋体"/>
          <w:color w:val="auto"/>
          <w:sz w:val="24"/>
          <w:highlight w:val="none"/>
        </w:rPr>
      </w:pPr>
      <w:r>
        <w:rPr>
          <w:rFonts w:ascii="宋体" w:hAnsi="宋体"/>
          <w:color w:val="auto"/>
          <w:sz w:val="24"/>
          <w:highlight w:val="none"/>
        </w:rPr>
        <w:t>说明：“▲”处为主要产品功能体现，不属于废标项，仅作为加分项进行评判</w:t>
      </w:r>
    </w:p>
    <w:p w14:paraId="4FEC32C4">
      <w:pPr>
        <w:spacing w:line="360" w:lineRule="auto"/>
        <w:jc w:val="left"/>
        <w:rPr>
          <w:rFonts w:ascii="宋体" w:hAnsi="宋体"/>
          <w:color w:val="auto"/>
          <w:sz w:val="24"/>
          <w:highlight w:val="none"/>
        </w:rPr>
      </w:pPr>
      <w:r>
        <w:rPr>
          <w:rFonts w:ascii="宋体" w:hAnsi="宋体"/>
          <w:color w:val="auto"/>
          <w:sz w:val="24"/>
          <w:highlight w:val="none"/>
        </w:rPr>
        <w:br w:type="page"/>
      </w:r>
    </w:p>
    <w:tbl>
      <w:tblPr>
        <w:tblStyle w:val="12"/>
        <w:tblW w:w="49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9"/>
        <w:gridCol w:w="1135"/>
        <w:gridCol w:w="4528"/>
        <w:gridCol w:w="679"/>
        <w:gridCol w:w="679"/>
        <w:gridCol w:w="679"/>
      </w:tblGrid>
      <w:tr w14:paraId="5E0B7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405" w:type="pct"/>
            <w:noWrap w:val="0"/>
            <w:vAlign w:val="center"/>
          </w:tcPr>
          <w:p w14:paraId="62C9A103">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序号</w:t>
            </w:r>
          </w:p>
        </w:tc>
        <w:tc>
          <w:tcPr>
            <w:tcW w:w="676" w:type="pct"/>
            <w:noWrap w:val="0"/>
            <w:vAlign w:val="center"/>
          </w:tcPr>
          <w:p w14:paraId="621AD3CC">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产品</w:t>
            </w:r>
          </w:p>
          <w:p w14:paraId="2F1C25CF">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类型</w:t>
            </w:r>
          </w:p>
        </w:tc>
        <w:tc>
          <w:tcPr>
            <w:tcW w:w="2700" w:type="pct"/>
            <w:tcBorders>
              <w:bottom w:val="single" w:color="auto" w:sz="4" w:space="0"/>
            </w:tcBorders>
            <w:noWrap w:val="0"/>
            <w:vAlign w:val="center"/>
          </w:tcPr>
          <w:p w14:paraId="29E84ED7">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技术要求</w:t>
            </w:r>
          </w:p>
        </w:tc>
        <w:tc>
          <w:tcPr>
            <w:tcW w:w="405" w:type="pct"/>
            <w:noWrap w:val="0"/>
            <w:vAlign w:val="center"/>
          </w:tcPr>
          <w:p w14:paraId="62C1EDA1">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单位</w:t>
            </w:r>
          </w:p>
        </w:tc>
        <w:tc>
          <w:tcPr>
            <w:tcW w:w="405" w:type="pct"/>
            <w:noWrap w:val="0"/>
            <w:vAlign w:val="center"/>
          </w:tcPr>
          <w:p w14:paraId="52183793">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数量</w:t>
            </w:r>
          </w:p>
        </w:tc>
        <w:tc>
          <w:tcPr>
            <w:tcW w:w="405" w:type="pct"/>
            <w:noWrap w:val="0"/>
            <w:vAlign w:val="center"/>
          </w:tcPr>
          <w:p w14:paraId="120021DD">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产地</w:t>
            </w:r>
          </w:p>
        </w:tc>
      </w:tr>
      <w:tr w14:paraId="39E21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noWrap w:val="0"/>
            <w:vAlign w:val="center"/>
          </w:tcPr>
          <w:p w14:paraId="7D2E1C6F">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2</w:t>
            </w:r>
          </w:p>
        </w:tc>
        <w:tc>
          <w:tcPr>
            <w:tcW w:w="676" w:type="pct"/>
            <w:noWrap w:val="0"/>
            <w:vAlign w:val="center"/>
          </w:tcPr>
          <w:p w14:paraId="514D022C">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教学实践平台-实验模块</w:t>
            </w:r>
          </w:p>
        </w:tc>
        <w:tc>
          <w:tcPr>
            <w:tcW w:w="2700" w:type="pct"/>
            <w:tcBorders>
              <w:top w:val="single" w:color="auto" w:sz="4" w:space="0"/>
              <w:left w:val="single" w:color="auto" w:sz="4" w:space="0"/>
              <w:bottom w:val="single" w:color="auto" w:sz="4" w:space="0"/>
              <w:right w:val="single" w:color="auto" w:sz="4" w:space="0"/>
            </w:tcBorders>
            <w:noWrap w:val="0"/>
            <w:vAlign w:val="center"/>
          </w:tcPr>
          <w:p w14:paraId="09B4C0EF">
            <w:pPr>
              <w:widowControl/>
              <w:jc w:val="left"/>
              <w:rPr>
                <w:rFonts w:hint="eastAsia" w:ascii="宋体" w:hAnsi="宋体" w:cs="宋体"/>
                <w:b/>
                <w:color w:val="auto"/>
                <w:kern w:val="0"/>
                <w:szCs w:val="21"/>
                <w:highlight w:val="none"/>
              </w:rPr>
            </w:pPr>
            <w:r>
              <w:rPr>
                <w:rFonts w:hint="eastAsia" w:ascii="宋体" w:hAnsi="宋体" w:cs="宋体"/>
                <w:b/>
                <w:color w:val="auto"/>
                <w:kern w:val="0"/>
                <w:szCs w:val="21"/>
                <w:highlight w:val="none"/>
              </w:rPr>
              <w:t>课程实验功能</w:t>
            </w:r>
          </w:p>
          <w:p w14:paraId="765B51B5">
            <w:pPr>
              <w:widowControl/>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▲1.提供国产化操作系统安装包，支持在国产化操作系统中进行基本命令操作、文件与目录操作、文本操作、软件管理操作及服务管理操作。【需提供功能截图，交付功能要与截图示例相同】</w:t>
            </w:r>
          </w:p>
          <w:p w14:paraId="17BB6A41">
            <w:pPr>
              <w:widowControl/>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▲2.</w:t>
            </w:r>
            <w:r>
              <w:rPr>
                <w:rFonts w:hint="eastAsia" w:ascii="宋体" w:hAnsi="宋体"/>
                <w:color w:val="auto"/>
                <w:szCs w:val="21"/>
                <w:highlight w:val="none"/>
              </w:rPr>
              <w:t xml:space="preserve"> </w:t>
            </w:r>
            <w:r>
              <w:rPr>
                <w:rFonts w:hint="eastAsia" w:ascii="宋体" w:hAnsi="宋体" w:cs="宋体"/>
                <w:color w:val="auto"/>
                <w:kern w:val="0"/>
                <w:szCs w:val="21"/>
                <w:highlight w:val="none"/>
              </w:rPr>
              <w:t>支持基于国产化操作系统进行轻量级容器引擎、轻量级虚拟化平台及数据库等安装部署与应用。【需提供功能截图，交付功能要与截图示例相同】</w:t>
            </w:r>
          </w:p>
          <w:p w14:paraId="4376012F">
            <w:pPr>
              <w:widowControl/>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▲3.提供国产化数据库安装包，支持国产化数据库的安装与配置操作。【需提供功能截图，交付功能要与截图示例相同】</w:t>
            </w:r>
          </w:p>
          <w:p w14:paraId="3AA1423B">
            <w:pPr>
              <w:widowControl/>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▲4.支持对国产化数据库进行对象创建、高级查询、安全管理、备份恢复及迁移实战等实验操作。【需提供功能截图，交付功能要与截图示例相同】</w:t>
            </w:r>
          </w:p>
          <w:p w14:paraId="0876A367">
            <w:pPr>
              <w:widowControl/>
              <w:jc w:val="left"/>
              <w:rPr>
                <w:rFonts w:hint="eastAsia" w:ascii="宋体" w:hAnsi="宋体" w:cs="宋体"/>
                <w:b/>
                <w:color w:val="auto"/>
                <w:kern w:val="0"/>
                <w:szCs w:val="21"/>
                <w:highlight w:val="none"/>
              </w:rPr>
            </w:pPr>
            <w:r>
              <w:rPr>
                <w:rFonts w:hint="eastAsia" w:ascii="宋体" w:hAnsi="宋体" w:cs="宋体"/>
                <w:b/>
                <w:color w:val="auto"/>
                <w:kern w:val="0"/>
                <w:szCs w:val="21"/>
                <w:highlight w:val="none"/>
              </w:rPr>
              <w:t>实验环境管理</w:t>
            </w:r>
          </w:p>
          <w:p w14:paraId="65D99375">
            <w:pPr>
              <w:widowControl/>
              <w:jc w:val="left"/>
              <w:rPr>
                <w:rFonts w:hint="eastAsia" w:ascii="宋体" w:hAnsi="宋体" w:cs="宋体"/>
                <w:color w:val="auto"/>
                <w:kern w:val="0"/>
                <w:szCs w:val="21"/>
                <w:highlight w:val="none"/>
              </w:rPr>
            </w:pPr>
            <w:r>
              <w:rPr>
                <w:rFonts w:ascii="宋体" w:hAnsi="宋体" w:cs="宋体"/>
                <w:color w:val="auto"/>
                <w:kern w:val="0"/>
                <w:szCs w:val="21"/>
                <w:highlight w:val="none"/>
              </w:rPr>
              <w:t>5</w:t>
            </w:r>
            <w:r>
              <w:rPr>
                <w:rFonts w:hint="eastAsia" w:ascii="宋体" w:hAnsi="宋体" w:cs="宋体"/>
                <w:color w:val="auto"/>
                <w:kern w:val="0"/>
                <w:szCs w:val="21"/>
                <w:highlight w:val="none"/>
              </w:rPr>
              <w:t>.支持从课程进入实验，并通过桌面云形式进入平台实验操作区。</w:t>
            </w:r>
          </w:p>
          <w:p w14:paraId="301344C4">
            <w:pPr>
              <w:widowControl/>
              <w:jc w:val="left"/>
              <w:rPr>
                <w:rFonts w:hint="eastAsia" w:ascii="宋体" w:hAnsi="宋体" w:cs="宋体"/>
                <w:color w:val="auto"/>
                <w:kern w:val="0"/>
                <w:szCs w:val="21"/>
                <w:highlight w:val="none"/>
              </w:rPr>
            </w:pPr>
            <w:r>
              <w:rPr>
                <w:rFonts w:ascii="宋体" w:hAnsi="宋体" w:cs="宋体"/>
                <w:color w:val="auto"/>
                <w:kern w:val="0"/>
                <w:szCs w:val="21"/>
                <w:highlight w:val="none"/>
              </w:rPr>
              <w:t>6</w:t>
            </w:r>
            <w:r>
              <w:rPr>
                <w:rFonts w:hint="eastAsia" w:ascii="宋体" w:hAnsi="宋体" w:cs="宋体"/>
                <w:color w:val="auto"/>
                <w:kern w:val="0"/>
                <w:szCs w:val="21"/>
                <w:highlight w:val="none"/>
              </w:rPr>
              <w:t>.支持通过平台连接物理服务器：进入虚拟桌面，通过ssh命令，连接物理服务器或虚拟机。</w:t>
            </w:r>
          </w:p>
          <w:p w14:paraId="14F4BAEC">
            <w:pPr>
              <w:widowControl/>
              <w:jc w:val="left"/>
              <w:rPr>
                <w:rFonts w:hint="eastAsia" w:ascii="宋体" w:hAnsi="宋体" w:cs="宋体"/>
                <w:color w:val="auto"/>
                <w:kern w:val="0"/>
                <w:szCs w:val="21"/>
                <w:highlight w:val="none"/>
              </w:rPr>
            </w:pPr>
            <w:r>
              <w:rPr>
                <w:rFonts w:ascii="宋体" w:hAnsi="宋体" w:cs="宋体"/>
                <w:color w:val="auto"/>
                <w:kern w:val="0"/>
                <w:szCs w:val="21"/>
                <w:highlight w:val="none"/>
              </w:rPr>
              <w:t>7</w:t>
            </w:r>
            <w:r>
              <w:rPr>
                <w:rFonts w:hint="eastAsia" w:ascii="宋体" w:hAnsi="宋体" w:cs="宋体"/>
                <w:color w:val="auto"/>
                <w:kern w:val="0"/>
                <w:szCs w:val="21"/>
                <w:highlight w:val="none"/>
              </w:rPr>
              <w:t>.支持通过yum方式一键下载实验所需安装包、固定软件版本及课程教学版本。</w:t>
            </w:r>
          </w:p>
          <w:p w14:paraId="7CE0A36F">
            <w:pPr>
              <w:widowControl/>
              <w:jc w:val="left"/>
              <w:rPr>
                <w:rFonts w:hint="eastAsia" w:ascii="宋体" w:hAnsi="宋体" w:cs="宋体"/>
                <w:color w:val="auto"/>
                <w:kern w:val="0"/>
                <w:szCs w:val="21"/>
                <w:highlight w:val="none"/>
              </w:rPr>
            </w:pPr>
            <w:r>
              <w:rPr>
                <w:rFonts w:ascii="宋体" w:hAnsi="宋体" w:cs="宋体"/>
                <w:color w:val="auto"/>
                <w:kern w:val="0"/>
                <w:szCs w:val="21"/>
                <w:highlight w:val="none"/>
              </w:rPr>
              <w:t>8</w:t>
            </w:r>
            <w:r>
              <w:rPr>
                <w:rFonts w:hint="eastAsia" w:ascii="宋体" w:hAnsi="宋体" w:cs="宋体"/>
                <w:color w:val="auto"/>
                <w:kern w:val="0"/>
                <w:szCs w:val="21"/>
                <w:highlight w:val="none"/>
              </w:rPr>
              <w:t>.支持用户对实验环境进行开机、关机操作。</w:t>
            </w:r>
          </w:p>
          <w:p w14:paraId="7218C259">
            <w:pPr>
              <w:widowControl/>
              <w:jc w:val="left"/>
              <w:rPr>
                <w:rFonts w:hint="eastAsia" w:ascii="宋体" w:hAnsi="宋体" w:cs="宋体"/>
                <w:color w:val="auto"/>
                <w:kern w:val="0"/>
                <w:szCs w:val="21"/>
                <w:highlight w:val="none"/>
              </w:rPr>
            </w:pPr>
            <w:r>
              <w:rPr>
                <w:rFonts w:ascii="宋体" w:hAnsi="宋体" w:cs="宋体"/>
                <w:color w:val="auto"/>
                <w:kern w:val="0"/>
                <w:szCs w:val="21"/>
                <w:highlight w:val="none"/>
              </w:rPr>
              <w:t>9</w:t>
            </w:r>
            <w:r>
              <w:rPr>
                <w:rFonts w:hint="eastAsia" w:ascii="宋体" w:hAnsi="宋体" w:cs="宋体"/>
                <w:color w:val="auto"/>
                <w:kern w:val="0"/>
                <w:szCs w:val="21"/>
                <w:highlight w:val="none"/>
              </w:rPr>
              <w:t>.支持查看Markdown实验指导书；支持查看1-5个文档实验指导书；支持1-3个实验指导视频；</w:t>
            </w:r>
            <w:r>
              <w:rPr>
                <w:rFonts w:ascii="宋体" w:hAnsi="宋体" w:cs="宋体"/>
                <w:color w:val="auto"/>
                <w:kern w:val="0"/>
                <w:szCs w:val="21"/>
                <w:highlight w:val="none"/>
              </w:rPr>
              <w:t xml:space="preserve"> </w:t>
            </w:r>
          </w:p>
          <w:p w14:paraId="03377E59">
            <w:pPr>
              <w:widowControl/>
              <w:jc w:val="left"/>
              <w:rPr>
                <w:rFonts w:hint="eastAsia" w:ascii="宋体" w:hAnsi="宋体" w:cs="宋体"/>
                <w:color w:val="auto"/>
                <w:kern w:val="0"/>
                <w:szCs w:val="21"/>
                <w:highlight w:val="none"/>
              </w:rPr>
            </w:pPr>
            <w:r>
              <w:rPr>
                <w:rFonts w:ascii="宋体" w:hAnsi="宋体" w:cs="宋体"/>
                <w:color w:val="auto"/>
                <w:kern w:val="0"/>
                <w:szCs w:val="21"/>
                <w:highlight w:val="none"/>
              </w:rPr>
              <w:t>10</w:t>
            </w:r>
            <w:r>
              <w:rPr>
                <w:rFonts w:hint="eastAsia" w:ascii="宋体" w:hAnsi="宋体" w:cs="宋体"/>
                <w:color w:val="auto"/>
                <w:kern w:val="0"/>
                <w:szCs w:val="21"/>
                <w:highlight w:val="none"/>
              </w:rPr>
              <w:t>.支持用户结束实验，</w:t>
            </w:r>
            <w:r>
              <w:rPr>
                <w:rFonts w:hint="eastAsia" w:ascii="宋体" w:hAnsi="宋体" w:cs="宋体"/>
                <w:color w:val="auto"/>
                <w:szCs w:val="21"/>
                <w:highlight w:val="none"/>
              </w:rPr>
              <w:t>生成并提交</w:t>
            </w:r>
            <w:r>
              <w:rPr>
                <w:rFonts w:hint="eastAsia" w:ascii="宋体" w:hAnsi="宋体" w:cs="宋体"/>
                <w:color w:val="auto"/>
                <w:kern w:val="0"/>
                <w:szCs w:val="21"/>
                <w:highlight w:val="none"/>
              </w:rPr>
              <w:t>实验报告，实验报告包含实验时长、实验过程截图等。</w:t>
            </w:r>
          </w:p>
          <w:p w14:paraId="1EF0C56A">
            <w:pPr>
              <w:pStyle w:val="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textAlignment w:val="center"/>
              <w:rPr>
                <w:rFonts w:hint="eastAsia" w:ascii="宋体" w:hAnsi="宋体" w:cs="宋体"/>
                <w:color w:val="auto"/>
                <w:kern w:val="0"/>
                <w:szCs w:val="21"/>
                <w:highlight w:val="none"/>
              </w:rPr>
            </w:pPr>
            <w:r>
              <w:rPr>
                <w:rFonts w:ascii="宋体" w:hAnsi="宋体" w:cs="宋体"/>
                <w:color w:val="auto"/>
                <w:kern w:val="0"/>
                <w:szCs w:val="21"/>
                <w:highlight w:val="none"/>
              </w:rPr>
              <w:t>11</w:t>
            </w:r>
            <w:r>
              <w:rPr>
                <w:rFonts w:hint="eastAsia" w:ascii="宋体" w:hAnsi="宋体" w:cs="宋体"/>
                <w:color w:val="auto"/>
                <w:kern w:val="0"/>
                <w:szCs w:val="21"/>
                <w:highlight w:val="none"/>
              </w:rPr>
              <w:t>.支持教师查看学生提交的实验报告，并对实验报告进行评分。</w:t>
            </w:r>
          </w:p>
          <w:p w14:paraId="43AD7D6C">
            <w:pPr>
              <w:widowControl/>
              <w:jc w:val="left"/>
              <w:rPr>
                <w:rFonts w:hint="eastAsia" w:ascii="宋体" w:hAnsi="宋体" w:cs="宋体"/>
                <w:b/>
                <w:color w:val="auto"/>
                <w:kern w:val="0"/>
                <w:szCs w:val="21"/>
                <w:highlight w:val="none"/>
              </w:rPr>
            </w:pPr>
            <w:r>
              <w:rPr>
                <w:rFonts w:hint="eastAsia" w:ascii="宋体" w:hAnsi="宋体" w:cs="宋体"/>
                <w:b/>
                <w:color w:val="auto"/>
                <w:kern w:val="0"/>
                <w:szCs w:val="21"/>
                <w:highlight w:val="none"/>
              </w:rPr>
              <w:t>课程资源包</w:t>
            </w:r>
          </w:p>
          <w:p w14:paraId="35ED291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《国产操作系统管理》：</w:t>
            </w:r>
          </w:p>
          <w:p w14:paraId="5444F0F8">
            <w:pPr>
              <w:widowControl/>
              <w:rPr>
                <w:rFonts w:hint="eastAsia" w:ascii="宋体" w:hAnsi="宋体" w:cs="宋体"/>
                <w:color w:val="auto"/>
                <w:szCs w:val="21"/>
                <w:highlight w:val="none"/>
              </w:rPr>
            </w:pPr>
            <w:r>
              <w:rPr>
                <w:rFonts w:hint="eastAsia" w:ascii="宋体" w:hAnsi="宋体" w:cs="宋体"/>
                <w:color w:val="auto"/>
                <w:szCs w:val="21"/>
                <w:highlight w:val="none"/>
              </w:rPr>
              <w:t>1、配套资料：配置《国产操作系统管理》理论PPT和实验手册。具体数量不少于：1</w:t>
            </w:r>
            <w:r>
              <w:rPr>
                <w:rFonts w:ascii="宋体" w:hAnsi="宋体" w:cs="宋体"/>
                <w:color w:val="auto"/>
                <w:szCs w:val="21"/>
                <w:highlight w:val="none"/>
              </w:rPr>
              <w:t>0</w:t>
            </w:r>
            <w:r>
              <w:rPr>
                <w:rFonts w:hint="eastAsia" w:ascii="宋体" w:hAnsi="宋体" w:cs="宋体"/>
                <w:color w:val="auto"/>
                <w:szCs w:val="21"/>
                <w:highlight w:val="none"/>
              </w:rPr>
              <w:t>份文档PPT，3</w:t>
            </w:r>
            <w:r>
              <w:rPr>
                <w:rFonts w:ascii="宋体" w:hAnsi="宋体" w:cs="宋体"/>
                <w:color w:val="auto"/>
                <w:szCs w:val="21"/>
                <w:highlight w:val="none"/>
              </w:rPr>
              <w:t>0</w:t>
            </w:r>
            <w:r>
              <w:rPr>
                <w:rFonts w:hint="eastAsia" w:ascii="宋体" w:hAnsi="宋体" w:cs="宋体"/>
                <w:color w:val="auto"/>
                <w:szCs w:val="21"/>
                <w:highlight w:val="none"/>
              </w:rPr>
              <w:t>个实验手册；该课程配套的相关资源支持在平台上进行观看，支持实验操作。</w:t>
            </w:r>
          </w:p>
          <w:p w14:paraId="6AB445E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szCs w:val="21"/>
                <w:highlight w:val="none"/>
              </w:rPr>
            </w:pPr>
            <w:r>
              <w:rPr>
                <w:rFonts w:hint="eastAsia" w:ascii="宋体" w:hAnsi="宋体" w:cs="宋体"/>
                <w:color w:val="auto"/>
                <w:szCs w:val="21"/>
                <w:highlight w:val="none"/>
              </w:rPr>
              <w:t>2、包括但不限于以下知识点或实验：国产操作系统入门、国产轻量级容器的应用、国产轻量级虚拟化技术应用、国产中间件的应用、国产编译器应用开发和部署、国产化性能调优。</w:t>
            </w:r>
          </w:p>
          <w:p w14:paraId="4980924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《国产数据库管理》：</w:t>
            </w:r>
          </w:p>
          <w:p w14:paraId="6D82B260">
            <w:pPr>
              <w:widowControl/>
              <w:rPr>
                <w:rFonts w:hint="eastAsia" w:ascii="宋体" w:hAnsi="宋体" w:cs="宋体"/>
                <w:color w:val="auto"/>
                <w:szCs w:val="21"/>
                <w:highlight w:val="none"/>
              </w:rPr>
            </w:pPr>
            <w:r>
              <w:rPr>
                <w:rFonts w:hint="eastAsia" w:ascii="宋体" w:hAnsi="宋体" w:cs="宋体"/>
                <w:color w:val="auto"/>
                <w:szCs w:val="21"/>
                <w:highlight w:val="none"/>
              </w:rPr>
              <w:t>1、配套资料：配置《国产数据库管理》理论PPT和实验手册。具体数量不少于：</w:t>
            </w:r>
            <w:r>
              <w:rPr>
                <w:rFonts w:ascii="宋体" w:hAnsi="宋体" w:cs="宋体"/>
                <w:color w:val="auto"/>
                <w:szCs w:val="21"/>
                <w:highlight w:val="none"/>
              </w:rPr>
              <w:t>15</w:t>
            </w:r>
            <w:r>
              <w:rPr>
                <w:rFonts w:hint="eastAsia" w:ascii="宋体" w:hAnsi="宋体" w:cs="宋体"/>
                <w:color w:val="auto"/>
                <w:szCs w:val="21"/>
                <w:highlight w:val="none"/>
              </w:rPr>
              <w:t>份文档PPT，</w:t>
            </w:r>
            <w:r>
              <w:rPr>
                <w:rFonts w:ascii="宋体" w:hAnsi="宋体" w:cs="宋体"/>
                <w:color w:val="auto"/>
                <w:szCs w:val="21"/>
                <w:highlight w:val="none"/>
              </w:rPr>
              <w:t>10</w:t>
            </w:r>
            <w:r>
              <w:rPr>
                <w:rFonts w:hint="eastAsia" w:ascii="宋体" w:hAnsi="宋体" w:cs="宋体"/>
                <w:color w:val="auto"/>
                <w:szCs w:val="21"/>
                <w:highlight w:val="none"/>
              </w:rPr>
              <w:t>个实验手册；该课程配套的相关资源支持在平台上进行观看，支持实验操作。</w:t>
            </w:r>
          </w:p>
          <w:p w14:paraId="639665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textAlignment w:val="center"/>
              <w:rPr>
                <w:rFonts w:hint="eastAsia" w:ascii="宋体" w:hAnsi="宋体" w:cs="宋体"/>
                <w:color w:val="auto"/>
                <w:szCs w:val="21"/>
                <w:highlight w:val="none"/>
              </w:rPr>
            </w:pPr>
            <w:r>
              <w:rPr>
                <w:rFonts w:hint="eastAsia" w:ascii="宋体" w:hAnsi="宋体" w:cs="宋体"/>
                <w:color w:val="auto"/>
                <w:szCs w:val="21"/>
                <w:highlight w:val="none"/>
              </w:rPr>
              <w:t>2、包括但不限于以下知识点或实验：基于国产数据库的商品销售系统的开发准备、基于国产数据库的商品销售系统的数据库设计、基于国产数据库的商品销售系统的数据管理、国产数据库管理、国产数据库备份恢复、国产数据库迁移、基于国产数据库的竞赛项目管理系统的开发、基于国产数据库的竞赛项目管理系统的部署和运维。</w:t>
            </w:r>
          </w:p>
          <w:p w14:paraId="10C55D7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w:t>
            </w:r>
            <w:r>
              <w:rPr>
                <w:rFonts w:hint="eastAsia" w:ascii="宋体" w:hAnsi="宋体" w:cs="宋体"/>
                <w:color w:val="auto"/>
                <w:szCs w:val="21"/>
                <w:highlight w:val="none"/>
              </w:rPr>
              <w:t>国产开发技术与应用</w:t>
            </w:r>
            <w:r>
              <w:rPr>
                <w:rFonts w:hint="eastAsia" w:ascii="宋体" w:hAnsi="宋体" w:cs="宋体"/>
                <w:color w:val="auto"/>
                <w:kern w:val="0"/>
                <w:szCs w:val="21"/>
                <w:highlight w:val="none"/>
                <w:lang w:bidi="ar"/>
              </w:rPr>
              <w:t>》：</w:t>
            </w:r>
          </w:p>
          <w:p w14:paraId="34A80FE8">
            <w:pPr>
              <w:widowControl/>
              <w:rPr>
                <w:rFonts w:hint="eastAsia" w:ascii="宋体" w:hAnsi="宋体" w:cs="宋体"/>
                <w:color w:val="auto"/>
                <w:szCs w:val="21"/>
                <w:highlight w:val="none"/>
              </w:rPr>
            </w:pPr>
            <w:r>
              <w:rPr>
                <w:rFonts w:hint="eastAsia" w:ascii="宋体" w:hAnsi="宋体" w:cs="宋体"/>
                <w:color w:val="auto"/>
                <w:szCs w:val="21"/>
                <w:highlight w:val="none"/>
              </w:rPr>
              <w:t>1、配套资料：配置《国产开发技术与应用》理论PPT和实验手册。具体数量不少于：</w:t>
            </w:r>
            <w:r>
              <w:rPr>
                <w:rFonts w:ascii="宋体" w:hAnsi="宋体" w:cs="宋体"/>
                <w:color w:val="auto"/>
                <w:szCs w:val="21"/>
                <w:highlight w:val="none"/>
              </w:rPr>
              <w:t>5</w:t>
            </w:r>
            <w:r>
              <w:rPr>
                <w:rFonts w:hint="eastAsia" w:ascii="宋体" w:hAnsi="宋体" w:cs="宋体"/>
                <w:color w:val="auto"/>
                <w:szCs w:val="21"/>
                <w:highlight w:val="none"/>
              </w:rPr>
              <w:t>份文档PPT，</w:t>
            </w:r>
            <w:r>
              <w:rPr>
                <w:rFonts w:ascii="宋体" w:hAnsi="宋体" w:cs="宋体"/>
                <w:color w:val="auto"/>
                <w:szCs w:val="21"/>
                <w:highlight w:val="none"/>
              </w:rPr>
              <w:t>5</w:t>
            </w:r>
            <w:r>
              <w:rPr>
                <w:rFonts w:hint="eastAsia" w:ascii="宋体" w:hAnsi="宋体" w:cs="宋体"/>
                <w:color w:val="auto"/>
                <w:szCs w:val="21"/>
                <w:highlight w:val="none"/>
              </w:rPr>
              <w:t>个实验手册；该课程配套的相关资源支持在平台上进行观看，支持实验操作。</w:t>
            </w:r>
          </w:p>
          <w:p w14:paraId="7BB4352D">
            <w:pPr>
              <w:rPr>
                <w:rFonts w:hint="eastAsia"/>
                <w:color w:val="auto"/>
                <w:highlight w:val="none"/>
              </w:rPr>
            </w:pPr>
            <w:r>
              <w:rPr>
                <w:rFonts w:hint="eastAsia" w:ascii="宋体" w:hAnsi="宋体" w:cs="宋体"/>
                <w:color w:val="auto"/>
                <w:szCs w:val="21"/>
                <w:highlight w:val="none"/>
              </w:rPr>
              <w:t>2、包括但不限于以下知识点或实验：DevOps的工具链以及DevOps流水线，工具链使用、版本控制Gitlab安装及实践、Jenkins流水线pipeline语法、Gitlab及Jenkins发布实践、持续集成、交付，并通过实操进一步巩固了如何基于Jenkins Pipeline做DevOps实践。</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5E8C74E8">
            <w:pPr>
              <w:widowControl/>
              <w:spacing w:line="0" w:lineRule="atLeast"/>
              <w:jc w:val="center"/>
              <w:textAlignment w:val="center"/>
              <w:rPr>
                <w:rFonts w:hint="eastAsia" w:ascii="宋体" w:hAnsi="宋体" w:cs="宋体"/>
                <w:color w:val="auto"/>
                <w:szCs w:val="21"/>
                <w:highlight w:val="none"/>
              </w:rPr>
            </w:pPr>
            <w:r>
              <w:rPr>
                <w:rFonts w:hint="eastAsia" w:ascii="宋体" w:hAnsi="宋体" w:cs="宋体"/>
                <w:color w:val="auto"/>
                <w:szCs w:val="21"/>
                <w:highlight w:val="none"/>
              </w:rPr>
              <w:t>套</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6B329882">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w:t>
            </w:r>
          </w:p>
        </w:tc>
        <w:tc>
          <w:tcPr>
            <w:tcW w:w="405" w:type="pct"/>
            <w:tcBorders>
              <w:top w:val="single" w:color="auto" w:sz="4" w:space="0"/>
              <w:left w:val="single" w:color="auto" w:sz="4" w:space="0"/>
              <w:bottom w:val="single" w:color="auto" w:sz="4" w:space="0"/>
              <w:right w:val="single" w:color="auto" w:sz="4" w:space="0"/>
            </w:tcBorders>
            <w:noWrap w:val="0"/>
            <w:vAlign w:val="center"/>
          </w:tcPr>
          <w:p w14:paraId="2AF8E3A2">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国产</w:t>
            </w:r>
          </w:p>
        </w:tc>
      </w:tr>
    </w:tbl>
    <w:p w14:paraId="0A12FA80">
      <w:pPr>
        <w:spacing w:line="360" w:lineRule="auto"/>
        <w:jc w:val="left"/>
        <w:rPr>
          <w:rFonts w:ascii="宋体" w:hAnsi="宋体"/>
          <w:color w:val="auto"/>
          <w:sz w:val="24"/>
          <w:highlight w:val="none"/>
        </w:rPr>
      </w:pPr>
      <w:r>
        <w:rPr>
          <w:rFonts w:ascii="宋体" w:hAnsi="宋体"/>
          <w:color w:val="auto"/>
          <w:sz w:val="24"/>
          <w:highlight w:val="none"/>
        </w:rPr>
        <w:t>说明：“▲”处为主要产品功能体现，不属于废标项，仅作为加分项进行评判</w:t>
      </w:r>
    </w:p>
    <w:p w14:paraId="3647A4C0">
      <w:pPr>
        <w:spacing w:line="360" w:lineRule="auto"/>
        <w:jc w:val="left"/>
        <w:rPr>
          <w:rFonts w:ascii="宋体" w:hAnsi="宋体"/>
          <w:color w:val="auto"/>
          <w:sz w:val="24"/>
          <w:highlight w:val="none"/>
        </w:rPr>
      </w:pPr>
    </w:p>
    <w:p w14:paraId="124461A5">
      <w:pPr>
        <w:spacing w:line="360" w:lineRule="auto"/>
        <w:rPr>
          <w:rFonts w:hint="eastAsia" w:ascii="宋体" w:hAnsi="宋体"/>
          <w:color w:val="auto"/>
          <w:sz w:val="24"/>
          <w:highlight w:val="none"/>
        </w:rPr>
      </w:pPr>
      <w:r>
        <w:rPr>
          <w:rFonts w:hint="eastAsia" w:ascii="宋体" w:hAnsi="宋体"/>
          <w:color w:val="auto"/>
          <w:sz w:val="24"/>
          <w:highlight w:val="none"/>
        </w:rPr>
        <w:br w:type="page"/>
      </w:r>
      <w:r>
        <w:rPr>
          <w:rFonts w:hint="eastAsia" w:ascii="宋体" w:hAnsi="宋体"/>
          <w:color w:val="auto"/>
          <w:sz w:val="24"/>
          <w:highlight w:val="none"/>
        </w:rPr>
        <w:t>附件5：包3-家具技术要求—教学、实验用桌</w:t>
      </w:r>
    </w:p>
    <w:tbl>
      <w:tblPr>
        <w:tblStyle w:val="12"/>
        <w:tblpPr w:leftFromText="180" w:rightFromText="180" w:vertAnchor="text" w:horzAnchor="page" w:tblpXSpec="center" w:tblpY="334"/>
        <w:tblOverlap w:val="never"/>
        <w:tblW w:w="488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1126"/>
        <w:gridCol w:w="4537"/>
        <w:gridCol w:w="658"/>
        <w:gridCol w:w="668"/>
        <w:gridCol w:w="668"/>
      </w:tblGrid>
      <w:tr w14:paraId="6A049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400" w:type="pct"/>
            <w:noWrap w:val="0"/>
            <w:vAlign w:val="center"/>
          </w:tcPr>
          <w:p w14:paraId="65CF0065">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序号</w:t>
            </w:r>
          </w:p>
        </w:tc>
        <w:tc>
          <w:tcPr>
            <w:tcW w:w="676" w:type="pct"/>
            <w:noWrap w:val="0"/>
            <w:vAlign w:val="center"/>
          </w:tcPr>
          <w:p w14:paraId="2A4D1664">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产品</w:t>
            </w:r>
          </w:p>
          <w:p w14:paraId="53D0977C">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类型</w:t>
            </w:r>
          </w:p>
        </w:tc>
        <w:tc>
          <w:tcPr>
            <w:tcW w:w="2724" w:type="pct"/>
            <w:tcBorders>
              <w:bottom w:val="single" w:color="auto" w:sz="4" w:space="0"/>
            </w:tcBorders>
            <w:noWrap w:val="0"/>
            <w:vAlign w:val="center"/>
          </w:tcPr>
          <w:p w14:paraId="5A35E8E2">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技术要求</w:t>
            </w:r>
          </w:p>
        </w:tc>
        <w:tc>
          <w:tcPr>
            <w:tcW w:w="395" w:type="pct"/>
            <w:noWrap w:val="0"/>
            <w:vAlign w:val="center"/>
          </w:tcPr>
          <w:p w14:paraId="43739862">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单位</w:t>
            </w:r>
          </w:p>
        </w:tc>
        <w:tc>
          <w:tcPr>
            <w:tcW w:w="401" w:type="pct"/>
            <w:noWrap w:val="0"/>
            <w:vAlign w:val="center"/>
          </w:tcPr>
          <w:p w14:paraId="33F3475D">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数量</w:t>
            </w:r>
          </w:p>
        </w:tc>
        <w:tc>
          <w:tcPr>
            <w:tcW w:w="401" w:type="pct"/>
            <w:noWrap w:val="0"/>
            <w:vAlign w:val="center"/>
          </w:tcPr>
          <w:p w14:paraId="3A4B3172">
            <w:pPr>
              <w:spacing w:line="0" w:lineRule="atLeast"/>
              <w:jc w:val="center"/>
              <w:rPr>
                <w:rFonts w:hint="eastAsia" w:ascii="宋体" w:hAnsi="宋体" w:cs="宋体"/>
                <w:b/>
                <w:bCs/>
                <w:color w:val="auto"/>
                <w:szCs w:val="21"/>
                <w:highlight w:val="none"/>
              </w:rPr>
            </w:pPr>
            <w:r>
              <w:rPr>
                <w:rFonts w:hint="eastAsia" w:ascii="宋体" w:hAnsi="宋体" w:cs="宋体"/>
                <w:b/>
                <w:bCs/>
                <w:color w:val="auto"/>
                <w:szCs w:val="21"/>
                <w:highlight w:val="none"/>
              </w:rPr>
              <w:t>产地</w:t>
            </w:r>
          </w:p>
        </w:tc>
      </w:tr>
      <w:tr w14:paraId="17D3B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78" w:hRule="atLeast"/>
          <w:jc w:val="center"/>
        </w:trPr>
        <w:tc>
          <w:tcPr>
            <w:tcW w:w="400" w:type="pct"/>
            <w:noWrap w:val="0"/>
            <w:vAlign w:val="center"/>
          </w:tcPr>
          <w:p w14:paraId="7A857B07">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w:t>
            </w:r>
          </w:p>
        </w:tc>
        <w:tc>
          <w:tcPr>
            <w:tcW w:w="676" w:type="pct"/>
            <w:noWrap w:val="0"/>
            <w:vAlign w:val="center"/>
          </w:tcPr>
          <w:p w14:paraId="4DDA097E">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rPr>
              <w:t>教学、实验用桌</w:t>
            </w:r>
          </w:p>
        </w:tc>
        <w:tc>
          <w:tcPr>
            <w:tcW w:w="2724" w:type="pct"/>
            <w:tcBorders>
              <w:top w:val="single" w:color="auto" w:sz="4" w:space="0"/>
              <w:left w:val="single" w:color="auto" w:sz="4" w:space="0"/>
              <w:bottom w:val="single" w:color="auto" w:sz="4" w:space="0"/>
              <w:right w:val="single" w:color="auto" w:sz="4" w:space="0"/>
            </w:tcBorders>
            <w:noWrap w:val="0"/>
            <w:vAlign w:val="top"/>
          </w:tcPr>
          <w:p w14:paraId="62422EB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六边形电脑桌</w:t>
            </w:r>
          </w:p>
          <w:p w14:paraId="39856F4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尺寸：外直径2400*高750（边长1200mm)（±5mm）</w:t>
            </w:r>
          </w:p>
          <w:p w14:paraId="57D1642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参数：</w:t>
            </w:r>
          </w:p>
          <w:p w14:paraId="3A2A053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eastAsia="宋体" w:cs="宋体"/>
                <w:color w:val="auto"/>
                <w:kern w:val="0"/>
                <w:szCs w:val="21"/>
                <w:highlight w:val="none"/>
                <w:lang w:bidi="ar"/>
              </w:rPr>
            </w:pPr>
            <w:r>
              <w:rPr>
                <w:rFonts w:hint="eastAsia" w:ascii="宋体" w:hAnsi="宋体" w:cs="宋体"/>
                <w:color w:val="auto"/>
                <w:kern w:val="0"/>
                <w:szCs w:val="21"/>
                <w:highlight w:val="none"/>
                <w:lang w:bidi="ar"/>
              </w:rPr>
              <w:t>1.基</w:t>
            </w:r>
            <w:r>
              <w:rPr>
                <w:rFonts w:hint="eastAsia" w:ascii="宋体" w:hAnsi="宋体" w:eastAsia="宋体" w:cs="宋体"/>
                <w:color w:val="auto"/>
                <w:kern w:val="0"/>
                <w:szCs w:val="21"/>
                <w:highlight w:val="none"/>
                <w:lang w:bidi="ar"/>
              </w:rPr>
              <w:t>材：桌面板采用ENF级饰面刨花板，厚度</w:t>
            </w:r>
            <w:r>
              <w:rPr>
                <w:rFonts w:hint="eastAsia" w:ascii="宋体" w:hAnsi="宋体" w:eastAsia="宋体" w:cs="宋体"/>
                <w:color w:val="auto"/>
                <w:kern w:val="0"/>
                <w:szCs w:val="21"/>
                <w:highlight w:val="none"/>
                <w:lang w:eastAsia="zh-CN" w:bidi="ar"/>
              </w:rPr>
              <w:t>≥</w:t>
            </w:r>
            <w:r>
              <w:rPr>
                <w:rFonts w:hint="eastAsia" w:ascii="宋体" w:hAnsi="宋体" w:eastAsia="宋体" w:cs="宋体"/>
                <w:color w:val="auto"/>
                <w:kern w:val="0"/>
                <w:szCs w:val="21"/>
                <w:highlight w:val="none"/>
                <w:lang w:bidi="ar"/>
              </w:rPr>
              <w:t>25mm</w:t>
            </w:r>
            <w:r>
              <w:rPr>
                <w:rFonts w:hint="eastAsia" w:ascii="宋体" w:hAnsi="宋体" w:eastAsia="宋体" w:cs="宋体"/>
                <w:color w:val="auto"/>
                <w:kern w:val="0"/>
                <w:szCs w:val="21"/>
                <w:highlight w:val="none"/>
                <w:lang w:eastAsia="zh-CN" w:bidi="ar"/>
              </w:rPr>
              <w:t>，</w:t>
            </w:r>
            <w:r>
              <w:rPr>
                <w:rFonts w:hint="eastAsia" w:ascii="宋体" w:hAnsi="宋体" w:eastAsia="宋体" w:cs="宋体"/>
                <w:color w:val="auto"/>
                <w:kern w:val="0"/>
                <w:szCs w:val="21"/>
                <w:highlight w:val="none"/>
                <w:lang w:bidi="ar"/>
              </w:rPr>
              <w:t>甲醛释放量（气候箱法）≤0.025mg/m³，挥发性有机化合物（72h）苯、甲苯、二甲苯检验结果未检出，TVOC≤50μg/m³</w:t>
            </w:r>
          </w:p>
          <w:p w14:paraId="0E0FCB7E">
            <w:pPr>
              <w:numPr>
                <w:ilvl w:val="0"/>
                <w:numId w:val="0"/>
              </w:numPr>
              <w:snapToGrid w:val="0"/>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2.封边条：采用PVC封边条，</w:t>
            </w:r>
            <w:r>
              <w:rPr>
                <w:rFonts w:hint="eastAsia" w:ascii="宋体" w:hAnsi="宋体" w:eastAsia="宋体" w:cs="宋体"/>
                <w:color w:val="auto"/>
                <w:kern w:val="0"/>
                <w:szCs w:val="21"/>
                <w:highlight w:val="none"/>
                <w:lang w:eastAsia="zh-CN" w:bidi="ar"/>
              </w:rPr>
              <w:t>检测依据</w:t>
            </w:r>
            <w:r>
              <w:rPr>
                <w:rFonts w:hint="eastAsia" w:ascii="宋体" w:hAnsi="宋体" w:eastAsia="宋体" w:cs="宋体"/>
                <w:color w:val="auto"/>
                <w:kern w:val="0"/>
                <w:szCs w:val="21"/>
                <w:highlight w:val="none"/>
                <w:lang w:val="en-US" w:eastAsia="zh-CN" w:bidi="ar"/>
              </w:rPr>
              <w:t>QB/T 4463-2013,检测项目包括：耐光色牢度（灰色样卡）≥4级，甲醛释放量标准要求≤1.5mg/L,检测结果未检出，多溴联苯标准要求禁用，检测结果未检出。</w:t>
            </w:r>
          </w:p>
          <w:p w14:paraId="7288AE1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3.五金配件：三合一连接件，外观符合要求。</w:t>
            </w:r>
          </w:p>
          <w:p w14:paraId="1BDD24C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4.框架</w:t>
            </w:r>
            <w:r>
              <w:rPr>
                <w:rFonts w:hint="eastAsia" w:ascii="宋体" w:hAnsi="宋体" w:cs="宋体"/>
                <w:color w:val="auto"/>
                <w:kern w:val="0"/>
                <w:szCs w:val="21"/>
                <w:highlight w:val="none"/>
                <w:lang w:eastAsia="zh-CN" w:bidi="ar"/>
              </w:rPr>
              <w:t>采用</w:t>
            </w:r>
            <w:r>
              <w:rPr>
                <w:rFonts w:hint="eastAsia" w:ascii="宋体" w:hAnsi="宋体" w:cs="宋体"/>
                <w:color w:val="auto"/>
                <w:kern w:val="0"/>
                <w:szCs w:val="21"/>
                <w:highlight w:val="none"/>
                <w:lang w:bidi="ar"/>
              </w:rPr>
              <w:t>喷涂钢管，外观性能要求合格喷白色粉末，表面光滑无明显焊点。</w:t>
            </w:r>
          </w:p>
          <w:p w14:paraId="487DE35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color w:val="auto"/>
                <w:highlight w:val="none"/>
              </w:rPr>
              <w:drawing>
                <wp:anchor distT="0" distB="0" distL="114300" distR="114300" simplePos="0" relativeHeight="251661312" behindDoc="0" locked="0" layoutInCell="1" allowOverlap="1">
                  <wp:simplePos x="0" y="0"/>
                  <wp:positionH relativeFrom="column">
                    <wp:posOffset>140970</wp:posOffset>
                  </wp:positionH>
                  <wp:positionV relativeFrom="paragraph">
                    <wp:posOffset>909320</wp:posOffset>
                  </wp:positionV>
                  <wp:extent cx="2197735" cy="1666875"/>
                  <wp:effectExtent l="0" t="0" r="12065" b="9525"/>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rcRect l="20287" t="25034" r="8369" b="3647"/>
                          <a:stretch>
                            <a:fillRect/>
                          </a:stretch>
                        </pic:blipFill>
                        <pic:spPr>
                          <a:xfrm>
                            <a:off x="0" y="0"/>
                            <a:ext cx="2197735" cy="1666875"/>
                          </a:xfrm>
                          <a:prstGeom prst="rect">
                            <a:avLst/>
                          </a:prstGeom>
                          <a:noFill/>
                          <a:ln>
                            <a:noFill/>
                          </a:ln>
                        </pic:spPr>
                      </pic:pic>
                    </a:graphicData>
                  </a:graphic>
                </wp:anchor>
              </w:drawing>
            </w:r>
            <w:r>
              <w:rPr>
                <w:rFonts w:hint="eastAsia" w:ascii="宋体" w:hAnsi="宋体" w:cs="宋体"/>
                <w:color w:val="auto"/>
                <w:kern w:val="0"/>
                <w:szCs w:val="21"/>
                <w:highlight w:val="none"/>
                <w:lang w:bidi="ar"/>
              </w:rPr>
              <w:t>5.桌面开圆孔方便走线使用，桌下配钢制桌架，表面经喷涂处理，并配置可打开主机存放柜门。</w:t>
            </w:r>
          </w:p>
        </w:tc>
        <w:tc>
          <w:tcPr>
            <w:tcW w:w="395" w:type="pct"/>
            <w:tcBorders>
              <w:top w:val="single" w:color="auto" w:sz="4" w:space="0"/>
              <w:left w:val="single" w:color="auto" w:sz="4" w:space="0"/>
              <w:bottom w:val="single" w:color="auto" w:sz="4" w:space="0"/>
              <w:right w:val="single" w:color="auto" w:sz="4" w:space="0"/>
            </w:tcBorders>
            <w:noWrap w:val="0"/>
            <w:vAlign w:val="center"/>
          </w:tcPr>
          <w:p w14:paraId="1C9678F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张</w:t>
            </w:r>
          </w:p>
        </w:tc>
        <w:tc>
          <w:tcPr>
            <w:tcW w:w="401" w:type="pct"/>
            <w:tcBorders>
              <w:top w:val="single" w:color="auto" w:sz="4" w:space="0"/>
              <w:left w:val="single" w:color="auto" w:sz="4" w:space="0"/>
              <w:bottom w:val="single" w:color="auto" w:sz="4" w:space="0"/>
              <w:right w:val="single" w:color="auto" w:sz="4" w:space="0"/>
            </w:tcBorders>
            <w:noWrap w:val="0"/>
            <w:vAlign w:val="center"/>
          </w:tcPr>
          <w:p w14:paraId="7CD5830A">
            <w:pPr>
              <w:widowControl/>
              <w:spacing w:line="0" w:lineRule="atLeast"/>
              <w:jc w:val="center"/>
              <w:textAlignment w:val="center"/>
              <w:rPr>
                <w:rFonts w:ascii="宋体" w:hAnsi="宋体" w:cs="宋体"/>
                <w:color w:val="auto"/>
                <w:szCs w:val="21"/>
                <w:highlight w:val="none"/>
              </w:rPr>
            </w:pPr>
            <w:r>
              <w:rPr>
                <w:rFonts w:hint="eastAsia" w:ascii="宋体" w:hAnsi="宋体" w:cs="宋体"/>
                <w:color w:val="auto"/>
                <w:szCs w:val="21"/>
                <w:highlight w:val="none"/>
              </w:rPr>
              <w:t>10</w:t>
            </w:r>
          </w:p>
        </w:tc>
        <w:tc>
          <w:tcPr>
            <w:tcW w:w="401" w:type="pct"/>
            <w:tcBorders>
              <w:top w:val="single" w:color="auto" w:sz="4" w:space="0"/>
              <w:left w:val="single" w:color="auto" w:sz="4" w:space="0"/>
              <w:bottom w:val="single" w:color="auto" w:sz="4" w:space="0"/>
              <w:right w:val="single" w:color="auto" w:sz="4" w:space="0"/>
            </w:tcBorders>
            <w:noWrap w:val="0"/>
            <w:vAlign w:val="center"/>
          </w:tcPr>
          <w:p w14:paraId="4637572A">
            <w:pPr>
              <w:widowControl/>
              <w:spacing w:line="0" w:lineRule="atLeast"/>
              <w:jc w:val="center"/>
              <w:textAlignment w:val="center"/>
              <w:rPr>
                <w:rFonts w:hint="eastAsia" w:ascii="宋体" w:hAnsi="宋体" w:cs="宋体"/>
                <w:color w:val="auto"/>
                <w:szCs w:val="21"/>
                <w:highlight w:val="none"/>
              </w:rPr>
            </w:pPr>
            <w:r>
              <w:rPr>
                <w:rFonts w:hint="eastAsia" w:ascii="宋体" w:hAnsi="宋体" w:cs="宋体"/>
                <w:color w:val="auto"/>
                <w:szCs w:val="21"/>
                <w:highlight w:val="none"/>
              </w:rPr>
              <w:t>国产</w:t>
            </w:r>
          </w:p>
        </w:tc>
      </w:tr>
      <w:tr w14:paraId="5CF07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6" w:hRule="atLeast"/>
          <w:jc w:val="center"/>
        </w:trPr>
        <w:tc>
          <w:tcPr>
            <w:tcW w:w="400" w:type="pct"/>
            <w:noWrap w:val="0"/>
            <w:vAlign w:val="center"/>
          </w:tcPr>
          <w:p w14:paraId="68BF8C27">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2</w:t>
            </w:r>
          </w:p>
        </w:tc>
        <w:tc>
          <w:tcPr>
            <w:tcW w:w="676" w:type="pct"/>
            <w:noWrap w:val="0"/>
            <w:vAlign w:val="center"/>
          </w:tcPr>
          <w:p w14:paraId="6811AD00">
            <w:pPr>
              <w:widowControl/>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rPr>
              <w:t>教学、实验用桌</w:t>
            </w:r>
          </w:p>
        </w:tc>
        <w:tc>
          <w:tcPr>
            <w:tcW w:w="2724" w:type="pct"/>
            <w:tcBorders>
              <w:top w:val="single" w:color="auto" w:sz="4" w:space="0"/>
              <w:left w:val="single" w:color="auto" w:sz="4" w:space="0"/>
              <w:bottom w:val="single" w:color="auto" w:sz="4" w:space="0"/>
              <w:right w:val="single" w:color="auto" w:sz="4" w:space="0"/>
            </w:tcBorders>
            <w:noWrap w:val="0"/>
            <w:vAlign w:val="top"/>
          </w:tcPr>
          <w:p w14:paraId="7A55D8C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桌：1050W*596D*750H（±5mm）</w:t>
            </w:r>
          </w:p>
          <w:p w14:paraId="5044EC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柜：600W*700D*1050H（±5mm）</w:t>
            </w:r>
          </w:p>
          <w:p w14:paraId="7B54947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总：1600W*700D*1050H（±5mm）</w:t>
            </w:r>
          </w:p>
          <w:p w14:paraId="10309F4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1.尺寸：W1600*D700*H1050mm（±5mm）</w:t>
            </w:r>
          </w:p>
          <w:p w14:paraId="5582E82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2.材质：刨花板+钢架</w:t>
            </w:r>
          </w:p>
          <w:p w14:paraId="78CEABB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3.工艺：桌面和台面采用</w:t>
            </w:r>
            <w:r>
              <w:rPr>
                <w:rFonts w:hint="eastAsia" w:ascii="宋体" w:hAnsi="宋体" w:cs="宋体"/>
                <w:color w:val="auto"/>
                <w:kern w:val="0"/>
                <w:szCs w:val="21"/>
                <w:highlight w:val="none"/>
                <w:lang w:eastAsia="zh-CN" w:bidi="ar"/>
              </w:rPr>
              <w:t>≥</w:t>
            </w:r>
            <w:r>
              <w:rPr>
                <w:rFonts w:hint="eastAsia" w:ascii="宋体" w:hAnsi="宋体" w:cs="宋体"/>
                <w:color w:val="auto"/>
                <w:kern w:val="0"/>
                <w:szCs w:val="21"/>
                <w:highlight w:val="none"/>
                <w:lang w:bidi="ar"/>
              </w:rPr>
              <w:t>25mm厚环保饰面刨花板，CNC雕刻一体成型，整体板面正负误差在0.3mm以内,PVC同色封边，外侧倒圆角，整体圆润光滑且无任何毛边。钢架尺寸：W965*D645*H725mm（±3mm）</w:t>
            </w:r>
          </w:p>
          <w:p w14:paraId="451F050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4.功能：</w:t>
            </w:r>
          </w:p>
          <w:p w14:paraId="2FECF3E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①隐藏式调节机构，台面翻板下带2个液压支撑杆，可调节倾斜角度（0或13°），方便使用者操作；倾斜桌面配金属活动防滑挡尺，上翻时防止台面上物品掉落。</w:t>
            </w:r>
          </w:p>
          <w:p w14:paraId="0F8396C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②柜体左侧设2个接线口以便强弱电的接入。</w:t>
            </w:r>
          </w:p>
          <w:p w14:paraId="565766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③推弹式单开门柜，内置优质铰链。</w:t>
            </w:r>
          </w:p>
          <w:p w14:paraId="6DD9A44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④桌脚带2个静音刹车轮，轻松实现移动与固定模式相互切换。</w:t>
            </w:r>
          </w:p>
          <w:p w14:paraId="18D6EB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⑤桌面下方设钢制挡板，且表面冲小孔，保护使用户隐私且美观大方。</w:t>
            </w:r>
          </w:p>
          <w:p w14:paraId="07B474D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left"/>
              <w:textAlignment w:val="center"/>
              <w:rPr>
                <w:rFonts w:hint="eastAsia" w:ascii="宋体" w:hAnsi="宋体" w:cs="宋体"/>
                <w:color w:val="auto"/>
                <w:kern w:val="0"/>
                <w:szCs w:val="21"/>
                <w:highlight w:val="none"/>
                <w:lang w:bidi="ar"/>
              </w:rPr>
            </w:pPr>
            <w:r>
              <w:rPr>
                <w:color w:val="auto"/>
                <w:highlight w:val="none"/>
              </w:rPr>
              <w:drawing>
                <wp:anchor distT="0" distB="0" distL="114300" distR="114300" simplePos="0" relativeHeight="251660288" behindDoc="0" locked="0" layoutInCell="1" allowOverlap="1">
                  <wp:simplePos x="0" y="0"/>
                  <wp:positionH relativeFrom="column">
                    <wp:posOffset>387350</wp:posOffset>
                  </wp:positionH>
                  <wp:positionV relativeFrom="paragraph">
                    <wp:posOffset>695325</wp:posOffset>
                  </wp:positionV>
                  <wp:extent cx="1978025" cy="1313815"/>
                  <wp:effectExtent l="0" t="0" r="3175" b="635"/>
                  <wp:wrapNone/>
                  <wp:docPr id="2"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8"/>
                          <pic:cNvPicPr>
                            <a:picLocks noChangeAspect="1"/>
                          </pic:cNvPicPr>
                        </pic:nvPicPr>
                        <pic:blipFill>
                          <a:blip r:embed="rId7"/>
                          <a:stretch>
                            <a:fillRect/>
                          </a:stretch>
                        </pic:blipFill>
                        <pic:spPr>
                          <a:xfrm flipH="1">
                            <a:off x="0" y="0"/>
                            <a:ext cx="1978025" cy="1313815"/>
                          </a:xfrm>
                          <a:prstGeom prst="rect">
                            <a:avLst/>
                          </a:prstGeom>
                          <a:noFill/>
                          <a:ln>
                            <a:noFill/>
                          </a:ln>
                        </pic:spPr>
                      </pic:pic>
                    </a:graphicData>
                  </a:graphic>
                </wp:anchor>
              </w:drawing>
            </w:r>
            <w:r>
              <w:rPr>
                <w:rFonts w:hint="eastAsia" w:ascii="宋体" w:hAnsi="宋体" w:cs="宋体"/>
                <w:color w:val="auto"/>
                <w:kern w:val="0"/>
                <w:szCs w:val="21"/>
                <w:highlight w:val="none"/>
                <w:lang w:bidi="ar"/>
              </w:rPr>
              <w:t>⑥柜体内置两块可调节高度的活动层板。</w:t>
            </w:r>
          </w:p>
        </w:tc>
        <w:tc>
          <w:tcPr>
            <w:tcW w:w="395" w:type="pct"/>
            <w:tcBorders>
              <w:top w:val="single" w:color="auto" w:sz="4" w:space="0"/>
              <w:left w:val="single" w:color="auto" w:sz="4" w:space="0"/>
              <w:bottom w:val="single" w:color="auto" w:sz="4" w:space="0"/>
              <w:right w:val="single" w:color="auto" w:sz="4" w:space="0"/>
            </w:tcBorders>
            <w:noWrap w:val="0"/>
            <w:vAlign w:val="center"/>
          </w:tcPr>
          <w:p w14:paraId="3C85DE1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jc w:val="center"/>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套</w:t>
            </w:r>
          </w:p>
        </w:tc>
        <w:tc>
          <w:tcPr>
            <w:tcW w:w="401" w:type="pct"/>
            <w:tcBorders>
              <w:top w:val="single" w:color="auto" w:sz="4" w:space="0"/>
              <w:left w:val="single" w:color="auto" w:sz="4" w:space="0"/>
              <w:bottom w:val="single" w:color="auto" w:sz="4" w:space="0"/>
              <w:right w:val="single" w:color="auto" w:sz="4" w:space="0"/>
            </w:tcBorders>
            <w:noWrap w:val="0"/>
            <w:vAlign w:val="center"/>
          </w:tcPr>
          <w:p w14:paraId="688F0354">
            <w:pPr>
              <w:widowControl/>
              <w:spacing w:line="0" w:lineRule="atLeast"/>
              <w:jc w:val="center"/>
              <w:textAlignment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401" w:type="pct"/>
            <w:tcBorders>
              <w:top w:val="single" w:color="auto" w:sz="4" w:space="0"/>
              <w:left w:val="single" w:color="auto" w:sz="4" w:space="0"/>
              <w:bottom w:val="single" w:color="auto" w:sz="4" w:space="0"/>
              <w:right w:val="single" w:color="auto" w:sz="4" w:space="0"/>
            </w:tcBorders>
            <w:noWrap w:val="0"/>
            <w:vAlign w:val="center"/>
          </w:tcPr>
          <w:p w14:paraId="7B5BD513">
            <w:pPr>
              <w:widowControl/>
              <w:spacing w:line="0" w:lineRule="atLeast"/>
              <w:jc w:val="center"/>
              <w:textAlignment w:val="center"/>
              <w:rPr>
                <w:rFonts w:hint="eastAsia" w:ascii="宋体" w:hAnsi="宋体" w:cs="宋体"/>
                <w:color w:val="auto"/>
                <w:szCs w:val="21"/>
                <w:highlight w:val="none"/>
              </w:rPr>
            </w:pPr>
            <w:r>
              <w:rPr>
                <w:rFonts w:hint="eastAsia" w:ascii="宋体" w:hAnsi="宋体" w:cs="宋体"/>
                <w:color w:val="auto"/>
                <w:szCs w:val="21"/>
                <w:highlight w:val="none"/>
              </w:rPr>
              <w:t>国产</w:t>
            </w:r>
          </w:p>
        </w:tc>
      </w:tr>
    </w:tbl>
    <w:p w14:paraId="7354026A">
      <w:pPr>
        <w:spacing w:line="360" w:lineRule="auto"/>
        <w:rPr>
          <w:rFonts w:hint="eastAsia" w:ascii="宋体" w:hAnsi="宋体"/>
          <w:color w:val="auto"/>
          <w:sz w:val="24"/>
          <w:highlight w:val="none"/>
        </w:rPr>
      </w:pPr>
    </w:p>
    <w:p w14:paraId="43135CE4">
      <w:pPr>
        <w:spacing w:line="360" w:lineRule="auto"/>
        <w:ind w:firstLine="480" w:firstLineChars="200"/>
        <w:rPr>
          <w:rFonts w:hint="eastAsia" w:ascii="宋体" w:hAnsi="宋体" w:eastAsia="宋体"/>
          <w:sz w:val="24"/>
          <w:szCs w:val="24"/>
        </w:rPr>
      </w:pPr>
    </w:p>
    <w:p w14:paraId="10BAB204">
      <w:pPr>
        <w:spacing w:line="360" w:lineRule="auto"/>
        <w:rPr>
          <w:rFonts w:hint="eastAsia" w:ascii="宋体" w:hAnsi="宋体" w:eastAsia="宋体"/>
          <w:sz w:val="24"/>
          <w:szCs w:val="24"/>
        </w:rPr>
      </w:pPr>
    </w:p>
    <w:sectPr>
      <w:footerReference r:id="rId3" w:type="default"/>
      <w:pgSz w:w="11906" w:h="16838"/>
      <w:pgMar w:top="1440" w:right="1800" w:bottom="1440" w:left="1800" w:header="851" w:footer="85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rial Unicode MS">
    <w:panose1 w:val="020B0604020202020204"/>
    <w:charset w:val="86"/>
    <w:family w:val="roman"/>
    <w:pitch w:val="default"/>
    <w:sig w:usb0="FFFFFFFF" w:usb1="E9FFFFFF" w:usb2="0000003F" w:usb3="00000000" w:csb0="603F01FF" w:csb1="FFFF0000"/>
  </w:font>
  <w:font w:name="方正小标宋简体">
    <w:altName w:val="Arial Unicode MS"/>
    <w:panose1 w:val="03000509000000000000"/>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1549021"/>
    </w:sdtPr>
    <w:sdtEndPr>
      <w:rPr>
        <w:rFonts w:ascii="宋体" w:hAnsi="宋体" w:eastAsia="宋体"/>
        <w:sz w:val="21"/>
        <w:szCs w:val="21"/>
      </w:rPr>
    </w:sdtEndPr>
    <w:sdtContent>
      <w:p w14:paraId="319373DA">
        <w:pPr>
          <w:pStyle w:val="7"/>
          <w:jc w:val="center"/>
          <w:rPr>
            <w:rFonts w:hint="eastAsia" w:ascii="宋体" w:hAnsi="宋体" w:eastAsia="宋体"/>
            <w:sz w:val="21"/>
            <w:szCs w:val="21"/>
          </w:rPr>
        </w:pPr>
        <w:r>
          <w:rPr>
            <w:rFonts w:ascii="宋体" w:hAnsi="宋体" w:eastAsia="宋体"/>
            <w:sz w:val="21"/>
            <w:szCs w:val="21"/>
          </w:rPr>
          <w:fldChar w:fldCharType="begin"/>
        </w:r>
        <w:r>
          <w:rPr>
            <w:rFonts w:ascii="宋体" w:hAnsi="宋体" w:eastAsia="宋体"/>
            <w:sz w:val="21"/>
            <w:szCs w:val="21"/>
          </w:rPr>
          <w:instrText xml:space="preserve">PAGE   \* MERGEFORMAT</w:instrText>
        </w:r>
        <w:r>
          <w:rPr>
            <w:rFonts w:ascii="宋体" w:hAnsi="宋体" w:eastAsia="宋体"/>
            <w:sz w:val="21"/>
            <w:szCs w:val="21"/>
          </w:rPr>
          <w:fldChar w:fldCharType="separate"/>
        </w:r>
        <w:r>
          <w:rPr>
            <w:rFonts w:ascii="宋体" w:hAnsi="宋体" w:eastAsia="宋体"/>
            <w:sz w:val="21"/>
            <w:szCs w:val="21"/>
            <w:lang w:val="zh-CN"/>
          </w:rPr>
          <w:t>2</w:t>
        </w:r>
        <w:r>
          <w:rPr>
            <w:rFonts w:ascii="宋体" w:hAnsi="宋体" w:eastAsia="宋体"/>
            <w:sz w:val="21"/>
            <w:szCs w:val="21"/>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5E30B6"/>
    <w:multiLevelType w:val="multilevel"/>
    <w:tmpl w:val="345E30B6"/>
    <w:lvl w:ilvl="0" w:tentative="0">
      <w:start w:val="1"/>
      <w:numFmt w:val="chineseCountingThousand"/>
      <w:pStyle w:val="2"/>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9030F8A"/>
    <w:multiLevelType w:val="singleLevel"/>
    <w:tmpl w:val="39030F8A"/>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573"/>
    <w:rsid w:val="0000433D"/>
    <w:rsid w:val="000731E0"/>
    <w:rsid w:val="000F458B"/>
    <w:rsid w:val="00136794"/>
    <w:rsid w:val="0016128D"/>
    <w:rsid w:val="001B03B6"/>
    <w:rsid w:val="001D54AF"/>
    <w:rsid w:val="001F0F73"/>
    <w:rsid w:val="001F18EA"/>
    <w:rsid w:val="00215AA6"/>
    <w:rsid w:val="00247587"/>
    <w:rsid w:val="00276F01"/>
    <w:rsid w:val="002D2739"/>
    <w:rsid w:val="002E1579"/>
    <w:rsid w:val="003129C9"/>
    <w:rsid w:val="00340FCA"/>
    <w:rsid w:val="0034508C"/>
    <w:rsid w:val="003D5EEA"/>
    <w:rsid w:val="004E0D1E"/>
    <w:rsid w:val="005B19AE"/>
    <w:rsid w:val="005D0940"/>
    <w:rsid w:val="005E6D65"/>
    <w:rsid w:val="006337AF"/>
    <w:rsid w:val="00675BB0"/>
    <w:rsid w:val="006904DB"/>
    <w:rsid w:val="006A43C2"/>
    <w:rsid w:val="006C4F9C"/>
    <w:rsid w:val="0073790D"/>
    <w:rsid w:val="00741941"/>
    <w:rsid w:val="00750162"/>
    <w:rsid w:val="00753BE9"/>
    <w:rsid w:val="00767EF1"/>
    <w:rsid w:val="0078604D"/>
    <w:rsid w:val="00826FFC"/>
    <w:rsid w:val="00850F0B"/>
    <w:rsid w:val="008B385B"/>
    <w:rsid w:val="008C228E"/>
    <w:rsid w:val="008D4507"/>
    <w:rsid w:val="009557A3"/>
    <w:rsid w:val="009564EF"/>
    <w:rsid w:val="009924F6"/>
    <w:rsid w:val="009E4D94"/>
    <w:rsid w:val="009F58C1"/>
    <w:rsid w:val="00A179D5"/>
    <w:rsid w:val="00A976AB"/>
    <w:rsid w:val="00AB2B2C"/>
    <w:rsid w:val="00B15E41"/>
    <w:rsid w:val="00B16875"/>
    <w:rsid w:val="00B21987"/>
    <w:rsid w:val="00B75218"/>
    <w:rsid w:val="00B9476E"/>
    <w:rsid w:val="00B9507B"/>
    <w:rsid w:val="00BB54DA"/>
    <w:rsid w:val="00C7068D"/>
    <w:rsid w:val="00C73AC5"/>
    <w:rsid w:val="00CB1797"/>
    <w:rsid w:val="00CC2FC6"/>
    <w:rsid w:val="00D2599E"/>
    <w:rsid w:val="00D559E3"/>
    <w:rsid w:val="00D754E0"/>
    <w:rsid w:val="00DA2777"/>
    <w:rsid w:val="00DA7BBE"/>
    <w:rsid w:val="00E15E33"/>
    <w:rsid w:val="00E273B9"/>
    <w:rsid w:val="00E27EB0"/>
    <w:rsid w:val="00E3307B"/>
    <w:rsid w:val="00E37E2B"/>
    <w:rsid w:val="00E92E92"/>
    <w:rsid w:val="00EA5B6F"/>
    <w:rsid w:val="00F21985"/>
    <w:rsid w:val="00F21AAC"/>
    <w:rsid w:val="00F40D19"/>
    <w:rsid w:val="00F6457F"/>
    <w:rsid w:val="00F72A9F"/>
    <w:rsid w:val="00F83DFF"/>
    <w:rsid w:val="00FD3573"/>
    <w:rsid w:val="00FE46C7"/>
    <w:rsid w:val="03B92498"/>
    <w:rsid w:val="03C972E3"/>
    <w:rsid w:val="083B2364"/>
    <w:rsid w:val="09664528"/>
    <w:rsid w:val="0BAB508E"/>
    <w:rsid w:val="0F926151"/>
    <w:rsid w:val="0FA06126"/>
    <w:rsid w:val="11C642BB"/>
    <w:rsid w:val="144C4630"/>
    <w:rsid w:val="1457163D"/>
    <w:rsid w:val="15334308"/>
    <w:rsid w:val="15C52A5E"/>
    <w:rsid w:val="17667DE9"/>
    <w:rsid w:val="17920BDE"/>
    <w:rsid w:val="17A72FDF"/>
    <w:rsid w:val="19A8195C"/>
    <w:rsid w:val="1AEC2172"/>
    <w:rsid w:val="1D1C3424"/>
    <w:rsid w:val="1E8E20FF"/>
    <w:rsid w:val="1E9B481C"/>
    <w:rsid w:val="27D36DD5"/>
    <w:rsid w:val="2EEB4B29"/>
    <w:rsid w:val="31DD1070"/>
    <w:rsid w:val="31E268A7"/>
    <w:rsid w:val="326059BF"/>
    <w:rsid w:val="34056EE8"/>
    <w:rsid w:val="3727091B"/>
    <w:rsid w:val="399923D1"/>
    <w:rsid w:val="3DF5116A"/>
    <w:rsid w:val="42EB0FC2"/>
    <w:rsid w:val="466A58AD"/>
    <w:rsid w:val="46A41C10"/>
    <w:rsid w:val="49723B0B"/>
    <w:rsid w:val="4BC12D0B"/>
    <w:rsid w:val="4F675ED1"/>
    <w:rsid w:val="549366B5"/>
    <w:rsid w:val="595E6596"/>
    <w:rsid w:val="5B9319A7"/>
    <w:rsid w:val="5E322ABA"/>
    <w:rsid w:val="63D267FA"/>
    <w:rsid w:val="6579560F"/>
    <w:rsid w:val="66E16111"/>
    <w:rsid w:val="6A152BF7"/>
    <w:rsid w:val="6B244142"/>
    <w:rsid w:val="6BC679B7"/>
    <w:rsid w:val="72DA05E4"/>
    <w:rsid w:val="74864261"/>
    <w:rsid w:val="77A31EE4"/>
    <w:rsid w:val="79D2167F"/>
    <w:rsid w:val="7A546E52"/>
    <w:rsid w:val="7C666AAE"/>
    <w:rsid w:val="7E3E5C13"/>
    <w:rsid w:val="7FF17A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numPr>
        <w:ilvl w:val="0"/>
        <w:numId w:val="1"/>
      </w:numPr>
      <w:spacing w:line="360" w:lineRule="auto"/>
      <w:outlineLvl w:val="0"/>
    </w:pPr>
    <w:rPr>
      <w:rFonts w:eastAsia="仿宋_GB2312"/>
      <w:bCs/>
      <w:kern w:val="44"/>
      <w:sz w:val="32"/>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1"/>
    <w:semiHidden/>
    <w:unhideWhenUsed/>
    <w:qFormat/>
    <w:uiPriority w:val="99"/>
    <w:pPr>
      <w:jc w:val="left"/>
    </w:pPr>
  </w:style>
  <w:style w:type="paragraph" w:styleId="5">
    <w:name w:val="Body Text"/>
    <w:basedOn w:val="1"/>
    <w:next w:val="1"/>
    <w:link w:val="25"/>
    <w:qFormat/>
    <w:uiPriority w:val="0"/>
    <w:pPr>
      <w:spacing w:after="120"/>
    </w:pPr>
    <w:rPr>
      <w:szCs w:val="24"/>
    </w:rPr>
  </w:style>
  <w:style w:type="paragraph" w:styleId="6">
    <w:name w:val="Balloon Text"/>
    <w:basedOn w:val="1"/>
    <w:link w:val="23"/>
    <w:semiHidden/>
    <w:unhideWhenUsed/>
    <w:qFormat/>
    <w:uiPriority w:val="99"/>
    <w:rPr>
      <w:sz w:val="18"/>
      <w:szCs w:val="18"/>
    </w:rPr>
  </w:style>
  <w:style w:type="paragraph" w:styleId="7">
    <w:name w:val="footer"/>
    <w:basedOn w:val="1"/>
    <w:link w:val="20"/>
    <w:unhideWhenUsed/>
    <w:qFormat/>
    <w:uiPriority w:val="99"/>
    <w:pPr>
      <w:tabs>
        <w:tab w:val="center" w:pos="4153"/>
        <w:tab w:val="right" w:pos="8306"/>
      </w:tabs>
      <w:snapToGrid w:val="0"/>
      <w:jc w:val="left"/>
    </w:pPr>
    <w:rPr>
      <w:sz w:val="18"/>
      <w:szCs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unhideWhenUsed/>
    <w:qFormat/>
    <w:uiPriority w:val="99"/>
    <w:rPr>
      <w:sz w:val="24"/>
    </w:rPr>
  </w:style>
  <w:style w:type="paragraph" w:styleId="10">
    <w:name w:val="annotation subject"/>
    <w:basedOn w:val="4"/>
    <w:next w:val="4"/>
    <w:link w:val="22"/>
    <w:semiHidden/>
    <w:unhideWhenUsed/>
    <w:qFormat/>
    <w:uiPriority w:val="99"/>
    <w:rPr>
      <w:b/>
      <w:bCs/>
    </w:rPr>
  </w:style>
  <w:style w:type="paragraph" w:styleId="11">
    <w:name w:val="Body Text First Indent"/>
    <w:basedOn w:val="5"/>
    <w:unhideWhenUsed/>
    <w:qFormat/>
    <w:uiPriority w:val="99"/>
    <w:pPr>
      <w:tabs>
        <w:tab w:val="left" w:pos="1155"/>
      </w:tabs>
      <w:ind w:firstLine="420" w:firstLineChars="100"/>
    </w:pPr>
  </w:style>
  <w:style w:type="table" w:styleId="13">
    <w:name w:val="Table Grid"/>
    <w:basedOn w:val="12"/>
    <w:qFormat/>
    <w:uiPriority w:val="39"/>
    <w:rPr>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22"/>
    <w:rPr>
      <w:b/>
    </w:rPr>
  </w:style>
  <w:style w:type="character" w:styleId="16">
    <w:name w:val="FollowedHyperlink"/>
    <w:basedOn w:val="14"/>
    <w:semiHidden/>
    <w:unhideWhenUsed/>
    <w:qFormat/>
    <w:uiPriority w:val="99"/>
    <w:rPr>
      <w:color w:val="800080"/>
      <w:u w:val="single"/>
    </w:rPr>
  </w:style>
  <w:style w:type="character" w:styleId="17">
    <w:name w:val="Hyperlink"/>
    <w:basedOn w:val="14"/>
    <w:semiHidden/>
    <w:unhideWhenUsed/>
    <w:qFormat/>
    <w:uiPriority w:val="99"/>
    <w:rPr>
      <w:color w:val="0000FF"/>
      <w:u w:val="single"/>
    </w:rPr>
  </w:style>
  <w:style w:type="character" w:styleId="18">
    <w:name w:val="annotation reference"/>
    <w:basedOn w:val="14"/>
    <w:semiHidden/>
    <w:unhideWhenUsed/>
    <w:qFormat/>
    <w:uiPriority w:val="99"/>
    <w:rPr>
      <w:sz w:val="21"/>
      <w:szCs w:val="21"/>
    </w:rPr>
  </w:style>
  <w:style w:type="character" w:customStyle="1" w:styleId="19">
    <w:name w:val="页眉 字符"/>
    <w:basedOn w:val="14"/>
    <w:link w:val="8"/>
    <w:qFormat/>
    <w:uiPriority w:val="99"/>
    <w:rPr>
      <w:sz w:val="18"/>
      <w:szCs w:val="18"/>
    </w:rPr>
  </w:style>
  <w:style w:type="character" w:customStyle="1" w:styleId="20">
    <w:name w:val="页脚 字符"/>
    <w:basedOn w:val="14"/>
    <w:link w:val="7"/>
    <w:qFormat/>
    <w:uiPriority w:val="99"/>
    <w:rPr>
      <w:sz w:val="18"/>
      <w:szCs w:val="18"/>
    </w:rPr>
  </w:style>
  <w:style w:type="character" w:customStyle="1" w:styleId="21">
    <w:name w:val="批注文字 字符"/>
    <w:basedOn w:val="14"/>
    <w:link w:val="4"/>
    <w:semiHidden/>
    <w:qFormat/>
    <w:uiPriority w:val="99"/>
  </w:style>
  <w:style w:type="character" w:customStyle="1" w:styleId="22">
    <w:name w:val="批注主题 字符"/>
    <w:basedOn w:val="21"/>
    <w:link w:val="10"/>
    <w:semiHidden/>
    <w:qFormat/>
    <w:uiPriority w:val="99"/>
    <w:rPr>
      <w:b/>
      <w:bCs/>
    </w:rPr>
  </w:style>
  <w:style w:type="character" w:customStyle="1" w:styleId="23">
    <w:name w:val="批注框文本 字符"/>
    <w:basedOn w:val="14"/>
    <w:link w:val="6"/>
    <w:semiHidden/>
    <w:qFormat/>
    <w:uiPriority w:val="99"/>
    <w:rPr>
      <w:sz w:val="18"/>
      <w:szCs w:val="18"/>
    </w:rPr>
  </w:style>
  <w:style w:type="paragraph" w:customStyle="1" w:styleId="24">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5">
    <w:name w:val="正文文本 字符"/>
    <w:basedOn w:val="14"/>
    <w:link w:val="5"/>
    <w:qFormat/>
    <w:uiPriority w:val="0"/>
    <w:rPr>
      <w:rFonts w:asciiTheme="minorHAnsi" w:hAnsiTheme="minorHAnsi" w:eastAsiaTheme="minorEastAsia" w:cstheme="minorBidi"/>
      <w:kern w:val="2"/>
      <w:sz w:val="21"/>
      <w:szCs w:val="24"/>
    </w:rPr>
  </w:style>
  <w:style w:type="paragraph" w:styleId="26">
    <w:name w:val="List Paragraph"/>
    <w:basedOn w:val="1"/>
    <w:unhideWhenUsed/>
    <w:qFormat/>
    <w:uiPriority w:val="99"/>
    <w:pPr>
      <w:ind w:firstLine="420" w:firstLineChars="200"/>
    </w:pPr>
  </w:style>
  <w:style w:type="character" w:customStyle="1" w:styleId="27">
    <w:name w:val="标题 2 字符"/>
    <w:basedOn w:val="14"/>
    <w:link w:val="3"/>
    <w:qFormat/>
    <w:uiPriority w:val="9"/>
    <w:rPr>
      <w:rFonts w:asciiTheme="majorHAnsi" w:hAnsiTheme="majorHAnsi" w:eastAsiaTheme="majorEastAsia" w:cstheme="majorBidi"/>
      <w:b/>
      <w:bCs/>
      <w:kern w:val="2"/>
      <w:sz w:val="32"/>
      <w:szCs w:val="32"/>
    </w:rPr>
  </w:style>
  <w:style w:type="paragraph" w:customStyle="1" w:styleId="28">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29">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30">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3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3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b/>
      <w:bCs/>
      <w:kern w:val="0"/>
      <w:sz w:val="18"/>
      <w:szCs w:val="18"/>
    </w:rPr>
  </w:style>
  <w:style w:type="paragraph" w:customStyle="1" w:styleId="33">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34">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color w:val="FF0000"/>
      <w:kern w:val="0"/>
      <w:sz w:val="18"/>
      <w:szCs w:val="18"/>
    </w:rPr>
  </w:style>
  <w:style w:type="paragraph" w:customStyle="1" w:styleId="35">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18"/>
      <w:szCs w:val="18"/>
    </w:rPr>
  </w:style>
  <w:style w:type="paragraph" w:customStyle="1" w:styleId="36">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37">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18"/>
      <w:szCs w:val="18"/>
    </w:rPr>
  </w:style>
  <w:style w:type="paragraph" w:customStyle="1" w:styleId="38">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39">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18"/>
      <w:szCs w:val="18"/>
    </w:rPr>
  </w:style>
  <w:style w:type="paragraph" w:customStyle="1" w:styleId="40">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41">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42">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43">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textAlignment w:val="center"/>
    </w:pPr>
    <w:rPr>
      <w:rFonts w:ascii="宋体" w:hAnsi="宋体" w:eastAsia="宋体" w:cs="宋体"/>
      <w:kern w:val="0"/>
      <w:sz w:val="18"/>
      <w:szCs w:val="18"/>
    </w:rPr>
  </w:style>
  <w:style w:type="paragraph" w:customStyle="1" w:styleId="44">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textAlignment w:val="center"/>
    </w:pPr>
    <w:rPr>
      <w:rFonts w:ascii="宋体" w:hAnsi="宋体" w:eastAsia="宋体" w:cs="宋体"/>
      <w:kern w:val="0"/>
      <w:sz w:val="18"/>
      <w:szCs w:val="18"/>
    </w:rPr>
  </w:style>
  <w:style w:type="paragraph" w:customStyle="1" w:styleId="45">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8"/>
      <w:szCs w:val="18"/>
    </w:rPr>
  </w:style>
  <w:style w:type="paragraph" w:customStyle="1" w:styleId="46">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8"/>
      <w:szCs w:val="18"/>
    </w:rPr>
  </w:style>
  <w:style w:type="paragraph" w:customStyle="1" w:styleId="47">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18"/>
      <w:szCs w:val="18"/>
    </w:rPr>
  </w:style>
  <w:style w:type="paragraph" w:customStyle="1" w:styleId="48">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24"/>
      <w:szCs w:val="24"/>
    </w:rPr>
  </w:style>
  <w:style w:type="paragraph" w:customStyle="1" w:styleId="49">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24"/>
      <w:szCs w:val="24"/>
    </w:rPr>
  </w:style>
  <w:style w:type="paragraph" w:customStyle="1" w:styleId="50">
    <w:name w:val="正文 A"/>
    <w:qFormat/>
    <w:uiPriority w:val="0"/>
    <w:pPr>
      <w:widowControl w:val="0"/>
      <w:spacing w:line="360" w:lineRule="auto"/>
      <w:ind w:firstLine="1440"/>
      <w:jc w:val="both"/>
    </w:pPr>
    <w:rPr>
      <w:rFonts w:ascii="Times New Roman" w:hAnsi="Times New Roman" w:eastAsia="Arial Unicode MS" w:cs="Arial Unicode MS"/>
      <w:color w:val="000000"/>
      <w:kern w:val="2"/>
      <w:sz w:val="24"/>
      <w:szCs w:val="24"/>
      <w:lang w:val="en-US" w:eastAsia="zh-CN" w:bidi="ar-SA"/>
    </w:rPr>
  </w:style>
  <w:style w:type="character" w:customStyle="1" w:styleId="51">
    <w:name w:val="font31"/>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82</Pages>
  <Words>1674</Words>
  <Characters>1815</Characters>
  <Lines>68</Lines>
  <Paragraphs>19</Paragraphs>
  <TotalTime>2</TotalTime>
  <ScaleCrop>false</ScaleCrop>
  <LinksUpToDate>false</LinksUpToDate>
  <CharactersWithSpaces>1819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2025-09-15T12:48:00Z</dcterms:created>
  <dc:creator>琛 杨</dc:creator>
  <cp:lastModifiedBy>古灵娇妍</cp:lastModifiedBy>
  <dcterms:modified xsi:type="dcterms:W3CDTF">2025-11-19T01:06:03Z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2052-12.1.0.23125</vt:lpwstr>
  </property>
  <property fmtid="{D5CDD505-2E9C-101B-9397-08002B2CF9AE}" pid="4" name="ICV">
    <vt:lpwstr>52D606C3C0CA4FFA9205CF5719A1D3CD_13</vt:lpwstr>
  </property>
</Properties>
</file>