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宋体" w:hAnsi="宋体"/>
          <w:b/>
          <w:sz w:val="24"/>
        </w:rPr>
      </w:pPr>
      <w:r>
        <w:rPr>
          <w:rFonts w:hint="eastAsia" w:ascii="宋体" w:hAnsi="宋体"/>
          <w:b/>
          <w:sz w:val="24"/>
        </w:rPr>
        <w:t>资格要求</w:t>
      </w:r>
    </w:p>
    <w:p>
      <w:pPr>
        <w:spacing w:line="360" w:lineRule="auto"/>
        <w:ind w:firstLine="480" w:firstLineChars="200"/>
        <w:rPr>
          <w:rFonts w:hint="eastAsia" w:ascii="宋体" w:hAnsi="宋体"/>
          <w:sz w:val="24"/>
        </w:rPr>
      </w:pPr>
      <w:r>
        <w:rPr>
          <w:rFonts w:hint="eastAsia" w:ascii="宋体" w:hAnsi="宋体"/>
          <w:sz w:val="24"/>
        </w:rPr>
        <w:t>（一）</w:t>
      </w:r>
      <w:r>
        <w:rPr>
          <w:rFonts w:hint="eastAsia" w:ascii="宋体" w:hAnsi="宋体"/>
          <w:color w:val="FF0000"/>
          <w:sz w:val="24"/>
        </w:rPr>
        <w:t>根据现行法律法规的要求，设置供应商投标的特定资格条件</w:t>
      </w:r>
      <w:r>
        <w:rPr>
          <w:rFonts w:hint="eastAsia" w:ascii="宋体" w:hAnsi="宋体"/>
          <w:sz w:val="24"/>
        </w:rPr>
        <w:t>。</w:t>
      </w:r>
    </w:p>
    <w:p>
      <w:pPr>
        <w:spacing w:line="360" w:lineRule="auto"/>
        <w:ind w:firstLine="480" w:firstLineChars="200"/>
        <w:rPr>
          <w:rFonts w:ascii="宋体" w:hAnsi="宋体"/>
          <w:sz w:val="24"/>
        </w:rPr>
      </w:pPr>
      <w:r>
        <w:rPr>
          <w:rFonts w:hint="eastAsia" w:ascii="宋体" w:hAnsi="宋体"/>
          <w:sz w:val="24"/>
        </w:rPr>
        <w:t>（二）投标人须具备《中华人民共和国政府采购法》第二十二条第一款规定的条件。</w:t>
      </w:r>
    </w:p>
    <w:p>
      <w:pPr>
        <w:spacing w:line="360" w:lineRule="auto"/>
        <w:ind w:firstLine="480" w:firstLineChars="200"/>
        <w:rPr>
          <w:rFonts w:ascii="宋体" w:hAnsi="宋体"/>
          <w:sz w:val="24"/>
        </w:rPr>
      </w:pPr>
      <w:r>
        <w:rPr>
          <w:rFonts w:hint="eastAsia" w:ascii="宋体" w:hAnsi="宋体"/>
          <w:sz w:val="24"/>
        </w:rPr>
        <w:t>（三）本项目</w:t>
      </w:r>
      <w:r>
        <w:rPr>
          <w:rFonts w:hint="eastAsia" w:ascii="宋体" w:hAnsi="宋体"/>
          <w:color w:val="FF0000"/>
          <w:sz w:val="24"/>
        </w:rPr>
        <w:t>不接受</w:t>
      </w:r>
      <w:r>
        <w:rPr>
          <w:rFonts w:hint="eastAsia" w:ascii="宋体" w:hAnsi="宋体"/>
          <w:sz w:val="24"/>
        </w:rPr>
        <w:t>联合体。</w:t>
      </w:r>
    </w:p>
    <w:p>
      <w:pPr>
        <w:rPr>
          <w:rFonts w:hint="eastAsia" w:ascii="宋体" w:hAnsi="宋体"/>
          <w:color w:val="FF0000"/>
          <w:sz w:val="24"/>
        </w:rPr>
      </w:pPr>
      <w:r>
        <w:rPr>
          <w:rFonts w:hint="eastAsia" w:ascii="宋体" w:hAnsi="宋体"/>
          <w:b/>
          <w:sz w:val="24"/>
        </w:rPr>
        <w:t>技术要求</w:t>
      </w:r>
    </w:p>
    <w:p>
      <w:pPr>
        <w:spacing w:line="360" w:lineRule="auto"/>
        <w:ind w:firstLine="480" w:firstLineChars="200"/>
        <w:rPr>
          <w:rFonts w:hint="eastAsia" w:ascii="宋体" w:hAnsi="宋体"/>
          <w:sz w:val="24"/>
        </w:rPr>
      </w:pPr>
      <w:r>
        <w:rPr>
          <w:rFonts w:hint="eastAsia" w:ascii="宋体" w:hAnsi="宋体"/>
          <w:sz w:val="24"/>
        </w:rPr>
        <w:t xml:space="preserve">桌面云教学管理系统 </w:t>
      </w:r>
    </w:p>
    <w:tbl>
      <w:tblPr>
        <w:tblStyle w:val="25"/>
        <w:tblW w:w="1043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1"/>
        <w:gridCol w:w="1286"/>
        <w:gridCol w:w="3408"/>
        <w:gridCol w:w="695"/>
        <w:gridCol w:w="691"/>
        <w:gridCol w:w="2099"/>
        <w:gridCol w:w="14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81" w:type="dxa"/>
            <w:vAlign w:val="center"/>
          </w:tcPr>
          <w:p>
            <w:pPr>
              <w:jc w:val="center"/>
              <w:rPr>
                <w:rFonts w:ascii="宋体" w:hAnsi="宋体"/>
                <w:szCs w:val="21"/>
              </w:rPr>
            </w:pPr>
            <w:r>
              <w:rPr>
                <w:rFonts w:ascii="宋体" w:hAnsi="宋体"/>
                <w:szCs w:val="21"/>
              </w:rPr>
              <w:t>序号</w:t>
            </w:r>
          </w:p>
        </w:tc>
        <w:tc>
          <w:tcPr>
            <w:tcW w:w="1286" w:type="dxa"/>
            <w:vAlign w:val="center"/>
          </w:tcPr>
          <w:p>
            <w:pPr>
              <w:jc w:val="center"/>
              <w:rPr>
                <w:rFonts w:ascii="宋体" w:hAnsi="宋体"/>
                <w:szCs w:val="21"/>
              </w:rPr>
            </w:pPr>
            <w:r>
              <w:rPr>
                <w:rFonts w:hint="eastAsia" w:ascii="宋体" w:hAnsi="宋体"/>
                <w:szCs w:val="21"/>
              </w:rPr>
              <w:t>标的</w:t>
            </w:r>
            <w:r>
              <w:rPr>
                <w:rFonts w:ascii="宋体" w:hAnsi="宋体"/>
                <w:szCs w:val="21"/>
              </w:rPr>
              <w:t>名称</w:t>
            </w:r>
          </w:p>
        </w:tc>
        <w:tc>
          <w:tcPr>
            <w:tcW w:w="3408" w:type="dxa"/>
            <w:vAlign w:val="center"/>
          </w:tcPr>
          <w:p>
            <w:pPr>
              <w:jc w:val="center"/>
              <w:rPr>
                <w:rFonts w:ascii="宋体" w:hAnsi="宋体"/>
                <w:szCs w:val="21"/>
              </w:rPr>
            </w:pPr>
            <w:r>
              <w:rPr>
                <w:rFonts w:ascii="宋体" w:hAnsi="宋体"/>
                <w:szCs w:val="21"/>
              </w:rPr>
              <w:t>技术要求</w:t>
            </w:r>
          </w:p>
        </w:tc>
        <w:tc>
          <w:tcPr>
            <w:tcW w:w="695" w:type="dxa"/>
            <w:vAlign w:val="center"/>
          </w:tcPr>
          <w:p>
            <w:pPr>
              <w:jc w:val="center"/>
              <w:rPr>
                <w:rFonts w:ascii="宋体" w:hAnsi="宋体"/>
                <w:szCs w:val="21"/>
              </w:rPr>
            </w:pPr>
            <w:r>
              <w:rPr>
                <w:rFonts w:ascii="宋体" w:hAnsi="宋体"/>
                <w:szCs w:val="21"/>
              </w:rPr>
              <w:t>单位</w:t>
            </w:r>
          </w:p>
        </w:tc>
        <w:tc>
          <w:tcPr>
            <w:tcW w:w="691" w:type="dxa"/>
            <w:vAlign w:val="center"/>
          </w:tcPr>
          <w:p>
            <w:pPr>
              <w:jc w:val="center"/>
              <w:rPr>
                <w:rFonts w:ascii="宋体" w:hAnsi="宋体"/>
                <w:szCs w:val="21"/>
              </w:rPr>
            </w:pPr>
            <w:r>
              <w:rPr>
                <w:rFonts w:ascii="宋体" w:hAnsi="宋体"/>
                <w:szCs w:val="21"/>
              </w:rPr>
              <w:t>数量</w:t>
            </w:r>
          </w:p>
        </w:tc>
        <w:tc>
          <w:tcPr>
            <w:tcW w:w="2099" w:type="dxa"/>
            <w:vAlign w:val="center"/>
          </w:tcPr>
          <w:p>
            <w:pPr>
              <w:jc w:val="center"/>
              <w:rPr>
                <w:rFonts w:ascii="宋体" w:hAnsi="宋体"/>
                <w:szCs w:val="21"/>
              </w:rPr>
            </w:pPr>
            <w:r>
              <w:rPr>
                <w:rFonts w:ascii="宋体" w:hAnsi="宋体"/>
                <w:szCs w:val="21"/>
              </w:rPr>
              <w:t>是否属于现行节能产品政府采购清单强制采购范围</w:t>
            </w:r>
          </w:p>
        </w:tc>
        <w:tc>
          <w:tcPr>
            <w:tcW w:w="1473" w:type="dxa"/>
            <w:vAlign w:val="center"/>
          </w:tcPr>
          <w:p>
            <w:pPr>
              <w:jc w:val="center"/>
              <w:rPr>
                <w:rFonts w:ascii="宋体" w:hAnsi="宋体"/>
                <w:szCs w:val="21"/>
              </w:rPr>
            </w:pPr>
            <w:r>
              <w:rPr>
                <w:rFonts w:ascii="宋体" w:hAnsi="宋体"/>
                <w:szCs w:val="21"/>
              </w:rPr>
              <w:t>是否属于集采目录内产品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81" w:type="dxa"/>
            <w:vAlign w:val="center"/>
          </w:tcPr>
          <w:p>
            <w:pPr>
              <w:jc w:val="center"/>
              <w:rPr>
                <w:rFonts w:ascii="宋体" w:hAnsi="宋体"/>
                <w:szCs w:val="21"/>
              </w:rPr>
            </w:pPr>
            <w:r>
              <w:rPr>
                <w:rFonts w:ascii="宋体" w:hAnsi="宋体"/>
                <w:szCs w:val="21"/>
              </w:rPr>
              <w:t>1</w:t>
            </w:r>
          </w:p>
        </w:tc>
        <w:tc>
          <w:tcPr>
            <w:tcW w:w="1286" w:type="dxa"/>
            <w:vAlign w:val="center"/>
          </w:tcPr>
          <w:p>
            <w:pPr>
              <w:rPr>
                <w:rFonts w:hint="eastAsia" w:ascii="宋体" w:hAnsi="宋体"/>
                <w:szCs w:val="21"/>
              </w:rPr>
            </w:pPr>
            <w:r>
              <w:rPr>
                <w:rFonts w:hint="eastAsia" w:ascii="宋体" w:hAnsi="宋体"/>
                <w:color w:val="000000"/>
                <w:kern w:val="0"/>
                <w:szCs w:val="21"/>
              </w:rPr>
              <w:t>云桌面一体机</w:t>
            </w:r>
          </w:p>
        </w:tc>
        <w:tc>
          <w:tcPr>
            <w:tcW w:w="3408" w:type="dxa"/>
            <w:vAlign w:val="center"/>
          </w:tcPr>
          <w:p>
            <w:pPr>
              <w:widowControl/>
              <w:numPr>
                <w:ilvl w:val="0"/>
                <w:numId w:val="1"/>
              </w:numPr>
              <w:ind w:firstLine="420" w:firstLineChars="200"/>
              <w:jc w:val="left"/>
              <w:rPr>
                <w:rFonts w:ascii="宋体" w:hAnsi="宋体" w:cs="宋体"/>
                <w:color w:val="000000"/>
                <w:kern w:val="0"/>
                <w:sz w:val="24"/>
                <w:lang w:bidi="ar"/>
              </w:rPr>
            </w:pPr>
            <w:r>
              <w:rPr>
                <w:rFonts w:hint="eastAsia" w:ascii="宋体" w:hAnsi="宋体"/>
                <w:szCs w:val="21"/>
              </w:rPr>
              <w:t>服务器配置详见附件1</w:t>
            </w:r>
          </w:p>
        </w:tc>
        <w:tc>
          <w:tcPr>
            <w:tcW w:w="695" w:type="dxa"/>
            <w:vAlign w:val="center"/>
          </w:tcPr>
          <w:p>
            <w:pPr>
              <w:rPr>
                <w:rFonts w:ascii="宋体" w:hAnsi="宋体"/>
                <w:szCs w:val="21"/>
              </w:rPr>
            </w:pPr>
            <w:r>
              <w:rPr>
                <w:rFonts w:ascii="宋体" w:hAnsi="宋体"/>
                <w:szCs w:val="21"/>
              </w:rPr>
              <w:t>台</w:t>
            </w:r>
          </w:p>
        </w:tc>
        <w:tc>
          <w:tcPr>
            <w:tcW w:w="691" w:type="dxa"/>
            <w:vAlign w:val="center"/>
          </w:tcPr>
          <w:p>
            <w:pPr>
              <w:rPr>
                <w:rFonts w:hint="eastAsia" w:ascii="宋体" w:hAnsi="宋体"/>
                <w:szCs w:val="21"/>
              </w:rPr>
            </w:pPr>
            <w:r>
              <w:rPr>
                <w:rFonts w:hint="eastAsia" w:ascii="宋体" w:hAnsi="宋体"/>
                <w:szCs w:val="21"/>
              </w:rPr>
              <w:t>4</w:t>
            </w:r>
          </w:p>
        </w:tc>
        <w:tc>
          <w:tcPr>
            <w:tcW w:w="2099" w:type="dxa"/>
            <w:vAlign w:val="center"/>
          </w:tcPr>
          <w:p>
            <w:pPr>
              <w:jc w:val="center"/>
              <w:rPr>
                <w:rFonts w:hint="eastAsia" w:ascii="宋体" w:hAnsi="宋体"/>
                <w:szCs w:val="21"/>
              </w:rPr>
            </w:pPr>
            <w:r>
              <w:rPr>
                <w:rFonts w:hint="eastAsia" w:ascii="宋体" w:hAnsi="宋体"/>
                <w:szCs w:val="21"/>
              </w:rPr>
              <w:t>否</w:t>
            </w:r>
          </w:p>
        </w:tc>
        <w:tc>
          <w:tcPr>
            <w:tcW w:w="1473" w:type="dxa"/>
            <w:vAlign w:val="center"/>
          </w:tcPr>
          <w:p>
            <w:pPr>
              <w:jc w:val="center"/>
              <w:rPr>
                <w:rFonts w:hint="eastAsia" w:ascii="宋体" w:hAnsi="宋体"/>
                <w:szCs w:val="21"/>
              </w:rPr>
            </w:pPr>
            <w:r>
              <w:rPr>
                <w:rFonts w:hint="eastAsia" w:ascii="宋体" w:hAnsi="宋体"/>
                <w:szCs w:val="21"/>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1" w:hRule="atLeast"/>
          <w:jc w:val="center"/>
        </w:trPr>
        <w:tc>
          <w:tcPr>
            <w:tcW w:w="781" w:type="dxa"/>
            <w:vAlign w:val="center"/>
          </w:tcPr>
          <w:p>
            <w:pPr>
              <w:jc w:val="center"/>
              <w:rPr>
                <w:rFonts w:ascii="宋体" w:hAnsi="宋体"/>
                <w:szCs w:val="21"/>
              </w:rPr>
            </w:pPr>
            <w:r>
              <w:rPr>
                <w:rFonts w:ascii="宋体" w:hAnsi="宋体"/>
                <w:szCs w:val="21"/>
              </w:rPr>
              <w:t>2</w:t>
            </w:r>
          </w:p>
        </w:tc>
        <w:tc>
          <w:tcPr>
            <w:tcW w:w="1286" w:type="dxa"/>
            <w:vAlign w:val="center"/>
          </w:tcPr>
          <w:p>
            <w:pPr>
              <w:widowControl/>
              <w:rPr>
                <w:rFonts w:ascii="宋体" w:hAnsi="宋体"/>
                <w:kern w:val="0"/>
                <w:szCs w:val="21"/>
              </w:rPr>
            </w:pPr>
            <w:r>
              <w:rPr>
                <w:rFonts w:hint="eastAsia" w:ascii="宋体" w:hAnsi="宋体"/>
                <w:kern w:val="0"/>
                <w:szCs w:val="21"/>
              </w:rPr>
              <w:t>云终端</w:t>
            </w:r>
          </w:p>
        </w:tc>
        <w:tc>
          <w:tcPr>
            <w:tcW w:w="3408" w:type="dxa"/>
            <w:vAlign w:val="center"/>
          </w:tcPr>
          <w:p>
            <w:pPr>
              <w:widowControl/>
              <w:jc w:val="left"/>
              <w:rPr>
                <w:rFonts w:hint="eastAsia" w:ascii="宋体" w:hAnsi="宋体"/>
                <w:szCs w:val="21"/>
              </w:rPr>
            </w:pPr>
            <w:r>
              <w:rPr>
                <w:rFonts w:hint="eastAsia" w:ascii="宋体" w:hAnsi="宋体"/>
                <w:szCs w:val="21"/>
              </w:rPr>
              <w:t>服务周期（含换件和维修）5年，整机需满足以下要求：</w:t>
            </w:r>
          </w:p>
          <w:p>
            <w:pPr>
              <w:widowControl/>
              <w:numPr>
                <w:ilvl w:val="0"/>
                <w:numId w:val="2"/>
              </w:numPr>
              <w:ind w:firstLine="420" w:firstLineChars="200"/>
              <w:jc w:val="left"/>
              <w:rPr>
                <w:rFonts w:hint="eastAsia" w:ascii="宋体" w:hAnsi="宋体"/>
                <w:szCs w:val="21"/>
              </w:rPr>
            </w:pPr>
            <w:r>
              <w:rPr>
                <w:rFonts w:hint="eastAsia" w:ascii="宋体" w:hAnsi="宋体"/>
                <w:szCs w:val="21"/>
              </w:rPr>
              <w:t>★ CPU≥1.4GHz，内存≥1GB，硬盘≥4GB，网口≥1百兆电口，接口≥1*HDMI，USB口≥6*USB2.0。</w:t>
            </w:r>
          </w:p>
          <w:p>
            <w:pPr>
              <w:widowControl/>
              <w:numPr>
                <w:ilvl w:val="0"/>
                <w:numId w:val="2"/>
              </w:numPr>
              <w:ind w:firstLine="420" w:firstLineChars="200"/>
              <w:jc w:val="left"/>
              <w:rPr>
                <w:rFonts w:hint="eastAsia" w:ascii="宋体" w:hAnsi="宋体"/>
                <w:szCs w:val="21"/>
              </w:rPr>
            </w:pPr>
            <w:r>
              <w:rPr>
                <w:rFonts w:hint="eastAsia" w:ascii="宋体" w:hAnsi="宋体"/>
                <w:szCs w:val="21"/>
              </w:rPr>
              <w:t>为了方便管理，管理方式为虚拟机和云终端统一管理，降低管理难度。</w:t>
            </w:r>
          </w:p>
          <w:p>
            <w:pPr>
              <w:widowControl/>
              <w:numPr>
                <w:ilvl w:val="0"/>
                <w:numId w:val="2"/>
              </w:numPr>
              <w:ind w:firstLine="420" w:firstLineChars="200"/>
              <w:jc w:val="left"/>
              <w:rPr>
                <w:rFonts w:hint="eastAsia" w:ascii="宋体" w:hAnsi="宋体"/>
                <w:szCs w:val="21"/>
              </w:rPr>
            </w:pPr>
            <w:r>
              <w:rPr>
                <w:rFonts w:hint="eastAsia" w:ascii="宋体" w:hAnsi="宋体"/>
                <w:szCs w:val="21"/>
              </w:rPr>
              <w:t>为了简化管理，要求云终端支持远程唤醒，管理员可以使用桌面云控制器或者第三方教学软件，例如极域等，远程开机瘦终端。</w:t>
            </w:r>
          </w:p>
          <w:p>
            <w:pPr>
              <w:widowControl/>
              <w:numPr>
                <w:ilvl w:val="0"/>
                <w:numId w:val="2"/>
              </w:numPr>
              <w:ind w:firstLine="420" w:firstLineChars="200"/>
              <w:jc w:val="left"/>
              <w:rPr>
                <w:rFonts w:ascii="宋体" w:hAnsi="宋体"/>
                <w:szCs w:val="21"/>
              </w:rPr>
            </w:pPr>
            <w:r>
              <w:rPr>
                <w:rFonts w:hint="eastAsia" w:ascii="宋体" w:hAnsi="宋体"/>
                <w:szCs w:val="21"/>
              </w:rPr>
              <w:t>设备安装、线路测试、调整、标识、端接、调试等。</w:t>
            </w:r>
          </w:p>
        </w:tc>
        <w:tc>
          <w:tcPr>
            <w:tcW w:w="695" w:type="dxa"/>
            <w:vAlign w:val="center"/>
          </w:tcPr>
          <w:p>
            <w:pPr>
              <w:rPr>
                <w:rFonts w:hint="eastAsia" w:ascii="宋体" w:hAnsi="宋体"/>
                <w:szCs w:val="21"/>
              </w:rPr>
            </w:pPr>
            <w:r>
              <w:rPr>
                <w:rFonts w:hint="eastAsia" w:ascii="宋体" w:hAnsi="宋体"/>
                <w:szCs w:val="21"/>
              </w:rPr>
              <w:t>台</w:t>
            </w:r>
          </w:p>
        </w:tc>
        <w:tc>
          <w:tcPr>
            <w:tcW w:w="691" w:type="dxa"/>
            <w:vAlign w:val="center"/>
          </w:tcPr>
          <w:p>
            <w:pPr>
              <w:rPr>
                <w:rFonts w:ascii="宋体" w:hAnsi="宋体"/>
                <w:szCs w:val="21"/>
              </w:rPr>
            </w:pPr>
            <w:r>
              <w:rPr>
                <w:rFonts w:hint="eastAsia" w:ascii="宋体" w:hAnsi="宋体"/>
                <w:szCs w:val="21"/>
              </w:rPr>
              <w:t>180</w:t>
            </w:r>
          </w:p>
        </w:tc>
        <w:tc>
          <w:tcPr>
            <w:tcW w:w="2099" w:type="dxa"/>
            <w:vAlign w:val="center"/>
          </w:tcPr>
          <w:p>
            <w:pPr>
              <w:jc w:val="center"/>
              <w:rPr>
                <w:rFonts w:hint="eastAsia" w:ascii="宋体" w:hAnsi="宋体"/>
                <w:szCs w:val="21"/>
              </w:rPr>
            </w:pPr>
            <w:r>
              <w:rPr>
                <w:rFonts w:hint="eastAsia" w:ascii="宋体" w:hAnsi="宋体"/>
                <w:szCs w:val="21"/>
              </w:rPr>
              <w:t>否</w:t>
            </w:r>
          </w:p>
        </w:tc>
        <w:tc>
          <w:tcPr>
            <w:tcW w:w="1473" w:type="dxa"/>
            <w:vAlign w:val="center"/>
          </w:tcPr>
          <w:p>
            <w:pPr>
              <w:jc w:val="center"/>
              <w:rPr>
                <w:rFonts w:hint="eastAsia" w:ascii="宋体" w:hAnsi="宋体"/>
                <w:szCs w:val="21"/>
              </w:rPr>
            </w:pPr>
            <w:r>
              <w:rPr>
                <w:rFonts w:hint="eastAsia" w:ascii="宋体" w:hAnsi="宋体"/>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781" w:type="dxa"/>
            <w:vAlign w:val="center"/>
          </w:tcPr>
          <w:p>
            <w:pPr>
              <w:jc w:val="center"/>
              <w:rPr>
                <w:rFonts w:hint="eastAsia" w:ascii="宋体" w:hAnsi="宋体"/>
                <w:szCs w:val="21"/>
              </w:rPr>
            </w:pPr>
            <w:r>
              <w:rPr>
                <w:rFonts w:hint="eastAsia" w:ascii="宋体" w:hAnsi="宋体"/>
                <w:szCs w:val="21"/>
              </w:rPr>
              <w:t>3</w:t>
            </w:r>
          </w:p>
        </w:tc>
        <w:tc>
          <w:tcPr>
            <w:tcW w:w="1286" w:type="dxa"/>
            <w:vAlign w:val="center"/>
          </w:tcPr>
          <w:p>
            <w:pPr>
              <w:widowControl/>
              <w:rPr>
                <w:rFonts w:hint="eastAsia" w:ascii="宋体" w:hAnsi="宋体"/>
                <w:szCs w:val="21"/>
              </w:rPr>
            </w:pPr>
            <w:r>
              <w:rPr>
                <w:rFonts w:hint="eastAsia" w:ascii="宋体" w:hAnsi="宋体"/>
                <w:szCs w:val="21"/>
              </w:rPr>
              <w:t>云桌面接入管理软件</w:t>
            </w:r>
          </w:p>
        </w:tc>
        <w:tc>
          <w:tcPr>
            <w:tcW w:w="3408" w:type="dxa"/>
            <w:vAlign w:val="center"/>
          </w:tcPr>
          <w:p>
            <w:pPr>
              <w:numPr>
                <w:ilvl w:val="0"/>
                <w:numId w:val="3"/>
              </w:numPr>
              <w:ind w:firstLine="420" w:firstLineChars="200"/>
              <w:rPr>
                <w:rFonts w:hint="eastAsia" w:ascii="宋体" w:hAnsi="宋体"/>
                <w:szCs w:val="21"/>
              </w:rPr>
            </w:pPr>
            <w:r>
              <w:rPr>
                <w:rFonts w:hint="eastAsia" w:ascii="宋体" w:hAnsi="宋体"/>
                <w:szCs w:val="21"/>
              </w:rPr>
              <w:t>★每套需提供至少45个VDI用户的并发接入授权，支持发布专有桌面、还原桌面（包括池化桌面）、共享桌面、远程应用至少4种桌面资源，满足不同场景的应用需求；</w:t>
            </w:r>
          </w:p>
          <w:p>
            <w:pPr>
              <w:numPr>
                <w:ilvl w:val="0"/>
                <w:numId w:val="3"/>
              </w:numPr>
              <w:ind w:firstLine="420" w:firstLineChars="200"/>
              <w:rPr>
                <w:rFonts w:hint="eastAsia" w:ascii="宋体" w:hAnsi="宋体"/>
                <w:szCs w:val="21"/>
              </w:rPr>
            </w:pPr>
            <w:r>
              <w:rPr>
                <w:rFonts w:hint="eastAsia" w:ascii="宋体" w:hAnsi="宋体"/>
                <w:szCs w:val="21"/>
              </w:rPr>
              <w:t>为了为了满足用户安全性需求，实现安全隔离的精细化控制，所投平台需提供东西向微隔离能力，支持配置基于用户、用户组、虚拟机、IP地址、IP组之间的ACL访问隔离控制；同时支持联动用户的接入位置、接入设备自动实现桌面云虚拟机访问目标业务系统的南北向访问控制，如用户在内网接入时可访问A系统，在外网接入时禁止访问A系统。</w:t>
            </w:r>
            <w:r>
              <w:rPr>
                <w:rFonts w:hint="eastAsia" w:ascii="宋体" w:hAnsi="宋体"/>
                <w:b/>
                <w:bCs/>
                <w:szCs w:val="21"/>
              </w:rPr>
              <w:t>提供产品功能截图</w:t>
            </w:r>
          </w:p>
          <w:p>
            <w:pPr>
              <w:numPr>
                <w:ilvl w:val="0"/>
                <w:numId w:val="3"/>
              </w:numPr>
              <w:ind w:firstLine="420" w:firstLineChars="200"/>
              <w:rPr>
                <w:rFonts w:hint="eastAsia" w:ascii="宋体" w:hAnsi="宋体"/>
                <w:szCs w:val="21"/>
              </w:rPr>
            </w:pPr>
            <w:r>
              <w:rPr>
                <w:rFonts w:hint="eastAsia" w:ascii="宋体" w:hAnsi="宋体"/>
                <w:szCs w:val="21"/>
              </w:rPr>
              <w:t>●支持将桌面云管理平台直接映射到互联网，自带SSL加密功能，并且能够用于固定IP线路和动态IP线路2种方式。</w:t>
            </w:r>
          </w:p>
          <w:p>
            <w:pPr>
              <w:numPr>
                <w:ilvl w:val="0"/>
                <w:numId w:val="3"/>
              </w:numPr>
              <w:ind w:firstLine="420" w:firstLineChars="200"/>
              <w:rPr>
                <w:rFonts w:hint="eastAsia" w:ascii="宋体" w:hAnsi="宋体"/>
                <w:szCs w:val="21"/>
              </w:rPr>
            </w:pPr>
            <w:r>
              <w:rPr>
                <w:rFonts w:hint="eastAsia" w:ascii="宋体" w:hAnsi="宋体"/>
                <w:szCs w:val="21"/>
              </w:rPr>
              <w:t>云桌面数据集中管理下，为确保用户数据安全性，需支持虚拟机加密技术，对云桌面虚拟机进行全盘加密处理，保障个人隐私安全。提供产品功能截图。</w:t>
            </w:r>
            <w:r>
              <w:rPr>
                <w:rFonts w:hint="eastAsia" w:ascii="宋体" w:hAnsi="宋体"/>
                <w:b/>
                <w:bCs/>
                <w:szCs w:val="21"/>
              </w:rPr>
              <w:t>提供产品功能截图</w:t>
            </w:r>
          </w:p>
          <w:p>
            <w:pPr>
              <w:numPr>
                <w:ilvl w:val="0"/>
                <w:numId w:val="3"/>
              </w:numPr>
              <w:ind w:firstLine="420" w:firstLineChars="200"/>
              <w:rPr>
                <w:rFonts w:hint="eastAsia" w:ascii="宋体" w:hAnsi="宋体"/>
                <w:szCs w:val="21"/>
              </w:rPr>
            </w:pPr>
            <w:r>
              <w:rPr>
                <w:rFonts w:hint="eastAsia" w:ascii="宋体" w:hAnsi="宋体"/>
                <w:szCs w:val="21"/>
              </w:rPr>
              <w:t>●支持文件导出内容审计，开启文件安全导出后，虚拟机通过剪切板、PC设备和USB设备外发文件的操作将被禁止，用户可以使用虚拟机内部文件导出工具实现文件外发，所有外发的文件内容都可以加密备份到数据中心，以备后续审计使用，可疑的导出行为会产生告警；</w:t>
            </w:r>
          </w:p>
          <w:p>
            <w:pPr>
              <w:numPr>
                <w:ilvl w:val="0"/>
                <w:numId w:val="3"/>
              </w:numPr>
              <w:ind w:firstLine="420" w:firstLineChars="200"/>
              <w:rPr>
                <w:rFonts w:hint="eastAsia" w:ascii="宋体" w:hAnsi="宋体"/>
                <w:szCs w:val="21"/>
              </w:rPr>
            </w:pPr>
            <w:r>
              <w:rPr>
                <w:rFonts w:hint="eastAsia" w:ascii="宋体" w:hAnsi="宋体"/>
                <w:szCs w:val="21"/>
              </w:rPr>
              <w:t>为保障使用稳定性，需支持会话保持功能，能够实现在用户网络异常中断时，保持用户的应用程序使用状态，管理员可以配置会话保持的持续时间</w:t>
            </w:r>
          </w:p>
          <w:p>
            <w:pPr>
              <w:numPr>
                <w:ilvl w:val="0"/>
                <w:numId w:val="3"/>
              </w:numPr>
              <w:ind w:firstLine="420" w:firstLineChars="200"/>
              <w:rPr>
                <w:rFonts w:hint="eastAsia" w:ascii="宋体" w:hAnsi="宋体"/>
                <w:szCs w:val="21"/>
              </w:rPr>
            </w:pPr>
            <w:r>
              <w:rPr>
                <w:rFonts w:hint="eastAsia" w:ascii="宋体" w:hAnsi="宋体"/>
                <w:szCs w:val="21"/>
              </w:rPr>
              <w:t>●在云桌面终端的管理方面，需支持分组管理、批量移动、删除、关闭瘦终端，支持配置定时开关机计划及加电自启动功能，支持自定义开机画面、支持联动关机功能、配置自动登录和保存密码。</w:t>
            </w:r>
          </w:p>
          <w:p>
            <w:pPr>
              <w:numPr>
                <w:ilvl w:val="0"/>
                <w:numId w:val="3"/>
              </w:numPr>
              <w:ind w:firstLine="420" w:firstLineChars="200"/>
              <w:rPr>
                <w:rFonts w:hint="eastAsia" w:ascii="宋体" w:hAnsi="宋体"/>
                <w:szCs w:val="21"/>
              </w:rPr>
            </w:pPr>
            <w:r>
              <w:rPr>
                <w:rFonts w:hint="eastAsia" w:ascii="宋体" w:hAnsi="宋体"/>
                <w:szCs w:val="21"/>
              </w:rPr>
              <w:t>支持多种类型终端登录桌面云，支持PC、笔记本、云终端、iPad、iPhone、Android移动终端等设备接入访问虚拟桌面。</w:t>
            </w:r>
          </w:p>
          <w:p>
            <w:pPr>
              <w:numPr>
                <w:ilvl w:val="0"/>
                <w:numId w:val="3"/>
              </w:numPr>
              <w:ind w:firstLine="420" w:firstLineChars="200"/>
              <w:rPr>
                <w:rFonts w:hint="eastAsia" w:ascii="宋体" w:hAnsi="宋体"/>
                <w:szCs w:val="21"/>
              </w:rPr>
            </w:pPr>
            <w:r>
              <w:rPr>
                <w:rFonts w:hint="eastAsia" w:ascii="宋体" w:hAnsi="宋体"/>
                <w:szCs w:val="21"/>
              </w:rPr>
              <w:t>●支持闲置虚拟机识别，通过算法分析识别一段时间内的空闲和僵尸虚拟机，并能导出统计报告，用于管理员做统计报表和分析，避免不必要的开销。</w:t>
            </w:r>
          </w:p>
          <w:p>
            <w:pPr>
              <w:numPr>
                <w:ilvl w:val="0"/>
                <w:numId w:val="3"/>
              </w:numPr>
              <w:ind w:firstLine="420" w:firstLineChars="200"/>
              <w:rPr>
                <w:rFonts w:hint="eastAsia" w:ascii="宋体" w:hAnsi="宋体"/>
                <w:szCs w:val="21"/>
              </w:rPr>
            </w:pPr>
            <w:r>
              <w:rPr>
                <w:rFonts w:hint="eastAsia" w:ascii="宋体" w:hAnsi="宋体"/>
                <w:szCs w:val="21"/>
              </w:rPr>
              <w:t>●支持应用知识图谱分析与排查能力，可基于内置深度学习模型输出应用体验评分，快速定位影响应用体验差的根因并能够给出应用体验优化处置建议，可以批量将处置方法推送到云桌面进行精准处理</w:t>
            </w:r>
          </w:p>
          <w:p>
            <w:pPr>
              <w:numPr>
                <w:ilvl w:val="0"/>
                <w:numId w:val="3"/>
              </w:numPr>
              <w:ind w:firstLine="420" w:firstLineChars="200"/>
              <w:rPr>
                <w:rFonts w:hint="eastAsia" w:ascii="宋体" w:hAnsi="宋体"/>
                <w:szCs w:val="21"/>
              </w:rPr>
            </w:pPr>
            <w:r>
              <w:rPr>
                <w:rFonts w:hint="eastAsia" w:ascii="宋体" w:hAnsi="宋体"/>
                <w:szCs w:val="21"/>
              </w:rPr>
              <w:t>●为了保证在广域网或者网络条件较差的场景接入虚拟桌面的体验，要求支持配置压缩质量、帧率等，降低流量、提升体验</w:t>
            </w:r>
          </w:p>
          <w:p>
            <w:pPr>
              <w:numPr>
                <w:ilvl w:val="0"/>
                <w:numId w:val="3"/>
              </w:numPr>
              <w:ind w:firstLine="420" w:firstLineChars="200"/>
              <w:rPr>
                <w:rFonts w:hint="eastAsia" w:ascii="宋体" w:hAnsi="宋体"/>
                <w:szCs w:val="21"/>
              </w:rPr>
            </w:pPr>
            <w:r>
              <w:rPr>
                <w:rFonts w:hint="eastAsia" w:ascii="宋体" w:hAnsi="宋体"/>
                <w:szCs w:val="21"/>
              </w:rPr>
              <w:t>●具备运维知识图谱能力，可以通过分析上下游集群、主机、进程之间的关联关系，展示问题传播链路，帮助管理员全面了解平台运行情况，快速定位故障根因，快速解决故障虚拟机，效率显著提升。</w:t>
            </w:r>
          </w:p>
          <w:p>
            <w:pPr>
              <w:numPr>
                <w:ilvl w:val="0"/>
                <w:numId w:val="3"/>
              </w:numPr>
              <w:ind w:firstLine="420" w:firstLineChars="200"/>
              <w:rPr>
                <w:rFonts w:hint="eastAsia" w:ascii="宋体" w:hAnsi="宋体"/>
                <w:szCs w:val="21"/>
              </w:rPr>
            </w:pPr>
            <w:r>
              <w:rPr>
                <w:rFonts w:hint="eastAsia" w:ascii="宋体" w:hAnsi="宋体"/>
                <w:szCs w:val="21"/>
              </w:rPr>
              <w:t>●支持剪切板文件拷贝审计，将发生拷贝的用户信息，虚拟机信息和拷贝的内容，上报到数据中心（用户无感知）；支持审计管理员登录数据中心（报表中心），可以查看到拷贝的文件记录，对于用户拷贝的文件，支持在线预览，所有拷贝的内容均支持下载。当用户在非规定的时间内发生剪切时，数据中心将会记录告警；</w:t>
            </w:r>
          </w:p>
          <w:p>
            <w:pPr>
              <w:numPr>
                <w:ilvl w:val="0"/>
                <w:numId w:val="3"/>
              </w:numPr>
              <w:ind w:firstLine="420" w:firstLineChars="200"/>
              <w:rPr>
                <w:rFonts w:ascii="宋体" w:hAnsi="宋体"/>
                <w:szCs w:val="21"/>
              </w:rPr>
            </w:pPr>
            <w:r>
              <w:rPr>
                <w:rFonts w:hint="eastAsia" w:ascii="宋体" w:hAnsi="宋体"/>
                <w:szCs w:val="21"/>
              </w:rPr>
              <w:t>●提高桌面云平台问题的处置效率，帮助管理员快速定位问题根因，降低管理员的运维负担。运维平台应可持续性检测并发现虚拟机、主机、集群相关的软硬件问题（如虚机卡慢问题），检测出的问题按照严重程度做分级，并支持结合内置AI智能诊断库，进行自动化问题诊断，可直接在平台上以图文形式直接展示问题分析说明、问题举证分析、问题处置建议，管理员根据处置建议操作即可。</w:t>
            </w:r>
          </w:p>
        </w:tc>
        <w:tc>
          <w:tcPr>
            <w:tcW w:w="695" w:type="dxa"/>
            <w:vAlign w:val="center"/>
          </w:tcPr>
          <w:p>
            <w:pPr>
              <w:rPr>
                <w:rFonts w:hint="eastAsia" w:ascii="宋体" w:hAnsi="宋体"/>
                <w:szCs w:val="21"/>
              </w:rPr>
            </w:pPr>
            <w:r>
              <w:rPr>
                <w:rFonts w:hint="eastAsia" w:ascii="宋体" w:hAnsi="宋体"/>
                <w:szCs w:val="21"/>
              </w:rPr>
              <w:t>套</w:t>
            </w:r>
          </w:p>
        </w:tc>
        <w:tc>
          <w:tcPr>
            <w:tcW w:w="691" w:type="dxa"/>
            <w:vAlign w:val="center"/>
          </w:tcPr>
          <w:p>
            <w:pPr>
              <w:rPr>
                <w:rFonts w:hint="eastAsia" w:ascii="宋体" w:hAnsi="宋体"/>
                <w:szCs w:val="21"/>
              </w:rPr>
            </w:pPr>
            <w:r>
              <w:rPr>
                <w:rFonts w:hint="eastAsia" w:ascii="宋体" w:hAnsi="宋体"/>
                <w:szCs w:val="21"/>
              </w:rPr>
              <w:t>4</w:t>
            </w:r>
          </w:p>
        </w:tc>
        <w:tc>
          <w:tcPr>
            <w:tcW w:w="2099" w:type="dxa"/>
            <w:vAlign w:val="center"/>
          </w:tcPr>
          <w:p>
            <w:pPr>
              <w:jc w:val="center"/>
              <w:rPr>
                <w:rFonts w:hint="eastAsia" w:ascii="宋体" w:hAnsi="宋体"/>
                <w:szCs w:val="21"/>
              </w:rPr>
            </w:pPr>
            <w:r>
              <w:rPr>
                <w:rFonts w:hint="eastAsia" w:ascii="宋体" w:hAnsi="宋体"/>
                <w:szCs w:val="21"/>
              </w:rPr>
              <w:t>否</w:t>
            </w:r>
          </w:p>
        </w:tc>
        <w:tc>
          <w:tcPr>
            <w:tcW w:w="1473" w:type="dxa"/>
            <w:vAlign w:val="center"/>
          </w:tcPr>
          <w:p>
            <w:pPr>
              <w:jc w:val="center"/>
              <w:rPr>
                <w:rFonts w:hint="eastAsia" w:ascii="宋体" w:hAnsi="宋体"/>
                <w:szCs w:val="21"/>
              </w:rPr>
            </w:pPr>
            <w:r>
              <w:rPr>
                <w:rFonts w:hint="eastAsia" w:ascii="宋体" w:hAnsi="宋体"/>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781" w:type="dxa"/>
            <w:vAlign w:val="center"/>
          </w:tcPr>
          <w:p>
            <w:pPr>
              <w:jc w:val="center"/>
              <w:rPr>
                <w:rFonts w:hint="eastAsia" w:ascii="宋体" w:hAnsi="宋体"/>
                <w:szCs w:val="21"/>
              </w:rPr>
            </w:pPr>
            <w:r>
              <w:rPr>
                <w:rFonts w:hint="eastAsia" w:ascii="宋体" w:hAnsi="宋体"/>
                <w:szCs w:val="21"/>
              </w:rPr>
              <w:t>4</w:t>
            </w:r>
          </w:p>
        </w:tc>
        <w:tc>
          <w:tcPr>
            <w:tcW w:w="1286" w:type="dxa"/>
            <w:vAlign w:val="center"/>
          </w:tcPr>
          <w:p>
            <w:pPr>
              <w:widowControl/>
              <w:rPr>
                <w:rFonts w:hint="eastAsia" w:ascii="宋体" w:hAnsi="宋体"/>
                <w:szCs w:val="21"/>
              </w:rPr>
            </w:pPr>
            <w:r>
              <w:rPr>
                <w:rFonts w:hint="eastAsia" w:ascii="宋体" w:hAnsi="宋体"/>
                <w:szCs w:val="21"/>
              </w:rPr>
              <w:t>课堂管理软件</w:t>
            </w:r>
          </w:p>
        </w:tc>
        <w:tc>
          <w:tcPr>
            <w:tcW w:w="3408" w:type="dxa"/>
            <w:vAlign w:val="center"/>
          </w:tcPr>
          <w:p>
            <w:pPr>
              <w:numPr>
                <w:ilvl w:val="0"/>
                <w:numId w:val="4"/>
              </w:numPr>
              <w:ind w:firstLine="420" w:firstLineChars="200"/>
              <w:rPr>
                <w:rFonts w:hint="eastAsia" w:ascii="宋体" w:hAnsi="宋体"/>
                <w:szCs w:val="21"/>
              </w:rPr>
            </w:pPr>
            <w:r>
              <w:rPr>
                <w:rFonts w:hint="eastAsia" w:ascii="宋体" w:hAnsi="宋体"/>
                <w:szCs w:val="21"/>
              </w:rPr>
              <w:t>★为了保障教学场景的高效管理，每套需要配备不少于50个课堂管理软件授权；所提供的课堂管理软件必须能够兼容本次采购的云桌面平台</w:t>
            </w:r>
          </w:p>
          <w:p>
            <w:pPr>
              <w:numPr>
                <w:ilvl w:val="0"/>
                <w:numId w:val="4"/>
              </w:numPr>
              <w:ind w:firstLine="420" w:firstLineChars="200"/>
              <w:rPr>
                <w:rFonts w:hint="eastAsia" w:ascii="宋体" w:hAnsi="宋体"/>
                <w:szCs w:val="21"/>
              </w:rPr>
            </w:pPr>
            <w:r>
              <w:rPr>
                <w:rFonts w:hint="eastAsia" w:ascii="宋体" w:hAnsi="宋体"/>
                <w:szCs w:val="21"/>
              </w:rPr>
              <w:t>支持屏幕广播功能，将教师机屏幕和教师讲话实时广播给单一、部分或全体学生，可选择全屏或窗口方式。</w:t>
            </w:r>
          </w:p>
          <w:p>
            <w:pPr>
              <w:numPr>
                <w:ilvl w:val="0"/>
                <w:numId w:val="4"/>
              </w:numPr>
              <w:ind w:firstLine="420" w:firstLineChars="200"/>
              <w:rPr>
                <w:rFonts w:hint="eastAsia" w:ascii="宋体" w:hAnsi="宋体"/>
                <w:szCs w:val="21"/>
              </w:rPr>
            </w:pPr>
            <w:r>
              <w:rPr>
                <w:rFonts w:hint="eastAsia" w:ascii="宋体" w:hAnsi="宋体"/>
                <w:szCs w:val="21"/>
              </w:rPr>
              <w:t>支持区域广播功能，教师可选定本机屏幕的任意区域画面广播给单一、部分或全体学生，可通过浮动工具栏选择全屏或窗口方式。</w:t>
            </w:r>
          </w:p>
          <w:p>
            <w:pPr>
              <w:numPr>
                <w:ilvl w:val="0"/>
                <w:numId w:val="4"/>
              </w:numPr>
              <w:ind w:firstLine="420" w:firstLineChars="200"/>
              <w:rPr>
                <w:rFonts w:hint="eastAsia" w:ascii="宋体" w:hAnsi="宋体"/>
                <w:szCs w:val="21"/>
              </w:rPr>
            </w:pPr>
            <w:r>
              <w:rPr>
                <w:rFonts w:hint="eastAsia" w:ascii="宋体" w:hAnsi="宋体"/>
                <w:szCs w:val="21"/>
              </w:rPr>
              <w:t>具备分组教学功能，教师分派组长执行指定的功能，组长可在小组内进行教学，教师可以监控每个分组的教学过程，以了解分组教学的进度。</w:t>
            </w:r>
          </w:p>
          <w:p>
            <w:pPr>
              <w:numPr>
                <w:ilvl w:val="0"/>
                <w:numId w:val="4"/>
              </w:numPr>
              <w:ind w:firstLine="420" w:firstLineChars="200"/>
              <w:rPr>
                <w:rFonts w:hint="eastAsia" w:ascii="宋体" w:hAnsi="宋体"/>
                <w:szCs w:val="21"/>
              </w:rPr>
            </w:pPr>
            <w:r>
              <w:rPr>
                <w:rFonts w:hint="eastAsia" w:ascii="宋体" w:hAnsi="宋体"/>
                <w:szCs w:val="21"/>
              </w:rPr>
              <w:t>支持学生端状态查看，教师可以获取学生端计算机的名称、登录名和其它常用信息，并可以列出学生端的应用程序、进程和进程 ID，教师还可以远程终止学生端的进程。</w:t>
            </w:r>
          </w:p>
        </w:tc>
        <w:tc>
          <w:tcPr>
            <w:tcW w:w="695" w:type="dxa"/>
            <w:vAlign w:val="center"/>
          </w:tcPr>
          <w:p>
            <w:pPr>
              <w:rPr>
                <w:rFonts w:hint="eastAsia" w:ascii="宋体" w:hAnsi="宋体"/>
                <w:szCs w:val="21"/>
              </w:rPr>
            </w:pPr>
            <w:r>
              <w:rPr>
                <w:rFonts w:hint="eastAsia" w:ascii="宋体" w:hAnsi="宋体"/>
                <w:szCs w:val="21"/>
              </w:rPr>
              <w:t>套</w:t>
            </w:r>
          </w:p>
        </w:tc>
        <w:tc>
          <w:tcPr>
            <w:tcW w:w="691" w:type="dxa"/>
            <w:vAlign w:val="center"/>
          </w:tcPr>
          <w:p>
            <w:pPr>
              <w:rPr>
                <w:rFonts w:hint="eastAsia" w:ascii="宋体" w:hAnsi="宋体"/>
                <w:szCs w:val="21"/>
              </w:rPr>
            </w:pPr>
            <w:r>
              <w:rPr>
                <w:rFonts w:hint="eastAsia" w:ascii="宋体" w:hAnsi="宋体"/>
                <w:szCs w:val="21"/>
              </w:rPr>
              <w:t>4</w:t>
            </w:r>
          </w:p>
        </w:tc>
        <w:tc>
          <w:tcPr>
            <w:tcW w:w="2099" w:type="dxa"/>
            <w:vAlign w:val="center"/>
          </w:tcPr>
          <w:p>
            <w:pPr>
              <w:jc w:val="center"/>
              <w:rPr>
                <w:rFonts w:hint="eastAsia" w:ascii="宋体" w:hAnsi="宋体"/>
                <w:szCs w:val="21"/>
              </w:rPr>
            </w:pPr>
            <w:r>
              <w:rPr>
                <w:rFonts w:hint="eastAsia" w:ascii="宋体" w:hAnsi="宋体"/>
                <w:szCs w:val="21"/>
              </w:rPr>
              <w:t>否</w:t>
            </w:r>
          </w:p>
        </w:tc>
        <w:tc>
          <w:tcPr>
            <w:tcW w:w="1473" w:type="dxa"/>
            <w:vAlign w:val="center"/>
          </w:tcPr>
          <w:p>
            <w:pPr>
              <w:jc w:val="center"/>
              <w:rPr>
                <w:rFonts w:hint="eastAsia" w:ascii="宋体" w:hAnsi="宋体"/>
                <w:szCs w:val="21"/>
              </w:rPr>
            </w:pPr>
            <w:r>
              <w:rPr>
                <w:rFonts w:hint="eastAsia" w:ascii="宋体" w:hAnsi="宋体"/>
                <w:szCs w:val="21"/>
              </w:rPr>
              <w:t>否</w:t>
            </w:r>
          </w:p>
        </w:tc>
      </w:tr>
    </w:tbl>
    <w:p>
      <w:pPr>
        <w:rPr>
          <w:rFonts w:hint="eastAsia" w:ascii="宋体" w:hAnsi="宋体"/>
          <w:sz w:val="24"/>
        </w:rPr>
      </w:pPr>
      <w:r>
        <w:rPr>
          <w:rFonts w:hint="eastAsia" w:ascii="宋体" w:hAnsi="宋体"/>
          <w:sz w:val="24"/>
        </w:rPr>
        <w:t>注：</w:t>
      </w:r>
    </w:p>
    <w:p>
      <w:pPr>
        <w:rPr>
          <w:rFonts w:hint="eastAsia" w:ascii="宋体" w:hAnsi="宋体"/>
          <w:sz w:val="24"/>
        </w:rPr>
      </w:pPr>
      <w:r>
        <w:rPr>
          <w:rFonts w:hint="eastAsia" w:ascii="宋体" w:hAnsi="宋体"/>
          <w:sz w:val="24"/>
        </w:rPr>
        <w:t>应逐项明确每项标的是否属于集采目录内产品</w:t>
      </w:r>
    </w:p>
    <w:p>
      <w:pPr>
        <w:rPr>
          <w:rFonts w:hint="eastAsia" w:ascii="宋体" w:hAnsi="宋体"/>
          <w:sz w:val="24"/>
        </w:rPr>
      </w:pPr>
      <w:r>
        <w:rPr>
          <w:rFonts w:hint="eastAsia" w:ascii="宋体" w:hAnsi="宋体"/>
          <w:sz w:val="24"/>
        </w:rPr>
        <w:t>量化指标应标示出范围值，例如长度≥30cm，而不是长度30cm</w:t>
      </w:r>
    </w:p>
    <w:p>
      <w:pPr>
        <w:rPr>
          <w:rFonts w:hint="eastAsia" w:ascii="宋体" w:hAnsi="宋体"/>
          <w:sz w:val="24"/>
        </w:rPr>
      </w:pPr>
      <w:r>
        <w:rPr>
          <w:rFonts w:ascii="宋体" w:hAnsi="宋体"/>
          <w:sz w:val="24"/>
        </w:rPr>
        <w:t>加注“</w:t>
      </w:r>
      <w:r>
        <w:rPr>
          <w:rFonts w:hint="eastAsia" w:ascii="宋体" w:hAnsi="宋体" w:cs="宋体"/>
          <w:sz w:val="24"/>
        </w:rPr>
        <w:t>★</w:t>
      </w:r>
      <w:r>
        <w:rPr>
          <w:rFonts w:ascii="宋体" w:hAnsi="宋体"/>
          <w:sz w:val="24"/>
        </w:rPr>
        <w:t>”号条款为实质性条款，不得出现负偏离，发生负偏离即做无效标处理。</w:t>
      </w:r>
    </w:p>
    <w:p>
      <w:pPr>
        <w:spacing w:line="360" w:lineRule="auto"/>
        <w:ind w:firstLine="480" w:firstLineChars="200"/>
        <w:rPr>
          <w:rFonts w:hint="eastAsia" w:ascii="宋体" w:hAnsi="宋体"/>
          <w:sz w:val="24"/>
        </w:rPr>
      </w:pPr>
      <w:r>
        <w:rPr>
          <w:rFonts w:hint="eastAsia" w:ascii="宋体" w:hAnsi="宋体"/>
          <w:sz w:val="24"/>
        </w:rPr>
        <w:t>加注“</w:t>
      </w:r>
      <w:r>
        <w:rPr>
          <w:rFonts w:hint="eastAsia" w:ascii="宋体" w:hAnsi="宋体"/>
          <w:szCs w:val="21"/>
        </w:rPr>
        <w:t>●</w:t>
      </w:r>
      <w:r>
        <w:rPr>
          <w:rFonts w:hint="eastAsia" w:ascii="宋体" w:hAnsi="宋体"/>
          <w:sz w:val="24"/>
        </w:rPr>
        <w:t>”号的为重要技术参数指标项，要求在评分标准，产品功能评价中标注“</w:t>
      </w:r>
      <w:r>
        <w:rPr>
          <w:rFonts w:hint="eastAsia" w:ascii="宋体" w:hAnsi="宋体"/>
          <w:szCs w:val="21"/>
        </w:rPr>
        <w:t>●</w:t>
      </w:r>
      <w:r>
        <w:rPr>
          <w:rFonts w:hint="eastAsia" w:ascii="宋体" w:hAnsi="宋体"/>
          <w:sz w:val="24"/>
        </w:rPr>
        <w:t>”条款的参数提供由CMA、CNAS认证的权威第三方检测机构出具的检测/检验/试验/测试报告技术支撑材料。</w:t>
      </w:r>
    </w:p>
    <w:p>
      <w:pPr>
        <w:spacing w:line="360" w:lineRule="auto"/>
        <w:ind w:firstLine="480" w:firstLineChars="200"/>
        <w:rPr>
          <w:rFonts w:hint="eastAsia" w:ascii="宋体" w:hAnsi="宋体"/>
          <w:sz w:val="24"/>
        </w:rPr>
      </w:pPr>
      <w:r>
        <w:rPr>
          <w:rFonts w:hint="eastAsia" w:ascii="宋体" w:hAnsi="宋体"/>
          <w:sz w:val="24"/>
        </w:rPr>
        <w:t>附件1：</w:t>
      </w:r>
    </w:p>
    <w:tbl>
      <w:tblPr>
        <w:tblStyle w:val="25"/>
        <w:tblW w:w="7600" w:type="dxa"/>
        <w:tblInd w:w="103" w:type="dxa"/>
        <w:tblLayout w:type="fixed"/>
        <w:tblCellMar>
          <w:top w:w="0" w:type="dxa"/>
          <w:left w:w="108" w:type="dxa"/>
          <w:bottom w:w="0" w:type="dxa"/>
          <w:right w:w="108" w:type="dxa"/>
        </w:tblCellMar>
      </w:tblPr>
      <w:tblGrid>
        <w:gridCol w:w="620"/>
        <w:gridCol w:w="1360"/>
        <w:gridCol w:w="1427"/>
        <w:gridCol w:w="1560"/>
        <w:gridCol w:w="2633"/>
      </w:tblGrid>
      <w:tr>
        <w:tblPrEx>
          <w:tblLayout w:type="fixed"/>
          <w:tblCellMar>
            <w:top w:w="0" w:type="dxa"/>
            <w:left w:w="108" w:type="dxa"/>
            <w:bottom w:w="0" w:type="dxa"/>
            <w:right w:w="108" w:type="dxa"/>
          </w:tblCellMar>
        </w:tblPrEx>
        <w:trPr>
          <w:trHeight w:val="416" w:hRule="atLeast"/>
          <w:tblHeader/>
        </w:trPr>
        <w:tc>
          <w:tcPr>
            <w:tcW w:w="62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Arial"/>
                <w:b/>
                <w:bCs/>
                <w:kern w:val="0"/>
                <w:sz w:val="18"/>
                <w:szCs w:val="18"/>
              </w:rPr>
            </w:pPr>
            <w:r>
              <w:rPr>
                <w:rFonts w:hint="eastAsia" w:ascii="宋体" w:hAnsi="宋体" w:cs="Arial"/>
                <w:b/>
                <w:bCs/>
                <w:kern w:val="0"/>
                <w:sz w:val="18"/>
                <w:szCs w:val="18"/>
              </w:rPr>
              <w:t>序号</w:t>
            </w:r>
          </w:p>
        </w:tc>
        <w:tc>
          <w:tcPr>
            <w:tcW w:w="1360" w:type="dxa"/>
            <w:tcBorders>
              <w:top w:val="single" w:color="auto" w:sz="4" w:space="0"/>
              <w:left w:val="nil"/>
              <w:bottom w:val="single" w:color="auto" w:sz="4" w:space="0"/>
              <w:right w:val="single" w:color="auto" w:sz="4" w:space="0"/>
            </w:tcBorders>
            <w:vAlign w:val="center"/>
          </w:tcPr>
          <w:p>
            <w:pPr>
              <w:widowControl/>
              <w:jc w:val="left"/>
              <w:rPr>
                <w:rFonts w:ascii="宋体" w:hAnsi="宋体" w:cs="Arial"/>
                <w:b/>
                <w:bCs/>
                <w:kern w:val="0"/>
                <w:sz w:val="18"/>
                <w:szCs w:val="18"/>
              </w:rPr>
            </w:pPr>
            <w:r>
              <w:rPr>
                <w:rFonts w:hint="eastAsia" w:ascii="宋体" w:hAnsi="宋体" w:cs="Arial"/>
                <w:b/>
                <w:bCs/>
                <w:kern w:val="0"/>
                <w:sz w:val="18"/>
                <w:szCs w:val="18"/>
              </w:rPr>
              <w:t xml:space="preserve">  指标分类</w:t>
            </w:r>
          </w:p>
        </w:tc>
        <w:tc>
          <w:tcPr>
            <w:tcW w:w="1427" w:type="dxa"/>
            <w:tcBorders>
              <w:top w:val="single" w:color="auto" w:sz="4" w:space="0"/>
              <w:left w:val="nil"/>
              <w:bottom w:val="single" w:color="auto" w:sz="4" w:space="0"/>
              <w:right w:val="single" w:color="auto" w:sz="4" w:space="0"/>
            </w:tcBorders>
            <w:vAlign w:val="center"/>
          </w:tcPr>
          <w:p>
            <w:pPr>
              <w:widowControl/>
              <w:jc w:val="center"/>
              <w:rPr>
                <w:rFonts w:ascii="宋体" w:hAnsi="宋体" w:cs="Arial"/>
                <w:b/>
                <w:bCs/>
                <w:kern w:val="0"/>
                <w:sz w:val="18"/>
                <w:szCs w:val="18"/>
              </w:rPr>
            </w:pPr>
            <w:r>
              <w:rPr>
                <w:rFonts w:hint="eastAsia" w:ascii="宋体" w:hAnsi="宋体" w:cs="Arial"/>
                <w:b/>
                <w:bCs/>
                <w:kern w:val="0"/>
                <w:sz w:val="18"/>
                <w:szCs w:val="18"/>
              </w:rPr>
              <w:t>一级指标</w:t>
            </w:r>
          </w:p>
        </w:tc>
        <w:tc>
          <w:tcPr>
            <w:tcW w:w="1560" w:type="dxa"/>
            <w:tcBorders>
              <w:top w:val="single" w:color="auto" w:sz="4" w:space="0"/>
              <w:left w:val="nil"/>
              <w:bottom w:val="single" w:color="auto" w:sz="4" w:space="0"/>
              <w:right w:val="single" w:color="auto" w:sz="4" w:space="0"/>
            </w:tcBorders>
            <w:vAlign w:val="center"/>
          </w:tcPr>
          <w:p>
            <w:pPr>
              <w:widowControl/>
              <w:jc w:val="center"/>
              <w:rPr>
                <w:rFonts w:ascii="宋体" w:hAnsi="宋体" w:cs="Arial"/>
                <w:b/>
                <w:bCs/>
                <w:kern w:val="0"/>
                <w:sz w:val="18"/>
                <w:szCs w:val="18"/>
              </w:rPr>
            </w:pPr>
            <w:r>
              <w:rPr>
                <w:rFonts w:hint="eastAsia" w:ascii="宋体" w:hAnsi="宋体" w:cs="Arial"/>
                <w:b/>
                <w:bCs/>
                <w:kern w:val="0"/>
                <w:sz w:val="18"/>
                <w:szCs w:val="18"/>
              </w:rPr>
              <w:t>二级指标</w:t>
            </w:r>
          </w:p>
        </w:tc>
        <w:tc>
          <w:tcPr>
            <w:tcW w:w="2633" w:type="dxa"/>
            <w:tcBorders>
              <w:top w:val="single" w:color="auto" w:sz="4" w:space="0"/>
              <w:left w:val="nil"/>
              <w:bottom w:val="single" w:color="auto" w:sz="4" w:space="0"/>
              <w:right w:val="single" w:color="auto" w:sz="4" w:space="0"/>
            </w:tcBorders>
            <w:vAlign w:val="center"/>
          </w:tcPr>
          <w:p>
            <w:pPr>
              <w:widowControl/>
              <w:jc w:val="center"/>
              <w:rPr>
                <w:rFonts w:ascii="宋体" w:hAnsi="宋体" w:cs="Arial"/>
                <w:b/>
                <w:bCs/>
                <w:kern w:val="0"/>
                <w:sz w:val="18"/>
                <w:szCs w:val="18"/>
              </w:rPr>
            </w:pPr>
            <w:r>
              <w:rPr>
                <w:rFonts w:hint="eastAsia" w:ascii="宋体" w:hAnsi="宋体" w:cs="Arial"/>
                <w:b/>
                <w:bCs/>
                <w:kern w:val="0"/>
                <w:sz w:val="18"/>
                <w:szCs w:val="18"/>
              </w:rPr>
              <w:t>采购人技术要求</w:t>
            </w:r>
          </w:p>
        </w:tc>
      </w:tr>
      <w:tr>
        <w:tblPrEx>
          <w:tblLayout w:type="fixed"/>
          <w:tblCellMar>
            <w:top w:w="0" w:type="dxa"/>
            <w:left w:w="108" w:type="dxa"/>
            <w:bottom w:w="0" w:type="dxa"/>
            <w:right w:w="108" w:type="dxa"/>
          </w:tblCellMar>
        </w:tblPrEx>
        <w:trPr>
          <w:trHeight w:val="989"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427"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CPU规格</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★CPU信息</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单台配置：CPU配置≥2颗，单颗CPU配置核心数≥32核，主频≥2.8GHZ</w:t>
            </w:r>
          </w:p>
        </w:tc>
      </w:tr>
      <w:tr>
        <w:tblPrEx>
          <w:tblLayout w:type="fixed"/>
          <w:tblCellMar>
            <w:top w:w="0" w:type="dxa"/>
            <w:left w:w="108" w:type="dxa"/>
            <w:bottom w:w="0" w:type="dxa"/>
            <w:right w:w="108" w:type="dxa"/>
          </w:tblCellMar>
        </w:tblPrEx>
        <w:trPr>
          <w:trHeight w:val="112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2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主板规格</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★主板支持的CPU和内存情况</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单台配置：CPU配置≥2颗，单颗CPU配置核心数≥32核，内存≥32*32G DDR4 3200</w:t>
            </w:r>
          </w:p>
        </w:tc>
      </w:tr>
      <w:tr>
        <w:tblPrEx>
          <w:tblLayout w:type="fixed"/>
          <w:tblCellMar>
            <w:top w:w="0" w:type="dxa"/>
            <w:left w:w="108" w:type="dxa"/>
            <w:bottom w:w="0" w:type="dxa"/>
            <w:right w:w="108" w:type="dxa"/>
          </w:tblCellMar>
        </w:tblPrEx>
        <w:trPr>
          <w:trHeight w:val="427"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3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★主板内存槽数量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内存：DDR4 3200，32*32G</w:t>
            </w:r>
          </w:p>
        </w:tc>
      </w:tr>
      <w:tr>
        <w:tblPrEx>
          <w:tblLayout w:type="fixed"/>
          <w:tblCellMar>
            <w:top w:w="0" w:type="dxa"/>
            <w:left w:w="108" w:type="dxa"/>
            <w:bottom w:w="0" w:type="dxa"/>
            <w:right w:w="108" w:type="dxa"/>
          </w:tblCellMar>
        </w:tblPrEx>
        <w:trPr>
          <w:trHeight w:val="419"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4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★主板存储接口</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支持SATA、SAS、U.2</w:t>
            </w:r>
          </w:p>
        </w:tc>
      </w:tr>
      <w:tr>
        <w:tblPrEx>
          <w:tblLayout w:type="fixed"/>
          <w:tblCellMar>
            <w:top w:w="0" w:type="dxa"/>
            <w:left w:w="108" w:type="dxa"/>
            <w:bottom w:w="0" w:type="dxa"/>
            <w:right w:w="108" w:type="dxa"/>
          </w:tblCellMar>
        </w:tblPrEx>
        <w:trPr>
          <w:trHeight w:val="708"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5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★PCIe插槽接口</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PCI-E插槽总数：6</w:t>
            </w:r>
            <w:r>
              <w:rPr>
                <w:rFonts w:hint="eastAsia" w:ascii="宋体" w:hAnsi="宋体" w:cs="Arial"/>
                <w:kern w:val="0"/>
                <w:sz w:val="18"/>
                <w:szCs w:val="18"/>
              </w:rPr>
              <w:br w:type="textWrapping"/>
            </w:r>
            <w:r>
              <w:rPr>
                <w:rFonts w:hint="eastAsia" w:ascii="宋体" w:hAnsi="宋体" w:cs="Arial"/>
                <w:kern w:val="0"/>
                <w:sz w:val="18"/>
                <w:szCs w:val="18"/>
              </w:rPr>
              <w:t>剩余可用PCI-E插槽数：2</w:t>
            </w:r>
          </w:p>
        </w:tc>
      </w:tr>
      <w:tr>
        <w:tblPrEx>
          <w:tblLayout w:type="fixed"/>
          <w:tblCellMar>
            <w:top w:w="0" w:type="dxa"/>
            <w:left w:w="108" w:type="dxa"/>
            <w:bottom w:w="0" w:type="dxa"/>
            <w:right w:w="108" w:type="dxa"/>
          </w:tblCellMar>
        </w:tblPrEx>
        <w:trPr>
          <w:trHeight w:val="846"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6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★主板PCIe插槽数量及规格</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PCI-E插槽总数：6</w:t>
            </w:r>
            <w:r>
              <w:rPr>
                <w:rFonts w:hint="eastAsia" w:ascii="宋体" w:hAnsi="宋体" w:cs="Arial"/>
                <w:kern w:val="0"/>
                <w:sz w:val="18"/>
                <w:szCs w:val="18"/>
              </w:rPr>
              <w:br w:type="textWrapping"/>
            </w:r>
            <w:r>
              <w:rPr>
                <w:rFonts w:hint="eastAsia" w:ascii="宋体" w:hAnsi="宋体" w:cs="Arial"/>
                <w:kern w:val="0"/>
                <w:sz w:val="18"/>
                <w:szCs w:val="18"/>
              </w:rPr>
              <w:t>剩余可用PCI-E插槽数：2</w:t>
            </w:r>
          </w:p>
        </w:tc>
      </w:tr>
      <w:tr>
        <w:tblPrEx>
          <w:tblLayout w:type="fixed"/>
          <w:tblCellMar>
            <w:top w:w="0" w:type="dxa"/>
            <w:left w:w="108" w:type="dxa"/>
            <w:bottom w:w="0" w:type="dxa"/>
            <w:right w:w="108" w:type="dxa"/>
          </w:tblCellMar>
        </w:tblPrEx>
        <w:trPr>
          <w:trHeight w:val="405"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7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特殊孔位及接口</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411"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8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板载网络接口</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417"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9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主板OCP插槽数量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25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10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内存规格</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★内存数量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内存：DDR4 3200，32*32G</w:t>
            </w:r>
          </w:p>
        </w:tc>
      </w:tr>
      <w:tr>
        <w:tblPrEx>
          <w:tblLayout w:type="fixed"/>
          <w:tblCellMar>
            <w:top w:w="0" w:type="dxa"/>
            <w:left w:w="108" w:type="dxa"/>
            <w:bottom w:w="0" w:type="dxa"/>
            <w:right w:w="108" w:type="dxa"/>
          </w:tblCellMar>
        </w:tblPrEx>
        <w:trPr>
          <w:trHeight w:val="385"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11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★内存规格</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DDR4 3200</w:t>
            </w:r>
          </w:p>
        </w:tc>
      </w:tr>
      <w:tr>
        <w:tblPrEx>
          <w:tblLayout w:type="fixed"/>
          <w:tblCellMar>
            <w:top w:w="0" w:type="dxa"/>
            <w:left w:w="108" w:type="dxa"/>
            <w:bottom w:w="0" w:type="dxa"/>
            <w:right w:w="108" w:type="dxa"/>
          </w:tblCellMar>
        </w:tblPrEx>
        <w:trPr>
          <w:trHeight w:val="121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12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★内存通道</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支持多个内存接口通道，每个通道可支持1DPC或2DPC，当支持2DPC时，印制电路板上应具备插槽的序号标识，具体通道数应在随机文件中明确</w:t>
            </w:r>
          </w:p>
        </w:tc>
      </w:tr>
      <w:tr>
        <w:tblPrEx>
          <w:tblLayout w:type="fixed"/>
          <w:tblCellMar>
            <w:top w:w="0" w:type="dxa"/>
            <w:left w:w="108" w:type="dxa"/>
            <w:bottom w:w="0" w:type="dxa"/>
            <w:right w:w="108" w:type="dxa"/>
          </w:tblCellMar>
        </w:tblPrEx>
        <w:trPr>
          <w:trHeight w:val="4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13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存储规格</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硬盘类型</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缓存盘接口类型 SATA SSD,数据盘接口类型 SATA</w:t>
            </w:r>
          </w:p>
        </w:tc>
      </w:tr>
      <w:tr>
        <w:tblPrEx>
          <w:tblLayout w:type="fixed"/>
          <w:tblCellMar>
            <w:top w:w="0" w:type="dxa"/>
            <w:left w:w="108" w:type="dxa"/>
            <w:bottom w:w="0" w:type="dxa"/>
            <w:right w:w="108" w:type="dxa"/>
          </w:tblCellMar>
        </w:tblPrEx>
        <w:trPr>
          <w:trHeight w:val="1188"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14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★硬磁盘实配容量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单台服务器配置：固态硬盘-960G-SSD（混合型）不少于6块，机械硬盘12T不少于6块。</w:t>
            </w:r>
          </w:p>
        </w:tc>
      </w:tr>
      <w:tr>
        <w:tblPrEx>
          <w:tblLayout w:type="fixed"/>
          <w:tblCellMar>
            <w:top w:w="0" w:type="dxa"/>
            <w:left w:w="108" w:type="dxa"/>
            <w:bottom w:w="0" w:type="dxa"/>
            <w:right w:w="108" w:type="dxa"/>
          </w:tblCellMar>
        </w:tblPrEx>
        <w:trPr>
          <w:trHeight w:val="695"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15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硬盘接口类型</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缓存盘接口类型 SATA SSD,数据盘接口类型 SATA</w:t>
            </w:r>
          </w:p>
        </w:tc>
      </w:tr>
      <w:tr>
        <w:tblPrEx>
          <w:tblLayout w:type="fixed"/>
          <w:tblCellMar>
            <w:top w:w="0" w:type="dxa"/>
            <w:left w:w="108" w:type="dxa"/>
            <w:bottom w:w="0" w:type="dxa"/>
            <w:right w:w="108" w:type="dxa"/>
          </w:tblCellMar>
        </w:tblPrEx>
        <w:trPr>
          <w:trHeight w:val="121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16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★硬盘实配数量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单台服务器配置：固态硬盘-960G-SSD（混合型）不少于6块，机械硬盘12T不少于6块。</w:t>
            </w:r>
          </w:p>
        </w:tc>
      </w:tr>
      <w:tr>
        <w:tblPrEx>
          <w:tblLayout w:type="fixed"/>
          <w:tblCellMar>
            <w:top w:w="0" w:type="dxa"/>
            <w:left w:w="108" w:type="dxa"/>
            <w:bottom w:w="0" w:type="dxa"/>
            <w:right w:w="108" w:type="dxa"/>
          </w:tblCellMar>
        </w:tblPrEx>
        <w:trPr>
          <w:trHeight w:val="847"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17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★硬盘插槽数量及规格</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标配盘位数 12</w:t>
            </w:r>
            <w:r>
              <w:rPr>
                <w:rFonts w:hint="eastAsia" w:ascii="宋体" w:hAnsi="宋体" w:cs="Arial"/>
                <w:kern w:val="0"/>
                <w:sz w:val="18"/>
                <w:szCs w:val="18"/>
              </w:rPr>
              <w:br w:type="textWrapping"/>
            </w:r>
            <w:r>
              <w:rPr>
                <w:rFonts w:hint="eastAsia" w:ascii="宋体" w:hAnsi="宋体" w:cs="Arial"/>
                <w:kern w:val="0"/>
                <w:sz w:val="18"/>
                <w:szCs w:val="18"/>
              </w:rPr>
              <w:t>数据盘规格 3.5寸/2.5寸</w:t>
            </w:r>
          </w:p>
        </w:tc>
      </w:tr>
      <w:tr>
        <w:tblPrEx>
          <w:tblLayout w:type="fixed"/>
          <w:tblCellMar>
            <w:top w:w="0" w:type="dxa"/>
            <w:left w:w="108" w:type="dxa"/>
            <w:bottom w:w="0" w:type="dxa"/>
            <w:right w:w="108" w:type="dxa"/>
          </w:tblCellMar>
        </w:tblPrEx>
        <w:trPr>
          <w:trHeight w:val="2179"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18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硬盘其他参数要求</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a)机械硬盘准备时间应不大于30s；侧面固定螺丝孔数量可为4孔或6孔；工作状态环境温度应满足5℃55℃,其它参数应符合GB/T12628的相关规定；b)若服务器支持固态盘，固态盘符合SJ/T11654相关规定</w:t>
            </w:r>
          </w:p>
        </w:tc>
      </w:tr>
      <w:tr>
        <w:tblPrEx>
          <w:tblLayout w:type="fixed"/>
          <w:tblCellMar>
            <w:top w:w="0" w:type="dxa"/>
            <w:left w:w="108" w:type="dxa"/>
            <w:bottom w:w="0" w:type="dxa"/>
            <w:right w:w="108" w:type="dxa"/>
          </w:tblCellMar>
        </w:tblPrEx>
        <w:trPr>
          <w:trHeight w:val="906"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19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427"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RAID卡规格（若支持RAID卡）</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RAID卡支持的SAS</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Raid卡型号 LSI-3008/3008IR或B3808N</w:t>
            </w:r>
          </w:p>
        </w:tc>
      </w:tr>
      <w:tr>
        <w:tblPrEx>
          <w:tblLayout w:type="fixed"/>
          <w:tblCellMar>
            <w:top w:w="0" w:type="dxa"/>
            <w:left w:w="108" w:type="dxa"/>
            <w:bottom w:w="0" w:type="dxa"/>
            <w:right w:w="108" w:type="dxa"/>
          </w:tblCellMar>
        </w:tblPrEx>
        <w:trPr>
          <w:trHeight w:val="1103"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20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SAS直通卡规格(若支持SAS直通卡)</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SAS直通卡SAS接口数量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1119"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21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HBA卡规格(若支持HBA直通卡)</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HBA卡端口数量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426"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22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网络规格</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★网口速率和数量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接口：4千兆电口+4万兆光口。</w:t>
            </w:r>
          </w:p>
        </w:tc>
      </w:tr>
      <w:tr>
        <w:tblPrEx>
          <w:tblLayout w:type="fixed"/>
          <w:tblCellMar>
            <w:top w:w="0" w:type="dxa"/>
            <w:left w:w="108" w:type="dxa"/>
            <w:bottom w:w="0" w:type="dxa"/>
            <w:right w:w="108" w:type="dxa"/>
          </w:tblCellMar>
        </w:tblPrEx>
        <w:trPr>
          <w:trHeight w:val="844"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23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存储型服务器网口速率和数量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存储型服务器1GE网口数量不少于2个，10GE以上网口数量不少于2个</w:t>
            </w:r>
          </w:p>
        </w:tc>
      </w:tr>
      <w:tr>
        <w:tblPrEx>
          <w:tblLayout w:type="fixed"/>
          <w:tblCellMar>
            <w:top w:w="0" w:type="dxa"/>
            <w:left w:w="108" w:type="dxa"/>
            <w:bottom w:w="0" w:type="dxa"/>
            <w:right w:w="108" w:type="dxa"/>
          </w:tblCellMar>
        </w:tblPrEx>
        <w:trPr>
          <w:trHeight w:val="7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24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独立网卡网口数量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配备独立网卡，独立网卡网口数量≥4</w:t>
            </w:r>
          </w:p>
        </w:tc>
      </w:tr>
      <w:tr>
        <w:tblPrEx>
          <w:tblLayout w:type="fixed"/>
          <w:tblCellMar>
            <w:top w:w="0" w:type="dxa"/>
            <w:left w:w="108" w:type="dxa"/>
            <w:bottom w:w="0" w:type="dxa"/>
            <w:right w:w="108" w:type="dxa"/>
          </w:tblCellMar>
        </w:tblPrEx>
        <w:trPr>
          <w:trHeight w:val="415"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25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独立网卡接口类型</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支持RJ45/QSFP/SFP等</w:t>
            </w:r>
          </w:p>
        </w:tc>
      </w:tr>
      <w:tr>
        <w:tblPrEx>
          <w:tblLayout w:type="fixed"/>
          <w:tblCellMar>
            <w:top w:w="0" w:type="dxa"/>
            <w:left w:w="108" w:type="dxa"/>
            <w:bottom w:w="0" w:type="dxa"/>
            <w:right w:w="108" w:type="dxa"/>
          </w:tblCellMar>
        </w:tblPrEx>
        <w:trPr>
          <w:trHeight w:val="421"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26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板载网卡接口类型</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支持RJ45/QSFP/SFP等</w:t>
            </w:r>
          </w:p>
        </w:tc>
      </w:tr>
      <w:tr>
        <w:tblPrEx>
          <w:tblLayout w:type="fixed"/>
          <w:tblCellMar>
            <w:top w:w="0" w:type="dxa"/>
            <w:left w:w="108" w:type="dxa"/>
            <w:bottom w:w="0" w:type="dxa"/>
            <w:right w:w="108" w:type="dxa"/>
          </w:tblCellMar>
        </w:tblPrEx>
        <w:trPr>
          <w:trHeight w:val="4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27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外部接口规格</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★显示接口</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 xml:space="preserve">2个VGA </w:t>
            </w:r>
          </w:p>
        </w:tc>
      </w:tr>
      <w:tr>
        <w:tblPrEx>
          <w:tblLayout w:type="fixed"/>
          <w:tblCellMar>
            <w:top w:w="0" w:type="dxa"/>
            <w:left w:w="108" w:type="dxa"/>
            <w:bottom w:w="0" w:type="dxa"/>
            <w:right w:w="108" w:type="dxa"/>
          </w:tblCellMar>
        </w:tblPrEx>
        <w:trPr>
          <w:trHeight w:val="348"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28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★USB接口</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2*USB3.0+2USB2.0</w:t>
            </w:r>
          </w:p>
        </w:tc>
      </w:tr>
      <w:tr>
        <w:tblPrEx>
          <w:tblLayout w:type="fixed"/>
          <w:tblCellMar>
            <w:top w:w="0" w:type="dxa"/>
            <w:left w:w="108" w:type="dxa"/>
            <w:bottom w:w="0" w:type="dxa"/>
            <w:right w:w="108" w:type="dxa"/>
          </w:tblCellMar>
        </w:tblPrEx>
        <w:trPr>
          <w:trHeight w:val="391"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29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特殊接口及孔位</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411"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30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其他接口</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416"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31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电源规格</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电源冗余模式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冗余电源</w:t>
            </w:r>
          </w:p>
        </w:tc>
      </w:tr>
      <w:tr>
        <w:tblPrEx>
          <w:tblLayout w:type="fixed"/>
          <w:tblCellMar>
            <w:top w:w="0" w:type="dxa"/>
            <w:left w:w="108" w:type="dxa"/>
            <w:bottom w:w="0" w:type="dxa"/>
            <w:right w:w="108" w:type="dxa"/>
          </w:tblCellMar>
        </w:tblPrEx>
        <w:trPr>
          <w:trHeight w:val="423"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32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★电源模块数量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2</w:t>
            </w:r>
          </w:p>
        </w:tc>
      </w:tr>
      <w:tr>
        <w:tblPrEx>
          <w:tblLayout w:type="fixed"/>
          <w:tblCellMar>
            <w:top w:w="0" w:type="dxa"/>
            <w:left w:w="108" w:type="dxa"/>
            <w:bottom w:w="0" w:type="dxa"/>
            <w:right w:w="108" w:type="dxa"/>
          </w:tblCellMar>
        </w:tblPrEx>
        <w:trPr>
          <w:trHeight w:val="415"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33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★电源功率</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900W</w:t>
            </w:r>
          </w:p>
        </w:tc>
      </w:tr>
      <w:tr>
        <w:tblPrEx>
          <w:tblLayout w:type="fixed"/>
          <w:tblCellMar>
            <w:top w:w="0" w:type="dxa"/>
            <w:left w:w="108" w:type="dxa"/>
            <w:bottom w:w="0" w:type="dxa"/>
            <w:right w:w="108" w:type="dxa"/>
          </w:tblCellMar>
        </w:tblPrEx>
        <w:trPr>
          <w:trHeight w:val="421"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34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电源指示灯</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28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35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整机规格</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★外观和结构</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tblPrEx>
          <w:tblLayout w:type="fixed"/>
          <w:tblCellMar>
            <w:top w:w="0" w:type="dxa"/>
            <w:left w:w="108" w:type="dxa"/>
            <w:bottom w:w="0" w:type="dxa"/>
            <w:right w:w="108" w:type="dxa"/>
          </w:tblCellMar>
        </w:tblPrEx>
        <w:trPr>
          <w:trHeight w:val="75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36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★尺寸（高×宽×深）</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794*446*87.8mm</w:t>
            </w:r>
          </w:p>
        </w:tc>
      </w:tr>
      <w:tr>
        <w:tblPrEx>
          <w:tblLayout w:type="fixed"/>
          <w:tblCellMar>
            <w:top w:w="0" w:type="dxa"/>
            <w:left w:w="108" w:type="dxa"/>
            <w:bottom w:w="0" w:type="dxa"/>
            <w:right w:w="108" w:type="dxa"/>
          </w:tblCellMar>
        </w:tblPrEx>
        <w:trPr>
          <w:trHeight w:val="4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37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服务器导轨</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滑动导轨</w:t>
            </w:r>
          </w:p>
        </w:tc>
      </w:tr>
      <w:tr>
        <w:tblPrEx>
          <w:tblLayout w:type="fixed"/>
          <w:tblCellMar>
            <w:top w:w="0" w:type="dxa"/>
            <w:left w:w="108" w:type="dxa"/>
            <w:bottom w:w="0" w:type="dxa"/>
            <w:right w:w="108" w:type="dxa"/>
          </w:tblCellMar>
        </w:tblPrEx>
        <w:trPr>
          <w:trHeight w:val="755"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38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CPU个数与机柜高度单位(U)比</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55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39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★环境适应性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工作湿度 35%-80%RH</w:t>
            </w:r>
            <w:r>
              <w:rPr>
                <w:rFonts w:hint="eastAsia" w:ascii="宋体" w:hAnsi="宋体" w:cs="Arial"/>
                <w:kern w:val="0"/>
                <w:sz w:val="18"/>
                <w:szCs w:val="18"/>
              </w:rPr>
              <w:br w:type="textWrapping"/>
            </w:r>
            <w:r>
              <w:rPr>
                <w:rFonts w:hint="eastAsia" w:ascii="宋体" w:hAnsi="宋体" w:cs="Arial"/>
                <w:kern w:val="0"/>
                <w:sz w:val="18"/>
                <w:szCs w:val="18"/>
              </w:rPr>
              <w:t>工作温度 10-35℃</w:t>
            </w:r>
          </w:p>
        </w:tc>
      </w:tr>
      <w:tr>
        <w:tblPrEx>
          <w:tblLayout w:type="fixed"/>
          <w:tblCellMar>
            <w:top w:w="0" w:type="dxa"/>
            <w:left w:w="108" w:type="dxa"/>
            <w:bottom w:w="0" w:type="dxa"/>
            <w:right w:w="108" w:type="dxa"/>
          </w:tblCellMar>
        </w:tblPrEx>
        <w:trPr>
          <w:trHeight w:val="6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40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特殊机型环境适应性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4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41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★机械环境适应性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机械环境适应性应符合GB/T9813.3的有关规定</w:t>
            </w:r>
          </w:p>
        </w:tc>
      </w:tr>
      <w:tr>
        <w:tblPrEx>
          <w:tblLayout w:type="fixed"/>
          <w:tblCellMar>
            <w:top w:w="0" w:type="dxa"/>
            <w:left w:w="108" w:type="dxa"/>
            <w:bottom w:w="0" w:type="dxa"/>
            <w:right w:w="108" w:type="dxa"/>
          </w:tblCellMar>
        </w:tblPrEx>
        <w:trPr>
          <w:trHeight w:val="97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42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★噪声</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符合GB/T9813.3的有关规定，在产品说明中给出具体测试值塔式服务器噪声在空闲状态下不大于50dB</w:t>
            </w:r>
          </w:p>
        </w:tc>
      </w:tr>
      <w:tr>
        <w:tblPrEx>
          <w:tblLayout w:type="fixed"/>
          <w:tblCellMar>
            <w:top w:w="0" w:type="dxa"/>
            <w:left w:w="108" w:type="dxa"/>
            <w:bottom w:w="0" w:type="dxa"/>
            <w:right w:w="108" w:type="dxa"/>
          </w:tblCellMar>
        </w:tblPrEx>
        <w:trPr>
          <w:trHeight w:val="42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43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AI计算单元规格</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AI计算单元</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421"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44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一键式迁移</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4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45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机柜规格</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★机柜尺寸</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311"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46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机柜管理板</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40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47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产品规格</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机柜电源规格</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25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48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主板功能</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★主板外部接口种类</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VGA</w:t>
            </w:r>
          </w:p>
        </w:tc>
      </w:tr>
      <w:tr>
        <w:tblPrEx>
          <w:tblLayout w:type="fixed"/>
          <w:tblCellMar>
            <w:top w:w="0" w:type="dxa"/>
            <w:left w:w="108" w:type="dxa"/>
            <w:bottom w:w="0" w:type="dxa"/>
            <w:right w:w="108" w:type="dxa"/>
          </w:tblCellMar>
        </w:tblPrEx>
        <w:trPr>
          <w:trHeight w:val="358"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49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主板防烧板设计</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407"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50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扩展功能</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739"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51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网络功能</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★网络功能</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支持网络连接、网络访问、数据交换和网络管控功能</w:t>
            </w:r>
          </w:p>
        </w:tc>
      </w:tr>
      <w:tr>
        <w:tblPrEx>
          <w:tblLayout w:type="fixed"/>
          <w:tblCellMar>
            <w:top w:w="0" w:type="dxa"/>
            <w:left w:w="108" w:type="dxa"/>
            <w:bottom w:w="0" w:type="dxa"/>
            <w:right w:w="108" w:type="dxa"/>
          </w:tblCellMar>
        </w:tblPrEx>
        <w:trPr>
          <w:trHeight w:val="232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52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CPU功能</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★计算处理</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tblPrEx>
          <w:tblLayout w:type="fixed"/>
          <w:tblCellMar>
            <w:top w:w="0" w:type="dxa"/>
            <w:left w:w="108" w:type="dxa"/>
            <w:bottom w:w="0" w:type="dxa"/>
            <w:right w:w="108" w:type="dxa"/>
          </w:tblCellMar>
        </w:tblPrEx>
        <w:trPr>
          <w:trHeight w:val="1307"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53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★密码算法实现</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CPU芯片应符合GM/T0008的相关规定，或芯片密码模块应符合GB/T37092或GM/T0028的相关规定</w:t>
            </w:r>
          </w:p>
        </w:tc>
      </w:tr>
      <w:tr>
        <w:tblPrEx>
          <w:tblLayout w:type="fixed"/>
          <w:tblCellMar>
            <w:top w:w="0" w:type="dxa"/>
            <w:left w:w="108" w:type="dxa"/>
            <w:bottom w:w="0" w:type="dxa"/>
            <w:right w:w="108" w:type="dxa"/>
          </w:tblCellMar>
        </w:tblPrEx>
        <w:trPr>
          <w:trHeight w:val="70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54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存储功能</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内存校验</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支持内存校验或内存增强型纠错功能</w:t>
            </w:r>
          </w:p>
        </w:tc>
      </w:tr>
      <w:tr>
        <w:tblPrEx>
          <w:tblLayout w:type="fixed"/>
          <w:tblCellMar>
            <w:top w:w="0" w:type="dxa"/>
            <w:left w:w="108" w:type="dxa"/>
            <w:bottom w:w="0" w:type="dxa"/>
            <w:right w:w="108" w:type="dxa"/>
          </w:tblCellMar>
        </w:tblPrEx>
        <w:trPr>
          <w:trHeight w:val="7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55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tcPr>
          <w:p>
            <w:pPr>
              <w:widowControl/>
              <w:jc w:val="left"/>
              <w:rPr>
                <w:rFonts w:ascii="宋体" w:hAnsi="宋体" w:cs="Arial"/>
                <w:kern w:val="0"/>
                <w:sz w:val="18"/>
                <w:szCs w:val="18"/>
              </w:rPr>
            </w:pPr>
            <w:r>
              <w:rPr>
                <w:rFonts w:hint="eastAsia" w:ascii="宋体" w:hAnsi="宋体" w:cs="Arial"/>
                <w:kern w:val="0"/>
                <w:sz w:val="18"/>
                <w:szCs w:val="18"/>
              </w:rPr>
              <w:t>SATASSDNAND健康状态上报</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支持关键外部存储器（硬磁盘、SSD等）的健康状态上报并进行故障诊断</w:t>
            </w:r>
          </w:p>
        </w:tc>
      </w:tr>
      <w:tr>
        <w:tblPrEx>
          <w:tblLayout w:type="fixed"/>
          <w:tblCellMar>
            <w:top w:w="0" w:type="dxa"/>
            <w:left w:w="108" w:type="dxa"/>
            <w:bottom w:w="0" w:type="dxa"/>
            <w:right w:w="108" w:type="dxa"/>
          </w:tblCellMar>
        </w:tblPrEx>
        <w:trPr>
          <w:trHeight w:val="7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56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tcPr>
          <w:p>
            <w:pPr>
              <w:widowControl/>
              <w:jc w:val="left"/>
              <w:rPr>
                <w:rFonts w:ascii="宋体" w:hAnsi="宋体" w:cs="Arial"/>
                <w:kern w:val="0"/>
                <w:sz w:val="18"/>
                <w:szCs w:val="18"/>
              </w:rPr>
            </w:pPr>
            <w:r>
              <w:rPr>
                <w:rFonts w:hint="eastAsia" w:ascii="宋体" w:hAnsi="宋体" w:cs="Arial"/>
                <w:kern w:val="0"/>
                <w:sz w:val="18"/>
                <w:szCs w:val="18"/>
              </w:rPr>
              <w:t>SATASSD单die故障隔离</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支持SSD关键外部存储器中单存储晶元故障隔离</w:t>
            </w:r>
          </w:p>
        </w:tc>
      </w:tr>
      <w:tr>
        <w:tblPrEx>
          <w:tblLayout w:type="fixed"/>
          <w:tblCellMar>
            <w:top w:w="0" w:type="dxa"/>
            <w:left w:w="108" w:type="dxa"/>
            <w:bottom w:w="0" w:type="dxa"/>
            <w:right w:w="108" w:type="dxa"/>
          </w:tblCellMar>
        </w:tblPrEx>
        <w:trPr>
          <w:trHeight w:val="708"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57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RAID卡功能（若支持RAID卡）</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RAID卡RAID级别支持</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Raid卡可支持的Raid模式 JBOD/RAID0/RAID1/RAID10</w:t>
            </w:r>
          </w:p>
        </w:tc>
      </w:tr>
      <w:tr>
        <w:tblPrEx>
          <w:tblLayout w:type="fixed"/>
          <w:tblCellMar>
            <w:top w:w="0" w:type="dxa"/>
            <w:left w:w="108" w:type="dxa"/>
            <w:bottom w:w="0" w:type="dxa"/>
            <w:right w:w="108" w:type="dxa"/>
          </w:tblCellMar>
        </w:tblPrEx>
        <w:trPr>
          <w:trHeight w:val="4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58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RAID卡BBU单元</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RAID卡支持电池或电容备份单元</w:t>
            </w:r>
          </w:p>
        </w:tc>
      </w:tr>
      <w:tr>
        <w:tblPrEx>
          <w:tblLayout w:type="fixed"/>
          <w:tblCellMar>
            <w:top w:w="0" w:type="dxa"/>
            <w:left w:w="108" w:type="dxa"/>
            <w:bottom w:w="0" w:type="dxa"/>
            <w:right w:w="108" w:type="dxa"/>
          </w:tblCellMar>
        </w:tblPrEx>
        <w:trPr>
          <w:trHeight w:val="7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59 </w:t>
            </w:r>
          </w:p>
        </w:tc>
        <w:tc>
          <w:tcPr>
            <w:tcW w:w="1360" w:type="dxa"/>
            <w:tcBorders>
              <w:top w:val="nil"/>
              <w:left w:val="nil"/>
              <w:bottom w:val="single" w:color="auto" w:sz="4" w:space="0"/>
              <w:right w:val="single" w:color="auto" w:sz="4" w:space="0"/>
            </w:tcBorders>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光驱功能</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光驱类型（是否支持RW，以及光盘类型CD/DVD）</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4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60 </w:t>
            </w:r>
          </w:p>
        </w:tc>
        <w:tc>
          <w:tcPr>
            <w:tcW w:w="1360" w:type="dxa"/>
            <w:tcBorders>
              <w:top w:val="nil"/>
              <w:left w:val="nil"/>
              <w:bottom w:val="single" w:color="auto" w:sz="4" w:space="0"/>
              <w:right w:val="single" w:color="auto" w:sz="4" w:space="0"/>
            </w:tcBorders>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电源功能</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★电源热插拔</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具备热插拔功能</w:t>
            </w:r>
          </w:p>
        </w:tc>
      </w:tr>
      <w:tr>
        <w:tblPrEx>
          <w:tblLayout w:type="fixed"/>
          <w:tblCellMar>
            <w:top w:w="0" w:type="dxa"/>
            <w:left w:w="108" w:type="dxa"/>
            <w:bottom w:w="0" w:type="dxa"/>
            <w:right w:w="108" w:type="dxa"/>
          </w:tblCellMar>
        </w:tblPrEx>
        <w:trPr>
          <w:trHeight w:val="4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61 </w:t>
            </w:r>
          </w:p>
        </w:tc>
        <w:tc>
          <w:tcPr>
            <w:tcW w:w="1360" w:type="dxa"/>
            <w:tcBorders>
              <w:top w:val="nil"/>
              <w:left w:val="nil"/>
              <w:bottom w:val="single" w:color="auto" w:sz="4" w:space="0"/>
              <w:right w:val="single" w:color="auto" w:sz="4" w:space="0"/>
            </w:tcBorders>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★电源过流保护</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支持过流及短路保护的功能</w:t>
            </w:r>
          </w:p>
        </w:tc>
      </w:tr>
      <w:tr>
        <w:tblPrEx>
          <w:tblLayout w:type="fixed"/>
          <w:tblCellMar>
            <w:top w:w="0" w:type="dxa"/>
            <w:left w:w="108" w:type="dxa"/>
            <w:bottom w:w="0" w:type="dxa"/>
            <w:right w:w="108" w:type="dxa"/>
          </w:tblCellMar>
        </w:tblPrEx>
        <w:trPr>
          <w:trHeight w:val="4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62 </w:t>
            </w:r>
          </w:p>
        </w:tc>
        <w:tc>
          <w:tcPr>
            <w:tcW w:w="1360" w:type="dxa"/>
            <w:tcBorders>
              <w:top w:val="nil"/>
              <w:left w:val="nil"/>
              <w:bottom w:val="single" w:color="auto" w:sz="4" w:space="0"/>
              <w:right w:val="single" w:color="auto" w:sz="4" w:space="0"/>
            </w:tcBorders>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整机功能</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★散热方式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支持风冷或液冷等散热方式</w:t>
            </w:r>
          </w:p>
        </w:tc>
      </w:tr>
      <w:tr>
        <w:tblPrEx>
          <w:tblLayout w:type="fixed"/>
          <w:tblCellMar>
            <w:top w:w="0" w:type="dxa"/>
            <w:left w:w="108" w:type="dxa"/>
            <w:bottom w:w="0" w:type="dxa"/>
            <w:right w:w="108" w:type="dxa"/>
          </w:tblCellMar>
        </w:tblPrEx>
        <w:trPr>
          <w:trHeight w:val="33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63 </w:t>
            </w:r>
          </w:p>
        </w:tc>
        <w:tc>
          <w:tcPr>
            <w:tcW w:w="1360" w:type="dxa"/>
            <w:tcBorders>
              <w:top w:val="nil"/>
              <w:left w:val="nil"/>
              <w:bottom w:val="single" w:color="auto" w:sz="4" w:space="0"/>
              <w:right w:val="single" w:color="auto" w:sz="4" w:space="0"/>
            </w:tcBorders>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其他功能</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5048" w:hRule="atLeast"/>
        </w:trPr>
        <w:tc>
          <w:tcPr>
            <w:tcW w:w="620"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64 </w:t>
            </w:r>
          </w:p>
        </w:tc>
        <w:tc>
          <w:tcPr>
            <w:tcW w:w="1360" w:type="dxa"/>
            <w:vMerge w:val="restart"/>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管理系统功能</w:t>
            </w:r>
          </w:p>
        </w:tc>
        <w:tc>
          <w:tcPr>
            <w:tcW w:w="1560" w:type="dxa"/>
            <w:vMerge w:val="restart"/>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★BMC固件基础功能</w:t>
            </w:r>
          </w:p>
        </w:tc>
        <w:tc>
          <w:tcPr>
            <w:tcW w:w="2633" w:type="dxa"/>
            <w:vMerge w:val="restart"/>
            <w:tcBorders>
              <w:top w:val="nil"/>
              <w:left w:val="single" w:color="auto" w:sz="4" w:space="0"/>
              <w:bottom w:val="single" w:color="000000"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标配BMC诊断模块，可实现对CPU/内存/硬盘/网卡/风扇/温度/电源等关键部件的故障诊断</w:t>
            </w:r>
          </w:p>
        </w:tc>
      </w:tr>
      <w:tr>
        <w:tblPrEx>
          <w:tblLayout w:type="fixed"/>
          <w:tblCellMar>
            <w:top w:w="0" w:type="dxa"/>
            <w:left w:w="108" w:type="dxa"/>
            <w:bottom w:w="0" w:type="dxa"/>
            <w:right w:w="108" w:type="dxa"/>
          </w:tblCellMar>
        </w:tblPrEx>
        <w:trPr>
          <w:trHeight w:val="312" w:hRule="atLeast"/>
        </w:trPr>
        <w:tc>
          <w:tcPr>
            <w:tcW w:w="6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3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263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Arial"/>
                <w:kern w:val="0"/>
                <w:sz w:val="18"/>
                <w:szCs w:val="18"/>
              </w:rPr>
            </w:pPr>
          </w:p>
        </w:tc>
      </w:tr>
      <w:tr>
        <w:tblPrEx>
          <w:tblLayout w:type="fixed"/>
          <w:tblCellMar>
            <w:top w:w="0" w:type="dxa"/>
            <w:left w:w="108" w:type="dxa"/>
            <w:bottom w:w="0" w:type="dxa"/>
            <w:right w:w="108" w:type="dxa"/>
          </w:tblCellMar>
        </w:tblPrEx>
        <w:trPr>
          <w:trHeight w:val="581"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65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BMC固件增强功能</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706"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66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★BIOS固件基础功能</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w:t>
            </w:r>
          </w:p>
        </w:tc>
      </w:tr>
      <w:tr>
        <w:tblPrEx>
          <w:tblLayout w:type="fixed"/>
          <w:tblCellMar>
            <w:top w:w="0" w:type="dxa"/>
            <w:left w:w="108" w:type="dxa"/>
            <w:bottom w:w="0" w:type="dxa"/>
            <w:right w:w="108" w:type="dxa"/>
          </w:tblCellMar>
        </w:tblPrEx>
        <w:trPr>
          <w:trHeight w:val="4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67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★远程控制</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支持远程关机和重新启动功能</w:t>
            </w:r>
          </w:p>
        </w:tc>
      </w:tr>
      <w:tr>
        <w:tblPrEx>
          <w:tblLayout w:type="fixed"/>
          <w:tblCellMar>
            <w:top w:w="0" w:type="dxa"/>
            <w:left w:w="108" w:type="dxa"/>
            <w:bottom w:w="0" w:type="dxa"/>
            <w:right w:w="108" w:type="dxa"/>
          </w:tblCellMar>
        </w:tblPrEx>
        <w:trPr>
          <w:trHeight w:val="7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68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操作系统及驱动功能</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★操作系统及驱动的升级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支持通过网络、闪存盘对操作系统、驱动进行升级</w:t>
            </w:r>
          </w:p>
        </w:tc>
      </w:tr>
      <w:tr>
        <w:tblPrEx>
          <w:tblLayout w:type="fixed"/>
          <w:tblCellMar>
            <w:top w:w="0" w:type="dxa"/>
            <w:left w:w="108" w:type="dxa"/>
            <w:bottom w:w="0" w:type="dxa"/>
            <w:right w:w="108" w:type="dxa"/>
          </w:tblCellMar>
        </w:tblPrEx>
        <w:trPr>
          <w:trHeight w:val="7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69 </w:t>
            </w:r>
          </w:p>
        </w:tc>
        <w:tc>
          <w:tcPr>
            <w:tcW w:w="1360" w:type="dxa"/>
            <w:tcBorders>
              <w:top w:val="nil"/>
              <w:left w:val="nil"/>
              <w:bottom w:val="single" w:color="auto" w:sz="4" w:space="0"/>
              <w:right w:val="single" w:color="auto" w:sz="4" w:space="0"/>
            </w:tcBorders>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操作系统及驱动的备份还原</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172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70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★操作系统功能</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a)支持访问控制、安全审计、网络接入鉴别等功能；b)操作系统其他功能应满足操作系统政府采购需求标准中加*的指标要求</w:t>
            </w:r>
          </w:p>
        </w:tc>
      </w:tr>
      <w:tr>
        <w:tblPrEx>
          <w:tblLayout w:type="fixed"/>
          <w:tblCellMar>
            <w:top w:w="0" w:type="dxa"/>
            <w:left w:w="108" w:type="dxa"/>
            <w:bottom w:w="0" w:type="dxa"/>
            <w:right w:w="108" w:type="dxa"/>
          </w:tblCellMar>
        </w:tblPrEx>
        <w:trPr>
          <w:trHeight w:val="97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71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中文信息处理功能</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★中文信息处理</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符合GB18030的有关规定</w:t>
            </w:r>
          </w:p>
        </w:tc>
      </w:tr>
      <w:tr>
        <w:tblPrEx>
          <w:tblLayout w:type="fixed"/>
          <w:tblCellMar>
            <w:top w:w="0" w:type="dxa"/>
            <w:left w:w="108" w:type="dxa"/>
            <w:bottom w:w="0" w:type="dxa"/>
            <w:right w:w="108" w:type="dxa"/>
          </w:tblCellMar>
        </w:tblPrEx>
        <w:trPr>
          <w:trHeight w:val="399"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72 </w:t>
            </w:r>
          </w:p>
        </w:tc>
        <w:tc>
          <w:tcPr>
            <w:tcW w:w="1360" w:type="dxa"/>
            <w:tcBorders>
              <w:top w:val="nil"/>
              <w:left w:val="nil"/>
              <w:bottom w:val="single" w:color="auto" w:sz="4" w:space="0"/>
              <w:right w:val="single" w:color="auto" w:sz="4" w:space="0"/>
            </w:tcBorders>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机柜功能</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机柜管理功能</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391"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73 </w:t>
            </w:r>
          </w:p>
        </w:tc>
        <w:tc>
          <w:tcPr>
            <w:tcW w:w="1360" w:type="dxa"/>
            <w:tcBorders>
              <w:top w:val="nil"/>
              <w:left w:val="nil"/>
              <w:bottom w:val="single" w:color="auto" w:sz="4" w:space="0"/>
              <w:right w:val="single" w:color="auto" w:sz="4" w:space="0"/>
            </w:tcBorders>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机柜通信方式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439"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74 </w:t>
            </w:r>
          </w:p>
        </w:tc>
        <w:tc>
          <w:tcPr>
            <w:tcW w:w="1360" w:type="dxa"/>
            <w:tcBorders>
              <w:top w:val="nil"/>
              <w:left w:val="nil"/>
              <w:bottom w:val="single" w:color="auto" w:sz="4" w:space="0"/>
              <w:right w:val="single" w:color="auto" w:sz="4" w:space="0"/>
            </w:tcBorders>
          </w:tcPr>
          <w:p>
            <w:pPr>
              <w:widowControl/>
              <w:jc w:val="left"/>
              <w:rPr>
                <w:rFonts w:ascii="宋体" w:hAnsi="宋体" w:cs="Arial"/>
                <w:kern w:val="0"/>
                <w:sz w:val="18"/>
                <w:szCs w:val="18"/>
              </w:rPr>
            </w:pPr>
            <w:r>
              <w:rPr>
                <w:rFonts w:hint="eastAsia" w:ascii="宋体" w:hAnsi="宋体" w:cs="Arial"/>
                <w:kern w:val="0"/>
                <w:sz w:val="18"/>
                <w:szCs w:val="18"/>
              </w:rPr>
              <w:t>功能要求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多集群作业管理</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686"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75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安全要求</w:t>
            </w:r>
          </w:p>
        </w:tc>
        <w:tc>
          <w:tcPr>
            <w:tcW w:w="1427"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关键部件安全要求</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★关键部件安全要求3</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CPU和操作系统等关键部件应当符合安全可靠测评要求</w:t>
            </w:r>
          </w:p>
        </w:tc>
      </w:tr>
      <w:tr>
        <w:tblPrEx>
          <w:tblLayout w:type="fixed"/>
          <w:tblCellMar>
            <w:top w:w="0" w:type="dxa"/>
            <w:left w:w="108" w:type="dxa"/>
            <w:bottom w:w="0" w:type="dxa"/>
            <w:right w:w="108" w:type="dxa"/>
          </w:tblCellMar>
        </w:tblPrEx>
        <w:trPr>
          <w:trHeight w:val="112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76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安全要求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固件安全要求</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★故障检测</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支持故障检测功能，可以检测到具体的FRU（内存、硬盘等）的故障并发出告警</w:t>
            </w:r>
          </w:p>
        </w:tc>
      </w:tr>
      <w:tr>
        <w:tblPrEx>
          <w:tblLayout w:type="fixed"/>
          <w:tblCellMar>
            <w:top w:w="0" w:type="dxa"/>
            <w:left w:w="108" w:type="dxa"/>
            <w:bottom w:w="0" w:type="dxa"/>
            <w:right w:w="108" w:type="dxa"/>
          </w:tblCellMar>
        </w:tblPrEx>
        <w:trPr>
          <w:trHeight w:val="1265"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77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内存故障智能预测和自愈修复</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支持内存故障智能预测和自愈修复，提前自动硬隔离，避免内存故障引起的非预期宕机以及内存寿命的降低</w:t>
            </w:r>
          </w:p>
        </w:tc>
      </w:tr>
      <w:tr>
        <w:tblPrEx>
          <w:tblLayout w:type="fixed"/>
          <w:tblCellMar>
            <w:top w:w="0" w:type="dxa"/>
            <w:left w:w="108" w:type="dxa"/>
            <w:bottom w:w="0" w:type="dxa"/>
            <w:right w:w="108" w:type="dxa"/>
          </w:tblCellMar>
        </w:tblPrEx>
        <w:trPr>
          <w:trHeight w:val="70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78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硬盘故障智能预测</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支持硬盘故障智能预测，基于故障模型预测出硬盘的故障</w:t>
            </w:r>
          </w:p>
        </w:tc>
      </w:tr>
      <w:tr>
        <w:tblPrEx>
          <w:tblLayout w:type="fixed"/>
          <w:tblCellMar>
            <w:top w:w="0" w:type="dxa"/>
            <w:left w:w="108" w:type="dxa"/>
            <w:bottom w:w="0" w:type="dxa"/>
            <w:right w:w="108" w:type="dxa"/>
          </w:tblCellMar>
        </w:tblPrEx>
        <w:trPr>
          <w:trHeight w:val="7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79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PCIe链路故障智能诊断</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支持PCIe链路故障智能诊断，判断出现故障的PCIe链路</w:t>
            </w:r>
          </w:p>
        </w:tc>
      </w:tr>
      <w:tr>
        <w:tblPrEx>
          <w:tblLayout w:type="fixed"/>
          <w:tblCellMar>
            <w:top w:w="0" w:type="dxa"/>
            <w:left w:w="108" w:type="dxa"/>
            <w:bottom w:w="0" w:type="dxa"/>
            <w:right w:w="108" w:type="dxa"/>
          </w:tblCellMar>
        </w:tblPrEx>
        <w:trPr>
          <w:trHeight w:val="7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80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内存故障隔离</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支持内存故障隔离，在内存产生CE故障时，内存地址被隔离成功，服务器正常运行，业务系统不中断</w:t>
            </w:r>
          </w:p>
        </w:tc>
      </w:tr>
      <w:tr>
        <w:tblPrEx>
          <w:tblLayout w:type="fixed"/>
          <w:tblCellMar>
            <w:top w:w="0" w:type="dxa"/>
            <w:left w:w="108" w:type="dxa"/>
            <w:bottom w:w="0" w:type="dxa"/>
            <w:right w:w="108" w:type="dxa"/>
          </w:tblCellMar>
        </w:tblPrEx>
        <w:trPr>
          <w:trHeight w:val="97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81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内存、PCIe卡的故障精准告警功能</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支持内存、PCIe卡的故障精准告警功能，触发告警并明确指示具体的故障位置</w:t>
            </w:r>
          </w:p>
        </w:tc>
      </w:tr>
      <w:tr>
        <w:tblPrEx>
          <w:tblLayout w:type="fixed"/>
          <w:tblCellMar>
            <w:top w:w="0" w:type="dxa"/>
            <w:left w:w="108" w:type="dxa"/>
            <w:bottom w:w="0" w:type="dxa"/>
            <w:right w:w="108" w:type="dxa"/>
          </w:tblCellMar>
        </w:tblPrEx>
        <w:trPr>
          <w:trHeight w:val="1219"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82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异常下电关键数据保护</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支持异常下电关键数据保护，支持数据备份恢复机制，防止系统异常掉电导致的数据文件丢失</w:t>
            </w:r>
          </w:p>
        </w:tc>
      </w:tr>
      <w:tr>
        <w:tblPrEx>
          <w:tblLayout w:type="fixed"/>
          <w:tblCellMar>
            <w:top w:w="0" w:type="dxa"/>
            <w:left w:w="108" w:type="dxa"/>
            <w:bottom w:w="0" w:type="dxa"/>
            <w:right w:w="108" w:type="dxa"/>
          </w:tblCellMar>
        </w:tblPrEx>
        <w:trPr>
          <w:trHeight w:val="112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83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BMC/BIOS固件双镜像保护</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支持BMC/BIOS固件双镜像保护，运行异常时自动切换到备份镜像运行，提升系统稳定性</w:t>
            </w:r>
          </w:p>
        </w:tc>
      </w:tr>
      <w:tr>
        <w:tblPrEx>
          <w:tblLayout w:type="fixed"/>
          <w:tblCellMar>
            <w:top w:w="0" w:type="dxa"/>
            <w:left w:w="108" w:type="dxa"/>
            <w:bottom w:w="0" w:type="dxa"/>
            <w:right w:w="108" w:type="dxa"/>
          </w:tblCellMar>
        </w:tblPrEx>
        <w:trPr>
          <w:trHeight w:val="132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84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CPU核重启隔离</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支持CPU核发生不可纠正故障后，重启后由BIOS隔离该故障核，OS不可见，防止OS再次使用导致系统异常，核0除外</w:t>
            </w:r>
          </w:p>
        </w:tc>
      </w:tr>
      <w:tr>
        <w:tblPrEx>
          <w:tblLayout w:type="fixed"/>
          <w:tblCellMar>
            <w:top w:w="0" w:type="dxa"/>
            <w:left w:w="108" w:type="dxa"/>
            <w:bottom w:w="0" w:type="dxa"/>
            <w:right w:w="108" w:type="dxa"/>
          </w:tblCellMar>
        </w:tblPrEx>
        <w:trPr>
          <w:trHeight w:val="45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85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内存地址隔离</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在硬件支持的情况下，支持故障内存地址重启后隔离</w:t>
            </w:r>
          </w:p>
        </w:tc>
      </w:tr>
      <w:tr>
        <w:tblPrEx>
          <w:tblLayout w:type="fixed"/>
          <w:tblCellMar>
            <w:top w:w="0" w:type="dxa"/>
            <w:left w:w="108" w:type="dxa"/>
            <w:bottom w:w="0" w:type="dxa"/>
            <w:right w:w="108" w:type="dxa"/>
          </w:tblCellMar>
        </w:tblPrEx>
        <w:trPr>
          <w:trHeight w:val="7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86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内存存储阵列替换</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在硬件支持的情况下，支持故障内存存储阵列替换</w:t>
            </w:r>
          </w:p>
        </w:tc>
      </w:tr>
      <w:tr>
        <w:tblPrEx>
          <w:tblLayout w:type="fixed"/>
          <w:tblCellMar>
            <w:top w:w="0" w:type="dxa"/>
            <w:left w:w="108" w:type="dxa"/>
            <w:bottom w:w="0" w:type="dxa"/>
            <w:right w:w="108" w:type="dxa"/>
          </w:tblCellMar>
        </w:tblPrEx>
        <w:trPr>
          <w:trHeight w:val="102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87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安全启动</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支持执行环境要求在整个系统启动的过程中，系统应提供一个机制来保护平台的完整性</w:t>
            </w:r>
          </w:p>
        </w:tc>
      </w:tr>
      <w:tr>
        <w:tblPrEx>
          <w:tblLayout w:type="fixed"/>
          <w:tblCellMar>
            <w:top w:w="0" w:type="dxa"/>
            <w:left w:w="108" w:type="dxa"/>
            <w:bottom w:w="0" w:type="dxa"/>
            <w:right w:w="108" w:type="dxa"/>
          </w:tblCellMar>
        </w:tblPrEx>
        <w:trPr>
          <w:trHeight w:val="100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88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系统安全要求</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syslog双向鉴别</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支持系统日志双向鉴别，对服务器根证书和客户端根证书进行鉴别</w:t>
            </w:r>
          </w:p>
        </w:tc>
      </w:tr>
      <w:tr>
        <w:tblPrEx>
          <w:tblLayout w:type="fixed"/>
          <w:tblCellMar>
            <w:top w:w="0" w:type="dxa"/>
            <w:left w:w="108" w:type="dxa"/>
            <w:bottom w:w="0" w:type="dxa"/>
            <w:right w:w="108" w:type="dxa"/>
          </w:tblCellMar>
        </w:tblPrEx>
        <w:trPr>
          <w:trHeight w:val="7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89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★弱口令字典检查</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支持弱口令字典检查功能，出现在弱口令字典中的字符串不能被设置为用户口令</w:t>
            </w:r>
          </w:p>
        </w:tc>
      </w:tr>
      <w:tr>
        <w:tblPrEx>
          <w:tblLayout w:type="fixed"/>
          <w:tblCellMar>
            <w:top w:w="0" w:type="dxa"/>
            <w:left w:w="108" w:type="dxa"/>
            <w:bottom w:w="0" w:type="dxa"/>
            <w:right w:w="108" w:type="dxa"/>
          </w:tblCellMar>
        </w:tblPrEx>
        <w:trPr>
          <w:trHeight w:val="7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90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★白名单访问控制</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支持基于时间、IP或MAC白名单访问控制</w:t>
            </w:r>
          </w:p>
        </w:tc>
      </w:tr>
      <w:tr>
        <w:tblPrEx>
          <w:tblLayout w:type="fixed"/>
          <w:tblCellMar>
            <w:top w:w="0" w:type="dxa"/>
            <w:left w:w="108" w:type="dxa"/>
            <w:bottom w:w="0" w:type="dxa"/>
            <w:right w:w="108" w:type="dxa"/>
          </w:tblCellMar>
        </w:tblPrEx>
        <w:trPr>
          <w:trHeight w:val="7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91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双因素鉴别</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支持使用客户端证书和证书密码的双因素鉴别方式登录管理系统</w:t>
            </w:r>
          </w:p>
        </w:tc>
      </w:tr>
      <w:tr>
        <w:tblPrEx>
          <w:tblLayout w:type="fixed"/>
          <w:tblCellMar>
            <w:top w:w="0" w:type="dxa"/>
            <w:left w:w="108" w:type="dxa"/>
            <w:bottom w:w="0" w:type="dxa"/>
            <w:right w:w="108" w:type="dxa"/>
          </w:tblCellMar>
        </w:tblPrEx>
        <w:trPr>
          <w:trHeight w:val="1579"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92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★二次鉴别</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支持二次鉴别功能。对于用户配置、权限配置、公钥导入等重要的管理操作，已登录用户应通过二次鉴别后，才能执行操作</w:t>
            </w:r>
          </w:p>
        </w:tc>
      </w:tr>
      <w:tr>
        <w:tblPrEx>
          <w:tblLayout w:type="fixed"/>
          <w:tblCellMar>
            <w:top w:w="0" w:type="dxa"/>
            <w:left w:w="108" w:type="dxa"/>
            <w:bottom w:w="0" w:type="dxa"/>
            <w:right w:w="108" w:type="dxa"/>
          </w:tblCellMar>
        </w:tblPrEx>
        <w:trPr>
          <w:trHeight w:val="7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93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匿名化用户告警接收邮箱</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支持带外管理系统中的用户告警接收邮箱进行匿名化处理</w:t>
            </w:r>
          </w:p>
        </w:tc>
      </w:tr>
      <w:tr>
        <w:tblPrEx>
          <w:tblLayout w:type="fixed"/>
          <w:tblCellMar>
            <w:top w:w="0" w:type="dxa"/>
            <w:left w:w="108" w:type="dxa"/>
            <w:bottom w:w="0" w:type="dxa"/>
            <w:right w:w="108" w:type="dxa"/>
          </w:tblCellMar>
        </w:tblPrEx>
        <w:trPr>
          <w:trHeight w:val="142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94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★密码证书安全加密存储</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支持对带外管理系统中的用户口令和证书等敏感信息进行加密存储，禁止使用私有的和业界已知不安全的密码算法</w:t>
            </w:r>
          </w:p>
        </w:tc>
      </w:tr>
      <w:tr>
        <w:tblPrEx>
          <w:tblLayout w:type="fixed"/>
          <w:tblCellMar>
            <w:top w:w="0" w:type="dxa"/>
            <w:left w:w="108" w:type="dxa"/>
            <w:bottom w:w="0" w:type="dxa"/>
            <w:right w:w="108" w:type="dxa"/>
          </w:tblCellMar>
        </w:tblPrEx>
        <w:trPr>
          <w:trHeight w:val="7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95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★敏感信息安全加密传输</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支持使用安全的传输加密协议（如SSH或HTTPS等）传输用户的敏感信息</w:t>
            </w:r>
          </w:p>
        </w:tc>
      </w:tr>
      <w:tr>
        <w:tblPrEx>
          <w:tblLayout w:type="fixed"/>
          <w:tblCellMar>
            <w:top w:w="0" w:type="dxa"/>
            <w:left w:w="108" w:type="dxa"/>
            <w:bottom w:w="0" w:type="dxa"/>
            <w:right w:w="108" w:type="dxa"/>
          </w:tblCellMar>
        </w:tblPrEx>
        <w:trPr>
          <w:trHeight w:val="214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96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信息安全要求</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★研发过程安全</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tblPrEx>
          <w:tblLayout w:type="fixed"/>
          <w:tblCellMar>
            <w:top w:w="0" w:type="dxa"/>
            <w:left w:w="108" w:type="dxa"/>
            <w:bottom w:w="0" w:type="dxa"/>
            <w:right w:w="108" w:type="dxa"/>
          </w:tblCellMar>
        </w:tblPrEx>
        <w:trPr>
          <w:trHeight w:val="97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97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漏洞管理</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供应商承诺，生产商已建立漏洞全量视图，保证产品版本涉及到的所有漏洞(如驱动程序、BMC软件等)都可以查看</w:t>
            </w:r>
          </w:p>
        </w:tc>
      </w:tr>
      <w:tr>
        <w:tblPrEx>
          <w:tblLayout w:type="fixed"/>
          <w:tblCellMar>
            <w:top w:w="0" w:type="dxa"/>
            <w:left w:w="108" w:type="dxa"/>
            <w:bottom w:w="0" w:type="dxa"/>
            <w:right w:w="108" w:type="dxa"/>
          </w:tblCellMar>
        </w:tblPrEx>
        <w:trPr>
          <w:trHeight w:val="7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98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网络关键设备服务器要求</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作为网络关键设备的服务器应符合GB40050的相关规定</w:t>
            </w:r>
          </w:p>
        </w:tc>
      </w:tr>
      <w:tr>
        <w:tblPrEx>
          <w:tblLayout w:type="fixed"/>
          <w:tblCellMar>
            <w:top w:w="0" w:type="dxa"/>
            <w:left w:w="108" w:type="dxa"/>
            <w:bottom w:w="0" w:type="dxa"/>
            <w:right w:w="108" w:type="dxa"/>
          </w:tblCellMar>
        </w:tblPrEx>
        <w:trPr>
          <w:trHeight w:val="358"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99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增强要求</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4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100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安全要求</w:t>
            </w:r>
          </w:p>
        </w:tc>
        <w:tc>
          <w:tcPr>
            <w:tcW w:w="1427"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物理安全</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★物理安全</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安全要求应符合GB4943.1的规定</w:t>
            </w:r>
          </w:p>
        </w:tc>
      </w:tr>
      <w:tr>
        <w:tblPrEx>
          <w:tblLayout w:type="fixed"/>
          <w:tblCellMar>
            <w:top w:w="0" w:type="dxa"/>
            <w:left w:w="108" w:type="dxa"/>
            <w:bottom w:w="0" w:type="dxa"/>
            <w:right w:w="108" w:type="dxa"/>
          </w:tblCellMar>
        </w:tblPrEx>
        <w:trPr>
          <w:trHeight w:val="675"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101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安全要求</w:t>
            </w:r>
          </w:p>
        </w:tc>
        <w:tc>
          <w:tcPr>
            <w:tcW w:w="1427"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限用物质的限量要求</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★限用物质的限量要求</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限用物质的限量应符合GB/T26572的要求</w:t>
            </w:r>
          </w:p>
        </w:tc>
      </w:tr>
      <w:tr>
        <w:tblPrEx>
          <w:tblLayout w:type="fixed"/>
          <w:tblCellMar>
            <w:top w:w="0" w:type="dxa"/>
            <w:left w:w="108" w:type="dxa"/>
            <w:bottom w:w="0" w:type="dxa"/>
            <w:right w:w="108" w:type="dxa"/>
          </w:tblCellMar>
        </w:tblPrEx>
        <w:trPr>
          <w:trHeight w:val="48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102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性能要求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CPU性能</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★CPU主频</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2.8GHz</w:t>
            </w:r>
          </w:p>
        </w:tc>
      </w:tr>
      <w:tr>
        <w:tblPrEx>
          <w:tblLayout w:type="fixed"/>
          <w:tblCellMar>
            <w:top w:w="0" w:type="dxa"/>
            <w:left w:w="108" w:type="dxa"/>
            <w:bottom w:w="0" w:type="dxa"/>
            <w:right w:w="108" w:type="dxa"/>
          </w:tblCellMar>
        </w:tblPrEx>
        <w:trPr>
          <w:trHeight w:val="447"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103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性能要求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★单CPU核数</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32</w:t>
            </w:r>
          </w:p>
        </w:tc>
      </w:tr>
      <w:tr>
        <w:tblPrEx>
          <w:tblLayout w:type="fixed"/>
          <w:tblCellMar>
            <w:top w:w="0" w:type="dxa"/>
            <w:left w:w="108" w:type="dxa"/>
            <w:bottom w:w="0" w:type="dxa"/>
            <w:right w:w="108" w:type="dxa"/>
          </w:tblCellMar>
        </w:tblPrEx>
        <w:trPr>
          <w:trHeight w:val="708"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104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性能要求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★单CPU末级缓存容量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≥8MB</w:t>
            </w:r>
          </w:p>
        </w:tc>
      </w:tr>
      <w:tr>
        <w:tblPrEx>
          <w:tblLayout w:type="fixed"/>
          <w:tblCellMar>
            <w:top w:w="0" w:type="dxa"/>
            <w:left w:w="108" w:type="dxa"/>
            <w:bottom w:w="0" w:type="dxa"/>
            <w:right w:w="108" w:type="dxa"/>
          </w:tblCellMar>
        </w:tblPrEx>
        <w:trPr>
          <w:trHeight w:val="48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105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性能要求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内存性能</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单内存模块容量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≥32GB</w:t>
            </w:r>
          </w:p>
        </w:tc>
      </w:tr>
      <w:tr>
        <w:tblPrEx>
          <w:tblLayout w:type="fixed"/>
          <w:tblCellMar>
            <w:top w:w="0" w:type="dxa"/>
            <w:left w:w="108" w:type="dxa"/>
            <w:bottom w:w="0" w:type="dxa"/>
            <w:right w:w="108" w:type="dxa"/>
          </w:tblCellMar>
        </w:tblPrEx>
        <w:trPr>
          <w:trHeight w:val="48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106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性能要求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★内存速率</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≥3200MT/s</w:t>
            </w:r>
          </w:p>
        </w:tc>
      </w:tr>
      <w:tr>
        <w:tblPrEx>
          <w:tblLayout w:type="fixed"/>
          <w:tblCellMar>
            <w:top w:w="0" w:type="dxa"/>
            <w:left w:w="108" w:type="dxa"/>
            <w:bottom w:w="0" w:type="dxa"/>
            <w:right w:w="108" w:type="dxa"/>
          </w:tblCellMar>
        </w:tblPrEx>
        <w:trPr>
          <w:trHeight w:val="48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107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性能要求</w:t>
            </w:r>
          </w:p>
        </w:tc>
        <w:tc>
          <w:tcPr>
            <w:tcW w:w="1427"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存储性能</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硬盘转速</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安装的硬磁盘转速不小于7200rpm</w:t>
            </w:r>
          </w:p>
        </w:tc>
      </w:tr>
      <w:tr>
        <w:tblPrEx>
          <w:tblLayout w:type="fixed"/>
          <w:tblCellMar>
            <w:top w:w="0" w:type="dxa"/>
            <w:left w:w="108" w:type="dxa"/>
            <w:bottom w:w="0" w:type="dxa"/>
            <w:right w:w="108" w:type="dxa"/>
          </w:tblCellMar>
        </w:tblPrEx>
        <w:trPr>
          <w:trHeight w:val="72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108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性能要求</w:t>
            </w:r>
          </w:p>
        </w:tc>
        <w:tc>
          <w:tcPr>
            <w:tcW w:w="1427"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RAID卡性能</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RAID卡缓存容量大小</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配备RAID卡</w:t>
            </w:r>
          </w:p>
        </w:tc>
      </w:tr>
      <w:tr>
        <w:tblPrEx>
          <w:tblLayout w:type="fixed"/>
          <w:tblCellMar>
            <w:top w:w="0" w:type="dxa"/>
            <w:left w:w="108" w:type="dxa"/>
            <w:bottom w:w="0" w:type="dxa"/>
            <w:right w:w="108" w:type="dxa"/>
          </w:tblCellMar>
        </w:tblPrEx>
        <w:trPr>
          <w:trHeight w:val="72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109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性能要求</w:t>
            </w:r>
          </w:p>
        </w:tc>
        <w:tc>
          <w:tcPr>
            <w:tcW w:w="1427" w:type="dxa"/>
            <w:tcBorders>
              <w:top w:val="nil"/>
              <w:left w:val="nil"/>
              <w:bottom w:val="single" w:color="auto" w:sz="4" w:space="0"/>
              <w:right w:val="single" w:color="auto" w:sz="4" w:space="0"/>
            </w:tcBorders>
          </w:tcPr>
          <w:p>
            <w:pPr>
              <w:widowControl/>
              <w:jc w:val="center"/>
              <w:rPr>
                <w:rFonts w:ascii="宋体" w:hAnsi="宋体" w:cs="Arial"/>
                <w:kern w:val="0"/>
                <w:sz w:val="18"/>
                <w:szCs w:val="18"/>
              </w:rPr>
            </w:pPr>
            <w:r>
              <w:rPr>
                <w:rFonts w:hint="eastAsia" w:ascii="宋体" w:hAnsi="宋体" w:cs="Arial"/>
                <w:kern w:val="0"/>
                <w:sz w:val="18"/>
                <w:szCs w:val="18"/>
              </w:rPr>
              <w:t>FCHBA卡性能</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FCHBA卡速率</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若配备FCHBA卡，单端口最大的连接速率不少于8Gb/s</w:t>
            </w:r>
          </w:p>
        </w:tc>
      </w:tr>
      <w:tr>
        <w:tblPrEx>
          <w:tblLayout w:type="fixed"/>
          <w:tblCellMar>
            <w:top w:w="0" w:type="dxa"/>
            <w:left w:w="108" w:type="dxa"/>
            <w:bottom w:w="0" w:type="dxa"/>
            <w:right w:w="108" w:type="dxa"/>
          </w:tblCellMar>
        </w:tblPrEx>
        <w:trPr>
          <w:trHeight w:val="48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110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性能要求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网络性能</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独立网卡速率</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≥10GE</w:t>
            </w:r>
          </w:p>
        </w:tc>
      </w:tr>
      <w:tr>
        <w:tblPrEx>
          <w:tblLayout w:type="fixed"/>
          <w:tblCellMar>
            <w:top w:w="0" w:type="dxa"/>
            <w:left w:w="108" w:type="dxa"/>
            <w:bottom w:w="0" w:type="dxa"/>
            <w:right w:w="108" w:type="dxa"/>
          </w:tblCellMar>
        </w:tblPrEx>
        <w:trPr>
          <w:trHeight w:val="48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111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性能要求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板载网卡速率</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≥1GE</w:t>
            </w:r>
          </w:p>
        </w:tc>
      </w:tr>
      <w:tr>
        <w:tblPrEx>
          <w:tblLayout w:type="fixed"/>
          <w:tblCellMar>
            <w:top w:w="0" w:type="dxa"/>
            <w:left w:w="108" w:type="dxa"/>
            <w:bottom w:w="0" w:type="dxa"/>
            <w:right w:w="108" w:type="dxa"/>
          </w:tblCellMar>
        </w:tblPrEx>
        <w:trPr>
          <w:trHeight w:val="48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112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性能要求</w:t>
            </w:r>
          </w:p>
        </w:tc>
        <w:tc>
          <w:tcPr>
            <w:tcW w:w="1427"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电源能耗</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★电源能耗</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符合GB/T9813.3的有关规定</w:t>
            </w:r>
          </w:p>
        </w:tc>
      </w:tr>
      <w:tr>
        <w:tblPrEx>
          <w:tblLayout w:type="fixed"/>
          <w:tblCellMar>
            <w:top w:w="0" w:type="dxa"/>
            <w:left w:w="108" w:type="dxa"/>
            <w:bottom w:w="0" w:type="dxa"/>
            <w:right w:w="108" w:type="dxa"/>
          </w:tblCellMar>
        </w:tblPrEx>
        <w:trPr>
          <w:trHeight w:val="799"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113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兼容要求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部件兼容性要求</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★内存兼容性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适配3种及以上厂商的内存产品，且均不低于产品支持的内存规格</w:t>
            </w:r>
          </w:p>
        </w:tc>
      </w:tr>
      <w:tr>
        <w:tblPrEx>
          <w:tblLayout w:type="fixed"/>
          <w:tblCellMar>
            <w:top w:w="0" w:type="dxa"/>
            <w:left w:w="108" w:type="dxa"/>
            <w:bottom w:w="0" w:type="dxa"/>
            <w:right w:w="108" w:type="dxa"/>
          </w:tblCellMar>
        </w:tblPrEx>
        <w:trPr>
          <w:trHeight w:val="919"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114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兼容要求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★固态存储兼容性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适配3种或以上厂商的固态存储产品，且均不低于产品支持的固态存储设备规格</w:t>
            </w:r>
          </w:p>
        </w:tc>
      </w:tr>
      <w:tr>
        <w:tblPrEx>
          <w:tblLayout w:type="fixed"/>
          <w:tblCellMar>
            <w:top w:w="0" w:type="dxa"/>
            <w:left w:w="108" w:type="dxa"/>
            <w:bottom w:w="0" w:type="dxa"/>
            <w:right w:w="108" w:type="dxa"/>
          </w:tblCellMar>
        </w:tblPrEx>
        <w:trPr>
          <w:trHeight w:val="48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115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兼容要求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FCHBA卡兼容性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FCHBA应适配两种或以上厂商产品</w:t>
            </w:r>
          </w:p>
        </w:tc>
      </w:tr>
      <w:tr>
        <w:tblPrEx>
          <w:tblLayout w:type="fixed"/>
          <w:tblCellMar>
            <w:top w:w="0" w:type="dxa"/>
            <w:left w:w="108" w:type="dxa"/>
            <w:bottom w:w="0" w:type="dxa"/>
            <w:right w:w="108" w:type="dxa"/>
          </w:tblCellMar>
        </w:tblPrEx>
        <w:trPr>
          <w:trHeight w:val="48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116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兼容要求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RAID卡兼容性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RAID卡应适配两种或以上厂商产品</w:t>
            </w:r>
          </w:p>
        </w:tc>
      </w:tr>
      <w:tr>
        <w:tblPrEx>
          <w:tblLayout w:type="fixed"/>
          <w:tblCellMar>
            <w:top w:w="0" w:type="dxa"/>
            <w:left w:w="108" w:type="dxa"/>
            <w:bottom w:w="0" w:type="dxa"/>
            <w:right w:w="108" w:type="dxa"/>
          </w:tblCellMar>
        </w:tblPrEx>
        <w:trPr>
          <w:trHeight w:val="25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117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兼容要求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★网卡兼容性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网卡应适配两种或以上厂商产品</w:t>
            </w:r>
          </w:p>
        </w:tc>
      </w:tr>
      <w:tr>
        <w:tblPrEx>
          <w:tblLayout w:type="fixed"/>
          <w:tblCellMar>
            <w:top w:w="0" w:type="dxa"/>
            <w:left w:w="108" w:type="dxa"/>
            <w:bottom w:w="0" w:type="dxa"/>
            <w:right w:w="108" w:type="dxa"/>
          </w:tblCellMar>
        </w:tblPrEx>
        <w:trPr>
          <w:trHeight w:val="72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118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兼容要求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★功能卡兼容性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内置或适配符合PCIe的功能卡，如：网络功能卡、存储功能卡及图形显示功能卡</w:t>
            </w:r>
          </w:p>
        </w:tc>
      </w:tr>
      <w:tr>
        <w:tblPrEx>
          <w:tblLayout w:type="fixed"/>
          <w:tblCellMar>
            <w:top w:w="0" w:type="dxa"/>
            <w:left w:w="108" w:type="dxa"/>
            <w:bottom w:w="0" w:type="dxa"/>
            <w:right w:w="108" w:type="dxa"/>
          </w:tblCellMar>
        </w:tblPrEx>
        <w:trPr>
          <w:trHeight w:val="192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119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兼容要求</w:t>
            </w:r>
          </w:p>
        </w:tc>
        <w:tc>
          <w:tcPr>
            <w:tcW w:w="1427"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外设兼容性</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★外设兼容性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兼容多种主流生产商的外部设备，包括显示器、键盘、鼠标、闪存盘、移动硬盘、USB光驱及KVM等，要求使用不同厂商的外部设备时，系统均能正常识别和安装驱动</w:t>
            </w:r>
          </w:p>
        </w:tc>
      </w:tr>
      <w:tr>
        <w:tblPrEx>
          <w:tblLayout w:type="fixed"/>
          <w:tblCellMar>
            <w:top w:w="0" w:type="dxa"/>
            <w:left w:w="108" w:type="dxa"/>
            <w:bottom w:w="0" w:type="dxa"/>
            <w:right w:w="108" w:type="dxa"/>
          </w:tblCellMar>
        </w:tblPrEx>
        <w:trPr>
          <w:trHeight w:val="48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120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兼容要求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软件兼容性</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★数据库兼容</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兼容3个及以上厂商的数据库产品</w:t>
            </w:r>
          </w:p>
        </w:tc>
      </w:tr>
      <w:tr>
        <w:tblPrEx>
          <w:tblLayout w:type="fixed"/>
          <w:tblCellMar>
            <w:top w:w="0" w:type="dxa"/>
            <w:left w:w="108" w:type="dxa"/>
            <w:bottom w:w="0" w:type="dxa"/>
            <w:right w:w="108" w:type="dxa"/>
          </w:tblCellMar>
        </w:tblPrEx>
        <w:trPr>
          <w:trHeight w:val="4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121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兼容要求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★中间件兼容</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兼容3个及以上厂商的中间件产品</w:t>
            </w:r>
          </w:p>
        </w:tc>
      </w:tr>
      <w:tr>
        <w:tblPrEx>
          <w:tblLayout w:type="fixed"/>
          <w:tblCellMar>
            <w:top w:w="0" w:type="dxa"/>
            <w:left w:w="108" w:type="dxa"/>
            <w:bottom w:w="0" w:type="dxa"/>
            <w:right w:w="108" w:type="dxa"/>
          </w:tblCellMar>
        </w:tblPrEx>
        <w:trPr>
          <w:trHeight w:val="8179"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122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兼容要求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★平台软件兼容</w:t>
            </w:r>
          </w:p>
        </w:tc>
        <w:tc>
          <w:tcPr>
            <w:tcW w:w="2633" w:type="dxa"/>
            <w:tcBorders>
              <w:top w:val="nil"/>
              <w:left w:val="nil"/>
              <w:bottom w:val="single" w:color="auto" w:sz="4" w:space="0"/>
              <w:right w:val="single" w:color="auto" w:sz="4" w:space="0"/>
            </w:tcBorders>
            <w:vAlign w:val="center"/>
          </w:tcPr>
          <w:p>
            <w:pPr>
              <w:widowControl/>
              <w:numPr>
                <w:ilvl w:val="0"/>
                <w:numId w:val="5"/>
              </w:numPr>
              <w:ind w:firstLineChars="200"/>
              <w:jc w:val="left"/>
              <w:rPr>
                <w:rFonts w:hint="eastAsia" w:ascii="宋体" w:hAnsi="宋体"/>
                <w:sz w:val="20"/>
                <w:szCs w:val="20"/>
                <w:highlight w:val="yellow"/>
              </w:rPr>
            </w:pPr>
            <w:r>
              <w:rPr>
                <w:rFonts w:hint="eastAsia" w:ascii="宋体" w:hAnsi="宋体"/>
                <w:sz w:val="20"/>
                <w:szCs w:val="20"/>
                <w:highlight w:val="yellow"/>
              </w:rPr>
              <w:t>云桌面虚拟化软件技术要求如下：</w:t>
            </w:r>
          </w:p>
          <w:p>
            <w:pPr>
              <w:widowControl/>
              <w:numPr>
                <w:ilvl w:val="0"/>
                <w:numId w:val="5"/>
              </w:numPr>
              <w:ind w:firstLineChars="200"/>
              <w:jc w:val="left"/>
              <w:rPr>
                <w:rFonts w:hint="eastAsia" w:ascii="宋体" w:hAnsi="宋体"/>
                <w:sz w:val="20"/>
                <w:szCs w:val="20"/>
                <w:highlight w:val="yellow"/>
              </w:rPr>
            </w:pPr>
            <w:r>
              <w:rPr>
                <w:rFonts w:hint="eastAsia" w:ascii="宋体" w:hAnsi="宋体"/>
                <w:sz w:val="20"/>
                <w:szCs w:val="20"/>
                <w:highlight w:val="yellow"/>
              </w:rPr>
              <w:t>★云桌面一体机每节点需配置不少于2套计算虚拟化、2套存储虚拟化和2套云计算管理平台软件授权。</w:t>
            </w:r>
          </w:p>
          <w:p>
            <w:pPr>
              <w:widowControl/>
              <w:numPr>
                <w:ilvl w:val="0"/>
                <w:numId w:val="5"/>
              </w:numPr>
              <w:ind w:firstLineChars="200"/>
              <w:jc w:val="left"/>
              <w:rPr>
                <w:rFonts w:hint="eastAsia" w:ascii="宋体" w:hAnsi="宋体"/>
                <w:sz w:val="20"/>
                <w:szCs w:val="20"/>
                <w:highlight w:val="yellow"/>
              </w:rPr>
            </w:pPr>
            <w:r>
              <w:rPr>
                <w:rFonts w:hint="eastAsia" w:ascii="宋体" w:hAnsi="宋体"/>
                <w:sz w:val="20"/>
                <w:szCs w:val="20"/>
                <w:highlight w:val="yellow"/>
              </w:rPr>
              <w:t>为确保业务连续性，虚拟化平台需支持平滑滚动升级，支持集群不停机情况下的服务器逐台升级，升级时将自动迁移虚拟机至其他主机，不影响业务运行。为保障业务实时性，虚拟化平台非内核级更新支持业务不中断热升级，升级过程无需重启主机。</w:t>
            </w:r>
            <w:r>
              <w:rPr>
                <w:rFonts w:hint="eastAsia" w:ascii="宋体" w:hAnsi="宋体"/>
                <w:b/>
                <w:bCs/>
                <w:sz w:val="20"/>
                <w:szCs w:val="20"/>
                <w:highlight w:val="yellow"/>
              </w:rPr>
              <w:t>提供产品功能截图</w:t>
            </w:r>
          </w:p>
          <w:p>
            <w:pPr>
              <w:widowControl/>
              <w:numPr>
                <w:ilvl w:val="0"/>
                <w:numId w:val="5"/>
              </w:numPr>
              <w:ind w:firstLineChars="200"/>
              <w:jc w:val="left"/>
              <w:rPr>
                <w:rFonts w:hint="eastAsia" w:ascii="宋体" w:hAnsi="宋体"/>
                <w:sz w:val="20"/>
                <w:szCs w:val="20"/>
                <w:highlight w:val="yellow"/>
              </w:rPr>
            </w:pPr>
            <w:r>
              <w:rPr>
                <w:rFonts w:hint="eastAsia" w:ascii="宋体" w:hAnsi="宋体"/>
                <w:sz w:val="20"/>
                <w:szCs w:val="20"/>
                <w:highlight w:val="yellow"/>
              </w:rPr>
              <w:t>●为避免内存故障对我院业务的影响，支持内存ECC自动纠错机制，当扫描到物理主机的内存条出现ECC CE、UE错误时，能够将对应内存空间进行隔离并告警故障内存条的槽位。</w:t>
            </w:r>
          </w:p>
          <w:p>
            <w:pPr>
              <w:widowControl/>
              <w:numPr>
                <w:ilvl w:val="0"/>
                <w:numId w:val="5"/>
              </w:numPr>
              <w:ind w:firstLineChars="200"/>
              <w:jc w:val="left"/>
              <w:rPr>
                <w:rFonts w:hint="eastAsia" w:ascii="宋体" w:hAnsi="宋体"/>
                <w:sz w:val="20"/>
                <w:szCs w:val="20"/>
                <w:highlight w:val="yellow"/>
              </w:rPr>
            </w:pPr>
            <w:r>
              <w:rPr>
                <w:rFonts w:hint="eastAsia" w:ascii="宋体" w:hAnsi="宋体"/>
                <w:sz w:val="20"/>
                <w:szCs w:val="20"/>
                <w:highlight w:val="yellow"/>
              </w:rPr>
              <w:t>平台内置备份功能，支持虚拟机集中备份与恢复，可按需选择多个虚拟机或全部虚拟机备份至外置存储（NFS、IP-SAN、FC-SAN等），支持设置备份策略，实现全自动化备份。</w:t>
            </w:r>
            <w:r>
              <w:rPr>
                <w:rFonts w:hint="eastAsia" w:ascii="宋体" w:hAnsi="宋体"/>
                <w:b/>
                <w:bCs/>
                <w:sz w:val="20"/>
                <w:szCs w:val="20"/>
                <w:highlight w:val="yellow"/>
              </w:rPr>
              <w:t>提供产品功能截图</w:t>
            </w:r>
          </w:p>
          <w:p>
            <w:pPr>
              <w:widowControl/>
              <w:numPr>
                <w:ilvl w:val="0"/>
                <w:numId w:val="5"/>
              </w:numPr>
              <w:ind w:firstLineChars="200"/>
              <w:jc w:val="left"/>
              <w:rPr>
                <w:rFonts w:hint="eastAsia" w:ascii="宋体" w:hAnsi="宋体"/>
                <w:sz w:val="20"/>
                <w:szCs w:val="20"/>
                <w:highlight w:val="yellow"/>
              </w:rPr>
            </w:pPr>
            <w:r>
              <w:rPr>
                <w:rFonts w:hint="eastAsia" w:ascii="宋体" w:hAnsi="宋体"/>
                <w:sz w:val="20"/>
                <w:szCs w:val="20"/>
                <w:highlight w:val="yellow"/>
              </w:rPr>
              <w:t>●支持硬盘寿命预测功能，可以查看磁盘寿命页面列表项信息，包括硬盘名称、剩余寿命、预计剩余可用时长和寿命风险；</w:t>
            </w:r>
          </w:p>
          <w:p>
            <w:pPr>
              <w:widowControl/>
              <w:numPr>
                <w:ilvl w:val="0"/>
                <w:numId w:val="5"/>
              </w:numPr>
              <w:ind w:firstLineChars="200"/>
              <w:jc w:val="left"/>
              <w:rPr>
                <w:rFonts w:hint="eastAsia" w:ascii="宋体" w:hAnsi="宋体"/>
                <w:sz w:val="20"/>
                <w:szCs w:val="20"/>
                <w:highlight w:val="yellow"/>
              </w:rPr>
            </w:pPr>
            <w:r>
              <w:rPr>
                <w:rFonts w:hint="eastAsia" w:ascii="宋体" w:hAnsi="宋体"/>
                <w:sz w:val="20"/>
                <w:szCs w:val="20"/>
                <w:highlight w:val="yellow"/>
              </w:rPr>
              <w:t>为了避免某主机RAID卡卡死影响整个集群的业务，一旦发现RAID卡出现卡死状态，平台支持对该主机进行隔离，从而避免对其他主机上的业务系统造成影响。</w:t>
            </w:r>
          </w:p>
          <w:p>
            <w:pPr>
              <w:widowControl/>
              <w:numPr>
                <w:ilvl w:val="0"/>
                <w:numId w:val="5"/>
              </w:numPr>
              <w:ind w:firstLineChars="200"/>
              <w:jc w:val="left"/>
              <w:rPr>
                <w:rFonts w:hint="eastAsia" w:ascii="宋体" w:hAnsi="宋体"/>
                <w:sz w:val="20"/>
                <w:szCs w:val="20"/>
                <w:highlight w:val="yellow"/>
              </w:rPr>
            </w:pPr>
            <w:r>
              <w:rPr>
                <w:rFonts w:hint="eastAsia" w:ascii="宋体" w:hAnsi="宋体"/>
                <w:sz w:val="20"/>
                <w:szCs w:val="20"/>
                <w:highlight w:val="yellow"/>
              </w:rPr>
              <w:t>●支持坏道扫描功能，由我校管理员设置扫描的时间段定期对集群的硬盘进行扫描，及时发现潜藏的坏道。同时支持坏道修复功能，发现坏道后，可以点击操作中的优先级对数据重建进行优先重建。</w:t>
            </w:r>
          </w:p>
          <w:p>
            <w:pPr>
              <w:widowControl/>
              <w:numPr>
                <w:ilvl w:val="0"/>
                <w:numId w:val="5"/>
              </w:numPr>
              <w:ind w:firstLineChars="200"/>
              <w:jc w:val="left"/>
              <w:rPr>
                <w:rFonts w:hint="eastAsia" w:ascii="宋体" w:hAnsi="宋体"/>
                <w:sz w:val="20"/>
                <w:szCs w:val="20"/>
                <w:highlight w:val="yellow"/>
              </w:rPr>
            </w:pPr>
            <w:r>
              <w:rPr>
                <w:rFonts w:hint="eastAsia" w:ascii="宋体" w:hAnsi="宋体"/>
                <w:sz w:val="20"/>
                <w:szCs w:val="20"/>
                <w:highlight w:val="yellow"/>
              </w:rPr>
              <w:t>支持快照功能，可以新增快照策略，并设置快照频率，包括按周快照、按天快照和按小时快照，可以设置快照保存方式，可以点击快照恢复进行覆盖原虚拟机信息操作，可以点击快照克隆进行克隆新虚拟机操作；</w:t>
            </w:r>
            <w:r>
              <w:rPr>
                <w:rFonts w:hint="eastAsia" w:ascii="宋体" w:hAnsi="宋体"/>
                <w:b/>
                <w:bCs/>
                <w:sz w:val="20"/>
                <w:szCs w:val="20"/>
                <w:highlight w:val="yellow"/>
              </w:rPr>
              <w:t>提供产品功能截图</w:t>
            </w:r>
          </w:p>
          <w:p>
            <w:pPr>
              <w:widowControl/>
              <w:numPr>
                <w:ilvl w:val="0"/>
                <w:numId w:val="5"/>
              </w:numPr>
              <w:ind w:firstLineChars="200"/>
              <w:jc w:val="left"/>
              <w:rPr>
                <w:rFonts w:hint="eastAsia" w:ascii="宋体" w:hAnsi="宋体"/>
                <w:b/>
                <w:bCs/>
                <w:sz w:val="20"/>
                <w:szCs w:val="20"/>
                <w:highlight w:val="yellow"/>
              </w:rPr>
            </w:pPr>
            <w:r>
              <w:rPr>
                <w:rFonts w:hint="eastAsia" w:ascii="宋体" w:hAnsi="宋体"/>
                <w:sz w:val="20"/>
                <w:szCs w:val="20"/>
                <w:highlight w:val="yellow"/>
              </w:rPr>
              <w:t>为保证教学平台稳定运行，应支持主动HA功能，亚健康主机上的虚拟机，可热迁移至健康主机。用户可灵活选择响应方式。</w:t>
            </w:r>
            <w:r>
              <w:rPr>
                <w:rFonts w:hint="eastAsia" w:ascii="宋体" w:hAnsi="宋体"/>
                <w:b/>
                <w:bCs/>
                <w:sz w:val="20"/>
                <w:szCs w:val="20"/>
                <w:highlight w:val="yellow"/>
              </w:rPr>
              <w:t>提供产品功能截图</w:t>
            </w:r>
          </w:p>
          <w:p>
            <w:pPr>
              <w:widowControl/>
              <w:jc w:val="left"/>
              <w:rPr>
                <w:rFonts w:ascii="宋体" w:hAnsi="宋体" w:cs="Arial"/>
                <w:kern w:val="0"/>
                <w:sz w:val="18"/>
                <w:szCs w:val="18"/>
              </w:rPr>
            </w:pPr>
            <w:r>
              <w:rPr>
                <w:rFonts w:hint="eastAsia" w:ascii="宋体" w:hAnsi="宋体"/>
                <w:sz w:val="20"/>
                <w:szCs w:val="20"/>
                <w:highlight w:val="yellow"/>
              </w:rPr>
              <w:t>支持备份复制策略，按照设定的备份频率、数据传输速率等策略，将虚拟机的备份复制到多个不同位置进行存储与归档。</w:t>
            </w:r>
            <w:r>
              <w:rPr>
                <w:rFonts w:hint="eastAsia" w:ascii="宋体" w:hAnsi="宋体"/>
                <w:b/>
                <w:bCs/>
                <w:sz w:val="20"/>
                <w:szCs w:val="20"/>
                <w:highlight w:val="yellow"/>
              </w:rPr>
              <w:t>提供产品功能截图</w:t>
            </w:r>
          </w:p>
        </w:tc>
      </w:tr>
      <w:tr>
        <w:tblPrEx>
          <w:tblLayout w:type="fixed"/>
          <w:tblCellMar>
            <w:top w:w="0" w:type="dxa"/>
            <w:left w:w="108" w:type="dxa"/>
            <w:bottom w:w="0" w:type="dxa"/>
            <w:right w:w="108" w:type="dxa"/>
          </w:tblCellMar>
        </w:tblPrEx>
        <w:trPr>
          <w:trHeight w:val="4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123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兼容要求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虚拟化软件兼容</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兼容2款及以上虚拟化软件</w:t>
            </w:r>
          </w:p>
        </w:tc>
      </w:tr>
      <w:tr>
        <w:tblPrEx>
          <w:tblLayout w:type="fixed"/>
          <w:tblCellMar>
            <w:top w:w="0" w:type="dxa"/>
            <w:left w:w="108" w:type="dxa"/>
            <w:bottom w:w="0" w:type="dxa"/>
            <w:right w:w="108" w:type="dxa"/>
          </w:tblCellMar>
        </w:tblPrEx>
        <w:trPr>
          <w:trHeight w:val="80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124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可靠性要求</w:t>
            </w:r>
          </w:p>
        </w:tc>
        <w:tc>
          <w:tcPr>
            <w:tcW w:w="1427"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存储可靠性要求</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SATASSD可靠性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SSD的m1值（MTBF的不可接受值）不低于200000h</w:t>
            </w:r>
          </w:p>
        </w:tc>
      </w:tr>
      <w:tr>
        <w:tblPrEx>
          <w:tblLayout w:type="fixed"/>
          <w:tblCellMar>
            <w:top w:w="0" w:type="dxa"/>
            <w:left w:w="108" w:type="dxa"/>
            <w:bottom w:w="0" w:type="dxa"/>
            <w:right w:w="108" w:type="dxa"/>
          </w:tblCellMar>
        </w:tblPrEx>
        <w:trPr>
          <w:trHeight w:val="73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125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可靠性要求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整机可靠性要求</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★整机可靠性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m1值（MTBF的不可接受值）不得低于30000h</w:t>
            </w:r>
          </w:p>
        </w:tc>
      </w:tr>
      <w:tr>
        <w:tblPrEx>
          <w:tblLayout w:type="fixed"/>
          <w:tblCellMar>
            <w:top w:w="0" w:type="dxa"/>
            <w:left w:w="108" w:type="dxa"/>
            <w:bottom w:w="0" w:type="dxa"/>
            <w:right w:w="108" w:type="dxa"/>
          </w:tblCellMar>
        </w:tblPrEx>
        <w:trPr>
          <w:trHeight w:val="4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126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可靠性要求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★风扇可靠性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风扇寿命应不低于40000h</w:t>
            </w:r>
          </w:p>
        </w:tc>
      </w:tr>
      <w:tr>
        <w:tblPrEx>
          <w:tblLayout w:type="fixed"/>
          <w:tblCellMar>
            <w:top w:w="0" w:type="dxa"/>
            <w:left w:w="108" w:type="dxa"/>
            <w:bottom w:w="0" w:type="dxa"/>
            <w:right w:w="108" w:type="dxa"/>
          </w:tblCellMar>
        </w:tblPrEx>
        <w:trPr>
          <w:trHeight w:val="4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127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可靠性要求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★部件可靠性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支持硬盘、电源、风扇热插拔(内置风扇除外)</w:t>
            </w:r>
          </w:p>
        </w:tc>
      </w:tr>
      <w:tr>
        <w:tblPrEx>
          <w:tblLayout w:type="fixed"/>
          <w:tblCellMar>
            <w:top w:w="0" w:type="dxa"/>
            <w:left w:w="108" w:type="dxa"/>
            <w:bottom w:w="0" w:type="dxa"/>
            <w:right w:w="108" w:type="dxa"/>
          </w:tblCellMar>
        </w:tblPrEx>
        <w:trPr>
          <w:trHeight w:val="847"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128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包装及运输要求</w:t>
            </w:r>
          </w:p>
        </w:tc>
        <w:tc>
          <w:tcPr>
            <w:tcW w:w="1427"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包装及运输要求</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★标志、包装、运输和贮存</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符合GB/T9813.3和商品包装政府采购需求标准的相关规定</w:t>
            </w:r>
          </w:p>
        </w:tc>
      </w:tr>
      <w:tr>
        <w:tblPrEx>
          <w:tblLayout w:type="fixed"/>
          <w:tblCellMar>
            <w:top w:w="0" w:type="dxa"/>
            <w:left w:w="108" w:type="dxa"/>
            <w:bottom w:w="0" w:type="dxa"/>
            <w:right w:w="108" w:type="dxa"/>
          </w:tblCellMar>
        </w:tblPrEx>
        <w:trPr>
          <w:trHeight w:val="3524"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129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服务响应</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★服务响应</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tblPrEx>
          <w:tblLayout w:type="fixed"/>
          <w:tblCellMar>
            <w:top w:w="0" w:type="dxa"/>
            <w:left w:w="108" w:type="dxa"/>
            <w:bottom w:w="0" w:type="dxa"/>
            <w:right w:w="108" w:type="dxa"/>
          </w:tblCellMar>
        </w:tblPrEx>
        <w:trPr>
          <w:trHeight w:val="85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130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★培训服务</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供应商提供培训材料、产品手册、培训视频等培训相关内容</w:t>
            </w:r>
          </w:p>
        </w:tc>
      </w:tr>
      <w:tr>
        <w:tblPrEx>
          <w:tblLayout w:type="fixed"/>
          <w:tblCellMar>
            <w:top w:w="0" w:type="dxa"/>
            <w:left w:w="108" w:type="dxa"/>
            <w:bottom w:w="0" w:type="dxa"/>
            <w:right w:w="108" w:type="dxa"/>
          </w:tblCellMar>
        </w:tblPrEx>
        <w:trPr>
          <w:trHeight w:val="1575"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131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服务要求</w:t>
            </w:r>
          </w:p>
        </w:tc>
        <w:tc>
          <w:tcPr>
            <w:tcW w:w="1427"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服务周期</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★服务周期</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a)产品免费服务周期（含换件和维修）应不小于</w:t>
            </w:r>
            <w:r>
              <w:rPr>
                <w:rFonts w:hint="eastAsia" w:ascii="宋体" w:hAnsi="宋体" w:cs="Arial"/>
                <w:color w:val="FF0000"/>
                <w:kern w:val="0"/>
                <w:sz w:val="18"/>
                <w:szCs w:val="18"/>
              </w:rPr>
              <w:t>5</w:t>
            </w:r>
            <w:r>
              <w:rPr>
                <w:rFonts w:hint="eastAsia" w:ascii="宋体" w:hAnsi="宋体" w:cs="Arial"/>
                <w:kern w:val="0"/>
                <w:sz w:val="18"/>
                <w:szCs w:val="18"/>
              </w:rPr>
              <w:t>年；b)设备停产后继续提供质量保障服务（含备品备件），服务终止时间与最后一批设备交付时间间隔不低于6年；c)产品停止服务时间应提前1年告知客户；d)产品发布日期需在随机文件中明确</w:t>
            </w:r>
          </w:p>
        </w:tc>
      </w:tr>
      <w:tr>
        <w:tblPrEx>
          <w:tblLayout w:type="fixed"/>
          <w:tblCellMar>
            <w:top w:w="0" w:type="dxa"/>
            <w:left w:w="108" w:type="dxa"/>
            <w:bottom w:w="0" w:type="dxa"/>
            <w:right w:w="108" w:type="dxa"/>
          </w:tblCellMar>
        </w:tblPrEx>
        <w:trPr>
          <w:trHeight w:val="97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132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服务工具要求</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★工具要求</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供应商提供设置服务器硬件、辅助操作系统安装等功能的辅助工具和管理软件。且随附软件应具有合法授权或版权</w:t>
            </w:r>
          </w:p>
        </w:tc>
      </w:tr>
      <w:tr>
        <w:tblPrEx>
          <w:tblLayout w:type="fixed"/>
          <w:tblCellMar>
            <w:top w:w="0" w:type="dxa"/>
            <w:left w:w="108" w:type="dxa"/>
            <w:bottom w:w="0" w:type="dxa"/>
            <w:right w:w="108" w:type="dxa"/>
          </w:tblCellMar>
        </w:tblPrEx>
        <w:trPr>
          <w:trHeight w:val="16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133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辅助工具</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支持如下功能a)本地的数据备份和还原功能；b)网络的数据备份和还原功能；c)服务器操作系统的自动安装功能；d)服务器所配硬件需要的驱动程序和系统补丁</w:t>
            </w:r>
          </w:p>
        </w:tc>
      </w:tr>
      <w:tr>
        <w:tblPrEx>
          <w:tblLayout w:type="fixed"/>
          <w:tblCellMar>
            <w:top w:w="0" w:type="dxa"/>
            <w:left w:w="108" w:type="dxa"/>
            <w:bottom w:w="0" w:type="dxa"/>
            <w:right w:w="108" w:type="dxa"/>
          </w:tblCellMar>
        </w:tblPrEx>
        <w:trPr>
          <w:trHeight w:val="97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134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★驱动安装升级指引</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供应商提供出厂安装的配件所需的驱动程序，形式包括但不限于驱动光盘、驱动下载链接等。其他配件应提供指引</w:t>
            </w:r>
          </w:p>
        </w:tc>
      </w:tr>
      <w:tr>
        <w:tblPrEx>
          <w:tblLayout w:type="fixed"/>
          <w:tblCellMar>
            <w:top w:w="0" w:type="dxa"/>
            <w:left w:w="108" w:type="dxa"/>
            <w:bottom w:w="0" w:type="dxa"/>
            <w:right w:w="108" w:type="dxa"/>
          </w:tblCellMar>
        </w:tblPrEx>
        <w:trPr>
          <w:trHeight w:val="49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135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随机附开盖工具</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随服务器打包提供开机箱工具</w:t>
            </w:r>
          </w:p>
        </w:tc>
      </w:tr>
      <w:tr>
        <w:tblPrEx>
          <w:tblLayout w:type="fixed"/>
          <w:tblCellMar>
            <w:top w:w="0" w:type="dxa"/>
            <w:left w:w="108" w:type="dxa"/>
            <w:bottom w:w="0" w:type="dxa"/>
            <w:right w:w="108" w:type="dxa"/>
          </w:tblCellMar>
        </w:tblPrEx>
        <w:trPr>
          <w:trHeight w:val="42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136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代码迁移工具</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422"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137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性能分析工具</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72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138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跨架构平台应用兼容</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不限定</w:t>
            </w:r>
          </w:p>
        </w:tc>
      </w:tr>
      <w:tr>
        <w:tblPrEx>
          <w:tblLayout w:type="fixed"/>
          <w:tblCellMar>
            <w:top w:w="0" w:type="dxa"/>
            <w:left w:w="108" w:type="dxa"/>
            <w:bottom w:w="0" w:type="dxa"/>
            <w:right w:w="108" w:type="dxa"/>
          </w:tblCellMar>
        </w:tblPrEx>
        <w:trPr>
          <w:trHeight w:val="72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139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★管理软件</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具备资源管理、系统管理、性能监控、健康监控、基于网络控制、报警设置功能</w:t>
            </w:r>
          </w:p>
        </w:tc>
      </w:tr>
      <w:tr>
        <w:tblPrEx>
          <w:tblLayout w:type="fixed"/>
          <w:tblCellMar>
            <w:top w:w="0" w:type="dxa"/>
            <w:left w:w="108" w:type="dxa"/>
            <w:bottom w:w="0" w:type="dxa"/>
            <w:right w:w="108" w:type="dxa"/>
          </w:tblCellMar>
        </w:tblPrEx>
        <w:trPr>
          <w:trHeight w:val="96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140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增值服务</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★厂家升级产品软件与扩容服务</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供应商提供原厂级的部件/软件产品升级和扩容能力</w:t>
            </w:r>
          </w:p>
        </w:tc>
      </w:tr>
      <w:tr>
        <w:tblPrEx>
          <w:tblLayout w:type="fixed"/>
          <w:tblCellMar>
            <w:top w:w="0" w:type="dxa"/>
            <w:left w:w="108" w:type="dxa"/>
            <w:bottom w:w="0" w:type="dxa"/>
            <w:right w:w="108" w:type="dxa"/>
          </w:tblCellMar>
        </w:tblPrEx>
        <w:trPr>
          <w:trHeight w:val="72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141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服务保障升级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供应商有偿提供远程技术支持、软件授权服务、备件更换服务、现场支承服务</w:t>
            </w:r>
          </w:p>
        </w:tc>
      </w:tr>
      <w:tr>
        <w:tblPrEx>
          <w:tblLayout w:type="fixed"/>
          <w:tblCellMar>
            <w:top w:w="0" w:type="dxa"/>
            <w:left w:w="108" w:type="dxa"/>
            <w:bottom w:w="0" w:type="dxa"/>
            <w:right w:w="108" w:type="dxa"/>
          </w:tblCellMar>
        </w:tblPrEx>
        <w:trPr>
          <w:trHeight w:val="450"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142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★提供上门服务</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供应商具备提供上门服务的能力(可收费)</w:t>
            </w:r>
          </w:p>
        </w:tc>
      </w:tr>
      <w:tr>
        <w:tblPrEx>
          <w:tblLayout w:type="fixed"/>
          <w:tblCellMar>
            <w:top w:w="0" w:type="dxa"/>
            <w:left w:w="108" w:type="dxa"/>
            <w:bottom w:w="0" w:type="dxa"/>
            <w:right w:w="108" w:type="dxa"/>
          </w:tblCellMar>
        </w:tblPrEx>
        <w:trPr>
          <w:trHeight w:val="714"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143 </w:t>
            </w:r>
          </w:p>
        </w:tc>
        <w:tc>
          <w:tcPr>
            <w:tcW w:w="13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服务要求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业务场景性能优化服务及整体架构升级服务</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供应商提供针对特定业务场景性能优化服务及整体架构升级服务</w:t>
            </w:r>
          </w:p>
        </w:tc>
      </w:tr>
      <w:tr>
        <w:tblPrEx>
          <w:tblLayout w:type="fixed"/>
          <w:tblCellMar>
            <w:top w:w="0" w:type="dxa"/>
            <w:left w:w="108" w:type="dxa"/>
            <w:bottom w:w="0" w:type="dxa"/>
            <w:right w:w="108" w:type="dxa"/>
          </w:tblCellMar>
        </w:tblPrEx>
        <w:trPr>
          <w:trHeight w:val="1621"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144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供保要求</w:t>
            </w:r>
          </w:p>
        </w:tc>
        <w:tc>
          <w:tcPr>
            <w:tcW w:w="1427"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供应链质量</w:t>
            </w: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★抗干扰性</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当产品部件出现供应风险时，应通知客户并提供风险应对方案确保产品的服务保障，必要时应停止相关受影响产品的销售</w:t>
            </w:r>
          </w:p>
        </w:tc>
      </w:tr>
      <w:tr>
        <w:tblPrEx>
          <w:tblLayout w:type="fixed"/>
          <w:tblCellMar>
            <w:top w:w="0" w:type="dxa"/>
            <w:left w:w="108" w:type="dxa"/>
            <w:bottom w:w="0" w:type="dxa"/>
            <w:right w:w="108" w:type="dxa"/>
          </w:tblCellMar>
        </w:tblPrEx>
        <w:trPr>
          <w:trHeight w:val="735" w:hRule="atLeast"/>
        </w:trPr>
        <w:tc>
          <w:tcPr>
            <w:tcW w:w="620" w:type="dxa"/>
            <w:tcBorders>
              <w:top w:val="nil"/>
              <w:left w:val="single" w:color="auto" w:sz="4" w:space="0"/>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 xml:space="preserve">145 </w:t>
            </w:r>
          </w:p>
        </w:tc>
        <w:tc>
          <w:tcPr>
            <w:tcW w:w="1360" w:type="dxa"/>
            <w:tcBorders>
              <w:top w:val="nil"/>
              <w:left w:val="nil"/>
              <w:bottom w:val="single" w:color="auto" w:sz="4" w:space="0"/>
              <w:right w:val="single" w:color="auto" w:sz="4" w:space="0"/>
            </w:tcBorders>
            <w:vAlign w:val="center"/>
          </w:tcPr>
          <w:p>
            <w:pPr>
              <w:widowControl/>
              <w:jc w:val="center"/>
              <w:rPr>
                <w:rFonts w:ascii="宋体" w:hAnsi="宋体" w:cs="Arial"/>
                <w:kern w:val="0"/>
                <w:sz w:val="18"/>
                <w:szCs w:val="18"/>
              </w:rPr>
            </w:pPr>
            <w:r>
              <w:rPr>
                <w:rFonts w:hint="eastAsia" w:ascii="宋体" w:hAnsi="宋体" w:cs="Arial"/>
                <w:kern w:val="0"/>
                <w:sz w:val="18"/>
                <w:szCs w:val="18"/>
              </w:rPr>
              <w:t>供保要求</w:t>
            </w:r>
          </w:p>
        </w:tc>
        <w:tc>
          <w:tcPr>
            <w:tcW w:w="142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Arial"/>
                <w:kern w:val="0"/>
                <w:sz w:val="18"/>
                <w:szCs w:val="18"/>
              </w:rPr>
            </w:pPr>
          </w:p>
        </w:tc>
        <w:tc>
          <w:tcPr>
            <w:tcW w:w="1560"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★供应能力证明</w:t>
            </w:r>
          </w:p>
        </w:tc>
        <w:tc>
          <w:tcPr>
            <w:tcW w:w="2633" w:type="dxa"/>
            <w:tcBorders>
              <w:top w:val="nil"/>
              <w:left w:val="nil"/>
              <w:bottom w:val="single" w:color="auto" w:sz="4" w:space="0"/>
              <w:right w:val="single" w:color="auto" w:sz="4" w:space="0"/>
            </w:tcBorders>
            <w:vAlign w:val="center"/>
          </w:tcPr>
          <w:p>
            <w:pPr>
              <w:widowControl/>
              <w:jc w:val="left"/>
              <w:rPr>
                <w:rFonts w:ascii="宋体" w:hAnsi="宋体" w:cs="Arial"/>
                <w:kern w:val="0"/>
                <w:sz w:val="18"/>
                <w:szCs w:val="18"/>
              </w:rPr>
            </w:pPr>
            <w:r>
              <w:rPr>
                <w:rFonts w:hint="eastAsia" w:ascii="宋体" w:hAnsi="宋体" w:cs="Arial"/>
                <w:kern w:val="0"/>
                <w:sz w:val="18"/>
                <w:szCs w:val="18"/>
              </w:rPr>
              <w:t>供应商提供供应链稳定承诺书，确保产品的部件在产品服务周期内稳定供货</w:t>
            </w:r>
          </w:p>
        </w:tc>
      </w:tr>
    </w:tbl>
    <w:p>
      <w:pPr>
        <w:spacing w:line="360" w:lineRule="auto"/>
        <w:rPr>
          <w:rFonts w:hint="eastAsia" w:ascii="宋体" w:hAnsi="宋体"/>
          <w:sz w:val="24"/>
        </w:rPr>
      </w:pPr>
    </w:p>
    <w:p>
      <w:pPr>
        <w:spacing w:line="360" w:lineRule="auto"/>
        <w:rPr>
          <w:rFonts w:hint="eastAsia" w:ascii="宋体" w:hAnsi="宋体"/>
          <w:b/>
          <w:sz w:val="24"/>
        </w:rPr>
      </w:pPr>
      <w:r>
        <w:rPr>
          <w:rFonts w:hint="eastAsia" w:ascii="宋体" w:hAnsi="宋体"/>
          <w:b/>
          <w:sz w:val="24"/>
        </w:rPr>
        <w:t>商务要求</w:t>
      </w:r>
    </w:p>
    <w:p>
      <w:pPr>
        <w:rPr>
          <w:rFonts w:hint="eastAsia" w:ascii="宋体" w:hAnsi="宋体"/>
          <w:sz w:val="24"/>
        </w:rPr>
      </w:pPr>
      <w:r>
        <w:rPr>
          <w:rFonts w:hint="eastAsia" w:ascii="宋体" w:hAnsi="宋体"/>
          <w:sz w:val="24"/>
        </w:rPr>
        <w:t>1. 提供所投产品</w:t>
      </w:r>
      <w:r>
        <w:rPr>
          <w:rFonts w:hint="eastAsia" w:ascii="宋体" w:hAnsi="宋体"/>
          <w:color w:val="FF0000"/>
          <w:sz w:val="24"/>
        </w:rPr>
        <w:t>五年</w:t>
      </w:r>
      <w:r>
        <w:rPr>
          <w:rFonts w:hint="eastAsia" w:ascii="宋体" w:hAnsi="宋体"/>
          <w:sz w:val="24"/>
        </w:rPr>
        <w:t>的免费上门保修。</w:t>
      </w:r>
    </w:p>
    <w:p>
      <w:pPr>
        <w:rPr>
          <w:rFonts w:hint="eastAsia" w:ascii="宋体" w:hAnsi="宋体"/>
          <w:sz w:val="24"/>
        </w:rPr>
      </w:pPr>
      <w:r>
        <w:rPr>
          <w:rFonts w:hint="eastAsia" w:ascii="宋体" w:hAnsi="宋体"/>
          <w:sz w:val="24"/>
        </w:rPr>
        <w:t>2. 货到：签订合同之日起</w:t>
      </w:r>
      <w:r>
        <w:rPr>
          <w:rFonts w:hint="eastAsia" w:ascii="宋体" w:hAnsi="宋体"/>
          <w:color w:val="FF0000"/>
          <w:sz w:val="24"/>
        </w:rPr>
        <w:t>20日</w:t>
      </w:r>
      <w:r>
        <w:rPr>
          <w:rFonts w:hint="eastAsia" w:ascii="宋体" w:hAnsi="宋体"/>
          <w:sz w:val="24"/>
        </w:rPr>
        <w:t>内（特殊情况以合同为准）。</w:t>
      </w:r>
    </w:p>
    <w:p>
      <w:pPr>
        <w:rPr>
          <w:rFonts w:hint="eastAsia" w:ascii="宋体" w:hAnsi="宋体"/>
          <w:sz w:val="24"/>
        </w:rPr>
      </w:pPr>
      <w:r>
        <w:rPr>
          <w:rFonts w:hint="eastAsia" w:ascii="宋体" w:hAnsi="宋体"/>
          <w:sz w:val="24"/>
        </w:rPr>
        <w:t>安装（施工）完成：货到之日起</w:t>
      </w:r>
      <w:r>
        <w:rPr>
          <w:rFonts w:hint="eastAsia" w:ascii="宋体" w:hAnsi="宋体"/>
          <w:color w:val="FF0000"/>
          <w:sz w:val="24"/>
        </w:rPr>
        <w:t>10日</w:t>
      </w:r>
      <w:r>
        <w:rPr>
          <w:rFonts w:hint="eastAsia" w:ascii="宋体" w:hAnsi="宋体"/>
          <w:sz w:val="24"/>
        </w:rPr>
        <w:t>内（特殊情况以合同为准）。</w:t>
      </w:r>
    </w:p>
    <w:p>
      <w:pPr>
        <w:rPr>
          <w:rFonts w:hint="eastAsia" w:ascii="宋体" w:hAnsi="宋体"/>
          <w:sz w:val="24"/>
        </w:rPr>
      </w:pPr>
      <w:r>
        <w:rPr>
          <w:rFonts w:hint="eastAsia" w:ascii="宋体" w:hAnsi="宋体"/>
          <w:sz w:val="24"/>
        </w:rPr>
        <w:t>3.付款方式：签订合同之日起并收到票据后</w:t>
      </w:r>
      <w:r>
        <w:rPr>
          <w:rFonts w:hint="eastAsia" w:ascii="宋体" w:hAnsi="宋体"/>
          <w:color w:val="FF0000"/>
          <w:sz w:val="24"/>
        </w:rPr>
        <w:t>10个工作日</w:t>
      </w:r>
      <w:r>
        <w:rPr>
          <w:rFonts w:hint="eastAsia" w:ascii="宋体" w:hAnsi="宋体"/>
          <w:sz w:val="24"/>
        </w:rPr>
        <w:t>内支付合同总额的</w:t>
      </w:r>
      <w:r>
        <w:rPr>
          <w:rFonts w:hint="eastAsia" w:ascii="宋体" w:hAnsi="宋体"/>
          <w:color w:val="FF0000"/>
          <w:sz w:val="24"/>
        </w:rPr>
        <w:t>30%</w:t>
      </w:r>
      <w:r>
        <w:rPr>
          <w:rFonts w:hint="eastAsia" w:ascii="宋体" w:hAnsi="宋体"/>
          <w:sz w:val="24"/>
        </w:rPr>
        <w:t>，货到安装调试完成验收合格之日起</w:t>
      </w:r>
      <w:r>
        <w:rPr>
          <w:rFonts w:hint="eastAsia" w:ascii="宋体" w:hAnsi="宋体"/>
          <w:color w:val="FF0000"/>
          <w:sz w:val="24"/>
        </w:rPr>
        <w:t>15个工作日</w:t>
      </w:r>
      <w:r>
        <w:rPr>
          <w:rFonts w:hint="eastAsia" w:ascii="宋体" w:hAnsi="宋体"/>
          <w:sz w:val="24"/>
        </w:rPr>
        <w:t>内支付合同总额的</w:t>
      </w:r>
      <w:r>
        <w:rPr>
          <w:rFonts w:hint="eastAsia" w:ascii="宋体" w:hAnsi="宋体"/>
          <w:color w:val="FF0000"/>
          <w:sz w:val="24"/>
        </w:rPr>
        <w:t>70%。</w:t>
      </w:r>
    </w:p>
    <w:p>
      <w:pPr>
        <w:autoSpaceDE w:val="0"/>
        <w:autoSpaceDN w:val="0"/>
        <w:spacing w:line="360" w:lineRule="auto"/>
        <w:rPr>
          <w:rFonts w:hint="eastAsia" w:ascii="宋体" w:hAnsi="宋体"/>
          <w:b/>
          <w:sz w:val="24"/>
        </w:rPr>
      </w:pPr>
    </w:p>
    <w:p>
      <w:pPr>
        <w:autoSpaceDE w:val="0"/>
        <w:autoSpaceDN w:val="0"/>
        <w:spacing w:line="360" w:lineRule="auto"/>
        <w:rPr>
          <w:rFonts w:ascii="宋体" w:hAnsi="宋体"/>
          <w:b/>
          <w:sz w:val="24"/>
        </w:rPr>
      </w:pPr>
      <w:r>
        <w:rPr>
          <w:rFonts w:hint="eastAsia" w:ascii="宋体" w:hAnsi="宋体"/>
          <w:b/>
          <w:sz w:val="24"/>
        </w:rPr>
        <w:t>验收标准</w:t>
      </w:r>
    </w:p>
    <w:p>
      <w:pPr>
        <w:ind w:firstLine="480" w:firstLineChars="200"/>
        <w:rPr>
          <w:rFonts w:hint="eastAsia" w:ascii="宋体" w:hAnsi="宋体"/>
          <w:sz w:val="24"/>
        </w:rPr>
      </w:pPr>
      <w:r>
        <w:rPr>
          <w:rFonts w:hint="eastAsia" w:ascii="宋体" w:hAnsi="宋体"/>
          <w:sz w:val="24"/>
        </w:rPr>
        <w:t>本项目由采购人自行组织验收。按照采购合同的约定和现行国家标准、行业标准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pPr>
        <w:rPr>
          <w:rFonts w:hint="eastAsia" w:ascii="宋体" w:hAnsi="宋体"/>
          <w:b/>
          <w:sz w:val="24"/>
        </w:rPr>
      </w:pPr>
    </w:p>
    <w:p>
      <w:pPr>
        <w:rPr>
          <w:rFonts w:ascii="宋体" w:hAnsi="宋体"/>
          <w:b/>
          <w:sz w:val="24"/>
        </w:rPr>
      </w:pPr>
      <w:bookmarkStart w:id="0" w:name="_GoBack"/>
      <w:bookmarkEnd w:id="0"/>
      <w:r>
        <w:rPr>
          <w:rFonts w:hint="eastAsia" w:ascii="宋体" w:hAnsi="宋体"/>
          <w:b/>
          <w:sz w:val="24"/>
        </w:rPr>
        <w:t>其他要求</w:t>
      </w:r>
    </w:p>
    <w:p>
      <w:pPr>
        <w:spacing w:line="360" w:lineRule="auto"/>
        <w:ind w:firstLine="420"/>
        <w:rPr>
          <w:rFonts w:hint="eastAsia" w:ascii="宋体" w:hAnsi="宋体"/>
          <w:sz w:val="24"/>
        </w:rPr>
      </w:pPr>
      <w:r>
        <w:rPr>
          <w:rFonts w:hint="eastAsia" w:ascii="宋体" w:hAnsi="宋体"/>
          <w:sz w:val="24"/>
        </w:rPr>
        <w:t>1、所投产品五年质保及技术支持服务，并提供售后服务承诺函，在服务期内，7*24小时技术支持服务，半小时内响应，2小时内技术工程师到现场，如不能在4小时内排除故障，应提供备机，包含产品维修、缺陷修正、重新部署及技术支持服务，本次投标价包含服务期内的全部费用。</w:t>
      </w:r>
    </w:p>
    <w:p>
      <w:pPr>
        <w:spacing w:line="360" w:lineRule="auto"/>
        <w:ind w:firstLine="420"/>
        <w:rPr>
          <w:rFonts w:hint="eastAsia" w:ascii="宋体" w:hAnsi="宋体"/>
          <w:sz w:val="24"/>
        </w:rPr>
      </w:pPr>
      <w:r>
        <w:rPr>
          <w:rFonts w:hint="eastAsia" w:ascii="宋体" w:hAnsi="宋体"/>
          <w:sz w:val="24"/>
        </w:rPr>
        <w:t>2、每季度巡检、重要时期、重大会议时提供不少于两人的技术支持团队及现场维护服务。</w:t>
      </w:r>
    </w:p>
    <w:p>
      <w:pPr>
        <w:spacing w:line="360" w:lineRule="auto"/>
        <w:ind w:firstLine="420"/>
        <w:rPr>
          <w:rFonts w:hint="eastAsia" w:ascii="宋体" w:hAnsi="宋体"/>
          <w:sz w:val="24"/>
        </w:rPr>
      </w:pPr>
      <w:r>
        <w:rPr>
          <w:rFonts w:hint="eastAsia" w:ascii="宋体" w:hAnsi="宋体"/>
          <w:sz w:val="24"/>
        </w:rPr>
        <w:t>3、投标人负责对采购人的技术人员、操作人员、维修人员进行产品及系统的操作、系统的管理维护、常用技术知识进行不少于5次免费技术培训，提供相关培训资源，包括但不限于培训教材（电子版或纸质版）、操作手册等，使培训的操作人员按操作规程能够独立操作,经培训人员考试合格，厂家提供相关技术认证证书，培训人数按照用户需求而定。</w:t>
      </w:r>
    </w:p>
    <w:p>
      <w:pPr>
        <w:spacing w:line="360" w:lineRule="auto"/>
        <w:ind w:firstLine="420"/>
        <w:rPr>
          <w:rFonts w:ascii="宋体" w:hAnsi="宋体"/>
          <w:sz w:val="24"/>
        </w:rPr>
      </w:pPr>
      <w:r>
        <w:rPr>
          <w:rFonts w:hint="eastAsia" w:ascii="宋体" w:hAnsi="宋体"/>
          <w:sz w:val="24"/>
        </w:rPr>
        <w:t>4、所投产品能满足大数据技术、人工智能技术应用及物联网应用技术的专业课上课需求。</w:t>
      </w:r>
    </w:p>
    <w:p>
      <w:pPr>
        <w:spacing w:line="360" w:lineRule="auto"/>
        <w:ind w:firstLine="420"/>
        <w:rPr>
          <w:rFonts w:hint="eastAsia" w:ascii="宋体" w:hAnsi="宋体"/>
          <w:sz w:val="24"/>
        </w:rPr>
      </w:pPr>
      <w:r>
        <w:rPr>
          <w:rFonts w:ascii="宋体" w:hAnsi="宋体"/>
          <w:sz w:val="24"/>
        </w:rPr>
        <w:t xml:space="preserve">5. </w:t>
      </w:r>
      <w:r>
        <w:rPr>
          <w:rFonts w:hint="eastAsia" w:ascii="宋体" w:hAnsi="宋体"/>
          <w:sz w:val="24"/>
        </w:rPr>
        <w:t>本项目需要在开标前组织现场勘查。</w:t>
      </w:r>
    </w:p>
    <w:p>
      <w:pPr>
        <w:rPr>
          <w:rFonts w:hint="eastAsia" w:ascii="宋体" w:hAnsi="宋体"/>
          <w:b/>
          <w:sz w:val="24"/>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ourier New">
    <w:panose1 w:val="02070309020205020404"/>
    <w:charset w:val="00"/>
    <w:family w:val="modern"/>
    <w:pitch w:val="default"/>
    <w:sig w:usb0="E0002EFF" w:usb1="C0007843" w:usb2="00000009" w:usb3="00000000" w:csb0="400001FF" w:csb1="FFFF0000"/>
  </w:font>
  <w:font w:name="Verdana">
    <w:panose1 w:val="020B0604030504040204"/>
    <w:charset w:val="00"/>
    <w:family w:val="swiss"/>
    <w:pitch w:val="default"/>
    <w:sig w:usb0="A00006FF" w:usb1="4000205B" w:usb2="00000010" w:usb3="00000000" w:csb0="2000019F" w:csb1="00000000"/>
  </w:font>
  <w:font w:name=".......">
    <w:altName w:val="宋体"/>
    <w:panose1 w:val="00000000000000000000"/>
    <w:charset w:val="86"/>
    <w:family w:val="roma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Arial">
    <w:panose1 w:val="020B0604020202020204"/>
    <w:charset w:val="00"/>
    <w:family w:val="swiss"/>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38D6BC4"/>
    <w:multiLevelType w:val="singleLevel"/>
    <w:tmpl w:val="A38D6BC4"/>
    <w:lvl w:ilvl="0" w:tentative="0">
      <w:start w:val="1"/>
      <w:numFmt w:val="decimal"/>
      <w:suff w:val="nothing"/>
      <w:lvlText w:val="%1．"/>
      <w:lvlJc w:val="left"/>
      <w:pPr>
        <w:ind w:left="0" w:firstLine="400"/>
      </w:pPr>
      <w:rPr>
        <w:rFonts w:hint="default"/>
      </w:rPr>
    </w:lvl>
  </w:abstractNum>
  <w:abstractNum w:abstractNumId="1">
    <w:nsid w:val="D41A75E2"/>
    <w:multiLevelType w:val="singleLevel"/>
    <w:tmpl w:val="D41A75E2"/>
    <w:lvl w:ilvl="0" w:tentative="0">
      <w:start w:val="1"/>
      <w:numFmt w:val="decimal"/>
      <w:suff w:val="nothing"/>
      <w:lvlText w:val="%1．"/>
      <w:lvlJc w:val="left"/>
      <w:pPr>
        <w:ind w:left="0" w:firstLine="400"/>
      </w:pPr>
      <w:rPr>
        <w:rFonts w:hint="default"/>
      </w:rPr>
    </w:lvl>
  </w:abstractNum>
  <w:abstractNum w:abstractNumId="2">
    <w:nsid w:val="E0DF777C"/>
    <w:multiLevelType w:val="singleLevel"/>
    <w:tmpl w:val="E0DF777C"/>
    <w:lvl w:ilvl="0" w:tentative="0">
      <w:start w:val="1"/>
      <w:numFmt w:val="decimal"/>
      <w:suff w:val="nothing"/>
      <w:lvlText w:val="%1．"/>
      <w:lvlJc w:val="left"/>
      <w:pPr>
        <w:ind w:left="0" w:firstLine="400"/>
      </w:pPr>
      <w:rPr>
        <w:rFonts w:hint="default"/>
      </w:rPr>
    </w:lvl>
  </w:abstractNum>
  <w:abstractNum w:abstractNumId="3">
    <w:nsid w:val="01E212C7"/>
    <w:multiLevelType w:val="singleLevel"/>
    <w:tmpl w:val="01E212C7"/>
    <w:lvl w:ilvl="0" w:tentative="0">
      <w:start w:val="1"/>
      <w:numFmt w:val="decimal"/>
      <w:suff w:val="nothing"/>
      <w:lvlText w:val="%1．"/>
      <w:lvlJc w:val="left"/>
      <w:pPr>
        <w:ind w:left="0" w:firstLine="400"/>
      </w:pPr>
      <w:rPr>
        <w:rFonts w:hint="default"/>
      </w:rPr>
    </w:lvl>
  </w:abstractNum>
  <w:abstractNum w:abstractNumId="4">
    <w:nsid w:val="215B7B29"/>
    <w:multiLevelType w:val="singleLevel"/>
    <w:tmpl w:val="215B7B29"/>
    <w:lvl w:ilvl="0" w:tentative="0">
      <w:start w:val="1"/>
      <w:numFmt w:val="decimal"/>
      <w:suff w:val="nothing"/>
      <w:lvlText w:val="%1．"/>
      <w:lvlJc w:val="left"/>
      <w:pPr>
        <w:ind w:left="0" w:firstLine="400"/>
      </w:pPr>
      <w:rPr>
        <w:rFonts w:hint="default"/>
      </w:rPr>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3902"/>
    <w:rsid w:val="000247DC"/>
    <w:rsid w:val="00045631"/>
    <w:rsid w:val="00071693"/>
    <w:rsid w:val="00074226"/>
    <w:rsid w:val="0009339E"/>
    <w:rsid w:val="000A2D6B"/>
    <w:rsid w:val="000A6FE9"/>
    <w:rsid w:val="000C184F"/>
    <w:rsid w:val="000E11A8"/>
    <w:rsid w:val="000E2EAA"/>
    <w:rsid w:val="00111F73"/>
    <w:rsid w:val="00114D51"/>
    <w:rsid w:val="001335EE"/>
    <w:rsid w:val="001400A9"/>
    <w:rsid w:val="00155DBE"/>
    <w:rsid w:val="00170C09"/>
    <w:rsid w:val="00192958"/>
    <w:rsid w:val="001D0C0D"/>
    <w:rsid w:val="001E7CF5"/>
    <w:rsid w:val="001F60D5"/>
    <w:rsid w:val="00201493"/>
    <w:rsid w:val="002053EF"/>
    <w:rsid w:val="00244BBF"/>
    <w:rsid w:val="0025311B"/>
    <w:rsid w:val="00270221"/>
    <w:rsid w:val="002964AE"/>
    <w:rsid w:val="002E519C"/>
    <w:rsid w:val="002F0BD8"/>
    <w:rsid w:val="00305686"/>
    <w:rsid w:val="00306C12"/>
    <w:rsid w:val="00315235"/>
    <w:rsid w:val="00330E0D"/>
    <w:rsid w:val="0033397A"/>
    <w:rsid w:val="003545AA"/>
    <w:rsid w:val="003A0037"/>
    <w:rsid w:val="003D6EFB"/>
    <w:rsid w:val="003E7311"/>
    <w:rsid w:val="003F429C"/>
    <w:rsid w:val="00410F83"/>
    <w:rsid w:val="00412918"/>
    <w:rsid w:val="004459D2"/>
    <w:rsid w:val="0045575F"/>
    <w:rsid w:val="00464482"/>
    <w:rsid w:val="00483C3E"/>
    <w:rsid w:val="004E5CED"/>
    <w:rsid w:val="004F0C45"/>
    <w:rsid w:val="0057138B"/>
    <w:rsid w:val="00574287"/>
    <w:rsid w:val="00584AB5"/>
    <w:rsid w:val="005C0E7E"/>
    <w:rsid w:val="005C2228"/>
    <w:rsid w:val="005D55EA"/>
    <w:rsid w:val="00616E51"/>
    <w:rsid w:val="00620A87"/>
    <w:rsid w:val="0062621F"/>
    <w:rsid w:val="00634D3F"/>
    <w:rsid w:val="00645A07"/>
    <w:rsid w:val="00680419"/>
    <w:rsid w:val="00682E4E"/>
    <w:rsid w:val="00696109"/>
    <w:rsid w:val="006B06EF"/>
    <w:rsid w:val="006B0B20"/>
    <w:rsid w:val="006D17C5"/>
    <w:rsid w:val="007135F6"/>
    <w:rsid w:val="00720DA8"/>
    <w:rsid w:val="007433F3"/>
    <w:rsid w:val="007A45E1"/>
    <w:rsid w:val="00845E60"/>
    <w:rsid w:val="00861373"/>
    <w:rsid w:val="00861EA9"/>
    <w:rsid w:val="008662DD"/>
    <w:rsid w:val="008A6A58"/>
    <w:rsid w:val="008A6D81"/>
    <w:rsid w:val="008C68C8"/>
    <w:rsid w:val="008F440E"/>
    <w:rsid w:val="00902800"/>
    <w:rsid w:val="009161CD"/>
    <w:rsid w:val="0091671E"/>
    <w:rsid w:val="00922E8E"/>
    <w:rsid w:val="00930995"/>
    <w:rsid w:val="009356EC"/>
    <w:rsid w:val="00944537"/>
    <w:rsid w:val="00945B13"/>
    <w:rsid w:val="0094738D"/>
    <w:rsid w:val="00973637"/>
    <w:rsid w:val="00990B50"/>
    <w:rsid w:val="009A114C"/>
    <w:rsid w:val="009D6ECB"/>
    <w:rsid w:val="009E14A0"/>
    <w:rsid w:val="00A20BC3"/>
    <w:rsid w:val="00A21C5C"/>
    <w:rsid w:val="00A27F3F"/>
    <w:rsid w:val="00A30C94"/>
    <w:rsid w:val="00A31639"/>
    <w:rsid w:val="00A369F9"/>
    <w:rsid w:val="00A41912"/>
    <w:rsid w:val="00A71C25"/>
    <w:rsid w:val="00A772E5"/>
    <w:rsid w:val="00AA0AF1"/>
    <w:rsid w:val="00AA137D"/>
    <w:rsid w:val="00AB1AAA"/>
    <w:rsid w:val="00AB683B"/>
    <w:rsid w:val="00AC1733"/>
    <w:rsid w:val="00AE2D62"/>
    <w:rsid w:val="00B14697"/>
    <w:rsid w:val="00B15F5E"/>
    <w:rsid w:val="00B169E3"/>
    <w:rsid w:val="00B462D8"/>
    <w:rsid w:val="00B514E7"/>
    <w:rsid w:val="00BF4747"/>
    <w:rsid w:val="00C17BFA"/>
    <w:rsid w:val="00C560F1"/>
    <w:rsid w:val="00C60BAE"/>
    <w:rsid w:val="00C75C8E"/>
    <w:rsid w:val="00C817E5"/>
    <w:rsid w:val="00C82EF1"/>
    <w:rsid w:val="00CB1A31"/>
    <w:rsid w:val="00CC180E"/>
    <w:rsid w:val="00CC29E1"/>
    <w:rsid w:val="00CD24E9"/>
    <w:rsid w:val="00CE1F46"/>
    <w:rsid w:val="00CE576F"/>
    <w:rsid w:val="00D17989"/>
    <w:rsid w:val="00D30904"/>
    <w:rsid w:val="00D440D3"/>
    <w:rsid w:val="00D5625F"/>
    <w:rsid w:val="00D655A7"/>
    <w:rsid w:val="00D874CD"/>
    <w:rsid w:val="00DB3902"/>
    <w:rsid w:val="00DE48FB"/>
    <w:rsid w:val="00E00018"/>
    <w:rsid w:val="00E268BE"/>
    <w:rsid w:val="00E425EF"/>
    <w:rsid w:val="00E55C1F"/>
    <w:rsid w:val="00EC4AE3"/>
    <w:rsid w:val="00ED4738"/>
    <w:rsid w:val="00EE0F3D"/>
    <w:rsid w:val="00EF0A57"/>
    <w:rsid w:val="00F11972"/>
    <w:rsid w:val="00F12DFA"/>
    <w:rsid w:val="00F40AFD"/>
    <w:rsid w:val="00F435AC"/>
    <w:rsid w:val="00F50D93"/>
    <w:rsid w:val="00F73D28"/>
    <w:rsid w:val="00F873E2"/>
    <w:rsid w:val="00F87F9F"/>
    <w:rsid w:val="00FB491C"/>
    <w:rsid w:val="00FC126E"/>
    <w:rsid w:val="0ACC1A70"/>
    <w:rsid w:val="131E62A6"/>
    <w:rsid w:val="2F0F769E"/>
    <w:rsid w:val="30585CFF"/>
    <w:rsid w:val="3BFB5B63"/>
    <w:rsid w:val="3CF032CF"/>
    <w:rsid w:val="43BC55EA"/>
    <w:rsid w:val="531526DC"/>
    <w:rsid w:val="56237DE0"/>
    <w:rsid w:val="64564AA6"/>
    <w:rsid w:val="6E992B49"/>
    <w:rsid w:val="771352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unhideWhenUsed="0" w:uiPriority="99"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nhideWhenUsed="0" w:uiPriority="0" w:name="Default Paragraph Font"/>
    <w:lsdException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iPriority="99" w:semiHidden="0" w:name="Body Text 2"/>
    <w:lsdException w:unhideWhenUsed="0" w:uiPriority="0" w:semiHidden="0" w:name="Body Text 3"/>
    <w:lsdException w:uiPriority="99" w:semiHidden="0" w:name="Body Text Indent 2"/>
    <w:lsdException w:uiPriority="99" w:semiHidden="0" w:name="Body Text Indent 3"/>
    <w:lsdException w:unhideWhenUsed="0" w:uiPriority="0" w:semiHidden="0" w:name="Block Text"/>
    <w:lsdException w:uiPriority="99"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iPriority="99"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99" w:name="Balloon Text"/>
    <w:lsdException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1"/>
    <w:next w:val="1"/>
    <w:link w:val="29"/>
    <w:qFormat/>
    <w:uiPriority w:val="0"/>
    <w:pPr>
      <w:keepNext/>
      <w:keepLines/>
      <w:spacing w:before="260" w:after="260" w:line="416" w:lineRule="auto"/>
      <w:outlineLvl w:val="2"/>
    </w:pPr>
    <w:rPr>
      <w:b/>
      <w:bCs/>
      <w:sz w:val="32"/>
      <w:szCs w:val="32"/>
    </w:rPr>
  </w:style>
  <w:style w:type="character" w:default="1" w:styleId="21">
    <w:name w:val="Default Paragraph Font"/>
    <w:semiHidden/>
    <w:uiPriority w:val="0"/>
  </w:style>
  <w:style w:type="table" w:default="1" w:styleId="25">
    <w:name w:val="Normal Table"/>
    <w:semiHidden/>
    <w:uiPriority w:val="0"/>
    <w:tblPr>
      <w:tblLayout w:type="fixed"/>
      <w:tblCellMar>
        <w:top w:w="0" w:type="dxa"/>
        <w:left w:w="108" w:type="dxa"/>
        <w:bottom w:w="0" w:type="dxa"/>
        <w:right w:w="108" w:type="dxa"/>
      </w:tblCellMar>
    </w:tblPr>
  </w:style>
  <w:style w:type="paragraph" w:styleId="5">
    <w:name w:val="annotation subject"/>
    <w:basedOn w:val="6"/>
    <w:next w:val="6"/>
    <w:link w:val="43"/>
    <w:unhideWhenUsed/>
    <w:uiPriority w:val="99"/>
    <w:rPr>
      <w:b/>
      <w:bCs/>
      <w:szCs w:val="20"/>
    </w:rPr>
  </w:style>
  <w:style w:type="paragraph" w:styleId="6">
    <w:name w:val="annotation text"/>
    <w:basedOn w:val="1"/>
    <w:link w:val="30"/>
    <w:unhideWhenUsed/>
    <w:qFormat/>
    <w:uiPriority w:val="99"/>
    <w:pPr>
      <w:jc w:val="left"/>
    </w:pPr>
  </w:style>
  <w:style w:type="paragraph" w:styleId="7">
    <w:name w:val="Normal Indent"/>
    <w:basedOn w:val="1"/>
    <w:uiPriority w:val="0"/>
    <w:pPr>
      <w:ind w:firstLine="420"/>
    </w:pPr>
    <w:rPr>
      <w:szCs w:val="20"/>
    </w:rPr>
  </w:style>
  <w:style w:type="paragraph" w:styleId="8">
    <w:name w:val="Body Text"/>
    <w:basedOn w:val="1"/>
    <w:link w:val="31"/>
    <w:unhideWhenUsed/>
    <w:uiPriority w:val="99"/>
    <w:pPr>
      <w:spacing w:after="120"/>
    </w:pPr>
    <w:rPr>
      <w:szCs w:val="20"/>
    </w:rPr>
  </w:style>
  <w:style w:type="paragraph" w:styleId="9">
    <w:name w:val="Body Text Indent"/>
    <w:basedOn w:val="1"/>
    <w:link w:val="32"/>
    <w:uiPriority w:val="0"/>
    <w:pPr>
      <w:tabs>
        <w:tab w:val="left" w:pos="480"/>
      </w:tabs>
      <w:spacing w:line="560" w:lineRule="exact"/>
      <w:ind w:firstLine="480"/>
      <w:jc w:val="left"/>
    </w:pPr>
    <w:rPr>
      <w:rFonts w:ascii="宋体" w:hAnsi="宋体"/>
      <w:sz w:val="24"/>
      <w:szCs w:val="20"/>
    </w:rPr>
  </w:style>
  <w:style w:type="paragraph" w:styleId="10">
    <w:name w:val="Plain Text"/>
    <w:basedOn w:val="1"/>
    <w:link w:val="33"/>
    <w:qFormat/>
    <w:uiPriority w:val="0"/>
    <w:rPr>
      <w:rFonts w:ascii="宋体" w:hAnsi="Courier New"/>
      <w:szCs w:val="20"/>
    </w:rPr>
  </w:style>
  <w:style w:type="paragraph" w:styleId="11">
    <w:name w:val="Date"/>
    <w:basedOn w:val="1"/>
    <w:next w:val="1"/>
    <w:link w:val="34"/>
    <w:uiPriority w:val="0"/>
    <w:pPr>
      <w:adjustRightInd w:val="0"/>
      <w:spacing w:line="360" w:lineRule="atLeast"/>
      <w:textAlignment w:val="baseline"/>
    </w:pPr>
    <w:rPr>
      <w:sz w:val="32"/>
      <w:szCs w:val="20"/>
    </w:rPr>
  </w:style>
  <w:style w:type="paragraph" w:styleId="12">
    <w:name w:val="Body Text Indent 2"/>
    <w:basedOn w:val="1"/>
    <w:link w:val="35"/>
    <w:unhideWhenUsed/>
    <w:uiPriority w:val="99"/>
    <w:pPr>
      <w:spacing w:after="120" w:line="480" w:lineRule="auto"/>
      <w:ind w:left="420" w:leftChars="200"/>
    </w:pPr>
    <w:rPr>
      <w:szCs w:val="20"/>
    </w:rPr>
  </w:style>
  <w:style w:type="paragraph" w:styleId="13">
    <w:name w:val="Balloon Text"/>
    <w:basedOn w:val="1"/>
    <w:link w:val="36"/>
    <w:semiHidden/>
    <w:uiPriority w:val="99"/>
    <w:rPr>
      <w:sz w:val="18"/>
      <w:szCs w:val="18"/>
    </w:rPr>
  </w:style>
  <w:style w:type="paragraph" w:styleId="14">
    <w:name w:val="footer"/>
    <w:basedOn w:val="1"/>
    <w:link w:val="37"/>
    <w:uiPriority w:val="99"/>
    <w:pPr>
      <w:tabs>
        <w:tab w:val="center" w:pos="4153"/>
        <w:tab w:val="right" w:pos="8306"/>
      </w:tabs>
      <w:snapToGrid w:val="0"/>
      <w:jc w:val="left"/>
    </w:pPr>
    <w:rPr>
      <w:sz w:val="18"/>
      <w:szCs w:val="18"/>
    </w:rPr>
  </w:style>
  <w:style w:type="paragraph" w:styleId="15">
    <w:name w:val="header"/>
    <w:basedOn w:val="1"/>
    <w:link w:val="38"/>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9"/>
    <w:qFormat/>
    <w:uiPriority w:val="0"/>
    <w:pPr>
      <w:spacing w:before="240" w:after="60" w:line="312" w:lineRule="auto"/>
      <w:jc w:val="center"/>
      <w:outlineLvl w:val="1"/>
    </w:pPr>
    <w:rPr>
      <w:rFonts w:ascii="Cambria" w:hAnsi="Cambria"/>
      <w:b/>
      <w:bCs/>
      <w:kern w:val="28"/>
      <w:sz w:val="32"/>
      <w:szCs w:val="32"/>
    </w:rPr>
  </w:style>
  <w:style w:type="paragraph" w:styleId="17">
    <w:name w:val="Body Text Indent 3"/>
    <w:basedOn w:val="1"/>
    <w:link w:val="40"/>
    <w:unhideWhenUsed/>
    <w:uiPriority w:val="99"/>
    <w:pPr>
      <w:spacing w:after="120"/>
      <w:ind w:left="420" w:leftChars="200"/>
    </w:pPr>
    <w:rPr>
      <w:sz w:val="16"/>
      <w:szCs w:val="16"/>
    </w:rPr>
  </w:style>
  <w:style w:type="paragraph" w:styleId="18">
    <w:name w:val="Body Text 2"/>
    <w:basedOn w:val="1"/>
    <w:link w:val="41"/>
    <w:unhideWhenUsed/>
    <w:uiPriority w:val="99"/>
    <w:pPr>
      <w:spacing w:after="120" w:line="480" w:lineRule="auto"/>
    </w:pPr>
    <w:rPr>
      <w:szCs w:val="20"/>
    </w:rPr>
  </w:style>
  <w:style w:type="paragraph" w:styleId="19">
    <w:name w:val="Normal (Web)"/>
    <w:basedOn w:val="1"/>
    <w:uiPriority w:val="99"/>
    <w:pPr>
      <w:widowControl/>
      <w:spacing w:before="100" w:beforeAutospacing="1" w:after="100" w:afterAutospacing="1"/>
      <w:jc w:val="left"/>
    </w:pPr>
    <w:rPr>
      <w:rFonts w:ascii="宋体" w:hAnsi="宋体" w:cs="宋体"/>
      <w:kern w:val="0"/>
      <w:sz w:val="24"/>
    </w:rPr>
  </w:style>
  <w:style w:type="paragraph" w:styleId="20">
    <w:name w:val="Title"/>
    <w:basedOn w:val="1"/>
    <w:next w:val="1"/>
    <w:link w:val="42"/>
    <w:qFormat/>
    <w:uiPriority w:val="10"/>
    <w:pPr>
      <w:spacing w:before="240" w:after="60"/>
      <w:jc w:val="center"/>
      <w:outlineLvl w:val="0"/>
    </w:pPr>
    <w:rPr>
      <w:rFonts w:ascii="Cambria" w:hAnsi="Cambria"/>
      <w:b/>
      <w:bCs/>
      <w:sz w:val="32"/>
      <w:szCs w:val="32"/>
    </w:rPr>
  </w:style>
  <w:style w:type="character" w:styleId="22">
    <w:name w:val="Strong"/>
    <w:qFormat/>
    <w:uiPriority w:val="22"/>
    <w:rPr>
      <w:b/>
      <w:bCs/>
    </w:rPr>
  </w:style>
  <w:style w:type="character" w:styleId="23">
    <w:name w:val="Hyperlink"/>
    <w:unhideWhenUsed/>
    <w:uiPriority w:val="99"/>
    <w:rPr>
      <w:color w:val="0000FF"/>
      <w:u w:val="single"/>
    </w:rPr>
  </w:style>
  <w:style w:type="character" w:styleId="24">
    <w:name w:val="annotation reference"/>
    <w:unhideWhenUsed/>
    <w:uiPriority w:val="99"/>
    <w:rPr>
      <w:sz w:val="21"/>
      <w:szCs w:val="21"/>
    </w:rPr>
  </w:style>
  <w:style w:type="table" w:styleId="26">
    <w:name w:val="Table Grid"/>
    <w:basedOn w:val="25"/>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27">
    <w:name w:val="标题 1 字符"/>
    <w:link w:val="2"/>
    <w:uiPriority w:val="9"/>
    <w:rPr>
      <w:b/>
      <w:bCs/>
      <w:kern w:val="44"/>
      <w:sz w:val="44"/>
      <w:szCs w:val="44"/>
    </w:rPr>
  </w:style>
  <w:style w:type="character" w:customStyle="1" w:styleId="28">
    <w:name w:val="标题 2 字符"/>
    <w:link w:val="3"/>
    <w:uiPriority w:val="9"/>
    <w:rPr>
      <w:rFonts w:ascii="Cambria" w:hAnsi="Cambria"/>
      <w:b/>
      <w:bCs/>
      <w:kern w:val="2"/>
      <w:sz w:val="32"/>
      <w:szCs w:val="32"/>
    </w:rPr>
  </w:style>
  <w:style w:type="character" w:customStyle="1" w:styleId="29">
    <w:name w:val="标题 3 字符"/>
    <w:link w:val="4"/>
    <w:uiPriority w:val="0"/>
    <w:rPr>
      <w:b/>
      <w:bCs/>
      <w:kern w:val="2"/>
      <w:sz w:val="32"/>
      <w:szCs w:val="32"/>
    </w:rPr>
  </w:style>
  <w:style w:type="character" w:customStyle="1" w:styleId="30">
    <w:name w:val="批注文字 字符"/>
    <w:link w:val="6"/>
    <w:uiPriority w:val="99"/>
    <w:rPr>
      <w:kern w:val="2"/>
      <w:sz w:val="21"/>
      <w:szCs w:val="24"/>
    </w:rPr>
  </w:style>
  <w:style w:type="character" w:customStyle="1" w:styleId="31">
    <w:name w:val="正文文本 字符"/>
    <w:link w:val="8"/>
    <w:uiPriority w:val="99"/>
    <w:rPr>
      <w:kern w:val="2"/>
      <w:sz w:val="21"/>
    </w:rPr>
  </w:style>
  <w:style w:type="character" w:customStyle="1" w:styleId="32">
    <w:name w:val="正文文本缩进 字符"/>
    <w:link w:val="9"/>
    <w:uiPriority w:val="0"/>
    <w:rPr>
      <w:rFonts w:ascii="宋体" w:hAnsi="宋体"/>
      <w:kern w:val="2"/>
      <w:sz w:val="24"/>
    </w:rPr>
  </w:style>
  <w:style w:type="character" w:customStyle="1" w:styleId="33">
    <w:name w:val="纯文本 字符"/>
    <w:link w:val="10"/>
    <w:locked/>
    <w:uiPriority w:val="0"/>
    <w:rPr>
      <w:rFonts w:ascii="宋体" w:hAnsi="Courier New"/>
      <w:kern w:val="2"/>
      <w:sz w:val="21"/>
    </w:rPr>
  </w:style>
  <w:style w:type="character" w:customStyle="1" w:styleId="34">
    <w:name w:val="日期 字符"/>
    <w:link w:val="11"/>
    <w:uiPriority w:val="0"/>
    <w:rPr>
      <w:kern w:val="2"/>
      <w:sz w:val="32"/>
    </w:rPr>
  </w:style>
  <w:style w:type="character" w:customStyle="1" w:styleId="35">
    <w:name w:val="正文文本缩进 2 字符"/>
    <w:link w:val="12"/>
    <w:uiPriority w:val="99"/>
    <w:rPr>
      <w:kern w:val="2"/>
      <w:sz w:val="21"/>
    </w:rPr>
  </w:style>
  <w:style w:type="character" w:customStyle="1" w:styleId="36">
    <w:name w:val="批注框文本 字符"/>
    <w:link w:val="13"/>
    <w:semiHidden/>
    <w:uiPriority w:val="99"/>
    <w:rPr>
      <w:kern w:val="2"/>
      <w:sz w:val="18"/>
      <w:szCs w:val="18"/>
    </w:rPr>
  </w:style>
  <w:style w:type="character" w:customStyle="1" w:styleId="37">
    <w:name w:val="页脚 字符"/>
    <w:link w:val="14"/>
    <w:uiPriority w:val="99"/>
    <w:rPr>
      <w:kern w:val="2"/>
      <w:sz w:val="18"/>
      <w:szCs w:val="18"/>
    </w:rPr>
  </w:style>
  <w:style w:type="character" w:customStyle="1" w:styleId="38">
    <w:name w:val="页眉 字符"/>
    <w:link w:val="15"/>
    <w:uiPriority w:val="99"/>
    <w:rPr>
      <w:kern w:val="2"/>
      <w:sz w:val="18"/>
      <w:szCs w:val="18"/>
    </w:rPr>
  </w:style>
  <w:style w:type="character" w:customStyle="1" w:styleId="39">
    <w:name w:val="副标题 字符"/>
    <w:link w:val="16"/>
    <w:uiPriority w:val="0"/>
    <w:rPr>
      <w:rFonts w:ascii="Cambria" w:hAnsi="Cambria"/>
      <w:b/>
      <w:bCs/>
      <w:kern w:val="28"/>
      <w:sz w:val="32"/>
      <w:szCs w:val="32"/>
    </w:rPr>
  </w:style>
  <w:style w:type="character" w:customStyle="1" w:styleId="40">
    <w:name w:val="正文文本缩进 3 字符"/>
    <w:link w:val="17"/>
    <w:uiPriority w:val="99"/>
    <w:rPr>
      <w:kern w:val="2"/>
      <w:sz w:val="16"/>
      <w:szCs w:val="16"/>
    </w:rPr>
  </w:style>
  <w:style w:type="character" w:customStyle="1" w:styleId="41">
    <w:name w:val="正文文本 2 字符"/>
    <w:link w:val="18"/>
    <w:uiPriority w:val="99"/>
    <w:rPr>
      <w:kern w:val="2"/>
      <w:sz w:val="21"/>
    </w:rPr>
  </w:style>
  <w:style w:type="character" w:customStyle="1" w:styleId="42">
    <w:name w:val="标题 字符"/>
    <w:link w:val="20"/>
    <w:uiPriority w:val="10"/>
    <w:rPr>
      <w:rFonts w:ascii="Cambria" w:hAnsi="Cambria"/>
      <w:b/>
      <w:bCs/>
      <w:kern w:val="2"/>
      <w:sz w:val="32"/>
      <w:szCs w:val="32"/>
    </w:rPr>
  </w:style>
  <w:style w:type="character" w:customStyle="1" w:styleId="43">
    <w:name w:val="批注主题 字符"/>
    <w:link w:val="5"/>
    <w:uiPriority w:val="99"/>
    <w:rPr>
      <w:b/>
      <w:bCs/>
      <w:kern w:val="2"/>
      <w:sz w:val="21"/>
      <w:szCs w:val="24"/>
    </w:rPr>
  </w:style>
  <w:style w:type="paragraph" w:customStyle="1" w:styleId="44">
    <w:name w:val="Char Char1 Char Char Char Char Char Char Char Char Char Char Char Char Char Char"/>
    <w:basedOn w:val="1"/>
    <w:uiPriority w:val="0"/>
    <w:pPr>
      <w:widowControl/>
      <w:spacing w:after="160" w:line="240" w:lineRule="exact"/>
      <w:jc w:val="left"/>
    </w:pPr>
    <w:rPr>
      <w:rFonts w:ascii="Verdana" w:hAnsi="Verdana"/>
      <w:kern w:val="0"/>
      <w:sz w:val="20"/>
      <w:szCs w:val="20"/>
      <w:lang w:eastAsia="en-US"/>
    </w:rPr>
  </w:style>
  <w:style w:type="paragraph" w:customStyle="1" w:styleId="45">
    <w:name w:val="Default"/>
    <w:link w:val="46"/>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46">
    <w:name w:val="Default Char"/>
    <w:link w:val="45"/>
    <w:qFormat/>
    <w:locked/>
    <w:uiPriority w:val="0"/>
    <w:rPr>
      <w:rFonts w:ascii="......." w:hAnsi="Calibri" w:eastAsia="......." w:cs="......."/>
      <w:color w:val="000000"/>
      <w:sz w:val="24"/>
      <w:szCs w:val="24"/>
    </w:rPr>
  </w:style>
  <w:style w:type="paragraph" w:styleId="47">
    <w:name w:val="List Paragraph"/>
    <w:basedOn w:val="1"/>
    <w:link w:val="48"/>
    <w:qFormat/>
    <w:uiPriority w:val="34"/>
    <w:pPr>
      <w:ind w:firstLine="420" w:firstLineChars="200"/>
    </w:pPr>
    <w:rPr>
      <w:szCs w:val="20"/>
    </w:rPr>
  </w:style>
  <w:style w:type="character" w:customStyle="1" w:styleId="48">
    <w:name w:val="列表段落 字符"/>
    <w:link w:val="47"/>
    <w:uiPriority w:val="34"/>
    <w:rPr>
      <w:kern w:val="2"/>
      <w:sz w:val="21"/>
    </w:rPr>
  </w:style>
  <w:style w:type="paragraph" w:customStyle="1" w:styleId="49">
    <w:name w:val="Char"/>
    <w:basedOn w:val="1"/>
    <w:uiPriority w:val="0"/>
    <w:pPr>
      <w:tabs>
        <w:tab w:val="left" w:pos="360"/>
      </w:tabs>
    </w:pPr>
    <w:rPr>
      <w:sz w:val="24"/>
    </w:rPr>
  </w:style>
  <w:style w:type="character" w:customStyle="1" w:styleId="50">
    <w:name w:val="纯文本 Char"/>
    <w:uiPriority w:val="99"/>
    <w:rPr>
      <w:rFonts w:ascii="宋体" w:hAnsi="Courier New" w:cs="Courier New"/>
      <w:kern w:val="2"/>
      <w:sz w:val="21"/>
      <w:szCs w:val="21"/>
    </w:rPr>
  </w:style>
  <w:style w:type="paragraph" w:customStyle="1" w:styleId="51">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2">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3">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4">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55">
    <w:name w:val="批注文字 Char"/>
    <w:semiHidden/>
    <w:uiPriority w:val="99"/>
    <w:rPr>
      <w:rFonts w:ascii="Times New Roman" w:hAnsi="Times New Roman" w:eastAsia="宋体" w:cs="Times New Roman"/>
      <w:szCs w:val="20"/>
    </w:rPr>
  </w:style>
  <w:style w:type="paragraph" w:customStyle="1" w:styleId="56">
    <w:name w:val="列出段落1"/>
    <w:basedOn w:val="1"/>
    <w:qFormat/>
    <w:uiPriority w:val="0"/>
    <w:pPr>
      <w:ind w:firstLine="420" w:firstLineChars="200"/>
    </w:pPr>
    <w:rPr>
      <w:rFonts w:ascii="Calibri" w:hAnsi="Calibri" w:cs="黑体"/>
      <w:szCs w:val="22"/>
    </w:rPr>
  </w:style>
  <w:style w:type="paragraph" w:customStyle="1" w:styleId="57">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58">
    <w:name w:val="font11"/>
    <w:qFormat/>
    <w:uiPriority w:val="0"/>
    <w:rPr>
      <w:rFonts w:hint="eastAsia" w:ascii="宋体" w:hAnsi="宋体" w:eastAsia="宋体" w:cs="宋体"/>
      <w:b/>
      <w:bCs/>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1838</Words>
  <Characters>10478</Characters>
  <Lines>87</Lines>
  <Paragraphs>24</Paragraphs>
  <TotalTime>1</TotalTime>
  <ScaleCrop>false</ScaleCrop>
  <LinksUpToDate>false</LinksUpToDate>
  <CharactersWithSpaces>12292</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2025-10-17T02:59:00Z</dcterms:created>
  <dc:creator>薛昊</dc:creator>
  <cp:lastModifiedBy>jgkxhq</cp:lastModifiedBy>
  <cp:lastPrinted>2012-08-27T04:05:00Z</cp:lastPrinted>
  <dcterms:modified xsi:type="dcterms:W3CDTF">2025-10-17T03:13:30Z</dcterms:modified>
  <dc:title>项目需求书</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eyJoZGlkIjoiNTdiN2Q2MzkyYzk3Y2Y0NTUxOTkxMmI3MmY5YTdmNDgiLCJ1c2VySWQiOiI0NzM0MDExMjIifQ==</vt:lpwstr>
  </property>
  <property fmtid="{D5CDD505-2E9C-101B-9397-08002B2CF9AE}" pid="3" name="KSOProductBuildVer">
    <vt:lpwstr>2052-10.8.2.7090</vt:lpwstr>
  </property>
  <property fmtid="{D5CDD505-2E9C-101B-9397-08002B2CF9AE}" pid="4" name="ICV">
    <vt:lpwstr>68D4C19022834E1CA09EC1C3425C8064_13</vt:lpwstr>
  </property>
</Properties>
</file>