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70C711">
      <w:pPr>
        <w:pStyle w:val="2"/>
        <w:bidi w:val="0"/>
        <w:jc w:val="center"/>
        <w:rPr>
          <w:rFonts w:hint="eastAsia"/>
          <w:highlight w:val="none"/>
        </w:rPr>
      </w:pPr>
      <w:r>
        <w:rPr>
          <w:rFonts w:hint="eastAsia"/>
          <w:highlight w:val="none"/>
        </w:rPr>
        <w:t>项目需求书</w:t>
      </w:r>
    </w:p>
    <w:p w14:paraId="20C2663A">
      <w:pPr>
        <w:pStyle w:val="3"/>
        <w:numPr>
          <w:ilvl w:val="0"/>
          <w:numId w:val="0"/>
        </w:numPr>
        <w:bidi w:val="0"/>
        <w:ind w:left="0" w:leftChars="0" w:firstLine="0" w:firstLineChars="0"/>
        <w:rPr>
          <w:rFonts w:hint="eastAsia"/>
          <w:highlight w:val="none"/>
        </w:rPr>
      </w:pPr>
      <w:r>
        <w:rPr>
          <w:rFonts w:hint="eastAsia" w:ascii="Arial" w:hAnsi="Arial" w:eastAsia="黑体" w:cstheme="minorBidi"/>
          <w:b/>
          <w:kern w:val="2"/>
          <w:sz w:val="32"/>
          <w:szCs w:val="22"/>
          <w:highlight w:val="none"/>
          <w:lang w:val="en-US" w:eastAsia="zh-CN" w:bidi="ar-SA"/>
        </w:rPr>
        <w:t>一、</w:t>
      </w:r>
      <w:r>
        <w:rPr>
          <w:rFonts w:hint="eastAsia"/>
          <w:highlight w:val="none"/>
        </w:rPr>
        <w:t>项目名称</w:t>
      </w:r>
    </w:p>
    <w:p w14:paraId="4E1DD548">
      <w:pPr>
        <w:pStyle w:val="3"/>
        <w:numPr>
          <w:ilvl w:val="0"/>
          <w:numId w:val="0"/>
        </w:numPr>
        <w:bidi w:val="0"/>
        <w:ind w:firstLine="640" w:firstLineChars="200"/>
        <w:rPr>
          <w:rFonts w:hint="eastAsia" w:ascii="仿宋" w:hAnsi="仿宋" w:eastAsia="仿宋_GB2312" w:cs="Times New Roman"/>
          <w:b w:val="0"/>
          <w:bCs/>
          <w:sz w:val="24"/>
          <w:szCs w:val="24"/>
          <w:highlight w:val="none"/>
          <w:lang w:val="en-US" w:eastAsia="zh-CN"/>
        </w:rPr>
      </w:pPr>
      <w:r>
        <w:rPr>
          <w:rFonts w:hint="eastAsia" w:ascii="仿宋_GB2312" w:hAnsi="黑体" w:eastAsia="仿宋_GB2312"/>
          <w:b w:val="0"/>
          <w:bCs/>
          <w:sz w:val="32"/>
          <w:szCs w:val="32"/>
          <w:highlight w:val="none"/>
          <w:lang w:val="en-US" w:eastAsia="zh-CN"/>
        </w:rPr>
        <w:t>天津市第五中心医院生态城医院采购AI影像辅助诊断系统项目</w:t>
      </w:r>
    </w:p>
    <w:p w14:paraId="63DF979E">
      <w:pPr>
        <w:pStyle w:val="3"/>
        <w:bidi w:val="0"/>
        <w:rPr>
          <w:rFonts w:hint="eastAsia"/>
          <w:highlight w:val="none"/>
        </w:rPr>
      </w:pPr>
      <w:r>
        <w:rPr>
          <w:rFonts w:hint="eastAsia"/>
          <w:highlight w:val="none"/>
        </w:rPr>
        <w:t>二、项目背景和主要内容</w:t>
      </w:r>
    </w:p>
    <w:p w14:paraId="51882249">
      <w:pPr>
        <w:pStyle w:val="3"/>
        <w:numPr>
          <w:ilvl w:val="0"/>
          <w:numId w:val="0"/>
        </w:numPr>
        <w:bidi w:val="0"/>
        <w:ind w:firstLine="640" w:firstLineChars="200"/>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sz w:val="32"/>
          <w:szCs w:val="32"/>
          <w:highlight w:val="none"/>
          <w:lang w:val="en-US" w:eastAsia="zh-CN"/>
        </w:rPr>
        <w:t>随着生态城医院患者数量的日益增加，影像诊断的工作量大幅增长，对于一些复杂病例和疑难病症，仅凭医生的经验和肉眼判断，诊断的准确性和及时性难以得到充分保障，目前临床科室对</w:t>
      </w:r>
      <w:bookmarkStart w:id="0" w:name="OLE_LINK2"/>
      <w:r>
        <w:rPr>
          <w:rFonts w:hint="eastAsia" w:ascii="仿宋_GB2312" w:hAnsi="黑体" w:eastAsia="仿宋_GB2312" w:cstheme="minorBidi"/>
          <w:b w:val="0"/>
          <w:bCs/>
          <w:sz w:val="32"/>
          <w:szCs w:val="32"/>
          <w:highlight w:val="none"/>
          <w:lang w:val="en-US" w:eastAsia="zh-CN"/>
        </w:rPr>
        <w:t>头颈CTA</w:t>
      </w:r>
      <w:bookmarkEnd w:id="0"/>
      <w:r>
        <w:rPr>
          <w:rFonts w:hint="eastAsia" w:ascii="仿宋_GB2312" w:hAnsi="黑体" w:eastAsia="仿宋_GB2312" w:cstheme="minorBidi"/>
          <w:b w:val="0"/>
          <w:bCs/>
          <w:sz w:val="32"/>
          <w:szCs w:val="32"/>
          <w:highlight w:val="none"/>
          <w:lang w:val="en-US" w:eastAsia="zh-CN"/>
        </w:rPr>
        <w:t>和肺动脉CTA等检查项目有较大的临床检查需求，为进一步提升生态城医院影像诊断的准确性和效率，提高患者满意度，需采购</w:t>
      </w:r>
      <w:r>
        <w:rPr>
          <w:rFonts w:hint="eastAsia" w:ascii="仿宋_GB2312" w:hAnsi="黑体" w:eastAsia="仿宋_GB2312" w:cstheme="minorBidi"/>
          <w:b w:val="0"/>
          <w:bCs/>
          <w:kern w:val="2"/>
          <w:sz w:val="32"/>
          <w:szCs w:val="32"/>
          <w:highlight w:val="none"/>
          <w:lang w:val="en-US" w:eastAsia="zh-CN" w:bidi="ar-SA"/>
        </w:rPr>
        <w:t>肺动脉辅助诊断与头颈CTA辅助诊断2个模块及配套硬件设备。</w:t>
      </w:r>
    </w:p>
    <w:p w14:paraId="1BD27095">
      <w:pPr>
        <w:pStyle w:val="3"/>
        <w:numPr>
          <w:ilvl w:val="0"/>
          <w:numId w:val="0"/>
        </w:numPr>
        <w:bidi w:val="0"/>
        <w:rPr>
          <w:rFonts w:hint="eastAsia"/>
          <w:highlight w:val="none"/>
        </w:rPr>
      </w:pPr>
      <w:r>
        <w:rPr>
          <w:rFonts w:hint="eastAsia" w:cstheme="minorBidi"/>
          <w:b/>
          <w:kern w:val="2"/>
          <w:sz w:val="32"/>
          <w:szCs w:val="22"/>
          <w:highlight w:val="none"/>
          <w:lang w:val="en-US" w:eastAsia="zh-CN" w:bidi="ar-SA"/>
        </w:rPr>
        <w:t>三</w:t>
      </w:r>
      <w:r>
        <w:rPr>
          <w:rFonts w:hint="eastAsia" w:ascii="Arial" w:hAnsi="Arial" w:eastAsia="黑体" w:cstheme="minorBidi"/>
          <w:b/>
          <w:kern w:val="2"/>
          <w:sz w:val="32"/>
          <w:szCs w:val="22"/>
          <w:highlight w:val="none"/>
          <w:lang w:val="en-US" w:eastAsia="zh-CN" w:bidi="ar-SA"/>
        </w:rPr>
        <w:t>、</w:t>
      </w:r>
      <w:r>
        <w:rPr>
          <w:rFonts w:hint="eastAsia"/>
          <w:highlight w:val="none"/>
        </w:rPr>
        <w:t>项目预算</w:t>
      </w:r>
    </w:p>
    <w:p w14:paraId="52F8060D">
      <w:pPr>
        <w:pStyle w:val="3"/>
        <w:numPr>
          <w:ilvl w:val="0"/>
          <w:numId w:val="0"/>
        </w:numPr>
        <w:bidi w:val="0"/>
        <w:ind w:firstLine="320" w:firstLineChars="100"/>
        <w:rPr>
          <w:rFonts w:hint="eastAsia" w:ascii="仿宋_GB2312" w:hAnsi="黑体" w:eastAsia="仿宋_GB2312"/>
          <w:b w:val="0"/>
          <w:bCs/>
          <w:sz w:val="32"/>
          <w:szCs w:val="32"/>
          <w:highlight w:val="none"/>
          <w:lang w:val="en-US" w:eastAsia="zh-CN"/>
        </w:rPr>
      </w:pPr>
      <w:r>
        <w:rPr>
          <w:rFonts w:hint="eastAsia" w:ascii="仿宋_GB2312" w:hAnsi="黑体" w:eastAsia="仿宋_GB2312"/>
          <w:b w:val="0"/>
          <w:bCs/>
          <w:sz w:val="32"/>
          <w:szCs w:val="32"/>
          <w:highlight w:val="none"/>
          <w:lang w:val="en-US" w:eastAsia="zh-CN"/>
        </w:rPr>
        <w:t>项目预算人民币79万</w:t>
      </w:r>
    </w:p>
    <w:p w14:paraId="00D5E60C">
      <w:pPr>
        <w:pStyle w:val="3"/>
        <w:bidi w:val="0"/>
        <w:rPr>
          <w:rFonts w:hint="eastAsia"/>
          <w:highlight w:val="none"/>
        </w:rPr>
      </w:pPr>
      <w:r>
        <w:rPr>
          <w:rFonts w:hint="eastAsia"/>
          <w:highlight w:val="none"/>
          <w:lang w:val="en-US" w:eastAsia="zh-CN"/>
        </w:rPr>
        <w:t>四</w:t>
      </w:r>
      <w:r>
        <w:rPr>
          <w:rFonts w:hint="eastAsia"/>
          <w:highlight w:val="none"/>
        </w:rPr>
        <w:t>、投标供应商资质要求</w:t>
      </w:r>
    </w:p>
    <w:p w14:paraId="51DE43B7">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（一）投标人须具备《中华人民共和国政府采购法》第二十二条第一款规定的条件。提供以下材料：</w:t>
      </w:r>
    </w:p>
    <w:p w14:paraId="51C26E9C">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1.营业执照副本或事业单位法人证书或民办非企业</w:t>
      </w:r>
      <w:r>
        <w:rPr>
          <w:rFonts w:hint="eastAsia" w:ascii="仿宋_GB2312" w:hAnsi="Times New Roman" w:eastAsia="仿宋_GB2312" w:cs="Times New Roman"/>
          <w:sz w:val="34"/>
          <w:szCs w:val="34"/>
          <w:highlight w:val="none"/>
          <w:lang w:val="en-US" w:eastAsia="zh-CN"/>
        </w:rPr>
        <w:t>单</w:t>
      </w:r>
      <w:r>
        <w:rPr>
          <w:rFonts w:hint="eastAsia" w:ascii="仿宋_GB2312" w:eastAsia="仿宋_GB2312"/>
          <w:sz w:val="32"/>
          <w:szCs w:val="32"/>
          <w:highlight w:val="none"/>
          <w:lang w:val="en-US" w:eastAsia="zh-CN"/>
        </w:rPr>
        <w:t>位登记证书或社会团体法人登记证书或基金会法人登记证书扫描件或自然人的身份证明扫描件，证件在有效期内。</w:t>
      </w:r>
    </w:p>
    <w:p w14:paraId="0E080699">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2.财务状况报告等相关材料：</w:t>
      </w:r>
    </w:p>
    <w:p w14:paraId="1578F83C">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投标人须提供第三方会计师事务所出具的近3年审计报告（即2022年度至2024年度）。审计报告应当包含报告正文、资产负债表、利润表、现金流量表及所有者权益变动表（无所有者权益表的提供书面说明）、附注和会计师事务所营业执照，报告正文应当有会计师事务所公章，2个注册会计师的签字和盖章。</w:t>
      </w:r>
    </w:p>
    <w:p w14:paraId="34A8A5A2">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3.投标人须提供近一年内（投标截止时间前）任意6个月纳税证明材料和近一年内（投标截止时间前）任意6个月缴纳社会保障金证明材料(依法免缴的，应提供依法免缴的相关证明文件；新成立的供应商按实际的缴纳情况递交相关证明)。</w:t>
      </w:r>
    </w:p>
    <w:p w14:paraId="67CE36CF">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 提交响应文件截止日前 3 年在经营活动中没有重大违法记录的书面声明(截至提交响应文件截止日成立不足 3年的供应商可提供自成立以来无重大违法记录的书面声明)。</w:t>
      </w:r>
    </w:p>
    <w:p w14:paraId="0B798806">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5.供应商若法定代表人(负责人)参加投标，须提供法定代表人(负责人)身份证明书(需由法定代表人(负责人)签字或盖章)，由法定代表人(负责人)携带本人身份证原件参加；若法人授权委托人参加投标，须提供法定代表人(负责人)授权委托书(需由法定代表人(负责人)签字或盖章)及法人授权委托人在投标前4个月内（不含投标当月）连续3个月由投标供应商缴纳社保证明材料，由被授权人携带本人身份证原件参加；</w:t>
      </w:r>
    </w:p>
    <w:p w14:paraId="5F270E4E">
      <w:pPr>
        <w:numPr>
          <w:ilvl w:val="0"/>
          <w:numId w:val="0"/>
        </w:num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6.本项目不接受联合体。</w:t>
      </w:r>
    </w:p>
    <w:p w14:paraId="01AA8C05">
      <w:pPr>
        <w:spacing w:line="360" w:lineRule="auto"/>
        <w:rPr>
          <w:rStyle w:val="6"/>
          <w:rFonts w:hint="eastAsia"/>
          <w:highlight w:val="none"/>
        </w:rPr>
      </w:pPr>
      <w:r>
        <w:rPr>
          <w:rStyle w:val="6"/>
          <w:rFonts w:hint="eastAsia" w:eastAsia="黑体"/>
          <w:highlight w:val="none"/>
          <w:lang w:val="en-US" w:eastAsia="zh-CN"/>
        </w:rPr>
        <w:t>五</w:t>
      </w:r>
      <w:r>
        <w:rPr>
          <w:rStyle w:val="6"/>
          <w:rFonts w:hint="eastAsia"/>
          <w:highlight w:val="none"/>
        </w:rPr>
        <w:t>、商务需求</w:t>
      </w:r>
    </w:p>
    <w:p w14:paraId="434D11EA">
      <w:pPr>
        <w:spacing w:line="360" w:lineRule="auto"/>
        <w:ind w:firstLine="480" w:firstLineChars="200"/>
        <w:rPr>
          <w:rFonts w:hint="eastAsia" w:ascii="仿宋_GB2312" w:eastAsia="仿宋_GB2312" w:hAnsiTheme="minorHAnsi" w:cstheme="minorBidi"/>
          <w:sz w:val="32"/>
          <w:szCs w:val="32"/>
          <w:highlight w:val="none"/>
          <w:lang w:val="en-US" w:eastAsia="zh-CN"/>
        </w:rPr>
      </w:pPr>
      <w:r>
        <w:rPr>
          <w:rFonts w:hint="eastAsia"/>
          <w:sz w:val="24"/>
          <w:szCs w:val="24"/>
        </w:rPr>
        <w:t>★</w:t>
      </w:r>
      <w:r>
        <w:rPr>
          <w:rFonts w:hint="eastAsia" w:ascii="仿宋_GB2312" w:eastAsia="仿宋_GB2312"/>
          <w:sz w:val="32"/>
          <w:szCs w:val="32"/>
          <w:highlight w:val="none"/>
          <w:lang w:val="en-US" w:eastAsia="zh-CN"/>
        </w:rPr>
        <w:t>1.</w:t>
      </w:r>
      <w:r>
        <w:rPr>
          <w:rFonts w:hint="eastAsia" w:ascii="仿宋_GB2312" w:eastAsia="仿宋_GB2312" w:hAnsiTheme="minorHAnsi" w:cstheme="minorBidi"/>
          <w:sz w:val="32"/>
          <w:szCs w:val="32"/>
          <w:highlight w:val="none"/>
          <w:lang w:val="en-US" w:eastAsia="zh-CN"/>
        </w:rPr>
        <w:t>服务时间：自合同签订之日起一年；</w:t>
      </w:r>
    </w:p>
    <w:p w14:paraId="648AE1D0">
      <w:pPr>
        <w:spacing w:line="360" w:lineRule="auto"/>
        <w:ind w:firstLine="480" w:firstLineChars="200"/>
        <w:rPr>
          <w:rFonts w:hint="eastAsia" w:ascii="仿宋_GB2312" w:eastAsia="仿宋_GB2312"/>
          <w:sz w:val="32"/>
          <w:szCs w:val="32"/>
          <w:highlight w:val="none"/>
          <w:lang w:val="en-US" w:eastAsia="zh-CN"/>
        </w:rPr>
      </w:pPr>
      <w:r>
        <w:rPr>
          <w:rFonts w:hint="eastAsia"/>
          <w:sz w:val="24"/>
          <w:szCs w:val="24"/>
        </w:rPr>
        <w:t>★</w:t>
      </w:r>
      <w:r>
        <w:rPr>
          <w:rFonts w:hint="eastAsia" w:ascii="仿宋_GB2312" w:eastAsia="仿宋_GB2312"/>
          <w:sz w:val="32"/>
          <w:szCs w:val="32"/>
          <w:highlight w:val="none"/>
          <w:lang w:val="en-US" w:eastAsia="zh-CN"/>
        </w:rPr>
        <w:t>2.签订合同之日起90日内完成系统上线，并满足采购人使用需求（特殊情况以合同为准）。</w:t>
      </w:r>
    </w:p>
    <w:p w14:paraId="42756827">
      <w:pPr>
        <w:spacing w:line="360" w:lineRule="auto"/>
        <w:ind w:firstLine="480" w:firstLineChars="200"/>
        <w:rPr>
          <w:rFonts w:hint="eastAsia" w:ascii="仿宋_GB2312" w:eastAsia="仿宋_GB2312"/>
          <w:sz w:val="32"/>
          <w:szCs w:val="32"/>
          <w:lang w:val="en-US" w:eastAsia="zh-CN"/>
        </w:rPr>
      </w:pPr>
      <w:r>
        <w:rPr>
          <w:rFonts w:hint="eastAsia"/>
          <w:sz w:val="24"/>
          <w:szCs w:val="24"/>
        </w:rPr>
        <w:t>★</w:t>
      </w:r>
      <w:r>
        <w:rPr>
          <w:rFonts w:hint="eastAsia" w:ascii="仿宋_GB2312" w:eastAsia="仿宋_GB2312"/>
          <w:sz w:val="32"/>
          <w:szCs w:val="32"/>
          <w:lang w:val="en-US" w:eastAsia="zh-CN"/>
        </w:rPr>
        <w:t>3.付款方式：签订合同后，</w:t>
      </w:r>
      <w:r>
        <w:rPr>
          <w:rFonts w:hint="eastAsia" w:ascii="仿宋" w:hAnsi="仿宋" w:eastAsia="仿宋" w:cs="仿宋"/>
          <w:sz w:val="32"/>
          <w:szCs w:val="32"/>
          <w:lang w:val="en-US" w:eastAsia="zh-CN"/>
        </w:rPr>
        <w:t>中标</w:t>
      </w:r>
      <w:r>
        <w:rPr>
          <w:rFonts w:hint="eastAsia" w:ascii="仿宋_GB2312" w:eastAsia="仿宋_GB2312"/>
          <w:sz w:val="32"/>
          <w:szCs w:val="32"/>
          <w:lang w:val="en-US" w:eastAsia="zh-CN"/>
        </w:rPr>
        <w:t>人向采购人提供合同额40%预付款保函及合法有效票据，采购人收票后于30日内支付合同总额的40%，验收合格后，凭票于30日内支付合同总额50%，</w:t>
      </w:r>
      <w:r>
        <w:rPr>
          <w:rFonts w:hint="eastAsia" w:ascii="仿宋" w:hAnsi="仿宋" w:eastAsia="仿宋" w:cs="仿宋"/>
          <w:sz w:val="32"/>
          <w:szCs w:val="32"/>
          <w:lang w:val="en-US" w:eastAsia="zh-CN"/>
        </w:rPr>
        <w:t>质保</w:t>
      </w:r>
      <w:r>
        <w:rPr>
          <w:rFonts w:hint="eastAsia" w:ascii="仿宋_GB2312" w:eastAsia="仿宋_GB2312"/>
          <w:sz w:val="32"/>
          <w:szCs w:val="32"/>
          <w:lang w:val="en-US" w:eastAsia="zh-CN"/>
        </w:rPr>
        <w:t>期满且系统正常运行，</w:t>
      </w:r>
      <w:r>
        <w:rPr>
          <w:rFonts w:hint="eastAsia" w:ascii="仿宋" w:hAnsi="仿宋" w:eastAsia="仿宋" w:cs="仿宋"/>
          <w:sz w:val="32"/>
          <w:szCs w:val="32"/>
          <w:lang w:val="en-US" w:eastAsia="zh-CN"/>
        </w:rPr>
        <w:t>中标</w:t>
      </w:r>
      <w:r>
        <w:rPr>
          <w:rFonts w:hint="eastAsia" w:ascii="仿宋_GB2312" w:eastAsia="仿宋_GB2312"/>
          <w:sz w:val="32"/>
          <w:szCs w:val="32"/>
          <w:lang w:val="en-US" w:eastAsia="zh-CN"/>
        </w:rPr>
        <w:t>人依约履行合同的，采购人凭票于 30 日内支付合同尾款10%。</w:t>
      </w:r>
    </w:p>
    <w:p w14:paraId="153E03DD">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lang w:val="en-US" w:eastAsia="zh-CN"/>
        </w:rPr>
        <w:t>注：上述付款方式均由投标人开具相应数额的发票后，采购人予以支付，</w:t>
      </w:r>
      <w:r>
        <w:rPr>
          <w:rFonts w:hint="eastAsia" w:ascii="仿宋_GB2312" w:eastAsia="仿宋_GB2312" w:hAnsiTheme="minorHAnsi" w:cstheme="minorBidi"/>
          <w:b w:val="0"/>
          <w:sz w:val="32"/>
          <w:szCs w:val="32"/>
          <w:lang w:val="en-US" w:eastAsia="zh-CN"/>
        </w:rPr>
        <w:t>若</w:t>
      </w:r>
      <w:r>
        <w:rPr>
          <w:rFonts w:hint="eastAsia" w:ascii="仿宋_GB2312" w:eastAsia="仿宋_GB2312" w:cstheme="minorBidi"/>
          <w:b w:val="0"/>
          <w:sz w:val="32"/>
          <w:szCs w:val="32"/>
          <w:lang w:val="en-US" w:eastAsia="zh-CN"/>
        </w:rPr>
        <w:t>投标人</w:t>
      </w:r>
      <w:r>
        <w:rPr>
          <w:rFonts w:hint="eastAsia" w:ascii="仿宋_GB2312" w:eastAsia="仿宋_GB2312" w:hAnsiTheme="minorHAnsi" w:cstheme="minorBidi"/>
          <w:b w:val="0"/>
          <w:sz w:val="32"/>
          <w:szCs w:val="32"/>
          <w:lang w:val="en-US" w:eastAsia="zh-CN"/>
        </w:rPr>
        <w:t>迟延开具发票或开具的发票不符合</w:t>
      </w:r>
      <w:r>
        <w:rPr>
          <w:rFonts w:hint="eastAsia" w:ascii="仿宋_GB2312" w:eastAsia="仿宋_GB2312" w:cstheme="minorBidi"/>
          <w:b w:val="0"/>
          <w:sz w:val="32"/>
          <w:szCs w:val="32"/>
          <w:lang w:val="en-US" w:eastAsia="zh-CN"/>
        </w:rPr>
        <w:t>采购人</w:t>
      </w:r>
      <w:r>
        <w:rPr>
          <w:rFonts w:hint="eastAsia" w:ascii="仿宋_GB2312" w:eastAsia="仿宋_GB2312" w:hAnsiTheme="minorHAnsi" w:cstheme="minorBidi"/>
          <w:b w:val="0"/>
          <w:sz w:val="32"/>
          <w:szCs w:val="32"/>
          <w:lang w:val="en-US" w:eastAsia="zh-CN"/>
        </w:rPr>
        <w:t>要求，</w:t>
      </w:r>
      <w:r>
        <w:rPr>
          <w:rFonts w:hint="eastAsia" w:ascii="仿宋_GB2312" w:eastAsia="仿宋_GB2312" w:cstheme="minorBidi"/>
          <w:b w:val="0"/>
          <w:sz w:val="32"/>
          <w:szCs w:val="32"/>
          <w:lang w:val="en-US" w:eastAsia="zh-CN"/>
        </w:rPr>
        <w:t>采购人</w:t>
      </w:r>
      <w:r>
        <w:rPr>
          <w:rFonts w:hint="eastAsia" w:ascii="仿宋_GB2312" w:eastAsia="仿宋_GB2312" w:hAnsiTheme="minorHAnsi" w:cstheme="minorBidi"/>
          <w:b w:val="0"/>
          <w:sz w:val="32"/>
          <w:szCs w:val="32"/>
          <w:lang w:val="en-US" w:eastAsia="zh-CN"/>
        </w:rPr>
        <w:t>有权延迟付款且不视为违约</w:t>
      </w:r>
      <w:r>
        <w:rPr>
          <w:rFonts w:hint="eastAsia" w:ascii="仿宋_GB2312" w:eastAsia="仿宋_GB2312"/>
          <w:sz w:val="32"/>
          <w:szCs w:val="32"/>
          <w:lang w:val="en-US" w:eastAsia="zh-CN"/>
        </w:rPr>
        <w:t>。</w:t>
      </w:r>
    </w:p>
    <w:p w14:paraId="68EE712E">
      <w:pPr>
        <w:spacing w:line="360" w:lineRule="auto"/>
        <w:ind w:firstLine="320" w:firstLineChars="1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▲4.本项目为代理商投标的投标人须提供由所投产品制造商开具的针对本项目的授权书。</w:t>
      </w:r>
    </w:p>
    <w:p w14:paraId="2AA70AA7">
      <w:pPr>
        <w:numPr>
          <w:ilvl w:val="-1"/>
          <w:numId w:val="0"/>
        </w:numPr>
        <w:spacing w:line="360" w:lineRule="auto"/>
        <w:ind w:firstLine="480" w:firstLineChars="200"/>
        <w:rPr>
          <w:rFonts w:hint="eastAsia" w:ascii="仿宋_GB2312" w:eastAsia="仿宋_GB2312"/>
          <w:sz w:val="32"/>
          <w:szCs w:val="32"/>
          <w:highlight w:val="none"/>
          <w:lang w:val="en-US" w:eastAsia="zh-CN"/>
        </w:rPr>
      </w:pPr>
      <w:r>
        <w:rPr>
          <w:rFonts w:hint="eastAsia"/>
          <w:sz w:val="24"/>
          <w:szCs w:val="24"/>
        </w:rPr>
        <w:t>★</w:t>
      </w:r>
      <w:r>
        <w:rPr>
          <w:rFonts w:hint="eastAsia" w:ascii="仿宋_GB2312" w:eastAsia="仿宋_GB2312"/>
          <w:sz w:val="32"/>
          <w:szCs w:val="32"/>
          <w:highlight w:val="none"/>
          <w:lang w:val="en-US" w:eastAsia="zh-CN"/>
        </w:rPr>
        <w:t>5.投标人的报价应包括：完成此项目所需的一切费用，包括但不限于硬件费用、软件开发费用、与第三方系统对接费用（含界面集成、数据集成等）、人工费用及其他应有的费用。投标人所报价格为货到现场安装调试完成的最终优惠价格。</w:t>
      </w:r>
    </w:p>
    <w:p w14:paraId="360AE05B">
      <w:pPr>
        <w:pStyle w:val="3"/>
        <w:numPr>
          <w:ilvl w:val="0"/>
          <w:numId w:val="1"/>
        </w:numPr>
        <w:bidi w:val="0"/>
        <w:rPr>
          <w:rFonts w:hint="eastAsia"/>
        </w:rPr>
      </w:pPr>
      <w:r>
        <w:rPr>
          <w:rFonts w:hint="eastAsia"/>
          <w:lang w:val="en-US" w:eastAsia="zh-CN"/>
        </w:rPr>
        <w:t>技术</w:t>
      </w:r>
      <w:r>
        <w:rPr>
          <w:rFonts w:hint="eastAsia"/>
        </w:rPr>
        <w:t>需求</w:t>
      </w:r>
    </w:p>
    <w:p w14:paraId="484BE9D4">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261685A0">
      <w:pPr>
        <w:numPr>
          <w:ilvl w:val="-1"/>
          <w:numId w:val="0"/>
        </w:numPr>
        <w:bidi w:val="0"/>
        <w:rPr>
          <w:rFonts w:hint="eastAsia"/>
        </w:rPr>
      </w:pPr>
    </w:p>
    <w:tbl>
      <w:tblPr>
        <w:tblStyle w:val="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225"/>
        <w:gridCol w:w="6421"/>
      </w:tblGrid>
      <w:tr w14:paraId="33D61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512" w:type="pct"/>
            <w:shd w:val="clear" w:color="auto" w:fill="A6A6A6"/>
          </w:tcPr>
          <w:p w14:paraId="1A5D5909">
            <w:pPr>
              <w:spacing w:line="520" w:lineRule="exact"/>
              <w:jc w:val="center"/>
              <w:rPr>
                <w:rFonts w:hint="eastAsia" w:ascii="宋体" w:hAnsi="宋体" w:cs="宋体"/>
                <w:bCs/>
                <w:color w:val="000000" w:themeColor="text1"/>
                <w:sz w:val="24"/>
                <w:szCs w:val="24"/>
                <w:highlight w:val="none"/>
                <w:u w:val="none"/>
                <w14:textFill>
                  <w14:solidFill>
                    <w14:schemeClr w14:val="tx1"/>
                  </w14:solidFill>
                </w14:textFill>
              </w:rPr>
            </w:pPr>
            <w:r>
              <w:rPr>
                <w:rFonts w:hint="eastAsia" w:ascii="宋体" w:hAnsi="宋体" w:cs="宋体"/>
                <w:bCs/>
                <w:color w:val="000000" w:themeColor="text1"/>
                <w:sz w:val="24"/>
                <w:szCs w:val="24"/>
                <w:highlight w:val="none"/>
                <w:u w:val="none"/>
                <w14:textFill>
                  <w14:solidFill>
                    <w14:schemeClr w14:val="tx1"/>
                  </w14:solidFill>
                </w14:textFill>
              </w:rPr>
              <w:t>序号</w:t>
            </w:r>
          </w:p>
        </w:tc>
        <w:tc>
          <w:tcPr>
            <w:tcW w:w="719" w:type="pct"/>
            <w:shd w:val="clear" w:color="auto" w:fill="A6A6A6"/>
          </w:tcPr>
          <w:p w14:paraId="18F1BFD2">
            <w:pPr>
              <w:spacing w:line="520" w:lineRule="exact"/>
              <w:jc w:val="center"/>
              <w:rPr>
                <w:rFonts w:hint="eastAsia" w:ascii="宋体" w:hAnsi="宋体" w:cs="宋体"/>
                <w:bCs/>
                <w:color w:val="000000" w:themeColor="text1"/>
                <w:sz w:val="24"/>
                <w:szCs w:val="24"/>
                <w:highlight w:val="none"/>
                <w:u w:val="none"/>
                <w14:textFill>
                  <w14:solidFill>
                    <w14:schemeClr w14:val="tx1"/>
                  </w14:solidFill>
                </w14:textFill>
              </w:rPr>
            </w:pPr>
            <w:r>
              <w:rPr>
                <w:rFonts w:hint="eastAsia" w:ascii="宋体" w:hAnsi="宋体" w:cs="宋体"/>
                <w:bCs/>
                <w:color w:val="000000" w:themeColor="text1"/>
                <w:sz w:val="24"/>
                <w:szCs w:val="24"/>
                <w:highlight w:val="none"/>
                <w:u w:val="none"/>
                <w14:textFill>
                  <w14:solidFill>
                    <w14:schemeClr w14:val="tx1"/>
                  </w14:solidFill>
                </w14:textFill>
              </w:rPr>
              <w:t>内容</w:t>
            </w:r>
          </w:p>
        </w:tc>
        <w:tc>
          <w:tcPr>
            <w:tcW w:w="3767" w:type="pct"/>
            <w:shd w:val="clear" w:color="auto" w:fill="A6A6A6"/>
          </w:tcPr>
          <w:p w14:paraId="3EA8C71C">
            <w:pPr>
              <w:spacing w:line="520" w:lineRule="exact"/>
              <w:jc w:val="center"/>
              <w:rPr>
                <w:rFonts w:hint="eastAsia" w:ascii="宋体" w:hAnsi="宋体" w:cs="宋体"/>
                <w:bCs/>
                <w:color w:val="000000" w:themeColor="text1"/>
                <w:sz w:val="24"/>
                <w:szCs w:val="24"/>
                <w:highlight w:val="none"/>
                <w:u w:val="none"/>
                <w14:textFill>
                  <w14:solidFill>
                    <w14:schemeClr w14:val="tx1"/>
                  </w14:solidFill>
                </w14:textFill>
              </w:rPr>
            </w:pPr>
            <w:r>
              <w:rPr>
                <w:rFonts w:hint="eastAsia" w:ascii="宋体" w:hAnsi="宋体" w:cs="宋体"/>
                <w:bCs/>
                <w:color w:val="000000" w:themeColor="text1"/>
                <w:sz w:val="24"/>
                <w:szCs w:val="24"/>
                <w:highlight w:val="none"/>
                <w:u w:val="none"/>
                <w14:textFill>
                  <w14:solidFill>
                    <w14:schemeClr w14:val="tx1"/>
                  </w14:solidFill>
                </w14:textFill>
              </w:rPr>
              <w:t>说明</w:t>
            </w:r>
          </w:p>
        </w:tc>
      </w:tr>
      <w:tr w14:paraId="6714A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512" w:type="pct"/>
            <w:vAlign w:val="center"/>
          </w:tcPr>
          <w:p w14:paraId="736E6A7D">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1</w:t>
            </w:r>
          </w:p>
        </w:tc>
        <w:tc>
          <w:tcPr>
            <w:tcW w:w="719" w:type="pct"/>
            <w:vAlign w:val="center"/>
          </w:tcPr>
          <w:p w14:paraId="6D0CE659">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业务需求</w:t>
            </w:r>
          </w:p>
        </w:tc>
        <w:tc>
          <w:tcPr>
            <w:tcW w:w="3767" w:type="pct"/>
            <w:vAlign w:val="center"/>
          </w:tcPr>
          <w:p w14:paraId="4D5F825A">
            <w:pPr>
              <w:snapToGrid w:val="0"/>
              <w:spacing w:line="240" w:lineRule="auto"/>
              <w:rPr>
                <w:rFonts w:hint="eastAsia" w:ascii="仿宋" w:hAnsi="仿宋" w:eastAsia="仿宋" w:cs="仿宋"/>
                <w:bCs w:val="0"/>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Cs w:val="0"/>
                <w:color w:val="000000" w:themeColor="text1"/>
                <w:kern w:val="0"/>
                <w:sz w:val="24"/>
                <w:szCs w:val="24"/>
                <w:highlight w:val="none"/>
                <w:u w:val="none"/>
                <w:lang w:eastAsia="zh-Hans"/>
                <w14:textFill>
                  <w14:solidFill>
                    <w14:schemeClr w14:val="tx1"/>
                  </w14:solidFill>
                </w14:textFill>
              </w:rPr>
              <w:t xml:space="preserve">投标人需要提供整体方案，承担新系统的调试上线部署工作。投标人必须对本项目采购的系统提供全流程服务，提供系统建设和实施方案。投标时需提供的系统建设和实施方案应包括系统整体解决方案。 </w:t>
            </w:r>
          </w:p>
        </w:tc>
      </w:tr>
      <w:tr w14:paraId="1FE9F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512" w:type="pct"/>
            <w:vAlign w:val="center"/>
          </w:tcPr>
          <w:p w14:paraId="33CF030A">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2</w:t>
            </w:r>
          </w:p>
        </w:tc>
        <w:tc>
          <w:tcPr>
            <w:tcW w:w="719" w:type="pct"/>
            <w:vAlign w:val="center"/>
          </w:tcPr>
          <w:p w14:paraId="727718B1">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技术需求</w:t>
            </w:r>
          </w:p>
        </w:tc>
        <w:tc>
          <w:tcPr>
            <w:tcW w:w="3767" w:type="pct"/>
            <w:vAlign w:val="center"/>
          </w:tcPr>
          <w:p w14:paraId="3851DAA2">
            <w:pPr>
              <w:snapToGrid w:val="0"/>
              <w:spacing w:line="240" w:lineRule="auto"/>
              <w:rPr>
                <w:rFonts w:hint="eastAsia" w:ascii="仿宋" w:hAnsi="仿宋" w:eastAsia="仿宋" w:cs="仿宋"/>
                <w:bCs w:val="0"/>
                <w:color w:val="000000" w:themeColor="text1"/>
                <w:kern w:val="0"/>
                <w:sz w:val="24"/>
                <w:szCs w:val="24"/>
                <w:highlight w:val="none"/>
                <w:u w:val="none"/>
                <w:lang w:eastAsia="zh-Hans" w:bidi="en-US"/>
                <w14:textFill>
                  <w14:solidFill>
                    <w14:schemeClr w14:val="tx1"/>
                  </w14:solidFill>
                </w14:textFill>
              </w:rPr>
            </w:pPr>
            <w:r>
              <w:rPr>
                <w:rFonts w:hint="eastAsia" w:ascii="仿宋" w:hAnsi="仿宋" w:eastAsia="仿宋" w:cs="仿宋"/>
                <w:bCs w:val="0"/>
                <w:color w:val="000000" w:themeColor="text1"/>
                <w:kern w:val="0"/>
                <w:sz w:val="24"/>
                <w:szCs w:val="24"/>
                <w:highlight w:val="none"/>
                <w:u w:val="none"/>
                <w:lang w:eastAsia="zh-Hans"/>
                <w14:textFill>
                  <w14:solidFill>
                    <w14:schemeClr w14:val="tx1"/>
                  </w14:solidFill>
                </w14:textFill>
              </w:rPr>
              <w:t>投标人必须提供有行业经验的技术服务资源满足本次项目对产品技术支持服务的要求，完成在本项目的安装调试。投标方应在充分理解招标方需求的基础上，制定并细化系统设计方案，并根据方案提供项目实施所需的软件（包括招标文件中未列出而系统实施又必须的软件）以构成完整的、可靠运行的系统。投标人</w:t>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t>需提供至少3家三级医院成功案例，案例包含产品功能、</w:t>
            </w:r>
            <w:r>
              <w:rPr>
                <w:rFonts w:hint="eastAsia" w:ascii="仿宋" w:hAnsi="仿宋" w:eastAsia="仿宋" w:cs="仿宋"/>
                <w:color w:val="000000" w:themeColor="text1"/>
                <w:kern w:val="0"/>
                <w:sz w:val="24"/>
                <w:szCs w:val="24"/>
                <w:highlight w:val="none"/>
                <w:lang w:val="en-US" w:eastAsia="zh-Hans" w:bidi="ar"/>
                <w14:textFill>
                  <w14:solidFill>
                    <w14:schemeClr w14:val="tx1"/>
                  </w14:solidFill>
                </w14:textFill>
              </w:rPr>
              <w:t>销售合同和三级医院的验收报告。</w:t>
            </w:r>
            <w:r>
              <w:rPr>
                <w:rFonts w:hint="eastAsia" w:ascii="仿宋" w:hAnsi="仿宋" w:eastAsia="仿宋" w:cs="仿宋"/>
                <w:bCs w:val="0"/>
                <w:color w:val="000000" w:themeColor="text1"/>
                <w:kern w:val="0"/>
                <w:sz w:val="24"/>
                <w:szCs w:val="24"/>
                <w:highlight w:val="none"/>
                <w:u w:val="none"/>
                <w:lang w:eastAsia="zh-Hans"/>
                <w14:textFill>
                  <w14:solidFill>
                    <w14:schemeClr w14:val="tx1"/>
                  </w14:solidFill>
                </w14:textFill>
              </w:rPr>
              <w:t>如果投标人在中标签署合同后，在供货或系统安装调试时出现软件系统的任何遗漏，均必须由中标人免费提供，招标人不再支付任何费用。</w:t>
            </w:r>
          </w:p>
        </w:tc>
      </w:tr>
      <w:tr w14:paraId="106B2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512" w:type="pct"/>
            <w:vAlign w:val="center"/>
          </w:tcPr>
          <w:p w14:paraId="110F2594">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3</w:t>
            </w:r>
          </w:p>
        </w:tc>
        <w:tc>
          <w:tcPr>
            <w:tcW w:w="719" w:type="pct"/>
            <w:vAlign w:val="center"/>
          </w:tcPr>
          <w:p w14:paraId="09AAFBC6">
            <w:pPr>
              <w:snapToGrid w:val="0"/>
              <w:spacing w:line="240" w:lineRule="auto"/>
              <w:jc w:val="left"/>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4"/>
                <w:szCs w:val="24"/>
                <w:highlight w:val="none"/>
                <w:u w:val="none"/>
                <w:lang w:eastAsia="zh-Hans"/>
                <w14:textFill>
                  <w14:solidFill>
                    <w14:schemeClr w14:val="tx1"/>
                  </w14:solidFill>
                </w14:textFill>
              </w:rPr>
              <w:t>系统需求</w:t>
            </w:r>
          </w:p>
        </w:tc>
        <w:tc>
          <w:tcPr>
            <w:tcW w:w="3767" w:type="pct"/>
            <w:vAlign w:val="center"/>
          </w:tcPr>
          <w:p w14:paraId="25728919">
            <w:pPr>
              <w:snapToGrid w:val="0"/>
              <w:spacing w:line="240" w:lineRule="auto"/>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pP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t>1、系统具有一定的兼容性，能够满足市场上主流软、硬件系统间的相互协调工作；</w:t>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br w:type="textWrapping"/>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t>2、支持国外、国内主流厂商的硬件及操作系统平台；</w:t>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br w:type="textWrapping"/>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t>3.支持Unix、Linux 、Windows、银河麒麟等国外国内操作系统；</w:t>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br w:type="textWrapping"/>
            </w:r>
            <w:r>
              <w:rPr>
                <w:rFonts w:hint="eastAsia" w:ascii="仿宋" w:hAnsi="仿宋" w:eastAsia="仿宋" w:cs="仿宋"/>
                <w:bCs w:val="0"/>
                <w:color w:val="000000" w:themeColor="text1"/>
                <w:kern w:val="0"/>
                <w:sz w:val="24"/>
                <w:szCs w:val="24"/>
                <w:highlight w:val="none"/>
                <w:u w:val="none"/>
                <w:lang w:val="en-US" w:eastAsia="zh-Hans"/>
                <w14:textFill>
                  <w14:solidFill>
                    <w14:schemeClr w14:val="tx1"/>
                  </w14:solidFill>
                </w14:textFill>
              </w:rPr>
              <w:t>4、支持主流的网络协议（TCP/IP、IPX/SPX、NETBIOS及混合协议等）；</w:t>
            </w:r>
          </w:p>
          <w:p w14:paraId="0C11A61C">
            <w:pPr>
              <w:snapToGrid w:val="0"/>
              <w:ind w:left="0" w:leftChars="0" w:firstLine="0" w:firstLineChars="0"/>
              <w:rPr>
                <w:rFonts w:hint="eastAsia" w:ascii="仿宋" w:hAnsi="仿宋" w:eastAsia="仿宋" w:cs="仿宋"/>
                <w:color w:val="000000" w:themeColor="text1"/>
                <w:kern w:val="0"/>
                <w:sz w:val="24"/>
                <w:szCs w:val="24"/>
                <w:highlight w:val="none"/>
                <w:lang w:val="en-US" w:eastAsia="zh-Hans"/>
                <w14:textFill>
                  <w14:solidFill>
                    <w14:schemeClr w14:val="tx1"/>
                  </w14:solidFill>
                </w14:textFill>
              </w:rPr>
            </w:pPr>
          </w:p>
        </w:tc>
      </w:tr>
    </w:tbl>
    <w:p w14:paraId="67422A8F">
      <w:r>
        <w:br w:type="textWrapping"/>
      </w:r>
    </w:p>
    <w:p w14:paraId="2B4FC39C">
      <w:r>
        <w:br w:type="page"/>
      </w:r>
    </w:p>
    <w:tbl>
      <w:tblPr>
        <w:tblStyle w:val="4"/>
        <w:tblW w:w="50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32" w:type="dxa"/>
          <w:left w:w="64" w:type="dxa"/>
          <w:bottom w:w="32" w:type="dxa"/>
          <w:right w:w="64" w:type="dxa"/>
        </w:tblCellMar>
      </w:tblPr>
      <w:tblGrid>
        <w:gridCol w:w="407"/>
        <w:gridCol w:w="1001"/>
        <w:gridCol w:w="6292"/>
        <w:gridCol w:w="839"/>
      </w:tblGrid>
      <w:tr w14:paraId="3BE11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0" w:hRule="atLeast"/>
          <w:jc w:val="center"/>
        </w:trPr>
        <w:tc>
          <w:tcPr>
            <w:tcW w:w="5000" w:type="pct"/>
            <w:gridSpan w:val="4"/>
            <w:shd w:val="clear" w:color="auto" w:fill="auto"/>
            <w:vAlign w:val="center"/>
          </w:tcPr>
          <w:p w14:paraId="28DFFFBF">
            <w:pPr>
              <w:pStyle w:val="7"/>
              <w:widowControl/>
              <w:snapToGrid w:val="0"/>
              <w:ind w:firstLine="0" w:firstLineChars="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一、头颈CTA智能辅助诊断系统</w:t>
            </w:r>
          </w:p>
        </w:tc>
      </w:tr>
      <w:tr w14:paraId="2BECD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545" w:hRule="atLeast"/>
          <w:jc w:val="center"/>
        </w:trPr>
        <w:tc>
          <w:tcPr>
            <w:tcW w:w="239" w:type="pct"/>
            <w:shd w:val="clear" w:color="auto" w:fill="auto"/>
            <w:vAlign w:val="center"/>
          </w:tcPr>
          <w:p w14:paraId="05C92417">
            <w:pPr>
              <w:pStyle w:val="7"/>
              <w:widowControl/>
              <w:snapToGrid w:val="0"/>
              <w:ind w:firstLine="0" w:firstLineChars="0"/>
              <w:jc w:val="cente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序号</w:t>
            </w:r>
          </w:p>
        </w:tc>
        <w:tc>
          <w:tcPr>
            <w:tcW w:w="586" w:type="pct"/>
            <w:shd w:val="clear" w:color="auto" w:fill="auto"/>
            <w:vAlign w:val="center"/>
          </w:tcPr>
          <w:p w14:paraId="41E77A13">
            <w:pPr>
              <w:pStyle w:val="7"/>
              <w:widowControl/>
              <w:snapToGrid w:val="0"/>
              <w:ind w:firstLine="0" w:firstLineChars="0"/>
              <w:jc w:val="cente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项目内容</w:t>
            </w:r>
          </w:p>
        </w:tc>
        <w:tc>
          <w:tcPr>
            <w:tcW w:w="3684" w:type="pct"/>
            <w:shd w:val="clear" w:color="auto" w:fill="auto"/>
            <w:vAlign w:val="center"/>
          </w:tcPr>
          <w:p w14:paraId="6E2EC0D1">
            <w:pPr>
              <w:pStyle w:val="7"/>
              <w:widowControl/>
              <w:snapToGrid w:val="0"/>
              <w:ind w:firstLine="0" w:firstLineChars="0"/>
              <w:jc w:val="cente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参数</w:t>
            </w:r>
          </w:p>
        </w:tc>
        <w:tc>
          <w:tcPr>
            <w:tcW w:w="490" w:type="pct"/>
            <w:shd w:val="clear" w:color="auto" w:fill="auto"/>
            <w:vAlign w:val="center"/>
          </w:tcPr>
          <w:p w14:paraId="6A7B9558">
            <w:pPr>
              <w:pStyle w:val="7"/>
              <w:widowControl/>
              <w:snapToGrid w:val="0"/>
              <w:ind w:firstLine="0" w:firstLineChars="0"/>
              <w:jc w:val="cente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数量</w:t>
            </w:r>
          </w:p>
        </w:tc>
      </w:tr>
      <w:tr w14:paraId="6F67A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26169A68">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p>
        </w:tc>
        <w:tc>
          <w:tcPr>
            <w:tcW w:w="586" w:type="pct"/>
            <w:vMerge w:val="restart"/>
            <w:shd w:val="clear" w:color="auto" w:fill="auto"/>
            <w:vAlign w:val="center"/>
          </w:tcPr>
          <w:p w14:paraId="50995B9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产品性能要求</w:t>
            </w:r>
          </w:p>
        </w:tc>
        <w:tc>
          <w:tcPr>
            <w:tcW w:w="3684" w:type="pct"/>
            <w:shd w:val="clear" w:color="auto" w:fill="auto"/>
            <w:vAlign w:val="center"/>
          </w:tcPr>
          <w:p w14:paraId="7DE2AF5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具备第三类管理类别中华人民共和国医疗器械注册证，需包含“头颈CT血管造影图像辅助评估”字样，需提供证书复印件并加盖公章。</w:t>
            </w:r>
          </w:p>
        </w:tc>
        <w:tc>
          <w:tcPr>
            <w:tcW w:w="490" w:type="pct"/>
            <w:vMerge w:val="restart"/>
            <w:shd w:val="clear" w:color="auto" w:fill="auto"/>
            <w:vAlign w:val="center"/>
          </w:tcPr>
          <w:p w14:paraId="2FB90AC0">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5035489D">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7CC0A8AB">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1DA3C0F3">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2DFBED6D">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4B160E52">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77605FB9">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3BA67651">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276434DA">
            <w:pPr>
              <w:snapToGrid w:val="0"/>
              <w:ind w:firstLine="318"/>
              <w:jc w:val="cente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p w14:paraId="4E7A72BD">
            <w:pPr>
              <w:snapToGrid w:val="0"/>
              <w:ind w:left="0" w:leftChars="0" w:firstLine="0" w:firstLineChars="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1套</w:t>
            </w:r>
          </w:p>
        </w:tc>
      </w:tr>
      <w:tr w14:paraId="07FB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E7230AF">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p>
        </w:tc>
        <w:tc>
          <w:tcPr>
            <w:tcW w:w="586" w:type="pct"/>
            <w:vMerge w:val="continue"/>
            <w:shd w:val="clear" w:color="auto" w:fill="auto"/>
            <w:vAlign w:val="center"/>
          </w:tcPr>
          <w:p w14:paraId="215FF43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B32373A">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△2</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具备头颈CTA图像质量评估：提示序列图像质量评分并给出1～5分值，自动推荐图像质量最优序列。</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2F99F9C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AC6A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7E7ABCFD">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t>2</w:t>
            </w:r>
          </w:p>
        </w:tc>
        <w:tc>
          <w:tcPr>
            <w:tcW w:w="586" w:type="pct"/>
            <w:vMerge w:val="restart"/>
            <w:shd w:val="clear" w:color="auto" w:fill="auto"/>
            <w:vAlign w:val="center"/>
          </w:tcPr>
          <w:p w14:paraId="526C34E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影像浏览及阅片</w:t>
            </w:r>
          </w:p>
        </w:tc>
        <w:tc>
          <w:tcPr>
            <w:tcW w:w="3684" w:type="pct"/>
            <w:shd w:val="clear" w:color="auto" w:fill="auto"/>
            <w:vAlign w:val="center"/>
          </w:tcPr>
          <w:p w14:paraId="2117CCFF">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具备左键长按拖拽可便捷播放影像序列方便快速查看影像概况。</w:t>
            </w:r>
          </w:p>
        </w:tc>
        <w:tc>
          <w:tcPr>
            <w:tcW w:w="490" w:type="pct"/>
            <w:vMerge w:val="continue"/>
            <w:shd w:val="clear" w:color="auto" w:fill="auto"/>
            <w:vAlign w:val="center"/>
          </w:tcPr>
          <w:p w14:paraId="2885884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0BA5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41D9676">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F8CF61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46C32D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具备血管分析多序列联动，可便捷查看CPR、Lumen血管横断面原图、Xsection图层。</w:t>
            </w:r>
          </w:p>
        </w:tc>
        <w:tc>
          <w:tcPr>
            <w:tcW w:w="490" w:type="pct"/>
            <w:vMerge w:val="continue"/>
            <w:shd w:val="clear" w:color="auto" w:fill="auto"/>
            <w:vAlign w:val="center"/>
          </w:tcPr>
          <w:p w14:paraId="2772280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D16B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DE32EA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994A51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C008E7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具备MIP多序列联动显示，可便捷切换去骨MIP、带骨MIP同一图层。</w:t>
            </w:r>
          </w:p>
        </w:tc>
        <w:tc>
          <w:tcPr>
            <w:tcW w:w="490" w:type="pct"/>
            <w:vMerge w:val="continue"/>
            <w:shd w:val="clear" w:color="auto" w:fill="auto"/>
            <w:vAlign w:val="center"/>
          </w:tcPr>
          <w:p w14:paraId="5FDEB20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5B7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250C44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BBBA1B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B232755">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具备原图快速切换图层，可从VR影像任意位置实时定位至原图具体图层。</w:t>
            </w:r>
          </w:p>
        </w:tc>
        <w:tc>
          <w:tcPr>
            <w:tcW w:w="490" w:type="pct"/>
            <w:vMerge w:val="continue"/>
            <w:shd w:val="clear" w:color="auto" w:fill="auto"/>
            <w:vAlign w:val="center"/>
          </w:tcPr>
          <w:p w14:paraId="7CA6DF2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6D99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EF8168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BC85EC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8ACEE9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具备显示/隐藏meta信息，可显示/隐藏图窗Dicom影像meta信息，支持快捷键。</w:t>
            </w:r>
          </w:p>
        </w:tc>
        <w:tc>
          <w:tcPr>
            <w:tcW w:w="490" w:type="pct"/>
            <w:vMerge w:val="continue"/>
            <w:shd w:val="clear" w:color="auto" w:fill="auto"/>
            <w:vAlign w:val="center"/>
          </w:tcPr>
          <w:p w14:paraId="15B26EE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D0F7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A3C8A5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29F91A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4DACA75">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具备显示/隐藏血管分割，可在原图显示/隐藏血管分割详情。</w:t>
            </w:r>
          </w:p>
        </w:tc>
        <w:tc>
          <w:tcPr>
            <w:tcW w:w="490" w:type="pct"/>
            <w:vMerge w:val="continue"/>
            <w:shd w:val="clear" w:color="auto" w:fill="auto"/>
            <w:vAlign w:val="center"/>
          </w:tcPr>
          <w:p w14:paraId="04DA588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9722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3A133B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F39350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9BCB33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具备显示/隐藏中心线，可在CPR、头颈VR影像序列显示/隐藏血管中心线。</w:t>
            </w:r>
          </w:p>
        </w:tc>
        <w:tc>
          <w:tcPr>
            <w:tcW w:w="490" w:type="pct"/>
            <w:vMerge w:val="continue"/>
            <w:shd w:val="clear" w:color="auto" w:fill="auto"/>
            <w:vAlign w:val="center"/>
          </w:tcPr>
          <w:p w14:paraId="24C96DB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639B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064B24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39E876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B44B57F">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具备显示/隐藏血管分段信息，可在CRP、头颈VR影像序列显示/隐藏血管分段标识。</w:t>
            </w:r>
          </w:p>
        </w:tc>
        <w:tc>
          <w:tcPr>
            <w:tcW w:w="490" w:type="pct"/>
            <w:vMerge w:val="continue"/>
            <w:shd w:val="clear" w:color="auto" w:fill="auto"/>
            <w:vAlign w:val="center"/>
          </w:tcPr>
          <w:p w14:paraId="54CDD29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8059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9DF04B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CA7D96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A3C7B84">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具备显示/隐藏前后循环，可在头颈VR影像序列显示/隐藏颈动脉循环系统、椎基底动脉系统标识。</w:t>
            </w:r>
          </w:p>
        </w:tc>
        <w:tc>
          <w:tcPr>
            <w:tcW w:w="490" w:type="pct"/>
            <w:vMerge w:val="continue"/>
            <w:shd w:val="clear" w:color="auto" w:fill="auto"/>
            <w:vAlign w:val="center"/>
          </w:tcPr>
          <w:p w14:paraId="1ECE78F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91C9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B4C71C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B1D424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FD0DC8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具备显示/隐藏血管命名，可在头颈VR影像序列显示/隐藏颈内动脉、椎动脉血管命名。</w:t>
            </w:r>
          </w:p>
        </w:tc>
        <w:tc>
          <w:tcPr>
            <w:tcW w:w="490" w:type="pct"/>
            <w:vMerge w:val="continue"/>
            <w:shd w:val="clear" w:color="auto" w:fill="auto"/>
            <w:vAlign w:val="center"/>
          </w:tcPr>
          <w:p w14:paraId="7DD022F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16F9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496F9F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F2B680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51C801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具备3D多平面重组，支持图像进行轴位、冠状位、失状位、任意角度斜位图像重组。</w:t>
            </w:r>
          </w:p>
        </w:tc>
        <w:tc>
          <w:tcPr>
            <w:tcW w:w="490" w:type="pct"/>
            <w:vMerge w:val="continue"/>
            <w:shd w:val="clear" w:color="auto" w:fill="auto"/>
            <w:vAlign w:val="center"/>
          </w:tcPr>
          <w:p w14:paraId="6BD2755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0A52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7C7ABE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135F03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8FF3AB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具备影像窗宽窗位调整，支持自定义调整影像窗宽窗位，支持快捷键调整预设窗宽窗位，支持快捷键恢复默认窗宽窗位默认快捷键。</w:t>
            </w:r>
          </w:p>
        </w:tc>
        <w:tc>
          <w:tcPr>
            <w:tcW w:w="490" w:type="pct"/>
            <w:vMerge w:val="continue"/>
            <w:shd w:val="clear" w:color="auto" w:fill="auto"/>
            <w:vAlign w:val="center"/>
          </w:tcPr>
          <w:p w14:paraId="51EC99F1">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2A6B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E98F2B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restart"/>
            <w:shd w:val="clear" w:color="auto" w:fill="auto"/>
            <w:vAlign w:val="center"/>
          </w:tcPr>
          <w:p w14:paraId="2A21DEA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3BFF979">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具备多图窗联动调整窗宽窗位的能力，支持用户选择操作模式：在联动或者非联动的模式下进行操作。</w:t>
            </w:r>
          </w:p>
        </w:tc>
        <w:tc>
          <w:tcPr>
            <w:tcW w:w="490" w:type="pct"/>
            <w:vMerge w:val="continue"/>
            <w:shd w:val="clear" w:color="auto" w:fill="auto"/>
            <w:vAlign w:val="center"/>
          </w:tcPr>
          <w:p w14:paraId="2E6D9F6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2BA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6EEC27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22B2EF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10AE99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具备全屏模式的序列导航，支持6种及以上的序列导航模式。</w:t>
            </w:r>
          </w:p>
        </w:tc>
        <w:tc>
          <w:tcPr>
            <w:tcW w:w="490" w:type="pct"/>
            <w:vMerge w:val="continue"/>
            <w:shd w:val="clear" w:color="auto" w:fill="auto"/>
            <w:vAlign w:val="center"/>
          </w:tcPr>
          <w:p w14:paraId="0FA58B2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B366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8617E4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AA6BB0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76D3FB5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具备图窗全屏，Dicom View整体布局灵活缩放调整，可进入图窗全屏模式、退出图窗全屏模式。</w:t>
            </w:r>
          </w:p>
        </w:tc>
        <w:tc>
          <w:tcPr>
            <w:tcW w:w="490" w:type="pct"/>
            <w:vMerge w:val="continue"/>
            <w:shd w:val="clear" w:color="auto" w:fill="auto"/>
            <w:vAlign w:val="center"/>
          </w:tcPr>
          <w:p w14:paraId="04DC49E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755B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65DD43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B5278F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9D631E0">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具备狭窄诊断快捷布局，支持浏览CPR&amp;Lumen&amp;Xsection&amp;管腔曲线布局。</w:t>
            </w:r>
          </w:p>
        </w:tc>
        <w:tc>
          <w:tcPr>
            <w:tcW w:w="490" w:type="pct"/>
            <w:vMerge w:val="continue"/>
            <w:shd w:val="clear" w:color="auto" w:fill="auto"/>
            <w:vAlign w:val="center"/>
          </w:tcPr>
          <w:p w14:paraId="6AE05EA2">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D5B6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915316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D228DE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12854AB0">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具备图窗标尺，各图窗提供自适应标尺。</w:t>
            </w:r>
          </w:p>
        </w:tc>
        <w:tc>
          <w:tcPr>
            <w:tcW w:w="490" w:type="pct"/>
            <w:vMerge w:val="continue"/>
            <w:shd w:val="clear" w:color="auto" w:fill="auto"/>
            <w:vAlign w:val="center"/>
          </w:tcPr>
          <w:p w14:paraId="679384D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378C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75D1F5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34D1A5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3B5A6C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具备使用说明，方便快速查阅产品操作快捷键说明。</w:t>
            </w:r>
          </w:p>
        </w:tc>
        <w:tc>
          <w:tcPr>
            <w:tcW w:w="490" w:type="pct"/>
            <w:vMerge w:val="continue"/>
            <w:shd w:val="clear" w:color="auto" w:fill="auto"/>
            <w:vAlign w:val="center"/>
          </w:tcPr>
          <w:p w14:paraId="7A7DBB6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FFF8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4AF3BC6">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29D1CB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63A710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具备语言皮肤，可便捷切换中文/英文语言皮肤，方便国际用户使用。</w:t>
            </w:r>
          </w:p>
        </w:tc>
        <w:tc>
          <w:tcPr>
            <w:tcW w:w="490" w:type="pct"/>
            <w:vMerge w:val="continue"/>
            <w:shd w:val="clear" w:color="auto" w:fill="auto"/>
            <w:vAlign w:val="center"/>
          </w:tcPr>
          <w:p w14:paraId="1169B33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AD7F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D59F68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7A98A4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ABDA68E">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具备5种及以上测量工具，至少包括长度、角度、圆形、矩形、多边形测量，支持多边形测量自动显示每一边长长度，以及整个区域的面积、平均CT值、CT标准差、最大CT值和最小CT值。</w:t>
            </w:r>
          </w:p>
        </w:tc>
        <w:tc>
          <w:tcPr>
            <w:tcW w:w="490" w:type="pct"/>
            <w:vMerge w:val="continue"/>
            <w:shd w:val="clear" w:color="auto" w:fill="auto"/>
            <w:vAlign w:val="center"/>
          </w:tcPr>
          <w:p w14:paraId="2208A2C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2BDE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9EBF6F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49F072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D5577F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具备3D测量和标记功能，支持在头颈VR、头颅VR、前循环VR、后循环VR、带骨VR上进行测量，支持在任一3D图像上进行标记，支持图像加入推送和打印序列。</w:t>
            </w:r>
          </w:p>
        </w:tc>
        <w:tc>
          <w:tcPr>
            <w:tcW w:w="490" w:type="pct"/>
            <w:vMerge w:val="continue"/>
            <w:shd w:val="clear" w:color="auto" w:fill="auto"/>
            <w:vAlign w:val="center"/>
          </w:tcPr>
          <w:p w14:paraId="3DE483F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D954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30DCDA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0B38D3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2F9A07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具备箭头标记工具，方便在影像上完成注释。</w:t>
            </w:r>
          </w:p>
        </w:tc>
        <w:tc>
          <w:tcPr>
            <w:tcW w:w="490" w:type="pct"/>
            <w:vMerge w:val="continue"/>
            <w:shd w:val="clear" w:color="auto" w:fill="auto"/>
            <w:vAlign w:val="center"/>
          </w:tcPr>
          <w:p w14:paraId="3D68D2C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147C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BD5FB4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1BCAA4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24E4E09">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具备长度测试、区域测量、箭头编辑操作结果修改。</w:t>
            </w:r>
          </w:p>
        </w:tc>
        <w:tc>
          <w:tcPr>
            <w:tcW w:w="490" w:type="pct"/>
            <w:vMerge w:val="continue"/>
            <w:shd w:val="clear" w:color="auto" w:fill="auto"/>
            <w:vAlign w:val="center"/>
          </w:tcPr>
          <w:p w14:paraId="4A5F5021">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2CE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A2CD1E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133487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765525B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具备测量、箭头标记操作结果删除。</w:t>
            </w:r>
          </w:p>
        </w:tc>
        <w:tc>
          <w:tcPr>
            <w:tcW w:w="490" w:type="pct"/>
            <w:vMerge w:val="continue"/>
            <w:shd w:val="clear" w:color="auto" w:fill="auto"/>
            <w:vAlign w:val="center"/>
          </w:tcPr>
          <w:p w14:paraId="1DB26AE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09F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ED39716">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926C6B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1C3FEE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具备快捷方位组件，支持3D VR的快速切换。</w:t>
            </w:r>
          </w:p>
        </w:tc>
        <w:tc>
          <w:tcPr>
            <w:tcW w:w="490" w:type="pct"/>
            <w:vMerge w:val="continue"/>
            <w:shd w:val="clear" w:color="auto" w:fill="auto"/>
            <w:vAlign w:val="center"/>
          </w:tcPr>
          <w:p w14:paraId="66CD253F">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697D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28999F29">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t>3</w:t>
            </w:r>
          </w:p>
        </w:tc>
        <w:tc>
          <w:tcPr>
            <w:tcW w:w="586" w:type="pct"/>
            <w:vMerge w:val="restart"/>
            <w:shd w:val="clear" w:color="auto" w:fill="auto"/>
            <w:vAlign w:val="center"/>
          </w:tcPr>
          <w:p w14:paraId="2D83F05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影像后处理</w:t>
            </w:r>
          </w:p>
        </w:tc>
        <w:tc>
          <w:tcPr>
            <w:tcW w:w="3684" w:type="pct"/>
            <w:shd w:val="clear" w:color="auto" w:fill="auto"/>
            <w:vAlign w:val="center"/>
          </w:tcPr>
          <w:p w14:paraId="5097EE2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具备实时VR重建功能，支持360度无间隔的实时VR渲染重建。</w:t>
            </w:r>
          </w:p>
        </w:tc>
        <w:tc>
          <w:tcPr>
            <w:tcW w:w="490" w:type="pct"/>
            <w:vMerge w:val="continue"/>
            <w:shd w:val="clear" w:color="auto" w:fill="auto"/>
            <w:vAlign w:val="center"/>
          </w:tcPr>
          <w:p w14:paraId="4DE0FA9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E48E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0E69A8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5B8D02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9F6F9C1">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具备带骨VR自定义裁剪。</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46FEA24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0053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AFACF2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F8E757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9FD8F68">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具备3D血管VR的自定义裁剪，包括正向裁剪和反向裁减。</w:t>
            </w:r>
          </w:p>
        </w:tc>
        <w:tc>
          <w:tcPr>
            <w:tcW w:w="490" w:type="pct"/>
            <w:vMerge w:val="continue"/>
            <w:shd w:val="clear" w:color="auto" w:fill="auto"/>
            <w:vAlign w:val="center"/>
          </w:tcPr>
          <w:p w14:paraId="3BF3A1C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48C2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230FA2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restart"/>
            <w:shd w:val="clear" w:color="auto" w:fill="auto"/>
            <w:vAlign w:val="center"/>
          </w:tcPr>
          <w:p w14:paraId="1ED9773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18D3F6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具备头颈动静脉血管VR实时渲染显示。</w:t>
            </w:r>
          </w:p>
        </w:tc>
        <w:tc>
          <w:tcPr>
            <w:tcW w:w="490" w:type="pct"/>
            <w:vMerge w:val="continue"/>
            <w:shd w:val="clear" w:color="auto" w:fill="auto"/>
            <w:vAlign w:val="center"/>
          </w:tcPr>
          <w:p w14:paraId="50E0381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BF2D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38256E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913AEB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FE1E17F">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具备自定义添加动脉瘤。</w:t>
            </w:r>
          </w:p>
        </w:tc>
        <w:tc>
          <w:tcPr>
            <w:tcW w:w="490" w:type="pct"/>
            <w:vMerge w:val="continue"/>
            <w:shd w:val="clear" w:color="auto" w:fill="auto"/>
            <w:vAlign w:val="center"/>
          </w:tcPr>
          <w:p w14:paraId="43AB1E8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6E83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CAD7AC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FADD88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084444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具备去骨VR体渲染重建，自动生成头颈VR/VRMIP/INVERSE VRMIP序列、颅内VR/VRMIP/INVERSE VRMIP序列，其中颅内VR/VRMIP/INVERSE VRMIP支持预设脑动脉颅外段起点。</w:t>
            </w:r>
          </w:p>
        </w:tc>
        <w:tc>
          <w:tcPr>
            <w:tcW w:w="490" w:type="pct"/>
            <w:vMerge w:val="continue"/>
            <w:shd w:val="clear" w:color="auto" w:fill="auto"/>
            <w:vAlign w:val="center"/>
          </w:tcPr>
          <w:p w14:paraId="5B28DB0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802B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2E46E0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74DB24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00483D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具备带脑类MR VRMIP体循环重建，自动生成类MR VRMIP正视、俯视、仰视序列，支持前后循环拆分，支持预设脑动脉颅外段起点。</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64AAFA94">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5189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7CA40E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4A94BA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751C3E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具备带骨VR体渲染重建，自动生成颅内带骨VR序列。</w:t>
            </w:r>
          </w:p>
        </w:tc>
        <w:tc>
          <w:tcPr>
            <w:tcW w:w="490" w:type="pct"/>
            <w:vMerge w:val="continue"/>
            <w:shd w:val="clear" w:color="auto" w:fill="auto"/>
            <w:vAlign w:val="center"/>
          </w:tcPr>
          <w:p w14:paraId="56B1C83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5C68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BDA90E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586067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B908C7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具备头颈联扫CTA图像、单独颅内/颈部CTA的图像的VR、CPR及拉直探针重建。</w:t>
            </w:r>
          </w:p>
        </w:tc>
        <w:tc>
          <w:tcPr>
            <w:tcW w:w="490" w:type="pct"/>
            <w:vMerge w:val="continue"/>
            <w:shd w:val="clear" w:color="auto" w:fill="auto"/>
            <w:vAlign w:val="center"/>
          </w:tcPr>
          <w:p w14:paraId="03E5394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358E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1BA756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8BBF65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783D2090">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具备前循环VR体渲染重建，自动生成头颈前循环VR/VRMIP序列、颅内前循环VR/VRMIP序列。</w:t>
            </w:r>
          </w:p>
        </w:tc>
        <w:tc>
          <w:tcPr>
            <w:tcW w:w="490" w:type="pct"/>
            <w:vMerge w:val="continue"/>
            <w:shd w:val="clear" w:color="auto" w:fill="auto"/>
            <w:vAlign w:val="center"/>
          </w:tcPr>
          <w:p w14:paraId="06C78F2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F631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EBC48D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69938A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8C0EB9C">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具备颅内前循环VR/VRMIP支持自定义预设脑动脉颅外段起点。</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5FDB88A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1E74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0EDAE0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BD8913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9CE096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具备后循环VR体渲染重建，自动生成头颈后循环VR/VRMIP序列、颅内后循环VR/VRMIP序列。</w:t>
            </w:r>
          </w:p>
        </w:tc>
        <w:tc>
          <w:tcPr>
            <w:tcW w:w="490" w:type="pct"/>
            <w:vMerge w:val="continue"/>
            <w:shd w:val="clear" w:color="auto" w:fill="auto"/>
            <w:vAlign w:val="center"/>
          </w:tcPr>
          <w:p w14:paraId="1F62EC4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13CC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1AE09F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3EBE0E1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AD52D3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具备颅内后循环VR/VRMIP支持自定义预设脑动脉颅外段起点。</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0436F932">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17D2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CFEF51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443F35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4C5B77D">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14</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具备大脑动脉环（Willis环）体渲染重建，自动生成大脑动脉环VR/VRMIP体渲染序列。</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7AA8513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3AFF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99B9C0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8178DA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22CF98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具备带骨/去骨MIP最大密度投影重建，自动生成冠位、矢位、轴位去骨最大密度投影序列，支持预设MIP影像层厚、间距。</w:t>
            </w:r>
          </w:p>
        </w:tc>
        <w:tc>
          <w:tcPr>
            <w:tcW w:w="490" w:type="pct"/>
            <w:vMerge w:val="continue"/>
            <w:shd w:val="clear" w:color="auto" w:fill="auto"/>
            <w:vAlign w:val="center"/>
          </w:tcPr>
          <w:p w14:paraId="52FDA5E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1097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5FDFDE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BF00B9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5A9699C">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具备颈部血管自动曲面重建，自动生成颈动脉、椎动脉CPR曲面重建序列；支持预设颈动脉、椎动脉终点，支持预设图像序列旋转角度间隔，支持闭塞血管自动追踪补全。</w:t>
            </w:r>
          </w:p>
        </w:tc>
        <w:tc>
          <w:tcPr>
            <w:tcW w:w="490" w:type="pct"/>
            <w:vMerge w:val="continue"/>
            <w:shd w:val="clear" w:color="auto" w:fill="auto"/>
            <w:vAlign w:val="center"/>
          </w:tcPr>
          <w:p w14:paraId="11E0D9D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A9A6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B0819C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6573A5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56FB226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具备颅内血管自动曲面重建，自动生成大脑前动脉、大脑后动脉、大脑中动脉CPR曲面重建序列，支持预设图像序列旋转角度间隔，支持闭塞血管自动追踪补全。</w:t>
            </w:r>
          </w:p>
        </w:tc>
        <w:tc>
          <w:tcPr>
            <w:tcW w:w="490" w:type="pct"/>
            <w:vMerge w:val="continue"/>
            <w:shd w:val="clear" w:color="auto" w:fill="auto"/>
            <w:vAlign w:val="center"/>
          </w:tcPr>
          <w:p w14:paraId="27309392">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CB06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2DD01E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5E93BE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672C786">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具备颈部血管自动拉直重建，自动生成颈动脉、椎动脉Lumen拉直序列；支持预设颈动脉、椎动脉终点，支持预设图像序列旋转角度间隔，支持闭塞血管自动追踪补全。</w:t>
            </w:r>
          </w:p>
        </w:tc>
        <w:tc>
          <w:tcPr>
            <w:tcW w:w="490" w:type="pct"/>
            <w:vMerge w:val="continue"/>
            <w:shd w:val="clear" w:color="auto" w:fill="auto"/>
            <w:vAlign w:val="center"/>
          </w:tcPr>
          <w:p w14:paraId="6A8D8DD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CCB6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C29483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89C531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85F9B4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具备颈部血管自动探针重建，自动生成颈动脉、椎动脉探针序列，支持预设颈动脉、椎动脉终点；支持预设探针显示间隔。</w:t>
            </w:r>
          </w:p>
        </w:tc>
        <w:tc>
          <w:tcPr>
            <w:tcW w:w="490" w:type="pct"/>
            <w:vMerge w:val="continue"/>
            <w:shd w:val="clear" w:color="auto" w:fill="auto"/>
            <w:vAlign w:val="center"/>
          </w:tcPr>
          <w:p w14:paraId="4011E831">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4837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C07C25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817443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077A0B6">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具备颅内血管自动探针重建，自动生成大脑前动脉、大脑后动脉、大脑中动脉曲面重建CPR序列；支持预设探针显示间隔。</w:t>
            </w:r>
          </w:p>
        </w:tc>
        <w:tc>
          <w:tcPr>
            <w:tcW w:w="490" w:type="pct"/>
            <w:vMerge w:val="continue"/>
            <w:shd w:val="clear" w:color="auto" w:fill="auto"/>
            <w:vAlign w:val="center"/>
          </w:tcPr>
          <w:p w14:paraId="2191A7E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0296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C04FEA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A4941C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0EB8BA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具备去骨体渲染序列视角配置，支持按需预设去骨体渲染图像默认视角及序列旋转范围。</w:t>
            </w:r>
          </w:p>
        </w:tc>
        <w:tc>
          <w:tcPr>
            <w:tcW w:w="490" w:type="pct"/>
            <w:vMerge w:val="continue"/>
            <w:shd w:val="clear" w:color="auto" w:fill="auto"/>
            <w:vAlign w:val="center"/>
          </w:tcPr>
          <w:p w14:paraId="67EC5F8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5EAC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772160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556560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A35B27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具备颈外动脉、锁骨下动脉、小动脉自动重建配置，支持预设去骨体渲染图像重建是否包含颈外动脉、锁骨下动脉、小动脉。</w:t>
            </w:r>
          </w:p>
        </w:tc>
        <w:tc>
          <w:tcPr>
            <w:tcW w:w="490" w:type="pct"/>
            <w:vMerge w:val="continue"/>
            <w:shd w:val="clear" w:color="auto" w:fill="auto"/>
            <w:vAlign w:val="center"/>
          </w:tcPr>
          <w:p w14:paraId="1AD24D9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9C17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FB305B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577BB8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A97984F">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具备体渲染图像分辨率配置，支持预设体渲染生成影像序列分辨率。</w:t>
            </w:r>
          </w:p>
        </w:tc>
        <w:tc>
          <w:tcPr>
            <w:tcW w:w="490" w:type="pct"/>
            <w:vMerge w:val="continue"/>
            <w:shd w:val="clear" w:color="auto" w:fill="auto"/>
            <w:vAlign w:val="center"/>
          </w:tcPr>
          <w:p w14:paraId="65E6670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F952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ADB91F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7BFD6F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A844E08">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具备组合图重建，支持照相生成CPR&amp;Xsection、Lumen&amp;Xsection、CPR&amp;Lumen&amp;Xsection三种模式组合图。</w:t>
            </w:r>
          </w:p>
        </w:tc>
        <w:tc>
          <w:tcPr>
            <w:tcW w:w="490" w:type="pct"/>
            <w:vMerge w:val="continue"/>
            <w:shd w:val="clear" w:color="auto" w:fill="auto"/>
            <w:vAlign w:val="center"/>
          </w:tcPr>
          <w:p w14:paraId="7BF05E9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7610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5371F6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B84AB8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37A02D6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具备注释图重建，支持照相生成带有参数测量结果的影像序列，其中照相范围支持缩放调整。</w:t>
            </w:r>
          </w:p>
        </w:tc>
        <w:tc>
          <w:tcPr>
            <w:tcW w:w="490" w:type="pct"/>
            <w:vMerge w:val="continue"/>
            <w:shd w:val="clear" w:color="auto" w:fill="auto"/>
            <w:vAlign w:val="center"/>
          </w:tcPr>
          <w:p w14:paraId="73616C3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D1D0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E73AA2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35F7EF6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E2667E4">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血管自动命名功能，自动命名头颈部17支血管命名，包括主动脉弓、头臂干、左锁骨下动脉、有锁骨下动脉、左颈总动脉、右颈总动脉、左颈内动脉、右颈内动脉、左椎动脉、右椎动脉、基底动脉、左大脑前动脉、右大脑前动脉、、左大脑中动脉、右大脑中动脉、左大脑后动脉、右大脑后动脉。</w:t>
            </w:r>
          </w:p>
        </w:tc>
        <w:tc>
          <w:tcPr>
            <w:tcW w:w="490" w:type="pct"/>
            <w:vMerge w:val="continue"/>
            <w:shd w:val="clear" w:color="auto" w:fill="auto"/>
            <w:vAlign w:val="center"/>
          </w:tcPr>
          <w:p w14:paraId="0F7301B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595D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6B9297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3BF62C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7466928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具备血管自动分段功能，颈内动脉支持7分段、椎动脉支持4分段、大脑前动脉3分段、大脑中动脉3分段、大脑后动脉3分段。</w:t>
            </w:r>
          </w:p>
        </w:tc>
        <w:tc>
          <w:tcPr>
            <w:tcW w:w="490" w:type="pct"/>
            <w:vMerge w:val="continue"/>
            <w:shd w:val="clear" w:color="auto" w:fill="auto"/>
            <w:vAlign w:val="center"/>
          </w:tcPr>
          <w:p w14:paraId="75EA86E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CC01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5FEDB9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008944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3B99DB5">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具备2D VR显示，支持用户在详情页面确认打印图像，直接进行增删改</w:t>
            </w:r>
          </w:p>
        </w:tc>
        <w:tc>
          <w:tcPr>
            <w:tcW w:w="490" w:type="pct"/>
            <w:vMerge w:val="continue"/>
            <w:shd w:val="clear" w:color="auto" w:fill="auto"/>
            <w:vAlign w:val="center"/>
          </w:tcPr>
          <w:p w14:paraId="28AD7F1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F9CD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20A011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2CC5DA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61D3A42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具备配置探针显示间隔以及默认放大比例功能</w:t>
            </w:r>
          </w:p>
        </w:tc>
        <w:tc>
          <w:tcPr>
            <w:tcW w:w="490" w:type="pct"/>
            <w:vMerge w:val="continue"/>
            <w:shd w:val="clear" w:color="auto" w:fill="auto"/>
            <w:vAlign w:val="center"/>
          </w:tcPr>
          <w:p w14:paraId="2C2C61E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F95C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52E0CDE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4</w:t>
            </w:r>
          </w:p>
        </w:tc>
        <w:tc>
          <w:tcPr>
            <w:tcW w:w="586" w:type="pct"/>
            <w:vMerge w:val="restart"/>
            <w:shd w:val="clear" w:color="auto" w:fill="auto"/>
            <w:vAlign w:val="center"/>
          </w:tcPr>
          <w:p w14:paraId="77BC0DE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影像后处理结果编辑</w:t>
            </w:r>
          </w:p>
        </w:tc>
        <w:tc>
          <w:tcPr>
            <w:tcW w:w="3684" w:type="pct"/>
            <w:shd w:val="clear" w:color="auto" w:fill="auto"/>
            <w:vAlign w:val="center"/>
          </w:tcPr>
          <w:p w14:paraId="38F7AF75">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具备自定义血管分析，支持生成头颈部任意部分血管CPR、Lumen序列。</w:t>
            </w:r>
          </w:p>
        </w:tc>
        <w:tc>
          <w:tcPr>
            <w:tcW w:w="490" w:type="pct"/>
            <w:vMerge w:val="continue"/>
            <w:shd w:val="clear" w:color="auto" w:fill="auto"/>
            <w:vAlign w:val="center"/>
          </w:tcPr>
          <w:p w14:paraId="2F21C4D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B1F2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7F5082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FAF5B76">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1A4E217F">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具备编辑血管分析起点，支持调整头颈部任意血管CPR、Lumen序列起点。</w:t>
            </w:r>
          </w:p>
        </w:tc>
        <w:tc>
          <w:tcPr>
            <w:tcW w:w="490" w:type="pct"/>
            <w:vMerge w:val="continue"/>
            <w:shd w:val="clear" w:color="auto" w:fill="auto"/>
            <w:vAlign w:val="center"/>
          </w:tcPr>
          <w:p w14:paraId="41B0C952">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15D2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A26711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50FE51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12A42F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具备编辑血管分析终点，支持调整头颈部任意血管CPR、Lumen序列终点。</w:t>
            </w:r>
          </w:p>
        </w:tc>
        <w:tc>
          <w:tcPr>
            <w:tcW w:w="490" w:type="pct"/>
            <w:vMerge w:val="continue"/>
            <w:shd w:val="clear" w:color="auto" w:fill="auto"/>
            <w:vAlign w:val="center"/>
          </w:tcPr>
          <w:p w14:paraId="260EE2CF">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B639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689226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7D2CF9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0D77DD14">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具备闭塞血管分管分析补全，支持补全头颈部任意血管CPR、Lumen闭塞段血管。</w:t>
            </w:r>
          </w:p>
        </w:tc>
        <w:tc>
          <w:tcPr>
            <w:tcW w:w="490" w:type="pct"/>
            <w:vMerge w:val="continue"/>
            <w:shd w:val="clear" w:color="auto" w:fill="auto"/>
            <w:vAlign w:val="center"/>
          </w:tcPr>
          <w:p w14:paraId="7C09E7F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548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17D56C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1D781E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8D4EF11">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具备修剪单支血管，支持选择VR体渲染单支血管自动完成修剪。</w:t>
            </w:r>
          </w:p>
        </w:tc>
        <w:tc>
          <w:tcPr>
            <w:tcW w:w="490" w:type="pct"/>
            <w:vMerge w:val="continue"/>
            <w:shd w:val="clear" w:color="auto" w:fill="auto"/>
            <w:vAlign w:val="center"/>
          </w:tcPr>
          <w:p w14:paraId="1A3D979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03DF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A5BC8A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D419D8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2D7D466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具备框选修剪血管，支持框选VR体渲染范围血管自动完成修剪。</w:t>
            </w:r>
          </w:p>
        </w:tc>
        <w:tc>
          <w:tcPr>
            <w:tcW w:w="490" w:type="pct"/>
            <w:vMerge w:val="continue"/>
            <w:shd w:val="clear" w:color="auto" w:fill="auto"/>
            <w:vAlign w:val="center"/>
          </w:tcPr>
          <w:p w14:paraId="7F4090C9">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BE09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F8051B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137EDC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1EBACF70">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具备血管追踪生长，自动填充增加血管分割来调整重建影像。</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780EF05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27A8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DEA6C3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2448410">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3684" w:type="pct"/>
            <w:shd w:val="clear" w:color="auto" w:fill="auto"/>
            <w:vAlign w:val="center"/>
          </w:tcPr>
          <w:p w14:paraId="44D7B73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具备删除分割，支持减选、橡皮删除血管分割来调整重建影像。</w:t>
            </w:r>
          </w:p>
        </w:tc>
        <w:tc>
          <w:tcPr>
            <w:tcW w:w="490" w:type="pct"/>
            <w:vMerge w:val="continue"/>
            <w:shd w:val="clear" w:color="auto" w:fill="auto"/>
            <w:vAlign w:val="center"/>
          </w:tcPr>
          <w:p w14:paraId="6576ACF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C9D6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6DA2AEF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5</w:t>
            </w:r>
          </w:p>
        </w:tc>
        <w:tc>
          <w:tcPr>
            <w:tcW w:w="586" w:type="pct"/>
            <w:vMerge w:val="restart"/>
            <w:shd w:val="clear" w:color="auto" w:fill="auto"/>
            <w:vAlign w:val="center"/>
          </w:tcPr>
          <w:p w14:paraId="3650631B">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病灶检出与分析</w:t>
            </w:r>
          </w:p>
        </w:tc>
        <w:tc>
          <w:tcPr>
            <w:tcW w:w="3684" w:type="pct"/>
            <w:shd w:val="clear" w:color="auto" w:fill="auto"/>
            <w:vAlign w:val="center"/>
          </w:tcPr>
          <w:p w14:paraId="26F6172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具备斑块检出功能，自动检出头颈部血管所有斑块，定性斑块类型为钙化、非钙化、混合，并定位斑块分段位置。</w:t>
            </w:r>
          </w:p>
        </w:tc>
        <w:tc>
          <w:tcPr>
            <w:tcW w:w="490" w:type="pct"/>
            <w:vMerge w:val="continue"/>
            <w:shd w:val="clear" w:color="auto" w:fill="auto"/>
            <w:vAlign w:val="center"/>
          </w:tcPr>
          <w:p w14:paraId="4643238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3D2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359312F">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2C9AEB0">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4720F2D6">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具备狭窄量化功能，自动检出头颈部血管所有狭窄，量化狭窄程度，判断狭窄分级程度（轻度狭窄、中度狭窄、重度狭窄、闭塞），并定位狭窄分段位置。</w:t>
            </w:r>
          </w:p>
        </w:tc>
        <w:tc>
          <w:tcPr>
            <w:tcW w:w="490" w:type="pct"/>
            <w:vMerge w:val="continue"/>
            <w:shd w:val="clear" w:color="auto" w:fill="auto"/>
            <w:vAlign w:val="center"/>
          </w:tcPr>
          <w:p w14:paraId="15076D8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9E72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4EADBF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974F5B8">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1399F7E">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具备支架检出功能，自动检出头颈部血管所有支架，定位支架分段位置。</w:t>
            </w:r>
          </w:p>
        </w:tc>
        <w:tc>
          <w:tcPr>
            <w:tcW w:w="490" w:type="pct"/>
            <w:vMerge w:val="continue"/>
            <w:shd w:val="clear" w:color="auto" w:fill="auto"/>
            <w:vAlign w:val="center"/>
          </w:tcPr>
          <w:p w14:paraId="08EA84F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2A9A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7FEE34C">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297BCEA">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608FC47E">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具备动脉瘤量化信息，自动检出头颈部血管动脉瘤，量化瘤径、最大径、长径、短径、体积，并定位动脉瘤分段位置。</w:t>
            </w:r>
          </w:p>
        </w:tc>
        <w:tc>
          <w:tcPr>
            <w:tcW w:w="490" w:type="pct"/>
            <w:vMerge w:val="continue"/>
            <w:shd w:val="clear" w:color="auto" w:fill="auto"/>
            <w:vAlign w:val="center"/>
          </w:tcPr>
          <w:p w14:paraId="7DC5246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2130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F268F2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F54CF76">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1F1FDA9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具备病灶标记显示功能，支持在VR体渲染、CPR、Lumen、原图显示具体病灶标记，方便快速定位病灶位置，支持带病灶标记的图像进行推送打印。</w:t>
            </w:r>
          </w:p>
        </w:tc>
        <w:tc>
          <w:tcPr>
            <w:tcW w:w="490" w:type="pct"/>
            <w:vMerge w:val="continue"/>
            <w:shd w:val="clear" w:color="auto" w:fill="auto"/>
            <w:vAlign w:val="center"/>
          </w:tcPr>
          <w:p w14:paraId="2E6A68D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7A1A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234BF4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167B992">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1EC60C44">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具备病灶标记联动功能，后处理影像标记支持联动显示，选中任意病灶各影像该病灶高亮显示。</w:t>
            </w:r>
          </w:p>
        </w:tc>
        <w:tc>
          <w:tcPr>
            <w:tcW w:w="490" w:type="pct"/>
            <w:vMerge w:val="continue"/>
            <w:shd w:val="clear" w:color="auto" w:fill="auto"/>
            <w:vAlign w:val="center"/>
          </w:tcPr>
          <w:p w14:paraId="16F105F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BA5A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793A094">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2A1DE0F">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5DADA299">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具备原图病灶提醒功能，原图图窗切片栏高亮显示病灶具体定位，原图范围显示病灶具体位置。</w:t>
            </w:r>
          </w:p>
        </w:tc>
        <w:tc>
          <w:tcPr>
            <w:tcW w:w="490" w:type="pct"/>
            <w:vMerge w:val="continue"/>
            <w:shd w:val="clear" w:color="auto" w:fill="auto"/>
            <w:vAlign w:val="center"/>
          </w:tcPr>
          <w:p w14:paraId="1436359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BEA6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E4E6A5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3E2BA2B">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668BBF93">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具备显示/隐藏动脉瘤轮廓功能，VR体渲染支持显示动脉瘤标记、原图支持显示动脉瘤分割轮廓。</w:t>
            </w:r>
          </w:p>
        </w:tc>
        <w:tc>
          <w:tcPr>
            <w:tcW w:w="490" w:type="pct"/>
            <w:vMerge w:val="continue"/>
            <w:shd w:val="clear" w:color="auto" w:fill="auto"/>
            <w:vAlign w:val="center"/>
          </w:tcPr>
          <w:p w14:paraId="519DD3B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B002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A3ED00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29BD2EB">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3451E6C6">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具备狭窄程度提示：轻度、中度、重度、完全闭塞。</w:t>
            </w:r>
          </w:p>
        </w:tc>
        <w:tc>
          <w:tcPr>
            <w:tcW w:w="490" w:type="pct"/>
            <w:vMerge w:val="continue"/>
            <w:shd w:val="clear" w:color="auto" w:fill="auto"/>
            <w:vAlign w:val="center"/>
          </w:tcPr>
          <w:p w14:paraId="241932C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58B4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272FEB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89133AE">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4B7C574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具备病灶列表显示影像诊断结果、血管分支病灶汇总结果、血管分段具体病灶诊断详情，包括斑块、狭窄、动脉瘤、支架定量定位信息。</w:t>
            </w:r>
          </w:p>
        </w:tc>
        <w:tc>
          <w:tcPr>
            <w:tcW w:w="490" w:type="pct"/>
            <w:vMerge w:val="continue"/>
            <w:shd w:val="clear" w:color="auto" w:fill="auto"/>
            <w:vAlign w:val="center"/>
          </w:tcPr>
          <w:p w14:paraId="4356178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7BE9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88E02F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5A43C30">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4C75B2E">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具备调整修改病灶狭窄程度、斑块类型、动脉瘤量化参数结果。</w:t>
            </w:r>
          </w:p>
        </w:tc>
        <w:tc>
          <w:tcPr>
            <w:tcW w:w="490" w:type="pct"/>
            <w:vMerge w:val="continue"/>
            <w:shd w:val="clear" w:color="auto" w:fill="auto"/>
            <w:vAlign w:val="center"/>
          </w:tcPr>
          <w:p w14:paraId="0E7C5B77">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876D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D7F1BE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3040C303">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2CDA874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具备删除病灶结果，可Delete快捷键操作。</w:t>
            </w:r>
          </w:p>
        </w:tc>
        <w:tc>
          <w:tcPr>
            <w:tcW w:w="490" w:type="pct"/>
            <w:vMerge w:val="continue"/>
            <w:shd w:val="clear" w:color="auto" w:fill="auto"/>
            <w:vAlign w:val="center"/>
          </w:tcPr>
          <w:p w14:paraId="6B65A0D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8C2E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63F18E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E22F52E">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6D0E4FC">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具备添加狭窄，支持在拉直&amp;原图右键添加狭窄，自动判断斑块属性、量化狭窄程度、定位狭窄分段位置。</w:t>
            </w:r>
          </w:p>
        </w:tc>
        <w:tc>
          <w:tcPr>
            <w:tcW w:w="490" w:type="pct"/>
            <w:vMerge w:val="continue"/>
            <w:shd w:val="clear" w:color="auto" w:fill="auto"/>
            <w:vAlign w:val="center"/>
          </w:tcPr>
          <w:p w14:paraId="450A25B2">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9649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096074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EBF2704">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B991C48">
            <w:pPr>
              <w:snapToGrid w:val="0"/>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具备添加动脉瘤，支持在原图右键添加动脉瘤，自动完成动脉瘤分割，量化动脉瘤最大径、长短径、体积、瘤径，定位动脉瘤分段位置。</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54321FC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463C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5AFB4DB">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94ADF52">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0C1049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具备添加支架，支持在拉直&amp;原图右键添加支架病灶，自动完成支架分段位置定位。</w:t>
            </w:r>
          </w:p>
        </w:tc>
        <w:tc>
          <w:tcPr>
            <w:tcW w:w="490" w:type="pct"/>
            <w:vMerge w:val="continue"/>
            <w:shd w:val="clear" w:color="auto" w:fill="auto"/>
            <w:vAlign w:val="center"/>
          </w:tcPr>
          <w:p w14:paraId="52F6E28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F991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76542D0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1EAB93B">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42FC531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具备起源异常诊断选项，支持在病灶列表选择影像起源异常情况，汇总至诊断结果。</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532C46D4">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2AEA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854AC4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A0C25AE">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49F299D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具备Willi环异常评估选项（9种异常智能评估），并可同时诊断多种变异，提供Willis环变异图文教学导航，支持修改Willis环异常评估结果。</w:t>
            </w:r>
            <w:r>
              <w:rPr>
                <w:rFonts w:hint="eastAsia" w:ascii="仿宋" w:hAnsi="仿宋" w:eastAsia="仿宋" w:cs="仿宋"/>
                <w:color w:val="000000" w:themeColor="text1"/>
                <w:kern w:val="0"/>
                <w:sz w:val="21"/>
                <w:szCs w:val="21"/>
                <w:highlight w:val="none"/>
                <w:lang w:eastAsia="zh-CN"/>
                <w14:textFill>
                  <w14:solidFill>
                    <w14:schemeClr w14:val="tx1"/>
                  </w14:solidFill>
                </w14:textFill>
              </w:rPr>
              <w:t>（</w:t>
            </w: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要求提交demo功能演示，演示时长不少于2分钟，不多于5分钟）</w:t>
            </w:r>
          </w:p>
        </w:tc>
        <w:tc>
          <w:tcPr>
            <w:tcW w:w="490" w:type="pct"/>
            <w:vMerge w:val="continue"/>
            <w:shd w:val="clear" w:color="auto" w:fill="auto"/>
            <w:vAlign w:val="center"/>
          </w:tcPr>
          <w:p w14:paraId="5DD1A5A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0B44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293EFC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06CA058">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53F11DD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具备病灶筛选功能，支持筛选显示中度狭窄、重度狭窄、闭塞、动脉瘤、支架。</w:t>
            </w:r>
          </w:p>
        </w:tc>
        <w:tc>
          <w:tcPr>
            <w:tcW w:w="490" w:type="pct"/>
            <w:vMerge w:val="continue"/>
            <w:shd w:val="clear" w:color="auto" w:fill="auto"/>
            <w:vAlign w:val="center"/>
          </w:tcPr>
          <w:p w14:paraId="70F9A1E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23C9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EBC866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61FC459">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58078BC">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具备重绘中心线功能，支持VR图像上实时从头绘制一条全新的中心线，且CPR图像、拉直图和探针图同步联动。</w:t>
            </w:r>
          </w:p>
        </w:tc>
        <w:tc>
          <w:tcPr>
            <w:tcW w:w="490" w:type="pct"/>
            <w:vMerge w:val="continue"/>
            <w:shd w:val="clear" w:color="auto" w:fill="auto"/>
            <w:vAlign w:val="center"/>
          </w:tcPr>
          <w:p w14:paraId="20985179">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993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0BFCC6CA">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6</w:t>
            </w:r>
          </w:p>
        </w:tc>
        <w:tc>
          <w:tcPr>
            <w:tcW w:w="586" w:type="pct"/>
            <w:vMerge w:val="restart"/>
            <w:shd w:val="clear" w:color="auto" w:fill="auto"/>
            <w:vAlign w:val="center"/>
          </w:tcPr>
          <w:p w14:paraId="364F4819">
            <w:pPr>
              <w:snapToGrid w:val="0"/>
              <w:jc w:val="center"/>
              <w:rPr>
                <w:rFonts w:hint="eastAsia" w:ascii="仿宋" w:hAnsi="仿宋" w:eastAsia="仿宋" w:cs="仿宋"/>
                <w:color w:val="000000" w:themeColor="text1"/>
                <w:kern w:val="0"/>
                <w:sz w:val="21"/>
                <w:szCs w:val="21"/>
                <w:highlight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一键报告与推</w:t>
            </w: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送</w:t>
            </w: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打印</w:t>
            </w:r>
          </w:p>
        </w:tc>
        <w:tc>
          <w:tcPr>
            <w:tcW w:w="3684" w:type="pct"/>
            <w:shd w:val="clear" w:color="auto" w:fill="auto"/>
            <w:vAlign w:val="center"/>
          </w:tcPr>
          <w:p w14:paraId="6469DA49">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具备结构化文本报告，根据诊断结果一键生成文本报告；报告报告支持配置狭窄程度分级标准、配置脑结构固定描述、配置狭窄程度范围描述；支持复制结果，支持勾选推送状态生成文本报告胶片。</w:t>
            </w:r>
          </w:p>
        </w:tc>
        <w:tc>
          <w:tcPr>
            <w:tcW w:w="490" w:type="pct"/>
            <w:vMerge w:val="continue"/>
            <w:shd w:val="clear" w:color="auto" w:fill="auto"/>
            <w:vAlign w:val="center"/>
          </w:tcPr>
          <w:p w14:paraId="3F37D53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DD39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8479A2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64586E5">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EF993E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具备结构化表格报告，根据诊断结果一键生成表格报告，支持展开分段及隐藏分段结构化描述；支持勾选推送状态生成表格报告胶片。</w:t>
            </w:r>
          </w:p>
        </w:tc>
        <w:tc>
          <w:tcPr>
            <w:tcW w:w="490" w:type="pct"/>
            <w:vMerge w:val="continue"/>
            <w:shd w:val="clear" w:color="auto" w:fill="auto"/>
            <w:vAlign w:val="center"/>
          </w:tcPr>
          <w:p w14:paraId="6D0FAB1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A90A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0ED4D7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E297D7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2B62818">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具备快捷推送，可配置推送影像规则，一键推送影像序列至目标DICOM 节点。</w:t>
            </w:r>
          </w:p>
        </w:tc>
        <w:tc>
          <w:tcPr>
            <w:tcW w:w="490" w:type="pct"/>
            <w:vMerge w:val="continue"/>
            <w:shd w:val="clear" w:color="auto" w:fill="auto"/>
            <w:vAlign w:val="center"/>
          </w:tcPr>
          <w:p w14:paraId="7854784F">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044E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23362B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378DDE89">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85762ED">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具备自定义推送，可自定义选择待推送影像，一键推送影像序列至目标DICOM节点，影像支持勾选组合图、注释图、文本报告、表格报告推送状态加入推送影像序列。</w:t>
            </w:r>
          </w:p>
        </w:tc>
        <w:tc>
          <w:tcPr>
            <w:tcW w:w="490" w:type="pct"/>
            <w:vMerge w:val="continue"/>
            <w:shd w:val="clear" w:color="auto" w:fill="auto"/>
            <w:vAlign w:val="center"/>
          </w:tcPr>
          <w:p w14:paraId="7F742B1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F1C4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CD712B7">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83FE70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3AC55F4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具备配置推送影像，可按规则选择目标影像，自动加入待推送影像序列。</w:t>
            </w:r>
          </w:p>
        </w:tc>
        <w:tc>
          <w:tcPr>
            <w:tcW w:w="490" w:type="pct"/>
            <w:vMerge w:val="continue"/>
            <w:shd w:val="clear" w:color="auto" w:fill="auto"/>
            <w:vAlign w:val="center"/>
          </w:tcPr>
          <w:p w14:paraId="57E077C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E6C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82C2BF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C7DFD6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2D61E1AA">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具备快捷打印，可配置打印胶片模板，一键完成胶片打印。</w:t>
            </w:r>
          </w:p>
        </w:tc>
        <w:tc>
          <w:tcPr>
            <w:tcW w:w="490" w:type="pct"/>
            <w:vMerge w:val="continue"/>
            <w:shd w:val="clear" w:color="auto" w:fill="auto"/>
            <w:vAlign w:val="center"/>
          </w:tcPr>
          <w:p w14:paraId="7EC61E10">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8EF1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35363E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245434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2A1A8CD9">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具备自定义打印，可自定义选择待打印影像，一键完成胶片打印，支持勾选组合图、注释图打印状态加入打印胶片序列。</w:t>
            </w:r>
          </w:p>
        </w:tc>
        <w:tc>
          <w:tcPr>
            <w:tcW w:w="490" w:type="pct"/>
            <w:vMerge w:val="continue"/>
            <w:shd w:val="clear" w:color="auto" w:fill="auto"/>
            <w:vAlign w:val="center"/>
          </w:tcPr>
          <w:p w14:paraId="04042966">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64165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8696575">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6BBBD53">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686AAE0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具备配置打印模板，可按规则选择目标影像，自动加入待打印影像序列；支持预设胶片预设布局、支持预设胶片元信息。</w:t>
            </w:r>
          </w:p>
        </w:tc>
        <w:tc>
          <w:tcPr>
            <w:tcW w:w="490" w:type="pct"/>
            <w:vMerge w:val="continue"/>
            <w:shd w:val="clear" w:color="auto" w:fill="auto"/>
            <w:vAlign w:val="center"/>
          </w:tcPr>
          <w:p w14:paraId="6EE81289">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4C16C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C6EF6B9">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BC9AFF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72FC91B">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9.</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具备打印排版调整，可放大&amp;缩小影像、个性化调整胶片布局、调整影像窗宽窗位，删除影像，调整影像排版顺序。</w:t>
            </w:r>
          </w:p>
        </w:tc>
        <w:tc>
          <w:tcPr>
            <w:tcW w:w="490" w:type="pct"/>
            <w:vMerge w:val="continue"/>
            <w:shd w:val="clear" w:color="auto" w:fill="auto"/>
            <w:vAlign w:val="center"/>
          </w:tcPr>
          <w:p w14:paraId="79B8159C">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2226F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5FAD59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6D37F4B">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1601F937">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10.</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具备智能排版，可一键根据预设规则完成影像排版，同类影像顺序排列，血管分析按血管名称排序。</w:t>
            </w:r>
          </w:p>
        </w:tc>
        <w:tc>
          <w:tcPr>
            <w:tcW w:w="490" w:type="pct"/>
            <w:vMerge w:val="continue"/>
            <w:shd w:val="clear" w:color="auto" w:fill="auto"/>
            <w:vAlign w:val="center"/>
          </w:tcPr>
          <w:p w14:paraId="253015D4">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16C8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3CD283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427E473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134A4570">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11.</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具备在打印预览页面直接调整排版方式，包括至少15种常用排版方式，并且支持用户自定义排版方式</w:t>
            </w:r>
          </w:p>
        </w:tc>
        <w:tc>
          <w:tcPr>
            <w:tcW w:w="490" w:type="pct"/>
            <w:vMerge w:val="continue"/>
            <w:shd w:val="clear" w:color="auto" w:fill="auto"/>
            <w:vAlign w:val="center"/>
          </w:tcPr>
          <w:p w14:paraId="43426F8E">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314E3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A08D87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1B3015D">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1260B02">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具备在打印预览页面选择胶片大小和打印机</w:t>
            </w:r>
          </w:p>
        </w:tc>
        <w:tc>
          <w:tcPr>
            <w:tcW w:w="490" w:type="pct"/>
            <w:vMerge w:val="continue"/>
            <w:shd w:val="clear" w:color="auto" w:fill="auto"/>
            <w:vAlign w:val="center"/>
          </w:tcPr>
          <w:p w14:paraId="14FD75E9">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79400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69DDE852">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C858C8A">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0BC1CEF5">
            <w:pPr>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具备在打印预览页面以单图或者整张胶片形式进行推送，支持对多个服务器进行批量推送</w:t>
            </w:r>
          </w:p>
        </w:tc>
        <w:tc>
          <w:tcPr>
            <w:tcW w:w="490" w:type="pct"/>
            <w:vMerge w:val="continue"/>
            <w:shd w:val="clear" w:color="auto" w:fill="auto"/>
            <w:vAlign w:val="center"/>
          </w:tcPr>
          <w:p w14:paraId="6DC5BDB8">
            <w:pPr>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20C7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5000" w:type="pct"/>
            <w:gridSpan w:val="4"/>
            <w:shd w:val="clear" w:color="auto" w:fill="auto"/>
            <w:vAlign w:val="center"/>
          </w:tcPr>
          <w:p w14:paraId="2442C349">
            <w:pPr>
              <w:pStyle w:val="7"/>
              <w:widowControl/>
              <w:numPr>
                <w:ilvl w:val="0"/>
                <w:numId w:val="0"/>
              </w:numPr>
              <w:snapToGrid w:val="0"/>
              <w:ind w:left="0" w:leftChars="0" w:firstLine="0" w:firstLineChars="0"/>
              <w:jc w:val="cente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14:textFill>
                  <w14:solidFill>
                    <w14:schemeClr w14:val="tx1"/>
                  </w14:solidFill>
                </w14:textFill>
              </w:rPr>
              <w:t>二、</w:t>
            </w: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肺动脉CTA智能辅助分析系统</w:t>
            </w:r>
          </w:p>
        </w:tc>
      </w:tr>
      <w:tr w14:paraId="0AEDB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771C3653">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b/>
                <w:bCs/>
                <w:color w:val="000000" w:themeColor="text1"/>
                <w:kern w:val="0"/>
                <w:sz w:val="21"/>
                <w:szCs w:val="21"/>
                <w:highlight w:val="none"/>
                <w:lang w:val="en-US" w:eastAsia="zh-CN" w:bidi="ar-SA"/>
                <w14:textFill>
                  <w14:solidFill>
                    <w14:schemeClr w14:val="tx1"/>
                  </w14:solidFill>
                </w14:textFill>
              </w:rPr>
              <w:t>1</w:t>
            </w:r>
          </w:p>
        </w:tc>
        <w:tc>
          <w:tcPr>
            <w:tcW w:w="586" w:type="pct"/>
            <w:vMerge w:val="restart"/>
            <w:shd w:val="clear" w:color="auto" w:fill="auto"/>
            <w:vAlign w:val="center"/>
          </w:tcPr>
          <w:p w14:paraId="4BCEE2AD">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产品性能要求</w:t>
            </w:r>
          </w:p>
        </w:tc>
        <w:tc>
          <w:tcPr>
            <w:tcW w:w="3684" w:type="pct"/>
            <w:shd w:val="clear" w:color="auto" w:fill="auto"/>
            <w:vAlign w:val="center"/>
          </w:tcPr>
          <w:p w14:paraId="63E4A899">
            <w:pPr>
              <w:widowControl/>
              <w:snapToGrid w:val="0"/>
              <w:rPr>
                <w:rFonts w:hint="eastAsia" w:ascii="仿宋" w:hAnsi="仿宋" w:eastAsia="仿宋" w:cs="仿宋"/>
                <w:b/>
                <w:bCs/>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14:textFill>
                  <w14:solidFill>
                    <w14:schemeClr w14:val="tx1"/>
                  </w14:solidFill>
                </w14:textFill>
              </w:rPr>
              <w:t>具备基于肺动脉CTA数据快速计算功能，可实现智能VR+MIP+MPR多图三维重建，并可实现与病灶列表双向联动</w:t>
            </w:r>
          </w:p>
        </w:tc>
        <w:tc>
          <w:tcPr>
            <w:tcW w:w="490" w:type="pct"/>
            <w:vMerge w:val="restart"/>
            <w:shd w:val="clear" w:color="auto" w:fill="auto"/>
            <w:vAlign w:val="center"/>
          </w:tcPr>
          <w:p w14:paraId="127E8676">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1套</w:t>
            </w:r>
          </w:p>
        </w:tc>
      </w:tr>
      <w:tr w14:paraId="62620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ED853BA">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p>
        </w:tc>
        <w:tc>
          <w:tcPr>
            <w:tcW w:w="586" w:type="pct"/>
            <w:vMerge w:val="continue"/>
            <w:shd w:val="clear" w:color="auto" w:fill="auto"/>
            <w:vAlign w:val="center"/>
          </w:tcPr>
          <w:p w14:paraId="524FD980">
            <w:pPr>
              <w:widowControl/>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C83B8B3">
            <w:pPr>
              <w:widowControl/>
              <w:snapToGrid w:val="0"/>
              <w:rPr>
                <w:rFonts w:hint="eastAsia" w:ascii="仿宋" w:hAnsi="仿宋" w:eastAsia="仿宋" w:cs="仿宋"/>
                <w:b/>
                <w:bCs/>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具备支持肺动脉CTA数据的动静脉分割重建和栓子的分割重建</w:t>
            </w:r>
          </w:p>
        </w:tc>
        <w:tc>
          <w:tcPr>
            <w:tcW w:w="490" w:type="pct"/>
            <w:vMerge w:val="continue"/>
            <w:shd w:val="clear" w:color="auto" w:fill="auto"/>
            <w:vAlign w:val="center"/>
          </w:tcPr>
          <w:p w14:paraId="2160D27A">
            <w:pPr>
              <w:widowControl/>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52119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1762D94">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p>
        </w:tc>
        <w:tc>
          <w:tcPr>
            <w:tcW w:w="586" w:type="pct"/>
            <w:vMerge w:val="continue"/>
            <w:shd w:val="clear" w:color="auto" w:fill="auto"/>
            <w:vAlign w:val="center"/>
          </w:tcPr>
          <w:p w14:paraId="118AA525">
            <w:pPr>
              <w:widowControl/>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c>
          <w:tcPr>
            <w:tcW w:w="3684" w:type="pct"/>
            <w:shd w:val="clear" w:color="auto" w:fill="auto"/>
            <w:vAlign w:val="center"/>
          </w:tcPr>
          <w:p w14:paraId="750C4D65">
            <w:pPr>
              <w:widowControl/>
              <w:snapToGrid w:val="0"/>
              <w:rPr>
                <w:rFonts w:hint="eastAsia" w:ascii="仿宋" w:hAnsi="仿宋" w:eastAsia="仿宋" w:cs="仿宋"/>
                <w:b/>
                <w:bCs/>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lang w:eastAsia="zh-Hans"/>
                <w14:textFill>
                  <w14:solidFill>
                    <w14:schemeClr w14:val="tx1"/>
                  </w14:solidFill>
                </w14:textFill>
              </w:rPr>
              <w:t>具备VR和VMIP图像，同时支持动静脉的显隐，且支持调节VR的透明度</w:t>
            </w:r>
          </w:p>
        </w:tc>
        <w:tc>
          <w:tcPr>
            <w:tcW w:w="490" w:type="pct"/>
            <w:vMerge w:val="continue"/>
            <w:shd w:val="clear" w:color="auto" w:fill="auto"/>
            <w:vAlign w:val="center"/>
          </w:tcPr>
          <w:p w14:paraId="77C365F8">
            <w:pPr>
              <w:widowControl/>
              <w:snapToGrid w:val="0"/>
              <w:rPr>
                <w:rFonts w:hint="eastAsia" w:ascii="仿宋" w:hAnsi="仿宋" w:eastAsia="仿宋" w:cs="仿宋"/>
                <w:color w:val="000000" w:themeColor="text1"/>
                <w:kern w:val="0"/>
                <w:sz w:val="21"/>
                <w:szCs w:val="21"/>
                <w:highlight w:val="none"/>
                <w:lang w:eastAsia="zh-Hans"/>
                <w14:textFill>
                  <w14:solidFill>
                    <w14:schemeClr w14:val="tx1"/>
                  </w14:solidFill>
                </w14:textFill>
              </w:rPr>
            </w:pPr>
          </w:p>
        </w:tc>
      </w:tr>
      <w:tr w14:paraId="1BC2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2047C6E0">
            <w:pPr>
              <w:widowControl/>
              <w:snapToGrid w:val="0"/>
              <w:jc w:val="center"/>
              <w:rPr>
                <w:rFonts w:hint="eastAsia" w:ascii="仿宋" w:hAnsi="仿宋" w:eastAsia="仿宋" w:cs="仿宋"/>
                <w:color w:val="000000" w:themeColor="text1"/>
                <w:kern w:val="0"/>
                <w:sz w:val="21"/>
                <w:szCs w:val="21"/>
                <w:highlight w:val="none"/>
                <w:lang w:val="en-US" w:eastAsia="zh-CN" w:bidi="ar-SA"/>
                <w14:textFill>
                  <w14:solidFill>
                    <w14:schemeClr w14:val="tx1"/>
                  </w14:solidFill>
                </w14:textFill>
              </w:rPr>
            </w:pPr>
          </w:p>
        </w:tc>
        <w:tc>
          <w:tcPr>
            <w:tcW w:w="586" w:type="pct"/>
            <w:vMerge w:val="continue"/>
            <w:shd w:val="clear" w:color="auto" w:fill="auto"/>
            <w:vAlign w:val="center"/>
          </w:tcPr>
          <w:p w14:paraId="31C10EFE">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c>
          <w:tcPr>
            <w:tcW w:w="3684" w:type="pct"/>
            <w:shd w:val="clear" w:color="auto" w:fill="auto"/>
            <w:vAlign w:val="center"/>
          </w:tcPr>
          <w:p w14:paraId="491F3151">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4.</w:t>
            </w:r>
            <w:r>
              <w:rPr>
                <w:rFonts w:hint="eastAsia" w:ascii="仿宋" w:hAnsi="仿宋" w:eastAsia="仿宋" w:cs="仿宋"/>
                <w:color w:val="000000" w:themeColor="text1"/>
                <w:kern w:val="0"/>
                <w:sz w:val="21"/>
                <w:szCs w:val="21"/>
                <w:highlight w:val="none"/>
                <w14:textFill>
                  <w14:solidFill>
                    <w14:schemeClr w14:val="tx1"/>
                  </w14:solidFill>
                </w14:textFill>
              </w:rPr>
              <w:t>具备栓子智能检出、定位及阳性预警功能，包括提示是否存在主干级、叶级、段级栓子</w:t>
            </w:r>
          </w:p>
        </w:tc>
        <w:tc>
          <w:tcPr>
            <w:tcW w:w="490" w:type="pct"/>
            <w:vMerge w:val="continue"/>
            <w:shd w:val="clear" w:color="auto" w:fill="auto"/>
            <w:vAlign w:val="center"/>
          </w:tcPr>
          <w:p w14:paraId="367005FA">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r>
      <w:tr w14:paraId="60721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6082E21">
            <w:pPr>
              <w:widowControl/>
              <w:snapToGrid w:val="0"/>
              <w:jc w:val="center"/>
              <w:rPr>
                <w:rFonts w:hint="eastAsia" w:ascii="仿宋" w:hAnsi="仿宋" w:eastAsia="仿宋" w:cs="仿宋"/>
                <w:b/>
                <w:bCs/>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EE3E4A5">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c>
          <w:tcPr>
            <w:tcW w:w="3684" w:type="pct"/>
            <w:shd w:val="clear" w:color="auto" w:fill="auto"/>
            <w:vAlign w:val="center"/>
          </w:tcPr>
          <w:p w14:paraId="7643A56A">
            <w:pPr>
              <w:widowControl/>
              <w:snapToGrid w:val="0"/>
              <w:rPr>
                <w:rFonts w:hint="eastAsia" w:ascii="仿宋" w:hAnsi="仿宋" w:eastAsia="仿宋" w:cs="仿宋"/>
                <w:b/>
                <w:bCs/>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5.</w:t>
            </w:r>
            <w:r>
              <w:rPr>
                <w:rFonts w:hint="eastAsia" w:ascii="仿宋" w:hAnsi="仿宋" w:eastAsia="仿宋" w:cs="仿宋"/>
                <w:color w:val="000000" w:themeColor="text1"/>
                <w:kern w:val="0"/>
                <w:sz w:val="21"/>
                <w:szCs w:val="21"/>
                <w:highlight w:val="none"/>
                <w14:textFill>
                  <w14:solidFill>
                    <w14:schemeClr w14:val="tx1"/>
                  </w14:solidFill>
                </w14:textFill>
              </w:rPr>
              <w:t>具备自动计算智能栓子体积功能</w:t>
            </w:r>
          </w:p>
        </w:tc>
        <w:tc>
          <w:tcPr>
            <w:tcW w:w="490" w:type="pct"/>
            <w:vMerge w:val="continue"/>
            <w:shd w:val="clear" w:color="auto" w:fill="auto"/>
            <w:vAlign w:val="center"/>
          </w:tcPr>
          <w:p w14:paraId="7C5FEF5C">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r>
      <w:tr w14:paraId="7F56F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FE65108">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26916C0A">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c>
          <w:tcPr>
            <w:tcW w:w="3684" w:type="pct"/>
            <w:shd w:val="clear" w:color="auto" w:fill="auto"/>
            <w:vAlign w:val="center"/>
          </w:tcPr>
          <w:p w14:paraId="33A08243">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6.</w:t>
            </w:r>
            <w:r>
              <w:rPr>
                <w:rFonts w:hint="eastAsia" w:ascii="仿宋" w:hAnsi="仿宋" w:eastAsia="仿宋" w:cs="仿宋"/>
                <w:color w:val="000000" w:themeColor="text1"/>
                <w:kern w:val="0"/>
                <w:sz w:val="21"/>
                <w:szCs w:val="21"/>
                <w:highlight w:val="none"/>
                <w14:textFill>
                  <w14:solidFill>
                    <w14:schemeClr w14:val="tx1"/>
                  </w14:solidFill>
                </w14:textFill>
              </w:rPr>
              <w:t>具备右心室扩张风险智能评估功能，可自动重建长轴四腔心层面，自动测量左右心室横径，自动计算直径比（RV/LV）</w:t>
            </w:r>
          </w:p>
        </w:tc>
        <w:tc>
          <w:tcPr>
            <w:tcW w:w="490" w:type="pct"/>
            <w:vMerge w:val="continue"/>
            <w:shd w:val="clear" w:color="auto" w:fill="auto"/>
            <w:vAlign w:val="center"/>
          </w:tcPr>
          <w:p w14:paraId="634213EE">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r>
      <w:tr w14:paraId="77C25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6218176">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1212613F">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c>
          <w:tcPr>
            <w:tcW w:w="3684" w:type="pct"/>
            <w:shd w:val="clear" w:color="auto" w:fill="auto"/>
            <w:vAlign w:val="center"/>
          </w:tcPr>
          <w:p w14:paraId="1F729D2D">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7.</w:t>
            </w:r>
            <w:r>
              <w:rPr>
                <w:rFonts w:hint="eastAsia" w:ascii="仿宋" w:hAnsi="仿宋" w:eastAsia="仿宋" w:cs="仿宋"/>
                <w:color w:val="000000" w:themeColor="text1"/>
                <w:kern w:val="0"/>
                <w:sz w:val="21"/>
                <w:szCs w:val="21"/>
                <w:highlight w:val="none"/>
                <w14:textFill>
                  <w14:solidFill>
                    <w14:schemeClr w14:val="tx1"/>
                  </w14:solidFill>
                </w14:textFill>
              </w:rPr>
              <w:t>具备肺动脉扩张风险智能评估功能，包括自动测量主肺动脉管径以及升主动脉管径</w:t>
            </w:r>
          </w:p>
        </w:tc>
        <w:tc>
          <w:tcPr>
            <w:tcW w:w="490" w:type="pct"/>
            <w:vMerge w:val="continue"/>
            <w:shd w:val="clear" w:color="auto" w:fill="auto"/>
            <w:vAlign w:val="center"/>
          </w:tcPr>
          <w:p w14:paraId="5F0AA322">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r>
      <w:tr w14:paraId="4E883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4ED6DD1">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7AFA0397">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c>
          <w:tcPr>
            <w:tcW w:w="3684" w:type="pct"/>
            <w:shd w:val="clear" w:color="auto" w:fill="auto"/>
            <w:vAlign w:val="center"/>
          </w:tcPr>
          <w:p w14:paraId="391AE5A6">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8.</w:t>
            </w:r>
            <w:r>
              <w:rPr>
                <w:rFonts w:hint="eastAsia" w:ascii="仿宋" w:hAnsi="仿宋" w:eastAsia="仿宋" w:cs="仿宋"/>
                <w:color w:val="000000" w:themeColor="text1"/>
                <w:kern w:val="0"/>
                <w:sz w:val="21"/>
                <w:szCs w:val="21"/>
                <w:highlight w:val="none"/>
                <w14:textFill>
                  <w14:solidFill>
                    <w14:schemeClr w14:val="tx1"/>
                  </w14:solidFill>
                </w14:textFill>
              </w:rPr>
              <w:t>具备自动生成归档图像及预览功能，自动排版胶片及预览</w:t>
            </w:r>
          </w:p>
        </w:tc>
        <w:tc>
          <w:tcPr>
            <w:tcW w:w="490" w:type="pct"/>
            <w:vMerge w:val="continue"/>
            <w:shd w:val="clear" w:color="auto" w:fill="auto"/>
            <w:vAlign w:val="center"/>
          </w:tcPr>
          <w:p w14:paraId="778F7322">
            <w:pPr>
              <w:widowControl/>
              <w:snapToGrid w:val="0"/>
              <w:rPr>
                <w:rFonts w:hint="eastAsia" w:ascii="仿宋" w:hAnsi="仿宋" w:eastAsia="仿宋" w:cs="仿宋"/>
                <w:color w:val="000000" w:themeColor="text1"/>
                <w:kern w:val="0"/>
                <w:sz w:val="21"/>
                <w:szCs w:val="21"/>
                <w:highlight w:val="none"/>
                <w14:textFill>
                  <w14:solidFill>
                    <w14:schemeClr w14:val="tx1"/>
                  </w14:solidFill>
                </w14:textFill>
              </w:rPr>
            </w:pPr>
          </w:p>
        </w:tc>
      </w:tr>
      <w:tr w14:paraId="13C24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1F77802D">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0CCB4B34">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c>
          <w:tcPr>
            <w:tcW w:w="3684" w:type="pct"/>
            <w:shd w:val="clear" w:color="auto" w:fill="auto"/>
            <w:vAlign w:val="center"/>
          </w:tcPr>
          <w:p w14:paraId="02397D3E">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9.具备图像质量评估功能</w:t>
            </w:r>
          </w:p>
        </w:tc>
        <w:tc>
          <w:tcPr>
            <w:tcW w:w="490" w:type="pct"/>
            <w:vMerge w:val="continue"/>
            <w:shd w:val="clear" w:color="auto" w:fill="auto"/>
            <w:vAlign w:val="center"/>
          </w:tcPr>
          <w:p w14:paraId="7300F28E">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r>
      <w:tr w14:paraId="47932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55579B0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69E1FA37">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c>
          <w:tcPr>
            <w:tcW w:w="3684" w:type="pct"/>
            <w:shd w:val="clear" w:color="auto" w:fill="auto"/>
            <w:vAlign w:val="center"/>
          </w:tcPr>
          <w:p w14:paraId="23B3C965">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10.具备胸膜肺实质评估功能，包括胸腔积液、肺不张、肺组织密度不均</w:t>
            </w:r>
          </w:p>
        </w:tc>
        <w:tc>
          <w:tcPr>
            <w:tcW w:w="490" w:type="pct"/>
            <w:vMerge w:val="continue"/>
            <w:shd w:val="clear" w:color="auto" w:fill="auto"/>
            <w:vAlign w:val="center"/>
          </w:tcPr>
          <w:p w14:paraId="511746AE">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r>
      <w:tr w14:paraId="08A8E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3B261BBE">
            <w:pPr>
              <w:widowControl/>
              <w:snapToGrid w:val="0"/>
              <w:jc w:val="center"/>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p>
        </w:tc>
        <w:tc>
          <w:tcPr>
            <w:tcW w:w="586" w:type="pct"/>
            <w:vMerge w:val="continue"/>
            <w:shd w:val="clear" w:color="auto" w:fill="auto"/>
            <w:vAlign w:val="center"/>
          </w:tcPr>
          <w:p w14:paraId="5F58A4F8">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c>
          <w:tcPr>
            <w:tcW w:w="3684" w:type="pct"/>
            <w:shd w:val="clear" w:color="auto" w:fill="auto"/>
            <w:vAlign w:val="center"/>
          </w:tcPr>
          <w:p w14:paraId="3A730D8D">
            <w:pPr>
              <w:widowControl/>
              <w:snapToGrid w:val="0"/>
              <w:rPr>
                <w:rFonts w:hint="eastAsia" w:ascii="仿宋" w:hAnsi="仿宋" w:eastAsia="仿宋" w:cs="仿宋"/>
                <w:color w:val="000000" w:themeColor="text1"/>
                <w:kern w:val="0"/>
                <w:sz w:val="21"/>
                <w:szCs w:val="21"/>
                <w:highlight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11.支持肺动脉CTA自动生成文本报告和表格报告</w:t>
            </w:r>
          </w:p>
        </w:tc>
        <w:tc>
          <w:tcPr>
            <w:tcW w:w="490" w:type="pct"/>
            <w:vMerge w:val="continue"/>
            <w:shd w:val="clear" w:color="auto" w:fill="auto"/>
            <w:vAlign w:val="center"/>
          </w:tcPr>
          <w:p w14:paraId="563EF354">
            <w:pPr>
              <w:widowControl/>
              <w:snapToGrid w:val="0"/>
              <w:rPr>
                <w:rFonts w:hint="eastAsia" w:ascii="仿宋" w:hAnsi="仿宋" w:eastAsia="仿宋" w:cs="仿宋"/>
                <w:color w:val="000000" w:themeColor="text1"/>
                <w:kern w:val="0"/>
                <w:sz w:val="21"/>
                <w:szCs w:val="21"/>
                <w:highlight w:val="none"/>
                <w:lang w:val="en-US" w:eastAsia="zh-CN"/>
                <w14:textFill>
                  <w14:solidFill>
                    <w14:schemeClr w14:val="tx1"/>
                  </w14:solidFill>
                </w14:textFill>
              </w:rPr>
            </w:pPr>
          </w:p>
        </w:tc>
      </w:tr>
      <w:tr w14:paraId="42B1F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5000" w:type="pct"/>
            <w:gridSpan w:val="4"/>
            <w:shd w:val="clear" w:color="auto" w:fill="auto"/>
            <w:vAlign w:val="center"/>
          </w:tcPr>
          <w:p w14:paraId="62F3C202">
            <w:pPr>
              <w:widowControl/>
              <w:snapToGrid w:val="0"/>
              <w:jc w:val="center"/>
              <w:rPr>
                <w:rFonts w:hint="eastAsia" w:ascii="仿宋" w:hAnsi="仿宋" w:eastAsia="仿宋" w:cs="仿宋"/>
                <w:b/>
                <w:bCs/>
                <w:color w:val="000000" w:themeColor="text1"/>
                <w:kern w:val="0"/>
                <w:sz w:val="21"/>
                <w:szCs w:val="21"/>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u w:val="none"/>
                <w:lang w:val="en-US" w:eastAsia="zh-CN" w:bidi="ar-SA"/>
                <w14:textFill>
                  <w14:solidFill>
                    <w14:schemeClr w14:val="tx1"/>
                  </w14:solidFill>
                </w14:textFill>
              </w:rPr>
              <w:t>三、</w:t>
            </w:r>
            <w:r>
              <w:rPr>
                <w:rFonts w:hint="eastAsia" w:ascii="仿宋" w:hAnsi="仿宋" w:eastAsia="仿宋" w:cs="仿宋"/>
                <w:b/>
                <w:bCs/>
                <w:color w:val="000000" w:themeColor="text1"/>
                <w:kern w:val="0"/>
                <w:sz w:val="21"/>
                <w:szCs w:val="21"/>
                <w:highlight w:val="none"/>
                <w:u w:val="none"/>
                <w:lang w:eastAsia="zh-Hans"/>
                <w14:textFill>
                  <w14:solidFill>
                    <w14:schemeClr w14:val="tx1"/>
                  </w14:solidFill>
                </w14:textFill>
              </w:rPr>
              <w:t>系统安全与配置安装</w:t>
            </w:r>
          </w:p>
        </w:tc>
      </w:tr>
      <w:tr w14:paraId="7EAED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restart"/>
            <w:shd w:val="clear" w:color="auto" w:fill="auto"/>
            <w:vAlign w:val="center"/>
          </w:tcPr>
          <w:p w14:paraId="64B2BD25">
            <w:pPr>
              <w:widowControl/>
              <w:snapToGrid w:val="0"/>
              <w:jc w:val="center"/>
              <w:rPr>
                <w:rFonts w:hint="eastAsia" w:ascii="仿宋" w:hAnsi="仿宋" w:eastAsia="仿宋" w:cs="仿宋"/>
                <w:color w:val="000000" w:themeColor="text1"/>
                <w:kern w:val="0"/>
                <w:sz w:val="21"/>
                <w:szCs w:val="21"/>
                <w:highlight w:val="none"/>
                <w:u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u w:val="none"/>
                <w:lang w:val="en-US" w:eastAsia="zh-CN"/>
                <w14:textFill>
                  <w14:solidFill>
                    <w14:schemeClr w14:val="tx1"/>
                  </w14:solidFill>
                </w14:textFill>
              </w:rPr>
              <w:t>1</w:t>
            </w:r>
          </w:p>
        </w:tc>
        <w:tc>
          <w:tcPr>
            <w:tcW w:w="586" w:type="pct"/>
            <w:vMerge w:val="restart"/>
            <w:shd w:val="clear" w:color="auto" w:fill="auto"/>
            <w:vAlign w:val="center"/>
          </w:tcPr>
          <w:p w14:paraId="7941D70A">
            <w:pPr>
              <w:widowControl/>
              <w:snapToGrid w:val="0"/>
              <w:jc w:val="cente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pPr>
            <w:r>
              <w:rPr>
                <w:rFonts w:hint="eastAsia" w:ascii="仿宋" w:hAnsi="仿宋" w:eastAsia="仿宋" w:cs="仿宋"/>
                <w:b/>
                <w:bCs/>
                <w:color w:val="000000" w:themeColor="text1"/>
                <w:kern w:val="0"/>
                <w:sz w:val="21"/>
                <w:szCs w:val="21"/>
                <w:highlight w:val="none"/>
                <w:lang w:eastAsia="zh-Hans"/>
                <w14:textFill>
                  <w14:solidFill>
                    <w14:schemeClr w14:val="tx1"/>
                  </w14:solidFill>
                </w14:textFill>
              </w:rPr>
              <w:t>性能要求</w:t>
            </w:r>
          </w:p>
        </w:tc>
        <w:tc>
          <w:tcPr>
            <w:tcW w:w="3684" w:type="pct"/>
            <w:shd w:val="clear" w:color="auto" w:fill="auto"/>
            <w:vAlign w:val="center"/>
          </w:tcPr>
          <w:p w14:paraId="6AB2BD12">
            <w:pPr>
              <w:widowControl/>
              <w:snapToGrid w:val="0"/>
              <w:rPr>
                <w:rFonts w:hint="eastAsia" w:ascii="仿宋" w:hAnsi="仿宋" w:eastAsia="仿宋" w:cs="仿宋"/>
                <w:color w:val="000000" w:themeColor="text1"/>
                <w:kern w:val="0"/>
                <w:sz w:val="21"/>
                <w:szCs w:val="21"/>
                <w:highlight w:val="none"/>
                <w:u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u w:val="none"/>
                <w:lang w:val="en-US" w:eastAsia="zh-CN"/>
                <w14:textFill>
                  <w14:solidFill>
                    <w14:schemeClr w14:val="tx1"/>
                  </w14:solidFill>
                </w14:textFill>
              </w:rPr>
              <w:t>1.</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系统</w:t>
            </w:r>
            <w:r>
              <w:rPr>
                <w:rFonts w:hint="eastAsia" w:ascii="仿宋" w:hAnsi="仿宋" w:eastAsia="仿宋" w:cs="仿宋"/>
                <w:color w:val="000000" w:themeColor="text1"/>
                <w:kern w:val="0"/>
                <w:sz w:val="21"/>
                <w:szCs w:val="21"/>
                <w:highlight w:val="none"/>
                <w:u w:val="none"/>
                <w14:textFill>
                  <w14:solidFill>
                    <w14:schemeClr w14:val="tx1"/>
                  </w14:solidFill>
                </w14:textFill>
              </w:rPr>
              <w:t>支持</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独立服务器接入医院内网，隔绝</w:t>
            </w:r>
            <w:r>
              <w:rPr>
                <w:rFonts w:hint="eastAsia" w:ascii="仿宋" w:hAnsi="仿宋" w:eastAsia="仿宋" w:cs="仿宋"/>
                <w:color w:val="000000" w:themeColor="text1"/>
                <w:kern w:val="0"/>
                <w:sz w:val="21"/>
                <w:szCs w:val="21"/>
                <w:highlight w:val="none"/>
                <w:u w:val="none"/>
                <w14:textFill>
                  <w14:solidFill>
                    <w14:schemeClr w14:val="tx1"/>
                  </w14:solidFill>
                </w14:textFill>
              </w:rPr>
              <w:t>外网</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，通过防火墙限制服务器暴露端口和可访问网段，防止数据泄露</w:t>
            </w:r>
          </w:p>
        </w:tc>
        <w:tc>
          <w:tcPr>
            <w:tcW w:w="490" w:type="pct"/>
            <w:vMerge w:val="restart"/>
            <w:shd w:val="clear" w:color="auto" w:fill="auto"/>
            <w:vAlign w:val="center"/>
          </w:tcPr>
          <w:p w14:paraId="336AFC0C">
            <w:pPr>
              <w:widowControl/>
              <w:snapToGrid w:val="0"/>
              <w:ind w:firstLine="0"/>
              <w:rPr>
                <w:rFonts w:hint="eastAsia" w:ascii="仿宋" w:hAnsi="仿宋" w:eastAsia="仿宋" w:cs="仿宋"/>
                <w:color w:val="000000" w:themeColor="text1"/>
                <w:kern w:val="0"/>
                <w:sz w:val="21"/>
                <w:szCs w:val="21"/>
                <w:highlight w:val="none"/>
                <w:u w:val="none"/>
                <w:lang w:eastAsia="zh-CN"/>
                <w14:textFill>
                  <w14:solidFill>
                    <w14:schemeClr w14:val="tx1"/>
                  </w14:solidFill>
                </w14:textFill>
              </w:rPr>
            </w:pPr>
            <w:r>
              <w:rPr>
                <w:rFonts w:hint="eastAsia" w:ascii="仿宋" w:hAnsi="仿宋" w:eastAsia="仿宋" w:cs="仿宋"/>
                <w:color w:val="000000" w:themeColor="text1"/>
                <w:kern w:val="0"/>
                <w:sz w:val="21"/>
                <w:szCs w:val="21"/>
                <w:highlight w:val="none"/>
                <w:u w:val="none"/>
                <w:lang w:val="en-US" w:eastAsia="zh-CN"/>
                <w14:textFill>
                  <w14:solidFill>
                    <w14:schemeClr w14:val="tx1"/>
                  </w14:solidFill>
                </w14:textFill>
              </w:rPr>
              <w:t>1项</w:t>
            </w:r>
          </w:p>
        </w:tc>
      </w:tr>
      <w:tr w14:paraId="53D62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438FF444">
            <w:pPr>
              <w:widowControl/>
              <w:snapToGrid w:val="0"/>
              <w:jc w:val="center"/>
              <w:rPr>
                <w:rFonts w:hint="eastAsia" w:ascii="仿宋" w:hAnsi="仿宋" w:eastAsia="仿宋" w:cs="仿宋"/>
                <w:color w:val="000000" w:themeColor="text1"/>
                <w:kern w:val="0"/>
                <w:sz w:val="21"/>
                <w:szCs w:val="21"/>
                <w:highlight w:val="none"/>
                <w:u w:val="none"/>
                <w:lang w:val="en-US" w:eastAsia="zh-Hans" w:bidi="ar-SA"/>
                <w14:textFill>
                  <w14:solidFill>
                    <w14:schemeClr w14:val="tx1"/>
                  </w14:solidFill>
                </w14:textFill>
              </w:rPr>
            </w:pPr>
          </w:p>
        </w:tc>
        <w:tc>
          <w:tcPr>
            <w:tcW w:w="586" w:type="pct"/>
            <w:vMerge w:val="continue"/>
            <w:shd w:val="clear" w:color="auto" w:fill="auto"/>
            <w:vAlign w:val="center"/>
          </w:tcPr>
          <w:p w14:paraId="4B16E530">
            <w:pPr>
              <w:widowControl/>
              <w:snapToGrid w:val="0"/>
              <w:rPr>
                <w:rFonts w:hint="eastAsia" w:ascii="仿宋" w:hAnsi="仿宋" w:eastAsia="仿宋" w:cs="仿宋"/>
                <w:color w:val="000000" w:themeColor="text1"/>
                <w:kern w:val="0"/>
                <w:sz w:val="21"/>
                <w:szCs w:val="21"/>
                <w:highlight w:val="none"/>
                <w:u w:val="none"/>
                <w14:textFill>
                  <w14:solidFill>
                    <w14:schemeClr w14:val="tx1"/>
                  </w14:solidFill>
                </w14:textFill>
              </w:rPr>
            </w:pPr>
          </w:p>
        </w:tc>
        <w:tc>
          <w:tcPr>
            <w:tcW w:w="3684" w:type="pct"/>
            <w:shd w:val="clear" w:color="auto" w:fill="auto"/>
            <w:vAlign w:val="center"/>
          </w:tcPr>
          <w:p w14:paraId="166EA040">
            <w:pPr>
              <w:widowControl/>
              <w:snapToGrid w:val="0"/>
              <w:rPr>
                <w:rFonts w:hint="eastAsia" w:ascii="仿宋" w:hAnsi="仿宋" w:eastAsia="仿宋" w:cs="仿宋"/>
                <w:color w:val="000000" w:themeColor="text1"/>
                <w:kern w:val="0"/>
                <w:sz w:val="21"/>
                <w:szCs w:val="21"/>
                <w:highlight w:val="none"/>
                <w:u w:val="none"/>
                <w:lang w:val="en-US" w:eastAsia="zh-Hans" w:bidi="ar-SA"/>
                <w14:textFill>
                  <w14:solidFill>
                    <w14:schemeClr w14:val="tx1"/>
                  </w14:solidFill>
                </w14:textFill>
              </w:rPr>
            </w:pPr>
            <w:r>
              <w:rPr>
                <w:rFonts w:hint="eastAsia" w:ascii="仿宋" w:hAnsi="仿宋" w:eastAsia="仿宋" w:cs="仿宋"/>
                <w:color w:val="000000" w:themeColor="text1"/>
                <w:kern w:val="0"/>
                <w:sz w:val="21"/>
                <w:szCs w:val="21"/>
                <w:highlight w:val="none"/>
                <w:u w:val="none"/>
                <w:lang w:val="en-US" w:eastAsia="zh-CN"/>
                <w14:textFill>
                  <w14:solidFill>
                    <w14:schemeClr w14:val="tx1"/>
                  </w14:solidFill>
                </w14:textFill>
              </w:rPr>
              <w:t>2.</w:t>
            </w:r>
            <w:r>
              <w:rPr>
                <w:rFonts w:hint="eastAsia" w:ascii="仿宋" w:hAnsi="仿宋" w:eastAsia="仿宋" w:cs="仿宋"/>
                <w:color w:val="000000" w:themeColor="text1"/>
                <w:kern w:val="0"/>
                <w:sz w:val="21"/>
                <w:szCs w:val="21"/>
                <w:highlight w:val="none"/>
                <w:u w:val="none"/>
                <w14:textFill>
                  <w14:solidFill>
                    <w14:schemeClr w14:val="tx1"/>
                  </w14:solidFill>
                </w14:textFill>
              </w:rPr>
              <w:t>系统无需</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医院提供数据进行标注及模型训练，</w:t>
            </w:r>
            <w:r>
              <w:rPr>
                <w:rFonts w:hint="eastAsia" w:ascii="仿宋" w:hAnsi="仿宋" w:eastAsia="仿宋" w:cs="仿宋"/>
                <w:color w:val="000000" w:themeColor="text1"/>
                <w:kern w:val="0"/>
                <w:sz w:val="21"/>
                <w:szCs w:val="21"/>
                <w:highlight w:val="none"/>
                <w:u w:val="none"/>
                <w14:textFill>
                  <w14:solidFill>
                    <w14:schemeClr w14:val="tx1"/>
                  </w14:solidFill>
                </w14:textFill>
              </w:rPr>
              <w:t>无需</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医院将病例信息上传或转移到公司</w:t>
            </w:r>
          </w:p>
        </w:tc>
        <w:tc>
          <w:tcPr>
            <w:tcW w:w="490" w:type="pct"/>
            <w:vMerge w:val="continue"/>
            <w:shd w:val="clear" w:color="auto" w:fill="auto"/>
            <w:vAlign w:val="center"/>
          </w:tcPr>
          <w:p w14:paraId="2AA9B684">
            <w:pPr>
              <w:widowControl/>
              <w:snapToGrid w:val="0"/>
              <w:rPr>
                <w:rFonts w:hint="eastAsia" w:ascii="仿宋" w:hAnsi="仿宋" w:eastAsia="仿宋" w:cs="仿宋"/>
                <w:color w:val="000000" w:themeColor="text1"/>
                <w:kern w:val="0"/>
                <w:sz w:val="21"/>
                <w:szCs w:val="21"/>
                <w:highlight w:val="none"/>
                <w:u w:val="none"/>
                <w14:textFill>
                  <w14:solidFill>
                    <w14:schemeClr w14:val="tx1"/>
                  </w14:solidFill>
                </w14:textFill>
              </w:rPr>
            </w:pPr>
          </w:p>
        </w:tc>
      </w:tr>
      <w:tr w14:paraId="3E169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239" w:type="pct"/>
            <w:vMerge w:val="continue"/>
            <w:shd w:val="clear" w:color="auto" w:fill="auto"/>
            <w:vAlign w:val="center"/>
          </w:tcPr>
          <w:p w14:paraId="0D293AD9">
            <w:pPr>
              <w:widowControl/>
              <w:snapToGrid w:val="0"/>
              <w:jc w:val="center"/>
              <w:rPr>
                <w:rFonts w:hint="eastAsia" w:ascii="仿宋" w:hAnsi="仿宋" w:eastAsia="仿宋" w:cs="仿宋"/>
                <w:color w:val="000000" w:themeColor="text1"/>
                <w:kern w:val="0"/>
                <w:sz w:val="21"/>
                <w:szCs w:val="21"/>
                <w:highlight w:val="none"/>
                <w:u w:val="none"/>
                <w:lang w:val="en-US" w:eastAsia="zh-Hans" w:bidi="ar-SA"/>
                <w14:textFill>
                  <w14:solidFill>
                    <w14:schemeClr w14:val="tx1"/>
                  </w14:solidFill>
                </w14:textFill>
              </w:rPr>
            </w:pPr>
          </w:p>
        </w:tc>
        <w:tc>
          <w:tcPr>
            <w:tcW w:w="586" w:type="pct"/>
            <w:vMerge w:val="continue"/>
            <w:shd w:val="clear" w:color="auto" w:fill="auto"/>
            <w:vAlign w:val="center"/>
          </w:tcPr>
          <w:p w14:paraId="4EAEC06E">
            <w:pPr>
              <w:widowControl/>
              <w:snapToGrid w:val="0"/>
              <w:rPr>
                <w:rFonts w:hint="eastAsia" w:ascii="仿宋" w:hAnsi="仿宋" w:eastAsia="仿宋" w:cs="仿宋"/>
                <w:color w:val="000000" w:themeColor="text1"/>
                <w:kern w:val="0"/>
                <w:sz w:val="21"/>
                <w:szCs w:val="21"/>
                <w:highlight w:val="none"/>
                <w:u w:val="none"/>
                <w14:textFill>
                  <w14:solidFill>
                    <w14:schemeClr w14:val="tx1"/>
                  </w14:solidFill>
                </w14:textFill>
              </w:rPr>
            </w:pPr>
          </w:p>
        </w:tc>
        <w:tc>
          <w:tcPr>
            <w:tcW w:w="3684" w:type="pct"/>
            <w:shd w:val="clear" w:color="auto" w:fill="auto"/>
            <w:vAlign w:val="center"/>
          </w:tcPr>
          <w:p w14:paraId="4D0E1C21">
            <w:pPr>
              <w:widowControl/>
              <w:snapToGrid w:val="0"/>
              <w:rPr>
                <w:rFonts w:hint="eastAsia" w:ascii="仿宋" w:hAnsi="仿宋" w:eastAsia="仿宋" w:cs="仿宋"/>
                <w:color w:val="000000" w:themeColor="text1"/>
                <w:kern w:val="0"/>
                <w:sz w:val="21"/>
                <w:szCs w:val="21"/>
                <w:highlight w:val="none"/>
                <w:u w:val="none"/>
                <w:lang w:val="en-US" w:eastAsia="zh-CN" w:bidi="ar-SA"/>
                <w14:textFill>
                  <w14:solidFill>
                    <w14:schemeClr w14:val="tx1"/>
                  </w14:solidFill>
                </w14:textFill>
              </w:rPr>
            </w:pPr>
            <w:r>
              <w:rPr>
                <w:rFonts w:hint="eastAsia" w:ascii="仿宋" w:hAnsi="仿宋" w:eastAsia="仿宋" w:cs="仿宋"/>
                <w:color w:val="000000" w:themeColor="text1"/>
                <w:kern w:val="0"/>
                <w:sz w:val="21"/>
                <w:szCs w:val="21"/>
                <w:highlight w:val="none"/>
                <w:u w:val="none"/>
                <w:lang w:val="en-US" w:eastAsia="zh-CN"/>
                <w14:textFill>
                  <w14:solidFill>
                    <w14:schemeClr w14:val="tx1"/>
                  </w14:solidFill>
                </w14:textFill>
              </w:rPr>
              <w:t>3.</w:t>
            </w:r>
            <w:r>
              <w:rPr>
                <w:rFonts w:hint="eastAsia" w:ascii="仿宋" w:hAnsi="仿宋" w:eastAsia="仿宋" w:cs="仿宋"/>
                <w:color w:val="000000" w:themeColor="text1"/>
                <w:kern w:val="0"/>
                <w:sz w:val="21"/>
                <w:szCs w:val="21"/>
                <w:highlight w:val="none"/>
                <w:u w:val="none"/>
                <w14:textFill>
                  <w14:solidFill>
                    <w14:schemeClr w14:val="tx1"/>
                  </w14:solidFill>
                </w14:textFill>
              </w:rPr>
              <w:t>系统</w:t>
            </w:r>
            <w:r>
              <w:rPr>
                <w:rFonts w:hint="eastAsia" w:ascii="仿宋" w:hAnsi="仿宋" w:eastAsia="仿宋" w:cs="仿宋"/>
                <w:color w:val="000000" w:themeColor="text1"/>
                <w:kern w:val="0"/>
                <w:sz w:val="21"/>
                <w:szCs w:val="21"/>
                <w:highlight w:val="none"/>
                <w:u w:val="none"/>
                <w:lang w:eastAsia="zh-Hans"/>
                <w14:textFill>
                  <w14:solidFill>
                    <w14:schemeClr w14:val="tx1"/>
                  </w14:solidFill>
                </w14:textFill>
              </w:rPr>
              <w:t>厂家工程师对系统进行安装并确保正常使用</w:t>
            </w:r>
          </w:p>
        </w:tc>
        <w:tc>
          <w:tcPr>
            <w:tcW w:w="490" w:type="pct"/>
            <w:vMerge w:val="continue"/>
            <w:shd w:val="clear" w:color="auto" w:fill="auto"/>
            <w:vAlign w:val="center"/>
          </w:tcPr>
          <w:p w14:paraId="3689E78B">
            <w:pPr>
              <w:widowControl/>
              <w:snapToGrid w:val="0"/>
              <w:rPr>
                <w:rFonts w:hint="eastAsia" w:ascii="仿宋" w:hAnsi="仿宋" w:eastAsia="仿宋" w:cs="仿宋"/>
                <w:color w:val="000000" w:themeColor="text1"/>
                <w:kern w:val="0"/>
                <w:sz w:val="21"/>
                <w:szCs w:val="21"/>
                <w:highlight w:val="none"/>
                <w:u w:val="none"/>
                <w14:textFill>
                  <w14:solidFill>
                    <w14:schemeClr w14:val="tx1"/>
                  </w14:solidFill>
                </w14:textFill>
              </w:rPr>
            </w:pPr>
          </w:p>
        </w:tc>
      </w:tr>
    </w:tbl>
    <w:p w14:paraId="242E3D75">
      <w:r>
        <w:br w:type="page"/>
      </w:r>
    </w:p>
    <w:tbl>
      <w:tblPr>
        <w:tblStyle w:val="4"/>
        <w:tblW w:w="8303" w:type="dxa"/>
        <w:tblInd w:w="-13" w:type="dxa"/>
        <w:tblLayout w:type="fixed"/>
        <w:tblCellMar>
          <w:top w:w="0" w:type="dxa"/>
          <w:left w:w="108" w:type="dxa"/>
          <w:bottom w:w="0" w:type="dxa"/>
          <w:right w:w="108" w:type="dxa"/>
        </w:tblCellMar>
      </w:tblPr>
      <w:tblGrid>
        <w:gridCol w:w="429"/>
        <w:gridCol w:w="1221"/>
        <w:gridCol w:w="1264"/>
        <w:gridCol w:w="1650"/>
        <w:gridCol w:w="3739"/>
      </w:tblGrid>
      <w:tr w14:paraId="0399C56A">
        <w:tblPrEx>
          <w:tblCellMar>
            <w:top w:w="0" w:type="dxa"/>
            <w:left w:w="108" w:type="dxa"/>
            <w:bottom w:w="0" w:type="dxa"/>
            <w:right w:w="108" w:type="dxa"/>
          </w:tblCellMar>
        </w:tblPrEx>
        <w:trPr>
          <w:wAfter w:w="0" w:type="auto"/>
          <w:trHeight w:val="416" w:hRule="atLeast"/>
          <w:tblHeader/>
        </w:trPr>
        <w:tc>
          <w:tcPr>
            <w:tcW w:w="8303"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025CEF1">
            <w:pPr>
              <w:widowControl/>
              <w:tabs>
                <w:tab w:val="left" w:pos="2858"/>
              </w:tabs>
              <w:jc w:val="center"/>
              <w:rPr>
                <w:rFonts w:hint="eastAsia" w:ascii="仿宋" w:hAnsi="仿宋" w:eastAsia="仿宋" w:cs="仿宋"/>
                <w:b/>
                <w:bCs/>
                <w:kern w:val="0"/>
                <w:sz w:val="21"/>
                <w:szCs w:val="21"/>
                <w:lang w:eastAsia="zh-CN"/>
              </w:rPr>
            </w:pPr>
            <w:r>
              <w:rPr>
                <w:rFonts w:hint="eastAsia" w:ascii="仿宋" w:hAnsi="仿宋" w:eastAsia="仿宋" w:cs="仿宋"/>
                <w:b/>
                <w:bCs/>
                <w:color w:val="000000" w:themeColor="text1"/>
                <w:kern w:val="0"/>
                <w:sz w:val="21"/>
                <w:szCs w:val="21"/>
                <w:highlight w:val="none"/>
                <w:u w:val="none"/>
                <w:lang w:val="en-US" w:eastAsia="zh-CN" w:bidi="ar-SA"/>
                <w14:textFill>
                  <w14:solidFill>
                    <w14:schemeClr w14:val="tx1"/>
                  </w14:solidFill>
                </w14:textFill>
              </w:rPr>
              <w:t>四、</w:t>
            </w:r>
            <w:r>
              <w:rPr>
                <w:rFonts w:hint="eastAsia" w:ascii="仿宋" w:hAnsi="仿宋" w:eastAsia="仿宋" w:cs="仿宋"/>
                <w:b/>
                <w:bCs/>
                <w:color w:val="000000" w:themeColor="text1"/>
                <w:kern w:val="0"/>
                <w:sz w:val="21"/>
                <w:szCs w:val="21"/>
                <w:highlight w:val="none"/>
                <w:u w:val="none"/>
                <w:lang w:val="en-US" w:eastAsia="zh-CN"/>
                <w14:textFill>
                  <w14:solidFill>
                    <w14:schemeClr w14:val="tx1"/>
                  </w14:solidFill>
                </w14:textFill>
              </w:rPr>
              <w:t>硬件配置</w:t>
            </w:r>
          </w:p>
        </w:tc>
      </w:tr>
      <w:tr w14:paraId="08CDB7AA">
        <w:tblPrEx>
          <w:tblCellMar>
            <w:top w:w="0" w:type="dxa"/>
            <w:left w:w="108" w:type="dxa"/>
            <w:bottom w:w="0" w:type="dxa"/>
            <w:right w:w="108" w:type="dxa"/>
          </w:tblCellMar>
        </w:tblPrEx>
        <w:trPr>
          <w:wAfter w:w="0" w:type="auto"/>
          <w:trHeight w:val="416" w:hRule="atLeast"/>
          <w:tblHeader/>
        </w:trPr>
        <w:tc>
          <w:tcPr>
            <w:tcW w:w="429" w:type="dxa"/>
            <w:tcBorders>
              <w:top w:val="single" w:color="auto" w:sz="4" w:space="0"/>
              <w:left w:val="single" w:color="auto" w:sz="4" w:space="0"/>
              <w:bottom w:val="single" w:color="auto" w:sz="4" w:space="0"/>
              <w:right w:val="single" w:color="auto" w:sz="4" w:space="0"/>
            </w:tcBorders>
            <w:shd w:val="clear" w:color="auto" w:fill="auto"/>
            <w:vAlign w:val="center"/>
          </w:tcPr>
          <w:p w14:paraId="2775DFA3">
            <w:pPr>
              <w:widowControl/>
              <w:jc w:val="center"/>
              <w:rPr>
                <w:rFonts w:hint="eastAsia" w:ascii="仿宋" w:hAnsi="仿宋" w:eastAsia="仿宋" w:cs="仿宋"/>
                <w:b/>
                <w:bCs/>
                <w:kern w:val="0"/>
                <w:sz w:val="21"/>
                <w:szCs w:val="21"/>
              </w:rPr>
            </w:pPr>
            <w:r>
              <w:rPr>
                <w:rFonts w:hint="eastAsia" w:ascii="仿宋" w:hAnsi="仿宋" w:eastAsia="仿宋" w:cs="仿宋"/>
                <w:b/>
                <w:bCs/>
                <w:kern w:val="0"/>
                <w:sz w:val="21"/>
                <w:szCs w:val="21"/>
              </w:rPr>
              <w:t>序号</w:t>
            </w:r>
          </w:p>
        </w:tc>
        <w:tc>
          <w:tcPr>
            <w:tcW w:w="1221" w:type="dxa"/>
            <w:tcBorders>
              <w:top w:val="single" w:color="auto" w:sz="4" w:space="0"/>
              <w:left w:val="nil"/>
              <w:bottom w:val="single" w:color="auto" w:sz="4" w:space="0"/>
              <w:right w:val="single" w:color="auto" w:sz="4" w:space="0"/>
            </w:tcBorders>
            <w:shd w:val="clear" w:color="auto" w:fill="auto"/>
            <w:vAlign w:val="center"/>
          </w:tcPr>
          <w:p w14:paraId="2D9FE3C6">
            <w:pPr>
              <w:widowControl/>
              <w:jc w:val="left"/>
              <w:rPr>
                <w:rFonts w:hint="eastAsia" w:ascii="仿宋" w:hAnsi="仿宋" w:eastAsia="仿宋" w:cs="仿宋"/>
                <w:b/>
                <w:bCs/>
                <w:kern w:val="0"/>
                <w:sz w:val="21"/>
                <w:szCs w:val="21"/>
              </w:rPr>
            </w:pPr>
            <w:r>
              <w:rPr>
                <w:rFonts w:hint="eastAsia" w:ascii="仿宋" w:hAnsi="仿宋" w:eastAsia="仿宋" w:cs="仿宋"/>
                <w:b/>
                <w:bCs/>
                <w:kern w:val="0"/>
                <w:sz w:val="21"/>
                <w:szCs w:val="21"/>
              </w:rPr>
              <w:t>指标分类</w:t>
            </w:r>
          </w:p>
        </w:tc>
        <w:tc>
          <w:tcPr>
            <w:tcW w:w="1264" w:type="dxa"/>
            <w:tcBorders>
              <w:top w:val="single" w:color="auto" w:sz="4" w:space="0"/>
              <w:left w:val="nil"/>
              <w:bottom w:val="single" w:color="auto" w:sz="4" w:space="0"/>
              <w:right w:val="single" w:color="auto" w:sz="4" w:space="0"/>
            </w:tcBorders>
            <w:shd w:val="clear" w:color="auto" w:fill="auto"/>
            <w:vAlign w:val="center"/>
          </w:tcPr>
          <w:p w14:paraId="74D01FF3">
            <w:pPr>
              <w:widowControl/>
              <w:jc w:val="center"/>
              <w:rPr>
                <w:rFonts w:hint="eastAsia" w:ascii="仿宋" w:hAnsi="仿宋" w:eastAsia="仿宋" w:cs="仿宋"/>
                <w:b/>
                <w:bCs/>
                <w:kern w:val="0"/>
                <w:sz w:val="21"/>
                <w:szCs w:val="21"/>
              </w:rPr>
            </w:pPr>
            <w:r>
              <w:rPr>
                <w:rFonts w:hint="eastAsia" w:ascii="仿宋" w:hAnsi="仿宋" w:eastAsia="仿宋" w:cs="仿宋"/>
                <w:b/>
                <w:bCs/>
                <w:kern w:val="0"/>
                <w:sz w:val="21"/>
                <w:szCs w:val="21"/>
              </w:rPr>
              <w:t>一级指标</w:t>
            </w:r>
          </w:p>
        </w:tc>
        <w:tc>
          <w:tcPr>
            <w:tcW w:w="1650" w:type="dxa"/>
            <w:tcBorders>
              <w:top w:val="single" w:color="auto" w:sz="4" w:space="0"/>
              <w:left w:val="nil"/>
              <w:bottom w:val="single" w:color="auto" w:sz="4" w:space="0"/>
              <w:right w:val="single" w:color="auto" w:sz="4" w:space="0"/>
            </w:tcBorders>
            <w:shd w:val="clear" w:color="auto" w:fill="auto"/>
            <w:vAlign w:val="center"/>
          </w:tcPr>
          <w:p w14:paraId="128FD91F">
            <w:pPr>
              <w:widowControl/>
              <w:jc w:val="center"/>
              <w:rPr>
                <w:rFonts w:hint="eastAsia" w:ascii="仿宋" w:hAnsi="仿宋" w:eastAsia="仿宋" w:cs="仿宋"/>
                <w:b/>
                <w:bCs/>
                <w:kern w:val="0"/>
                <w:sz w:val="21"/>
                <w:szCs w:val="21"/>
              </w:rPr>
            </w:pPr>
            <w:r>
              <w:rPr>
                <w:rFonts w:hint="eastAsia" w:ascii="仿宋" w:hAnsi="仿宋" w:eastAsia="仿宋" w:cs="仿宋"/>
                <w:b/>
                <w:bCs/>
                <w:kern w:val="0"/>
                <w:sz w:val="21"/>
                <w:szCs w:val="21"/>
              </w:rPr>
              <w:t>二级指标</w:t>
            </w:r>
          </w:p>
        </w:tc>
        <w:tc>
          <w:tcPr>
            <w:tcW w:w="3739" w:type="dxa"/>
            <w:tcBorders>
              <w:top w:val="single" w:color="auto" w:sz="4" w:space="0"/>
              <w:left w:val="nil"/>
              <w:bottom w:val="single" w:color="auto" w:sz="4" w:space="0"/>
              <w:right w:val="single" w:color="auto" w:sz="4" w:space="0"/>
            </w:tcBorders>
            <w:shd w:val="clear" w:color="auto" w:fill="auto"/>
            <w:vAlign w:val="center"/>
          </w:tcPr>
          <w:p w14:paraId="43740247">
            <w:pPr>
              <w:widowControl/>
              <w:jc w:val="left"/>
              <w:rPr>
                <w:rFonts w:hint="eastAsia" w:ascii="仿宋" w:hAnsi="仿宋" w:eastAsia="仿宋" w:cs="仿宋"/>
                <w:b/>
                <w:bCs/>
                <w:kern w:val="0"/>
                <w:sz w:val="21"/>
                <w:szCs w:val="21"/>
              </w:rPr>
            </w:pPr>
            <w:r>
              <w:rPr>
                <w:rFonts w:hint="eastAsia" w:ascii="仿宋" w:hAnsi="仿宋" w:eastAsia="仿宋" w:cs="仿宋"/>
                <w:b/>
                <w:bCs/>
                <w:kern w:val="0"/>
                <w:sz w:val="21"/>
                <w:szCs w:val="21"/>
              </w:rPr>
              <w:t>技术参数</w:t>
            </w:r>
          </w:p>
        </w:tc>
      </w:tr>
      <w:tr w14:paraId="7AD09CA3">
        <w:tblPrEx>
          <w:tblCellMar>
            <w:top w:w="0" w:type="dxa"/>
            <w:left w:w="108" w:type="dxa"/>
            <w:bottom w:w="0" w:type="dxa"/>
            <w:right w:w="108" w:type="dxa"/>
          </w:tblCellMar>
        </w:tblPrEx>
        <w:trPr>
          <w:wAfter w:w="0" w:type="auto"/>
          <w:trHeight w:val="97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52106F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spacing w:val="21"/>
                <w:w w:val="100"/>
                <w:kern w:val="0"/>
                <w:sz w:val="21"/>
                <w:szCs w:val="21"/>
                <w:highlight w:val="none"/>
                <w:fitText w:val="126" w:id="175403531"/>
              </w:rPr>
              <w:t>1</w:t>
            </w:r>
          </w:p>
        </w:tc>
        <w:tc>
          <w:tcPr>
            <w:tcW w:w="1221" w:type="dxa"/>
            <w:tcBorders>
              <w:top w:val="nil"/>
              <w:left w:val="nil"/>
              <w:bottom w:val="single" w:color="auto" w:sz="4" w:space="0"/>
              <w:right w:val="single" w:color="auto" w:sz="4" w:space="0"/>
            </w:tcBorders>
            <w:shd w:val="clear" w:color="auto" w:fill="auto"/>
            <w:vAlign w:val="center"/>
          </w:tcPr>
          <w:p w14:paraId="000DC1D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tcBorders>
              <w:top w:val="nil"/>
              <w:left w:val="nil"/>
              <w:bottom w:val="single" w:color="auto" w:sz="4" w:space="0"/>
              <w:right w:val="single" w:color="auto" w:sz="4" w:space="0"/>
            </w:tcBorders>
            <w:shd w:val="clear" w:color="auto" w:fill="auto"/>
            <w:vAlign w:val="center"/>
          </w:tcPr>
          <w:p w14:paraId="531C146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CPU规格</w:t>
            </w:r>
          </w:p>
        </w:tc>
        <w:tc>
          <w:tcPr>
            <w:tcW w:w="1650" w:type="dxa"/>
            <w:tcBorders>
              <w:top w:val="nil"/>
              <w:left w:val="nil"/>
              <w:bottom w:val="single" w:color="auto" w:sz="4" w:space="0"/>
              <w:right w:val="single" w:color="auto" w:sz="4" w:space="0"/>
            </w:tcBorders>
            <w:shd w:val="clear" w:color="auto" w:fill="auto"/>
            <w:vAlign w:val="center"/>
          </w:tcPr>
          <w:p w14:paraId="411567D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CPU信息</w:t>
            </w:r>
          </w:p>
        </w:tc>
        <w:tc>
          <w:tcPr>
            <w:tcW w:w="3739" w:type="dxa"/>
            <w:tcBorders>
              <w:top w:val="nil"/>
              <w:left w:val="nil"/>
              <w:bottom w:val="single" w:color="auto" w:sz="4" w:space="0"/>
              <w:right w:val="single" w:color="auto" w:sz="4" w:space="0"/>
            </w:tcBorders>
            <w:shd w:val="clear" w:color="auto" w:fill="auto"/>
            <w:vAlign w:val="center"/>
          </w:tcPr>
          <w:p w14:paraId="0D7C6619">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配置≥2颗，主频2.2GHz，单颗核心数≥24核，48线程，末级缓存36MB，TDP功耗为165W，支持内存最高2933MT/s，通道数：单处理器共8个内存通道</w:t>
            </w:r>
          </w:p>
        </w:tc>
      </w:tr>
      <w:tr w14:paraId="5CC26F59">
        <w:tblPrEx>
          <w:tblCellMar>
            <w:top w:w="0" w:type="dxa"/>
            <w:left w:w="108" w:type="dxa"/>
            <w:bottom w:w="0" w:type="dxa"/>
            <w:right w:w="108" w:type="dxa"/>
          </w:tblCellMar>
        </w:tblPrEx>
        <w:trPr>
          <w:wAfter w:w="0" w:type="auto"/>
          <w:trHeight w:val="73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A2D0DC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w:t>
            </w:r>
          </w:p>
        </w:tc>
        <w:tc>
          <w:tcPr>
            <w:tcW w:w="1221" w:type="dxa"/>
            <w:tcBorders>
              <w:top w:val="nil"/>
              <w:left w:val="nil"/>
              <w:bottom w:val="single" w:color="auto" w:sz="4" w:space="0"/>
              <w:right w:val="single" w:color="auto" w:sz="4" w:space="0"/>
            </w:tcBorders>
            <w:shd w:val="clear" w:color="auto" w:fill="auto"/>
            <w:vAlign w:val="center"/>
          </w:tcPr>
          <w:p w14:paraId="30A4D36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bottom w:val="single" w:color="auto" w:sz="4" w:space="0"/>
              <w:right w:val="single" w:color="auto" w:sz="4" w:space="0"/>
            </w:tcBorders>
            <w:shd w:val="clear" w:color="auto" w:fill="auto"/>
            <w:vAlign w:val="center"/>
          </w:tcPr>
          <w:p w14:paraId="2D72FEFB">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主板规格</w:t>
            </w:r>
          </w:p>
        </w:tc>
        <w:tc>
          <w:tcPr>
            <w:tcW w:w="1650" w:type="dxa"/>
            <w:tcBorders>
              <w:top w:val="nil"/>
              <w:left w:val="nil"/>
              <w:bottom w:val="single" w:color="auto" w:sz="4" w:space="0"/>
              <w:right w:val="single" w:color="auto" w:sz="4" w:space="0"/>
            </w:tcBorders>
            <w:shd w:val="clear" w:color="auto" w:fill="auto"/>
            <w:vAlign w:val="center"/>
          </w:tcPr>
          <w:p w14:paraId="3E67C8B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主板支持的CPU和内存情况</w:t>
            </w:r>
          </w:p>
        </w:tc>
        <w:tc>
          <w:tcPr>
            <w:tcW w:w="3739" w:type="dxa"/>
            <w:tcBorders>
              <w:top w:val="nil"/>
              <w:left w:val="nil"/>
              <w:bottom w:val="single" w:color="auto" w:sz="4" w:space="0"/>
              <w:right w:val="single" w:color="auto" w:sz="4" w:space="0"/>
            </w:tcBorders>
            <w:shd w:val="clear" w:color="auto" w:fill="auto"/>
            <w:vAlign w:val="center"/>
          </w:tcPr>
          <w:p w14:paraId="3D619A85">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可支持≥2 个CPU；支持≥32个DDR4 内存插槽。</w:t>
            </w:r>
          </w:p>
        </w:tc>
      </w:tr>
      <w:tr w14:paraId="39297007">
        <w:tblPrEx>
          <w:tblCellMar>
            <w:top w:w="0" w:type="dxa"/>
            <w:left w:w="108" w:type="dxa"/>
            <w:bottom w:w="0" w:type="dxa"/>
            <w:right w:w="108" w:type="dxa"/>
          </w:tblCellMar>
        </w:tblPrEx>
        <w:trPr>
          <w:wAfter w:w="0" w:type="auto"/>
          <w:trHeight w:val="42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2FA23132">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w:t>
            </w:r>
          </w:p>
        </w:tc>
        <w:tc>
          <w:tcPr>
            <w:tcW w:w="1221" w:type="dxa"/>
            <w:tcBorders>
              <w:top w:val="nil"/>
              <w:left w:val="nil"/>
              <w:bottom w:val="single" w:color="auto" w:sz="4" w:space="0"/>
              <w:right w:val="single" w:color="auto" w:sz="4" w:space="0"/>
            </w:tcBorders>
            <w:shd w:val="clear" w:color="auto" w:fill="auto"/>
            <w:vAlign w:val="center"/>
          </w:tcPr>
          <w:p w14:paraId="765B009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486BCDF8">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CC1CD1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主板内存槽数量</w:t>
            </w:r>
          </w:p>
        </w:tc>
        <w:tc>
          <w:tcPr>
            <w:tcW w:w="3739" w:type="dxa"/>
            <w:tcBorders>
              <w:top w:val="nil"/>
              <w:left w:val="nil"/>
              <w:bottom w:val="single" w:color="auto" w:sz="4" w:space="0"/>
              <w:right w:val="single" w:color="auto" w:sz="4" w:space="0"/>
            </w:tcBorders>
            <w:shd w:val="clear" w:color="auto" w:fill="auto"/>
            <w:vAlign w:val="center"/>
          </w:tcPr>
          <w:p w14:paraId="6BBC30E3">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非板载内存的可扩展插槽数量应≥32个</w:t>
            </w:r>
          </w:p>
        </w:tc>
      </w:tr>
      <w:tr w14:paraId="634E0509">
        <w:tblPrEx>
          <w:tblCellMar>
            <w:top w:w="0" w:type="dxa"/>
            <w:left w:w="108" w:type="dxa"/>
            <w:bottom w:w="0" w:type="dxa"/>
            <w:right w:w="108" w:type="dxa"/>
          </w:tblCellMar>
        </w:tblPrEx>
        <w:trPr>
          <w:wAfter w:w="0" w:type="auto"/>
          <w:trHeight w:val="42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2A7E5E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w:t>
            </w:r>
          </w:p>
        </w:tc>
        <w:tc>
          <w:tcPr>
            <w:tcW w:w="1221" w:type="dxa"/>
            <w:tcBorders>
              <w:top w:val="nil"/>
              <w:left w:val="nil"/>
              <w:bottom w:val="single" w:color="auto" w:sz="4" w:space="0"/>
              <w:right w:val="single" w:color="auto" w:sz="4" w:space="0"/>
            </w:tcBorders>
            <w:shd w:val="clear" w:color="auto" w:fill="auto"/>
            <w:vAlign w:val="center"/>
          </w:tcPr>
          <w:p w14:paraId="71A35A4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07F78512">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7362E29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主板存储接口</w:t>
            </w:r>
          </w:p>
        </w:tc>
        <w:tc>
          <w:tcPr>
            <w:tcW w:w="3739" w:type="dxa"/>
            <w:tcBorders>
              <w:top w:val="nil"/>
              <w:left w:val="nil"/>
              <w:bottom w:val="single" w:color="auto" w:sz="4" w:space="0"/>
              <w:right w:val="single" w:color="auto" w:sz="4" w:space="0"/>
            </w:tcBorders>
            <w:shd w:val="clear" w:color="auto" w:fill="auto"/>
            <w:vAlign w:val="center"/>
          </w:tcPr>
          <w:p w14:paraId="6A67DA6B">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支持M.2 SSD，SAS/SATA接口</w:t>
            </w:r>
          </w:p>
        </w:tc>
      </w:tr>
      <w:tr w14:paraId="3D9B8F72">
        <w:tblPrEx>
          <w:tblCellMar>
            <w:top w:w="0" w:type="dxa"/>
            <w:left w:w="108" w:type="dxa"/>
            <w:bottom w:w="0" w:type="dxa"/>
            <w:right w:w="108" w:type="dxa"/>
          </w:tblCellMar>
        </w:tblPrEx>
        <w:trPr>
          <w:wAfter w:w="0" w:type="auto"/>
          <w:trHeight w:val="697"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B8D1AC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w:t>
            </w:r>
          </w:p>
        </w:tc>
        <w:tc>
          <w:tcPr>
            <w:tcW w:w="1221" w:type="dxa"/>
            <w:tcBorders>
              <w:top w:val="nil"/>
              <w:left w:val="nil"/>
              <w:bottom w:val="single" w:color="auto" w:sz="4" w:space="0"/>
              <w:right w:val="single" w:color="auto" w:sz="4" w:space="0"/>
            </w:tcBorders>
            <w:shd w:val="clear" w:color="auto" w:fill="auto"/>
            <w:vAlign w:val="center"/>
          </w:tcPr>
          <w:p w14:paraId="3376B57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0DCDA1CC">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0FC4F9DD">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PCIe插槽接口</w:t>
            </w:r>
          </w:p>
        </w:tc>
        <w:tc>
          <w:tcPr>
            <w:tcW w:w="3739" w:type="dxa"/>
            <w:tcBorders>
              <w:top w:val="nil"/>
              <w:left w:val="nil"/>
              <w:bottom w:val="single" w:color="auto" w:sz="4" w:space="0"/>
              <w:right w:val="single" w:color="auto" w:sz="4" w:space="0"/>
            </w:tcBorders>
            <w:shd w:val="clear" w:color="auto" w:fill="auto"/>
            <w:vAlign w:val="center"/>
          </w:tcPr>
          <w:p w14:paraId="09DA96E1">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符合PCIe 4.0的高速串行计算机扩展总线标准</w:t>
            </w:r>
          </w:p>
        </w:tc>
      </w:tr>
      <w:tr w14:paraId="47CE0D15">
        <w:tblPrEx>
          <w:tblCellMar>
            <w:top w:w="0" w:type="dxa"/>
            <w:left w:w="108" w:type="dxa"/>
            <w:bottom w:w="0" w:type="dxa"/>
            <w:right w:w="108" w:type="dxa"/>
          </w:tblCellMar>
        </w:tblPrEx>
        <w:trPr>
          <w:wAfter w:w="0" w:type="auto"/>
          <w:trHeight w:val="693"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BF51BD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w:t>
            </w:r>
          </w:p>
        </w:tc>
        <w:tc>
          <w:tcPr>
            <w:tcW w:w="1221" w:type="dxa"/>
            <w:tcBorders>
              <w:top w:val="nil"/>
              <w:left w:val="nil"/>
              <w:bottom w:val="single" w:color="auto" w:sz="4" w:space="0"/>
              <w:right w:val="single" w:color="auto" w:sz="4" w:space="0"/>
            </w:tcBorders>
            <w:shd w:val="clear" w:color="auto" w:fill="auto"/>
            <w:vAlign w:val="center"/>
          </w:tcPr>
          <w:p w14:paraId="068E4B3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2488DEAE">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F80037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主板PCIe插槽数量及规格</w:t>
            </w:r>
          </w:p>
        </w:tc>
        <w:tc>
          <w:tcPr>
            <w:tcW w:w="3739" w:type="dxa"/>
            <w:tcBorders>
              <w:top w:val="nil"/>
              <w:left w:val="nil"/>
              <w:bottom w:val="single" w:color="auto" w:sz="4" w:space="0"/>
              <w:right w:val="single" w:color="auto" w:sz="4" w:space="0"/>
            </w:tcBorders>
            <w:shd w:val="clear" w:color="000000" w:fill="FFFFFF"/>
            <w:vAlign w:val="center"/>
          </w:tcPr>
          <w:p w14:paraId="7FB401FC">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双路或以上服务器PCIe 插槽或接口应不少于10个</w:t>
            </w:r>
          </w:p>
        </w:tc>
      </w:tr>
      <w:tr w14:paraId="7A2D0684">
        <w:tblPrEx>
          <w:tblCellMar>
            <w:top w:w="0" w:type="dxa"/>
            <w:left w:w="108" w:type="dxa"/>
            <w:bottom w:w="0" w:type="dxa"/>
            <w:right w:w="108" w:type="dxa"/>
          </w:tblCellMar>
        </w:tblPrEx>
        <w:trPr>
          <w:wAfter w:w="0" w:type="auto"/>
          <w:trHeight w:val="41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356A16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7</w:t>
            </w:r>
          </w:p>
        </w:tc>
        <w:tc>
          <w:tcPr>
            <w:tcW w:w="1221" w:type="dxa"/>
            <w:tcBorders>
              <w:top w:val="nil"/>
              <w:left w:val="nil"/>
              <w:bottom w:val="single" w:color="auto" w:sz="4" w:space="0"/>
              <w:right w:val="single" w:color="auto" w:sz="4" w:space="0"/>
            </w:tcBorders>
            <w:shd w:val="clear" w:color="auto" w:fill="auto"/>
            <w:vAlign w:val="center"/>
          </w:tcPr>
          <w:p w14:paraId="0BD5F28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3A5FE5D1">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768B0F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特殊孔位及接口</w:t>
            </w:r>
          </w:p>
        </w:tc>
        <w:tc>
          <w:tcPr>
            <w:tcW w:w="3739" w:type="dxa"/>
            <w:tcBorders>
              <w:top w:val="nil"/>
              <w:left w:val="nil"/>
              <w:bottom w:val="single" w:color="auto" w:sz="4" w:space="0"/>
              <w:right w:val="single" w:color="auto" w:sz="4" w:space="0"/>
            </w:tcBorders>
            <w:shd w:val="clear" w:color="auto" w:fill="auto"/>
            <w:vAlign w:val="center"/>
          </w:tcPr>
          <w:p w14:paraId="6E73D559">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不涉及</w:t>
            </w:r>
          </w:p>
        </w:tc>
      </w:tr>
      <w:tr w14:paraId="1F9204ED">
        <w:tblPrEx>
          <w:tblCellMar>
            <w:top w:w="0" w:type="dxa"/>
            <w:left w:w="108" w:type="dxa"/>
            <w:bottom w:w="0" w:type="dxa"/>
            <w:right w:w="108" w:type="dxa"/>
          </w:tblCellMar>
        </w:tblPrEx>
        <w:trPr>
          <w:wAfter w:w="0" w:type="auto"/>
          <w:trHeight w:val="411"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14A6B0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8</w:t>
            </w:r>
          </w:p>
        </w:tc>
        <w:tc>
          <w:tcPr>
            <w:tcW w:w="1221" w:type="dxa"/>
            <w:tcBorders>
              <w:top w:val="nil"/>
              <w:left w:val="nil"/>
              <w:bottom w:val="single" w:color="auto" w:sz="4" w:space="0"/>
              <w:right w:val="single" w:color="auto" w:sz="4" w:space="0"/>
            </w:tcBorders>
            <w:shd w:val="clear" w:color="auto" w:fill="auto"/>
            <w:vAlign w:val="center"/>
          </w:tcPr>
          <w:p w14:paraId="01B9FDF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7D49496F">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51907C9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板载网络接口</w:t>
            </w:r>
          </w:p>
        </w:tc>
        <w:tc>
          <w:tcPr>
            <w:tcW w:w="3739" w:type="dxa"/>
            <w:tcBorders>
              <w:top w:val="nil"/>
              <w:left w:val="nil"/>
              <w:bottom w:val="single" w:color="auto" w:sz="4" w:space="0"/>
              <w:right w:val="single" w:color="auto" w:sz="4" w:space="0"/>
            </w:tcBorders>
            <w:shd w:val="clear" w:color="auto" w:fill="auto"/>
            <w:vAlign w:val="center"/>
          </w:tcPr>
          <w:p w14:paraId="7E7451EE">
            <w:pPr>
              <w:widowControl/>
              <w:ind w:left="0" w:leftChars="0"/>
              <w:jc w:val="left"/>
              <w:rPr>
                <w:rFonts w:hint="eastAsia" w:ascii="仿宋" w:hAnsi="仿宋" w:eastAsia="仿宋" w:cs="仿宋"/>
                <w:color w:val="auto"/>
                <w:kern w:val="0"/>
                <w:sz w:val="21"/>
                <w:szCs w:val="21"/>
                <w:highlight w:val="none"/>
                <w:lang w:val="en-US" w:eastAsia="zh" w:bidi="ar-SA"/>
              </w:rPr>
            </w:pPr>
            <w:r>
              <w:rPr>
                <w:rFonts w:hint="eastAsia" w:ascii="仿宋" w:hAnsi="仿宋" w:eastAsia="仿宋" w:cs="仿宋"/>
                <w:color w:val="auto"/>
                <w:kern w:val="0"/>
                <w:sz w:val="21"/>
                <w:szCs w:val="21"/>
                <w:highlight w:val="none"/>
                <w:lang w:val="en-US" w:eastAsia="zh" w:bidi="ar-SA"/>
              </w:rPr>
              <w:t>不少于1GE网口</w:t>
            </w:r>
          </w:p>
        </w:tc>
      </w:tr>
      <w:tr w14:paraId="178B04A7">
        <w:tblPrEx>
          <w:tblCellMar>
            <w:top w:w="0" w:type="dxa"/>
            <w:left w:w="108" w:type="dxa"/>
            <w:bottom w:w="0" w:type="dxa"/>
            <w:right w:w="108" w:type="dxa"/>
          </w:tblCellMar>
        </w:tblPrEx>
        <w:trPr>
          <w:wAfter w:w="0" w:type="auto"/>
          <w:trHeight w:val="70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0C1121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9</w:t>
            </w:r>
          </w:p>
        </w:tc>
        <w:tc>
          <w:tcPr>
            <w:tcW w:w="1221" w:type="dxa"/>
            <w:tcBorders>
              <w:top w:val="nil"/>
              <w:left w:val="nil"/>
              <w:bottom w:val="single" w:color="auto" w:sz="4" w:space="0"/>
              <w:right w:val="single" w:color="auto" w:sz="4" w:space="0"/>
            </w:tcBorders>
            <w:shd w:val="clear" w:color="auto" w:fill="auto"/>
            <w:vAlign w:val="center"/>
          </w:tcPr>
          <w:p w14:paraId="280D625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6592FAA4">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35B5A2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主板OCP插槽数量</w:t>
            </w:r>
          </w:p>
        </w:tc>
        <w:tc>
          <w:tcPr>
            <w:tcW w:w="3739" w:type="dxa"/>
            <w:tcBorders>
              <w:top w:val="nil"/>
              <w:left w:val="nil"/>
              <w:bottom w:val="single" w:color="auto" w:sz="4" w:space="0"/>
              <w:right w:val="single" w:color="auto" w:sz="4" w:space="0"/>
            </w:tcBorders>
            <w:shd w:val="clear" w:color="auto" w:fill="auto"/>
            <w:vAlign w:val="center"/>
          </w:tcPr>
          <w:p w14:paraId="45551E93">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支持OCP3.0，可热插拔</w:t>
            </w:r>
          </w:p>
        </w:tc>
      </w:tr>
      <w:tr w14:paraId="15D07681">
        <w:tblPrEx>
          <w:tblCellMar>
            <w:top w:w="0" w:type="dxa"/>
            <w:left w:w="108" w:type="dxa"/>
            <w:bottom w:w="0" w:type="dxa"/>
            <w:right w:w="108" w:type="dxa"/>
          </w:tblCellMar>
        </w:tblPrEx>
        <w:trPr>
          <w:wAfter w:w="0" w:type="auto"/>
          <w:trHeight w:val="2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1178CF0">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10</w:t>
            </w:r>
          </w:p>
        </w:tc>
        <w:tc>
          <w:tcPr>
            <w:tcW w:w="1221" w:type="dxa"/>
            <w:tcBorders>
              <w:top w:val="nil"/>
              <w:left w:val="nil"/>
              <w:bottom w:val="single" w:color="auto" w:sz="4" w:space="0"/>
              <w:right w:val="single" w:color="auto" w:sz="4" w:space="0"/>
            </w:tcBorders>
            <w:shd w:val="clear" w:color="auto" w:fill="auto"/>
            <w:vAlign w:val="center"/>
          </w:tcPr>
          <w:p w14:paraId="040F91CC">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restart"/>
            <w:tcBorders>
              <w:top w:val="nil"/>
              <w:left w:val="single" w:color="auto" w:sz="4" w:space="0"/>
              <w:bottom w:val="single" w:color="auto" w:sz="4" w:space="0"/>
              <w:right w:val="single" w:color="auto" w:sz="4" w:space="0"/>
            </w:tcBorders>
            <w:shd w:val="clear" w:color="auto" w:fill="auto"/>
            <w:vAlign w:val="center"/>
          </w:tcPr>
          <w:p w14:paraId="1CC2B1D0">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内存规格</w:t>
            </w:r>
          </w:p>
        </w:tc>
        <w:tc>
          <w:tcPr>
            <w:tcW w:w="1650" w:type="dxa"/>
            <w:tcBorders>
              <w:top w:val="nil"/>
              <w:left w:val="nil"/>
              <w:bottom w:val="single" w:color="auto" w:sz="4" w:space="0"/>
              <w:right w:val="single" w:color="auto" w:sz="4" w:space="0"/>
            </w:tcBorders>
            <w:shd w:val="clear" w:color="auto" w:fill="auto"/>
            <w:vAlign w:val="center"/>
          </w:tcPr>
          <w:p w14:paraId="58F84BEA">
            <w:pPr>
              <w:widowControl/>
              <w:ind w:left="0" w:leftChars="0"/>
              <w:jc w:val="center"/>
              <w:rPr>
                <w:rFonts w:hint="eastAsia" w:ascii="仿宋" w:hAnsi="仿宋" w:eastAsia="仿宋" w:cs="仿宋"/>
                <w:color w:val="auto"/>
                <w:kern w:val="0"/>
                <w:sz w:val="21"/>
                <w:szCs w:val="21"/>
                <w:lang w:val="en-US" w:eastAsia="zh-CN"/>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rPr>
              <w:t>内存</w:t>
            </w:r>
            <w:r>
              <w:rPr>
                <w:rFonts w:hint="eastAsia" w:ascii="仿宋" w:hAnsi="仿宋" w:eastAsia="仿宋" w:cs="仿宋"/>
                <w:color w:val="auto"/>
                <w:kern w:val="0"/>
                <w:sz w:val="21"/>
                <w:szCs w:val="21"/>
                <w:lang w:val="en-US" w:eastAsia="zh-CN"/>
              </w:rPr>
              <w:t>数量</w:t>
            </w:r>
          </w:p>
        </w:tc>
        <w:tc>
          <w:tcPr>
            <w:tcW w:w="3739" w:type="dxa"/>
            <w:tcBorders>
              <w:top w:val="nil"/>
              <w:left w:val="nil"/>
              <w:bottom w:val="single" w:color="auto" w:sz="4" w:space="0"/>
              <w:right w:val="single" w:color="auto" w:sz="4" w:space="0"/>
            </w:tcBorders>
            <w:shd w:val="clear" w:color="000000" w:fill="FFFFFF"/>
            <w:vAlign w:val="center"/>
          </w:tcPr>
          <w:p w14:paraId="5B69E053">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≥128GB</w:t>
            </w:r>
          </w:p>
        </w:tc>
      </w:tr>
      <w:tr w14:paraId="2ED693EF">
        <w:tblPrEx>
          <w:tblCellMar>
            <w:top w:w="0" w:type="dxa"/>
            <w:left w:w="108" w:type="dxa"/>
            <w:bottom w:w="0" w:type="dxa"/>
            <w:right w:w="108" w:type="dxa"/>
          </w:tblCellMar>
        </w:tblPrEx>
        <w:trPr>
          <w:wAfter w:w="0" w:type="auto"/>
          <w:trHeight w:val="375"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467A044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11</w:t>
            </w:r>
          </w:p>
        </w:tc>
        <w:tc>
          <w:tcPr>
            <w:tcW w:w="1221" w:type="dxa"/>
            <w:tcBorders>
              <w:top w:val="nil"/>
              <w:left w:val="nil"/>
              <w:bottom w:val="single" w:color="auto" w:sz="4" w:space="0"/>
              <w:right w:val="single" w:color="auto" w:sz="4" w:space="0"/>
            </w:tcBorders>
            <w:shd w:val="clear" w:color="auto" w:fill="auto"/>
            <w:vAlign w:val="center"/>
          </w:tcPr>
          <w:p w14:paraId="0C9AC6EA">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77ED52DA">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5FD2B83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内存规格</w:t>
            </w:r>
          </w:p>
        </w:tc>
        <w:tc>
          <w:tcPr>
            <w:tcW w:w="3739" w:type="dxa"/>
            <w:tcBorders>
              <w:top w:val="nil"/>
              <w:left w:val="nil"/>
              <w:bottom w:val="single" w:color="auto" w:sz="4" w:space="0"/>
              <w:right w:val="single" w:color="auto" w:sz="4" w:space="0"/>
            </w:tcBorders>
            <w:shd w:val="clear" w:color="auto" w:fill="auto"/>
            <w:vAlign w:val="center"/>
          </w:tcPr>
          <w:p w14:paraId="1ADBFB69">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≥DDR4</w:t>
            </w:r>
          </w:p>
        </w:tc>
      </w:tr>
      <w:tr w14:paraId="120C9B4B">
        <w:tblPrEx>
          <w:tblCellMar>
            <w:top w:w="0" w:type="dxa"/>
            <w:left w:w="108" w:type="dxa"/>
            <w:bottom w:w="0" w:type="dxa"/>
            <w:right w:w="108" w:type="dxa"/>
          </w:tblCellMar>
        </w:tblPrEx>
        <w:trPr>
          <w:wAfter w:w="0" w:type="auto"/>
          <w:trHeight w:val="121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57155F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12</w:t>
            </w:r>
          </w:p>
        </w:tc>
        <w:tc>
          <w:tcPr>
            <w:tcW w:w="1221" w:type="dxa"/>
            <w:tcBorders>
              <w:top w:val="nil"/>
              <w:left w:val="nil"/>
              <w:bottom w:val="single" w:color="auto" w:sz="4" w:space="0"/>
              <w:right w:val="single" w:color="auto" w:sz="4" w:space="0"/>
            </w:tcBorders>
            <w:shd w:val="clear" w:color="auto" w:fill="auto"/>
            <w:vAlign w:val="center"/>
          </w:tcPr>
          <w:p w14:paraId="7537CEE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64EF7939">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7DB7D87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内存通道</w:t>
            </w:r>
          </w:p>
        </w:tc>
        <w:tc>
          <w:tcPr>
            <w:tcW w:w="3739" w:type="dxa"/>
            <w:tcBorders>
              <w:top w:val="nil"/>
              <w:left w:val="nil"/>
              <w:bottom w:val="single" w:color="auto" w:sz="4" w:space="0"/>
              <w:right w:val="single" w:color="auto" w:sz="4" w:space="0"/>
            </w:tcBorders>
            <w:shd w:val="clear" w:color="000000" w:fill="FFFFFF"/>
            <w:vAlign w:val="center"/>
          </w:tcPr>
          <w:p w14:paraId="21633A51">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支持多个内存接口通道，每个通道可支持1DPC或2DFC，当支持2DPC时，印制电路板上应具备插槽的序号标识，具体通道数应在随机交件中明确</w:t>
            </w:r>
          </w:p>
        </w:tc>
      </w:tr>
      <w:tr w14:paraId="11939158">
        <w:tblPrEx>
          <w:tblCellMar>
            <w:top w:w="0" w:type="dxa"/>
            <w:left w:w="108" w:type="dxa"/>
            <w:bottom w:w="0" w:type="dxa"/>
            <w:right w:w="108" w:type="dxa"/>
          </w:tblCellMar>
        </w:tblPrEx>
        <w:trPr>
          <w:wAfter w:w="0" w:type="auto"/>
          <w:trHeight w:val="121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CF86B8C">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13</w:t>
            </w:r>
          </w:p>
        </w:tc>
        <w:tc>
          <w:tcPr>
            <w:tcW w:w="1221" w:type="dxa"/>
            <w:tcBorders>
              <w:top w:val="nil"/>
              <w:left w:val="nil"/>
              <w:bottom w:val="single" w:color="auto" w:sz="4" w:space="0"/>
              <w:right w:val="single" w:color="auto" w:sz="4" w:space="0"/>
            </w:tcBorders>
            <w:shd w:val="clear" w:color="auto" w:fill="auto"/>
            <w:vAlign w:val="center"/>
          </w:tcPr>
          <w:p w14:paraId="534EFB8D">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right w:val="single" w:color="auto" w:sz="4" w:space="0"/>
            </w:tcBorders>
            <w:vAlign w:val="center"/>
          </w:tcPr>
          <w:p w14:paraId="42AAD389">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rPr>
              <w:t>存储规格</w:t>
            </w:r>
          </w:p>
        </w:tc>
        <w:tc>
          <w:tcPr>
            <w:tcW w:w="1650" w:type="dxa"/>
            <w:tcBorders>
              <w:top w:val="nil"/>
              <w:left w:val="nil"/>
              <w:bottom w:val="single" w:color="auto" w:sz="4" w:space="0"/>
              <w:right w:val="single" w:color="auto" w:sz="4" w:space="0"/>
            </w:tcBorders>
            <w:shd w:val="clear" w:color="auto" w:fill="auto"/>
            <w:vAlign w:val="center"/>
          </w:tcPr>
          <w:p w14:paraId="0AB5E585">
            <w:pPr>
              <w:widowControl/>
              <w:ind w:left="0" w:left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硬盘类型</w:t>
            </w:r>
          </w:p>
        </w:tc>
        <w:tc>
          <w:tcPr>
            <w:tcW w:w="3739" w:type="dxa"/>
            <w:tcBorders>
              <w:top w:val="nil"/>
              <w:left w:val="nil"/>
              <w:bottom w:val="single" w:color="auto" w:sz="4" w:space="0"/>
              <w:right w:val="single" w:color="auto" w:sz="4" w:space="0"/>
            </w:tcBorders>
            <w:shd w:val="clear" w:color="000000" w:fill="FFFFFF"/>
            <w:vAlign w:val="center"/>
          </w:tcPr>
          <w:p w14:paraId="3C9CDBA7">
            <w:pPr>
              <w:widowControl/>
              <w:ind w:left="0" w:leftChars="0"/>
              <w:jc w:val="left"/>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480G固体硬盘，HHD16T</w:t>
            </w:r>
          </w:p>
        </w:tc>
      </w:tr>
      <w:tr w14:paraId="0E2BCA3F">
        <w:tblPrEx>
          <w:tblCellMar>
            <w:top w:w="0" w:type="dxa"/>
            <w:left w:w="108" w:type="dxa"/>
            <w:bottom w:w="0" w:type="dxa"/>
            <w:right w:w="108" w:type="dxa"/>
          </w:tblCellMar>
        </w:tblPrEx>
        <w:trPr>
          <w:wAfter w:w="0" w:type="auto"/>
          <w:trHeight w:val="2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A7DBCA9">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14</w:t>
            </w:r>
          </w:p>
        </w:tc>
        <w:tc>
          <w:tcPr>
            <w:tcW w:w="1221" w:type="dxa"/>
            <w:tcBorders>
              <w:top w:val="nil"/>
              <w:left w:val="nil"/>
              <w:bottom w:val="single" w:color="auto" w:sz="4" w:space="0"/>
              <w:right w:val="single" w:color="auto" w:sz="4" w:space="0"/>
            </w:tcBorders>
            <w:shd w:val="clear" w:color="auto" w:fill="auto"/>
            <w:vAlign w:val="center"/>
          </w:tcPr>
          <w:p w14:paraId="1489DDF7">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continue"/>
            <w:tcBorders>
              <w:left w:val="single" w:color="auto" w:sz="4" w:space="0"/>
              <w:right w:val="single" w:color="auto" w:sz="4" w:space="0"/>
            </w:tcBorders>
            <w:shd w:val="clear" w:color="auto" w:fill="auto"/>
            <w:vAlign w:val="center"/>
          </w:tcPr>
          <w:p w14:paraId="77BFA67A">
            <w:pPr>
              <w:widowControl/>
              <w:ind w:left="0" w:leftChars="0"/>
              <w:jc w:val="center"/>
              <w:rPr>
                <w:rFonts w:hint="eastAsia" w:ascii="仿宋" w:hAnsi="仿宋" w:eastAsia="仿宋" w:cs="仿宋"/>
                <w:color w:val="auto"/>
                <w:kern w:val="0"/>
                <w:sz w:val="21"/>
                <w:szCs w:val="21"/>
              </w:rPr>
            </w:pPr>
          </w:p>
        </w:tc>
        <w:tc>
          <w:tcPr>
            <w:tcW w:w="1650" w:type="dxa"/>
            <w:tcBorders>
              <w:top w:val="nil"/>
              <w:left w:val="nil"/>
              <w:bottom w:val="single" w:color="auto" w:sz="4" w:space="0"/>
              <w:right w:val="single" w:color="auto" w:sz="4" w:space="0"/>
            </w:tcBorders>
            <w:shd w:val="clear" w:color="auto" w:fill="auto"/>
            <w:vAlign w:val="center"/>
          </w:tcPr>
          <w:p w14:paraId="7FF79102">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rPr>
              <w:t>硬磁盘实配容量</w:t>
            </w:r>
          </w:p>
        </w:tc>
        <w:tc>
          <w:tcPr>
            <w:tcW w:w="3739" w:type="dxa"/>
            <w:tcBorders>
              <w:top w:val="nil"/>
              <w:left w:val="nil"/>
              <w:bottom w:val="single" w:color="auto" w:sz="4" w:space="0"/>
              <w:right w:val="single" w:color="auto" w:sz="4" w:space="0"/>
            </w:tcBorders>
            <w:shd w:val="clear" w:color="auto" w:fill="auto"/>
            <w:vAlign w:val="center"/>
          </w:tcPr>
          <w:p w14:paraId="281CD282">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机械硬盘≥3*8TB，支持RAID5</w:t>
            </w:r>
          </w:p>
          <w:p w14:paraId="5A2DE040">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系统盘≥480GB</w:t>
            </w:r>
          </w:p>
          <w:p w14:paraId="238307C8">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缓存盘≥960GB</w:t>
            </w:r>
          </w:p>
        </w:tc>
      </w:tr>
      <w:tr w14:paraId="2405675F">
        <w:tblPrEx>
          <w:tblCellMar>
            <w:top w:w="0" w:type="dxa"/>
            <w:left w:w="108" w:type="dxa"/>
            <w:bottom w:w="0" w:type="dxa"/>
            <w:right w:w="108" w:type="dxa"/>
          </w:tblCellMar>
        </w:tblPrEx>
        <w:trPr>
          <w:wAfter w:w="0" w:type="auto"/>
          <w:trHeight w:val="2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038F790">
            <w:pPr>
              <w:widowControl/>
              <w:ind w:left="0" w:leftChars="0" w:firstLine="0" w:firstLine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15</w:t>
            </w:r>
          </w:p>
        </w:tc>
        <w:tc>
          <w:tcPr>
            <w:tcW w:w="1221" w:type="dxa"/>
            <w:tcBorders>
              <w:top w:val="nil"/>
              <w:left w:val="nil"/>
              <w:bottom w:val="single" w:color="auto" w:sz="4" w:space="0"/>
              <w:right w:val="single" w:color="auto" w:sz="4" w:space="0"/>
            </w:tcBorders>
            <w:shd w:val="clear" w:color="auto" w:fill="auto"/>
            <w:vAlign w:val="center"/>
          </w:tcPr>
          <w:p w14:paraId="4B2075E8">
            <w:pPr>
              <w:widowControl/>
              <w:ind w:left="0" w:leftChars="0" w:firstLine="0" w:firstLine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continue"/>
            <w:tcBorders>
              <w:left w:val="single" w:color="auto" w:sz="4" w:space="0"/>
              <w:right w:val="single" w:color="auto" w:sz="4" w:space="0"/>
            </w:tcBorders>
            <w:shd w:val="clear" w:color="auto" w:fill="auto"/>
            <w:vAlign w:val="center"/>
          </w:tcPr>
          <w:p w14:paraId="04FF0145">
            <w:pPr>
              <w:widowControl/>
              <w:ind w:left="0" w:leftChars="0"/>
              <w:jc w:val="center"/>
              <w:rPr>
                <w:rFonts w:hint="eastAsia" w:ascii="仿宋" w:hAnsi="仿宋" w:eastAsia="仿宋" w:cs="仿宋"/>
                <w:color w:val="auto"/>
                <w:kern w:val="0"/>
                <w:sz w:val="21"/>
                <w:szCs w:val="21"/>
              </w:rPr>
            </w:pPr>
          </w:p>
        </w:tc>
        <w:tc>
          <w:tcPr>
            <w:tcW w:w="1650" w:type="dxa"/>
            <w:tcBorders>
              <w:top w:val="nil"/>
              <w:left w:val="nil"/>
              <w:bottom w:val="single" w:color="auto" w:sz="4" w:space="0"/>
              <w:right w:val="single" w:color="auto" w:sz="4" w:space="0"/>
            </w:tcBorders>
            <w:shd w:val="clear" w:color="auto" w:fill="auto"/>
            <w:vAlign w:val="center"/>
          </w:tcPr>
          <w:p w14:paraId="0FF4162C">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lang w:val="en-US" w:eastAsia="zh-CN"/>
              </w:rPr>
              <w:t>硬盘接口类型</w:t>
            </w:r>
          </w:p>
        </w:tc>
        <w:tc>
          <w:tcPr>
            <w:tcW w:w="3739" w:type="dxa"/>
            <w:tcBorders>
              <w:top w:val="nil"/>
              <w:left w:val="nil"/>
              <w:bottom w:val="single" w:color="auto" w:sz="4" w:space="0"/>
              <w:right w:val="single" w:color="auto" w:sz="4" w:space="0"/>
            </w:tcBorders>
            <w:shd w:val="clear" w:color="auto" w:fill="auto"/>
            <w:vAlign w:val="center"/>
          </w:tcPr>
          <w:p w14:paraId="6B788522">
            <w:pPr>
              <w:widowControl/>
              <w:ind w:left="0" w:leftChars="0"/>
              <w:jc w:val="left"/>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rPr>
              <w:t>SATA</w:t>
            </w:r>
          </w:p>
        </w:tc>
      </w:tr>
      <w:tr w14:paraId="02EACC6A">
        <w:tblPrEx>
          <w:tblCellMar>
            <w:top w:w="0" w:type="dxa"/>
            <w:left w:w="108" w:type="dxa"/>
            <w:bottom w:w="0" w:type="dxa"/>
            <w:right w:w="108" w:type="dxa"/>
          </w:tblCellMar>
        </w:tblPrEx>
        <w:trPr>
          <w:trHeight w:val="9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4361F3F">
            <w:pPr>
              <w:widowControl/>
              <w:ind w:left="0" w:leftChars="0" w:firstLine="0" w:firstLine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16</w:t>
            </w:r>
          </w:p>
        </w:tc>
        <w:tc>
          <w:tcPr>
            <w:tcW w:w="1221" w:type="dxa"/>
            <w:tcBorders>
              <w:top w:val="nil"/>
              <w:left w:val="nil"/>
              <w:bottom w:val="single" w:color="auto" w:sz="4" w:space="0"/>
              <w:right w:val="single" w:color="auto" w:sz="4" w:space="0"/>
            </w:tcBorders>
            <w:shd w:val="clear" w:color="auto" w:fill="auto"/>
            <w:vAlign w:val="center"/>
          </w:tcPr>
          <w:p w14:paraId="3F62296D">
            <w:pPr>
              <w:widowControl/>
              <w:ind w:left="0" w:leftChars="0" w:firstLine="0" w:firstLine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continue"/>
            <w:tcBorders>
              <w:left w:val="single" w:color="auto" w:sz="4" w:space="0"/>
              <w:right w:val="single" w:color="auto" w:sz="4" w:space="0"/>
            </w:tcBorders>
            <w:shd w:val="clear" w:color="auto" w:fill="auto"/>
            <w:vAlign w:val="center"/>
          </w:tcPr>
          <w:p w14:paraId="3FDBCC90">
            <w:pPr>
              <w:widowControl/>
              <w:ind w:left="0" w:leftChars="0" w:firstLine="360" w:firstLineChars="0"/>
              <w:jc w:val="center"/>
              <w:rPr>
                <w:rFonts w:hint="eastAsia" w:ascii="仿宋" w:hAnsi="仿宋" w:eastAsia="仿宋" w:cs="仿宋"/>
                <w:color w:val="auto"/>
                <w:kern w:val="0"/>
                <w:sz w:val="21"/>
                <w:szCs w:val="21"/>
              </w:rPr>
            </w:pPr>
          </w:p>
        </w:tc>
        <w:tc>
          <w:tcPr>
            <w:tcW w:w="1650" w:type="dxa"/>
            <w:tcBorders>
              <w:top w:val="nil"/>
              <w:left w:val="nil"/>
              <w:bottom w:val="single" w:color="auto" w:sz="4" w:space="0"/>
              <w:right w:val="single" w:color="auto" w:sz="4" w:space="0"/>
            </w:tcBorders>
            <w:shd w:val="clear" w:color="auto" w:fill="auto"/>
            <w:vAlign w:val="center"/>
          </w:tcPr>
          <w:p w14:paraId="13AF1237">
            <w:pPr>
              <w:widowControl/>
              <w:ind w:left="0" w:leftChars="0" w:firstLine="0" w:firstLineChars="0"/>
              <w:jc w:val="center"/>
              <w:rPr>
                <w:rFonts w:hint="eastAsia" w:ascii="仿宋" w:hAnsi="仿宋" w:eastAsia="仿宋" w:cs="仿宋"/>
                <w:color w:val="auto"/>
                <w:kern w:val="0"/>
                <w:sz w:val="21"/>
                <w:szCs w:val="21"/>
                <w:lang w:val="en-US" w:eastAsia="zh" w:bidi="ar-SA"/>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lang w:val="en-US" w:eastAsia="zh" w:bidi="ar-SA"/>
              </w:rPr>
              <w:t>硬盘实配数量</w:t>
            </w:r>
          </w:p>
        </w:tc>
        <w:tc>
          <w:tcPr>
            <w:tcW w:w="3739" w:type="dxa"/>
            <w:tcBorders>
              <w:top w:val="nil"/>
              <w:left w:val="nil"/>
              <w:bottom w:val="single" w:color="auto" w:sz="4" w:space="0"/>
              <w:right w:val="single" w:color="auto" w:sz="4" w:space="0"/>
            </w:tcBorders>
            <w:shd w:val="clear" w:color="auto" w:fill="auto"/>
            <w:vAlign w:val="center"/>
          </w:tcPr>
          <w:p w14:paraId="1509B95C">
            <w:pPr>
              <w:widowControl/>
              <w:ind w:left="0" w:leftChars="0" w:firstLine="0" w:firstLineChars="0"/>
              <w:jc w:val="left"/>
              <w:rPr>
                <w:rFonts w:hint="eastAsia" w:ascii="仿宋" w:hAnsi="仿宋" w:eastAsia="仿宋" w:cs="仿宋"/>
                <w:color w:val="auto"/>
                <w:kern w:val="0"/>
                <w:sz w:val="21"/>
                <w:szCs w:val="21"/>
                <w:lang w:val="en-US" w:eastAsia="zh" w:bidi="ar-SA"/>
              </w:rPr>
            </w:pPr>
            <w:r>
              <w:rPr>
                <w:rFonts w:hint="eastAsia" w:ascii="仿宋" w:hAnsi="仿宋" w:eastAsia="仿宋" w:cs="仿宋"/>
                <w:color w:val="auto"/>
                <w:kern w:val="0"/>
                <w:sz w:val="21"/>
                <w:szCs w:val="21"/>
                <w:lang w:val="en-US" w:eastAsia="zh" w:bidi="ar-SA"/>
              </w:rPr>
              <w:t>2块HDD，一块SSD</w:t>
            </w:r>
          </w:p>
        </w:tc>
      </w:tr>
      <w:tr w14:paraId="443F63E4">
        <w:tblPrEx>
          <w:tblCellMar>
            <w:top w:w="0" w:type="dxa"/>
            <w:left w:w="108" w:type="dxa"/>
            <w:bottom w:w="0" w:type="dxa"/>
            <w:right w:w="108" w:type="dxa"/>
          </w:tblCellMar>
        </w:tblPrEx>
        <w:trPr>
          <w:wAfter w:w="0" w:type="auto"/>
          <w:trHeight w:val="714"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4C29857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17</w:t>
            </w:r>
          </w:p>
        </w:tc>
        <w:tc>
          <w:tcPr>
            <w:tcW w:w="1221" w:type="dxa"/>
            <w:tcBorders>
              <w:top w:val="nil"/>
              <w:left w:val="nil"/>
              <w:bottom w:val="single" w:color="auto" w:sz="4" w:space="0"/>
              <w:right w:val="single" w:color="auto" w:sz="4" w:space="0"/>
            </w:tcBorders>
            <w:shd w:val="clear" w:color="auto" w:fill="auto"/>
            <w:vAlign w:val="center"/>
          </w:tcPr>
          <w:p w14:paraId="3E4C8C3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bottom w:val="single" w:color="auto" w:sz="4" w:space="0"/>
              <w:right w:val="single" w:color="auto" w:sz="4" w:space="0"/>
            </w:tcBorders>
            <w:shd w:val="clear" w:color="auto" w:fill="auto"/>
            <w:vAlign w:val="center"/>
          </w:tcPr>
          <w:p w14:paraId="119DFC98">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D3FDF3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硬盘插槽数量及规格</w:t>
            </w:r>
          </w:p>
        </w:tc>
        <w:tc>
          <w:tcPr>
            <w:tcW w:w="3739" w:type="dxa"/>
            <w:tcBorders>
              <w:top w:val="nil"/>
              <w:left w:val="nil"/>
              <w:bottom w:val="single" w:color="auto" w:sz="4" w:space="0"/>
              <w:right w:val="single" w:color="auto" w:sz="4" w:space="0"/>
            </w:tcBorders>
            <w:shd w:val="clear" w:color="auto" w:fill="auto"/>
            <w:vAlign w:val="center"/>
          </w:tcPr>
          <w:p w14:paraId="7B2B0C5C">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配置前置硬盘槽位不少于12个，类型为SATA 硬盘</w:t>
            </w:r>
          </w:p>
        </w:tc>
      </w:tr>
      <w:tr w14:paraId="2D0D7682">
        <w:tblPrEx>
          <w:tblCellMar>
            <w:top w:w="0" w:type="dxa"/>
            <w:left w:w="108" w:type="dxa"/>
            <w:bottom w:w="0" w:type="dxa"/>
            <w:right w:w="108" w:type="dxa"/>
          </w:tblCellMar>
        </w:tblPrEx>
        <w:trPr>
          <w:wAfter w:w="0" w:type="auto"/>
          <w:trHeight w:val="714"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C1AD5AE">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18</w:t>
            </w:r>
          </w:p>
        </w:tc>
        <w:tc>
          <w:tcPr>
            <w:tcW w:w="1221" w:type="dxa"/>
            <w:tcBorders>
              <w:top w:val="nil"/>
              <w:left w:val="nil"/>
              <w:bottom w:val="single" w:color="auto" w:sz="4" w:space="0"/>
              <w:right w:val="single" w:color="auto" w:sz="4" w:space="0"/>
            </w:tcBorders>
            <w:shd w:val="clear" w:color="auto" w:fill="auto"/>
            <w:vAlign w:val="center"/>
          </w:tcPr>
          <w:p w14:paraId="176F8FFF">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tcBorders>
              <w:left w:val="single" w:color="auto" w:sz="4" w:space="0"/>
              <w:bottom w:val="single" w:color="auto" w:sz="4" w:space="0"/>
              <w:right w:val="single" w:color="auto" w:sz="4" w:space="0"/>
            </w:tcBorders>
            <w:shd w:val="clear" w:color="auto" w:fill="auto"/>
            <w:vAlign w:val="center"/>
          </w:tcPr>
          <w:p w14:paraId="0E4FE69A">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439C55A">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硬盘其他参数要求</w:t>
            </w:r>
          </w:p>
        </w:tc>
        <w:tc>
          <w:tcPr>
            <w:tcW w:w="3739" w:type="dxa"/>
            <w:tcBorders>
              <w:top w:val="nil"/>
              <w:left w:val="nil"/>
              <w:bottom w:val="single" w:color="auto" w:sz="4" w:space="0"/>
              <w:right w:val="single" w:color="auto" w:sz="4" w:space="0"/>
            </w:tcBorders>
            <w:shd w:val="clear" w:color="auto" w:fill="auto"/>
            <w:vAlign w:val="center"/>
          </w:tcPr>
          <w:p w14:paraId="1BA1524D">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a)工作状态环境温度应满足 5℃</w:t>
            </w:r>
          </w:p>
          <w:p w14:paraId="5C6A65F8">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~55℃，其它参数应符合 GB/T 12628的相关规定</w:t>
            </w:r>
          </w:p>
          <w:p w14:paraId="4E15FF18">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b）固态盘符合 SJ/T 11654 相关规定</w:t>
            </w:r>
          </w:p>
        </w:tc>
      </w:tr>
      <w:tr w14:paraId="761F067F">
        <w:tblPrEx>
          <w:tblCellMar>
            <w:top w:w="0" w:type="dxa"/>
            <w:left w:w="108" w:type="dxa"/>
            <w:bottom w:w="0" w:type="dxa"/>
            <w:right w:w="108" w:type="dxa"/>
          </w:tblCellMar>
        </w:tblPrEx>
        <w:trPr>
          <w:wAfter w:w="0" w:type="auto"/>
          <w:trHeight w:val="714"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2C5D0B94">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19</w:t>
            </w:r>
          </w:p>
        </w:tc>
        <w:tc>
          <w:tcPr>
            <w:tcW w:w="1221" w:type="dxa"/>
            <w:tcBorders>
              <w:top w:val="nil"/>
              <w:left w:val="nil"/>
              <w:bottom w:val="single" w:color="auto" w:sz="4" w:space="0"/>
              <w:right w:val="single" w:color="auto" w:sz="4" w:space="0"/>
            </w:tcBorders>
            <w:shd w:val="clear" w:color="auto" w:fill="auto"/>
            <w:vAlign w:val="center"/>
          </w:tcPr>
          <w:p w14:paraId="09246433">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tcBorders>
              <w:left w:val="single" w:color="auto" w:sz="4" w:space="0"/>
              <w:bottom w:val="single" w:color="auto" w:sz="4" w:space="0"/>
              <w:right w:val="single" w:color="auto" w:sz="4" w:space="0"/>
            </w:tcBorders>
            <w:shd w:val="clear" w:color="auto" w:fill="auto"/>
            <w:vAlign w:val="center"/>
          </w:tcPr>
          <w:p w14:paraId="193D248F">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eastAsia="zh"/>
              </w:rPr>
              <w:t>RAID 卡</w:t>
            </w:r>
            <w:r>
              <w:rPr>
                <w:rFonts w:hint="eastAsia" w:ascii="仿宋" w:hAnsi="仿宋" w:eastAsia="仿宋" w:cs="仿宋"/>
                <w:color w:val="auto"/>
                <w:kern w:val="0"/>
                <w:sz w:val="21"/>
                <w:szCs w:val="21"/>
                <w:highlight w:val="none"/>
                <w:lang w:val="en-US" w:eastAsia="zh-CN"/>
              </w:rPr>
              <w:t>规格（若支持</w:t>
            </w:r>
            <w:r>
              <w:rPr>
                <w:rFonts w:hint="eastAsia" w:ascii="仿宋" w:hAnsi="仿宋" w:eastAsia="仿宋" w:cs="仿宋"/>
                <w:color w:val="auto"/>
                <w:kern w:val="0"/>
                <w:sz w:val="21"/>
                <w:szCs w:val="21"/>
                <w:highlight w:val="none"/>
                <w:lang w:eastAsia="zh"/>
              </w:rPr>
              <w:t>RAID 卡</w:t>
            </w:r>
            <w:r>
              <w:rPr>
                <w:rFonts w:hint="eastAsia" w:ascii="仿宋" w:hAnsi="仿宋" w:eastAsia="仿宋" w:cs="仿宋"/>
                <w:color w:val="auto"/>
                <w:kern w:val="0"/>
                <w:sz w:val="21"/>
                <w:szCs w:val="21"/>
                <w:highlight w:val="none"/>
                <w:lang w:eastAsia="zh-CN"/>
              </w:rPr>
              <w:t>）</w:t>
            </w:r>
          </w:p>
        </w:tc>
        <w:tc>
          <w:tcPr>
            <w:tcW w:w="1650" w:type="dxa"/>
            <w:tcBorders>
              <w:top w:val="nil"/>
              <w:left w:val="nil"/>
              <w:bottom w:val="single" w:color="auto" w:sz="4" w:space="0"/>
              <w:right w:val="single" w:color="auto" w:sz="4" w:space="0"/>
            </w:tcBorders>
            <w:shd w:val="clear" w:color="auto" w:fill="auto"/>
            <w:vAlign w:val="center"/>
          </w:tcPr>
          <w:p w14:paraId="4416AA45">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eastAsia="zh"/>
              </w:rPr>
              <w:t>RAID 卡支持的 SAS</w:t>
            </w:r>
            <w:r>
              <w:rPr>
                <w:rFonts w:hint="eastAsia" w:ascii="仿宋" w:hAnsi="仿宋" w:eastAsia="仿宋" w:cs="仿宋"/>
                <w:color w:val="auto"/>
                <w:kern w:val="0"/>
                <w:sz w:val="21"/>
                <w:szCs w:val="21"/>
                <w:highlight w:val="none"/>
                <w:lang w:val="en-US" w:eastAsia="zh-CN"/>
              </w:rPr>
              <w:t>接口数</w:t>
            </w:r>
          </w:p>
        </w:tc>
        <w:tc>
          <w:tcPr>
            <w:tcW w:w="3739" w:type="dxa"/>
            <w:tcBorders>
              <w:top w:val="nil"/>
              <w:left w:val="nil"/>
              <w:bottom w:val="single" w:color="auto" w:sz="4" w:space="0"/>
              <w:right w:val="single" w:color="auto" w:sz="4" w:space="0"/>
            </w:tcBorders>
            <w:shd w:val="clear" w:color="auto" w:fill="auto"/>
            <w:vAlign w:val="center"/>
          </w:tcPr>
          <w:p w14:paraId="6B24495D">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rPr>
              <w:t>不涉及</w:t>
            </w:r>
          </w:p>
        </w:tc>
      </w:tr>
      <w:tr w14:paraId="3F94355E">
        <w:tblPrEx>
          <w:tblCellMar>
            <w:top w:w="0" w:type="dxa"/>
            <w:left w:w="108" w:type="dxa"/>
            <w:bottom w:w="0" w:type="dxa"/>
            <w:right w:w="108" w:type="dxa"/>
          </w:tblCellMar>
        </w:tblPrEx>
        <w:trPr>
          <w:wAfter w:w="0" w:type="auto"/>
          <w:trHeight w:val="714"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507CC61">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20</w:t>
            </w:r>
          </w:p>
        </w:tc>
        <w:tc>
          <w:tcPr>
            <w:tcW w:w="1221" w:type="dxa"/>
            <w:tcBorders>
              <w:top w:val="nil"/>
              <w:left w:val="nil"/>
              <w:bottom w:val="single" w:color="auto" w:sz="4" w:space="0"/>
              <w:right w:val="single" w:color="auto" w:sz="4" w:space="0"/>
            </w:tcBorders>
            <w:shd w:val="clear" w:color="auto" w:fill="auto"/>
            <w:vAlign w:val="center"/>
          </w:tcPr>
          <w:p w14:paraId="2DBD45D1">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tcBorders>
              <w:left w:val="single" w:color="auto" w:sz="4" w:space="0"/>
              <w:bottom w:val="single" w:color="auto" w:sz="4" w:space="0"/>
              <w:right w:val="single" w:color="auto" w:sz="4" w:space="0"/>
            </w:tcBorders>
            <w:shd w:val="clear" w:color="auto" w:fill="auto"/>
            <w:vAlign w:val="center"/>
          </w:tcPr>
          <w:p w14:paraId="20FE06D7">
            <w:pPr>
              <w:widowControl/>
              <w:ind w:left="0" w:leftChars="0" w:firstLine="0" w:firstLineChars="0"/>
              <w:jc w:val="center"/>
              <w:rPr>
                <w:rFonts w:hint="eastAsia" w:ascii="仿宋" w:hAnsi="仿宋" w:eastAsia="仿宋" w:cs="仿宋"/>
                <w:color w:val="auto"/>
                <w:kern w:val="0"/>
                <w:sz w:val="21"/>
                <w:szCs w:val="21"/>
                <w:highlight w:val="none"/>
                <w:lang w:eastAsia="zh-CN"/>
              </w:rPr>
            </w:pPr>
            <w:r>
              <w:rPr>
                <w:rFonts w:hint="eastAsia" w:ascii="仿宋" w:hAnsi="仿宋" w:eastAsia="仿宋" w:cs="仿宋"/>
                <w:color w:val="auto"/>
                <w:kern w:val="0"/>
                <w:sz w:val="21"/>
                <w:szCs w:val="21"/>
                <w:highlight w:val="none"/>
                <w:lang w:eastAsia="zh"/>
              </w:rPr>
              <w:t>SAS 直通卡规格(</w:t>
            </w:r>
            <w:r>
              <w:rPr>
                <w:rFonts w:hint="eastAsia" w:ascii="仿宋" w:hAnsi="仿宋" w:eastAsia="仿宋" w:cs="仿宋"/>
                <w:color w:val="auto"/>
                <w:kern w:val="0"/>
                <w:sz w:val="21"/>
                <w:szCs w:val="21"/>
                <w:highlight w:val="none"/>
                <w:lang w:val="en-US" w:eastAsia="zh-CN"/>
              </w:rPr>
              <w:t>若支持</w:t>
            </w:r>
            <w:r>
              <w:rPr>
                <w:rFonts w:hint="eastAsia" w:ascii="仿宋" w:hAnsi="仿宋" w:eastAsia="仿宋" w:cs="仿宋"/>
                <w:color w:val="auto"/>
                <w:kern w:val="0"/>
                <w:sz w:val="21"/>
                <w:szCs w:val="21"/>
                <w:highlight w:val="none"/>
                <w:lang w:eastAsia="zh"/>
              </w:rPr>
              <w:t>SAS 直通卡规格</w:t>
            </w:r>
            <w:r>
              <w:rPr>
                <w:rFonts w:hint="eastAsia" w:ascii="仿宋" w:hAnsi="仿宋" w:eastAsia="仿宋" w:cs="仿宋"/>
                <w:color w:val="auto"/>
                <w:kern w:val="0"/>
                <w:sz w:val="21"/>
                <w:szCs w:val="21"/>
                <w:highlight w:val="none"/>
                <w:lang w:eastAsia="zh-CN"/>
              </w:rPr>
              <w:t>）</w:t>
            </w:r>
          </w:p>
        </w:tc>
        <w:tc>
          <w:tcPr>
            <w:tcW w:w="1650" w:type="dxa"/>
            <w:tcBorders>
              <w:top w:val="nil"/>
              <w:left w:val="nil"/>
              <w:bottom w:val="single" w:color="auto" w:sz="4" w:space="0"/>
              <w:right w:val="single" w:color="auto" w:sz="4" w:space="0"/>
            </w:tcBorders>
            <w:shd w:val="clear" w:color="auto" w:fill="auto"/>
            <w:vAlign w:val="center"/>
          </w:tcPr>
          <w:p w14:paraId="67F12599">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eastAsia="zh"/>
              </w:rPr>
              <w:t>SAS直通卡SAS</w:t>
            </w:r>
            <w:r>
              <w:rPr>
                <w:rFonts w:hint="eastAsia" w:ascii="仿宋" w:hAnsi="仿宋" w:eastAsia="仿宋" w:cs="仿宋"/>
                <w:color w:val="auto"/>
                <w:kern w:val="0"/>
                <w:sz w:val="21"/>
                <w:szCs w:val="21"/>
                <w:highlight w:val="none"/>
                <w:lang w:val="en-US" w:eastAsia="zh-CN"/>
              </w:rPr>
              <w:t>接口数量</w:t>
            </w:r>
          </w:p>
        </w:tc>
        <w:tc>
          <w:tcPr>
            <w:tcW w:w="3739" w:type="dxa"/>
            <w:tcBorders>
              <w:top w:val="nil"/>
              <w:left w:val="nil"/>
              <w:bottom w:val="single" w:color="auto" w:sz="4" w:space="0"/>
              <w:right w:val="single" w:color="auto" w:sz="4" w:space="0"/>
            </w:tcBorders>
            <w:shd w:val="clear" w:color="auto" w:fill="auto"/>
            <w:vAlign w:val="center"/>
          </w:tcPr>
          <w:p w14:paraId="2409C37E">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不涉及</w:t>
            </w:r>
          </w:p>
        </w:tc>
      </w:tr>
      <w:tr w14:paraId="52AB4A77">
        <w:tblPrEx>
          <w:tblCellMar>
            <w:top w:w="0" w:type="dxa"/>
            <w:left w:w="108" w:type="dxa"/>
            <w:bottom w:w="0" w:type="dxa"/>
            <w:right w:w="108" w:type="dxa"/>
          </w:tblCellMar>
        </w:tblPrEx>
        <w:trPr>
          <w:wAfter w:w="0" w:type="auto"/>
          <w:trHeight w:val="714"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1838B6F">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21</w:t>
            </w:r>
          </w:p>
        </w:tc>
        <w:tc>
          <w:tcPr>
            <w:tcW w:w="1221" w:type="dxa"/>
            <w:tcBorders>
              <w:top w:val="nil"/>
              <w:left w:val="nil"/>
              <w:bottom w:val="single" w:color="auto" w:sz="4" w:space="0"/>
              <w:right w:val="single" w:color="auto" w:sz="4" w:space="0"/>
            </w:tcBorders>
            <w:shd w:val="clear" w:color="auto" w:fill="auto"/>
            <w:vAlign w:val="center"/>
          </w:tcPr>
          <w:p w14:paraId="1042B1F1">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tcBorders>
              <w:left w:val="single" w:color="auto" w:sz="4" w:space="0"/>
              <w:bottom w:val="single" w:color="auto" w:sz="4" w:space="0"/>
              <w:right w:val="single" w:color="auto" w:sz="4" w:space="0"/>
            </w:tcBorders>
            <w:shd w:val="clear" w:color="auto" w:fill="auto"/>
            <w:vAlign w:val="center"/>
          </w:tcPr>
          <w:p w14:paraId="697DA52F">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eastAsia="zh"/>
              </w:rPr>
              <w:t>HBA 卡规格</w:t>
            </w:r>
            <w:r>
              <w:rPr>
                <w:rFonts w:hint="eastAsia" w:ascii="仿宋" w:hAnsi="仿宋" w:eastAsia="仿宋" w:cs="仿宋"/>
                <w:color w:val="auto"/>
                <w:kern w:val="0"/>
                <w:sz w:val="21"/>
                <w:szCs w:val="21"/>
                <w:highlight w:val="none"/>
                <w:lang w:eastAsia="zh-CN"/>
              </w:rPr>
              <w:t>（</w:t>
            </w:r>
            <w:r>
              <w:rPr>
                <w:rFonts w:hint="eastAsia" w:ascii="仿宋" w:hAnsi="仿宋" w:eastAsia="仿宋" w:cs="仿宋"/>
                <w:color w:val="auto"/>
                <w:kern w:val="0"/>
                <w:sz w:val="21"/>
                <w:szCs w:val="21"/>
                <w:highlight w:val="none"/>
                <w:lang w:val="en-US" w:eastAsia="zh-CN"/>
              </w:rPr>
              <w:t>若支持HBA直通卡）</w:t>
            </w:r>
          </w:p>
        </w:tc>
        <w:tc>
          <w:tcPr>
            <w:tcW w:w="1650" w:type="dxa"/>
            <w:tcBorders>
              <w:top w:val="nil"/>
              <w:left w:val="nil"/>
              <w:bottom w:val="single" w:color="auto" w:sz="4" w:space="0"/>
              <w:right w:val="single" w:color="auto" w:sz="4" w:space="0"/>
            </w:tcBorders>
            <w:shd w:val="clear" w:color="auto" w:fill="auto"/>
            <w:vAlign w:val="center"/>
          </w:tcPr>
          <w:p w14:paraId="0B4D5125">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HBA卡</w:t>
            </w:r>
            <w:r>
              <w:rPr>
                <w:rFonts w:hint="eastAsia" w:ascii="仿宋" w:hAnsi="仿宋" w:eastAsia="仿宋" w:cs="仿宋"/>
                <w:color w:val="auto"/>
                <w:kern w:val="0"/>
                <w:sz w:val="21"/>
                <w:szCs w:val="21"/>
                <w:highlight w:val="none"/>
                <w:lang w:val="en-US" w:eastAsia="zh-CN"/>
              </w:rPr>
              <w:t>端口数量</w:t>
            </w:r>
          </w:p>
        </w:tc>
        <w:tc>
          <w:tcPr>
            <w:tcW w:w="3739" w:type="dxa"/>
            <w:tcBorders>
              <w:top w:val="nil"/>
              <w:left w:val="nil"/>
              <w:bottom w:val="single" w:color="auto" w:sz="4" w:space="0"/>
              <w:right w:val="single" w:color="auto" w:sz="4" w:space="0"/>
            </w:tcBorders>
            <w:shd w:val="clear" w:color="auto" w:fill="auto"/>
            <w:vAlign w:val="center"/>
          </w:tcPr>
          <w:p w14:paraId="136502EE">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不涉及</w:t>
            </w:r>
          </w:p>
        </w:tc>
      </w:tr>
      <w:tr w14:paraId="112F0460">
        <w:tblPrEx>
          <w:tblCellMar>
            <w:top w:w="0" w:type="dxa"/>
            <w:left w:w="108" w:type="dxa"/>
            <w:bottom w:w="0" w:type="dxa"/>
            <w:right w:w="108" w:type="dxa"/>
          </w:tblCellMar>
        </w:tblPrEx>
        <w:trPr>
          <w:wAfter w:w="0" w:type="auto"/>
          <w:trHeight w:val="705"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FDFB5AD">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22</w:t>
            </w:r>
          </w:p>
        </w:tc>
        <w:tc>
          <w:tcPr>
            <w:tcW w:w="1221" w:type="dxa"/>
            <w:tcBorders>
              <w:top w:val="nil"/>
              <w:left w:val="nil"/>
              <w:bottom w:val="single" w:color="auto" w:sz="4" w:space="0"/>
              <w:right w:val="single" w:color="auto" w:sz="4" w:space="0"/>
            </w:tcBorders>
            <w:shd w:val="clear" w:color="auto" w:fill="auto"/>
            <w:vAlign w:val="center"/>
          </w:tcPr>
          <w:p w14:paraId="276F86E8">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restart"/>
            <w:tcBorders>
              <w:top w:val="nil"/>
              <w:left w:val="single" w:color="auto" w:sz="4" w:space="0"/>
              <w:right w:val="single" w:color="auto" w:sz="4" w:space="0"/>
            </w:tcBorders>
            <w:shd w:val="clear" w:color="auto" w:fill="auto"/>
            <w:vAlign w:val="center"/>
          </w:tcPr>
          <w:p w14:paraId="7D4EB8FF">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rPr>
              <w:t>网络规格</w:t>
            </w:r>
          </w:p>
        </w:tc>
        <w:tc>
          <w:tcPr>
            <w:tcW w:w="1650" w:type="dxa"/>
            <w:tcBorders>
              <w:top w:val="nil"/>
              <w:left w:val="nil"/>
              <w:bottom w:val="single" w:color="auto" w:sz="4" w:space="0"/>
              <w:right w:val="single" w:color="auto" w:sz="4" w:space="0"/>
            </w:tcBorders>
            <w:shd w:val="clear" w:color="auto" w:fill="auto"/>
            <w:vAlign w:val="center"/>
          </w:tcPr>
          <w:p w14:paraId="7C829AFD">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rPr>
              <w:t>网口速率和数量</w:t>
            </w:r>
          </w:p>
        </w:tc>
        <w:tc>
          <w:tcPr>
            <w:tcW w:w="3739" w:type="dxa"/>
            <w:tcBorders>
              <w:top w:val="nil"/>
              <w:left w:val="nil"/>
              <w:bottom w:val="single" w:color="auto" w:sz="4" w:space="0"/>
              <w:right w:val="single" w:color="auto" w:sz="4" w:space="0"/>
            </w:tcBorders>
            <w:shd w:val="clear" w:color="auto" w:fill="auto"/>
            <w:vAlign w:val="center"/>
          </w:tcPr>
          <w:p w14:paraId="320585AD">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双千兆电口</w:t>
            </w:r>
          </w:p>
        </w:tc>
      </w:tr>
      <w:tr w14:paraId="6496299C">
        <w:tblPrEx>
          <w:tblCellMar>
            <w:top w:w="0" w:type="dxa"/>
            <w:left w:w="108" w:type="dxa"/>
            <w:bottom w:w="0" w:type="dxa"/>
            <w:right w:w="108" w:type="dxa"/>
          </w:tblCellMar>
        </w:tblPrEx>
        <w:trPr>
          <w:wAfter w:w="0" w:type="auto"/>
          <w:trHeight w:val="705"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59C6BF5">
            <w:pPr>
              <w:widowControl/>
              <w:ind w:left="0" w:leftChars="0"/>
              <w:jc w:val="center"/>
              <w:rPr>
                <w:rFonts w:hint="eastAsia" w:ascii="仿宋" w:hAnsi="仿宋" w:eastAsia="仿宋" w:cs="仿宋"/>
                <w:color w:val="auto"/>
                <w:kern w:val="0"/>
                <w:sz w:val="21"/>
                <w:szCs w:val="21"/>
                <w:lang w:val="en-US" w:eastAsia="zh-CN"/>
              </w:rPr>
            </w:pPr>
            <w:r>
              <w:rPr>
                <w:rFonts w:hint="eastAsia" w:ascii="仿宋" w:hAnsi="仿宋" w:eastAsia="仿宋" w:cs="仿宋"/>
                <w:color w:val="auto"/>
                <w:kern w:val="0"/>
                <w:sz w:val="21"/>
                <w:szCs w:val="21"/>
                <w:lang w:val="en-US" w:eastAsia="zh-CN"/>
              </w:rPr>
              <w:t>23</w:t>
            </w:r>
          </w:p>
        </w:tc>
        <w:tc>
          <w:tcPr>
            <w:tcW w:w="1221" w:type="dxa"/>
            <w:tcBorders>
              <w:top w:val="nil"/>
              <w:left w:val="nil"/>
              <w:bottom w:val="single" w:color="auto" w:sz="4" w:space="0"/>
              <w:right w:val="single" w:color="auto" w:sz="4" w:space="0"/>
            </w:tcBorders>
            <w:shd w:val="clear" w:color="auto" w:fill="auto"/>
            <w:vAlign w:val="center"/>
          </w:tcPr>
          <w:p w14:paraId="10D92926">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产品规格</w:t>
            </w:r>
          </w:p>
        </w:tc>
        <w:tc>
          <w:tcPr>
            <w:tcW w:w="1264" w:type="dxa"/>
            <w:vMerge w:val="continue"/>
            <w:tcBorders>
              <w:left w:val="single" w:color="auto" w:sz="4" w:space="0"/>
              <w:right w:val="single" w:color="auto" w:sz="4" w:space="0"/>
            </w:tcBorders>
            <w:shd w:val="clear" w:color="auto" w:fill="auto"/>
            <w:vAlign w:val="center"/>
          </w:tcPr>
          <w:p w14:paraId="618D9ACB">
            <w:pPr>
              <w:widowControl/>
              <w:ind w:left="0" w:leftChars="0"/>
              <w:jc w:val="center"/>
              <w:rPr>
                <w:rFonts w:hint="eastAsia" w:ascii="仿宋" w:hAnsi="仿宋" w:eastAsia="仿宋" w:cs="仿宋"/>
                <w:color w:val="auto"/>
                <w:kern w:val="0"/>
                <w:sz w:val="21"/>
                <w:szCs w:val="21"/>
                <w:highlight w:val="none"/>
                <w:lang w:val="en-US" w:eastAsia="zh-CN" w:bidi="ar-SA"/>
              </w:rPr>
            </w:pPr>
          </w:p>
        </w:tc>
        <w:tc>
          <w:tcPr>
            <w:tcW w:w="1650" w:type="dxa"/>
            <w:tcBorders>
              <w:top w:val="nil"/>
              <w:left w:val="nil"/>
              <w:bottom w:val="single" w:color="auto" w:sz="4" w:space="0"/>
              <w:right w:val="single" w:color="auto" w:sz="4" w:space="0"/>
            </w:tcBorders>
            <w:shd w:val="clear" w:color="auto" w:fill="auto"/>
            <w:vAlign w:val="center"/>
          </w:tcPr>
          <w:p w14:paraId="1A1AE88D">
            <w:pPr>
              <w:widowControl/>
              <w:ind w:left="0" w:leftChars="0"/>
              <w:jc w:val="center"/>
              <w:rPr>
                <w:rFonts w:hint="eastAsia" w:ascii="仿宋" w:hAnsi="仿宋" w:eastAsia="仿宋" w:cs="仿宋"/>
                <w:color w:val="auto"/>
                <w:kern w:val="0"/>
                <w:sz w:val="21"/>
                <w:szCs w:val="21"/>
                <w:highlight w:val="none"/>
                <w:lang w:val="en-US" w:eastAsia="zh-CN" w:bidi="ar-SA"/>
              </w:rPr>
            </w:pPr>
            <w:r>
              <w:rPr>
                <w:rFonts w:hint="eastAsia" w:ascii="仿宋" w:hAnsi="仿宋" w:eastAsia="仿宋" w:cs="仿宋"/>
                <w:color w:val="auto"/>
                <w:kern w:val="0"/>
                <w:sz w:val="21"/>
                <w:szCs w:val="21"/>
                <w:highlight w:val="none"/>
                <w:lang w:val="en-US" w:eastAsia="zh-CN" w:bidi="ar-SA"/>
              </w:rPr>
              <w:t>存储型服务器网口速率和数量</w:t>
            </w:r>
          </w:p>
        </w:tc>
        <w:tc>
          <w:tcPr>
            <w:tcW w:w="3739" w:type="dxa"/>
            <w:tcBorders>
              <w:top w:val="nil"/>
              <w:left w:val="nil"/>
              <w:bottom w:val="single" w:color="auto" w:sz="4" w:space="0"/>
              <w:right w:val="single" w:color="auto" w:sz="4" w:space="0"/>
            </w:tcBorders>
            <w:shd w:val="clear" w:color="auto" w:fill="auto"/>
            <w:vAlign w:val="center"/>
          </w:tcPr>
          <w:p w14:paraId="22E2FCF6">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rPr>
              <w:t>不涉及</w:t>
            </w:r>
          </w:p>
        </w:tc>
      </w:tr>
      <w:tr w14:paraId="5E3D5725">
        <w:tblPrEx>
          <w:tblCellMar>
            <w:top w:w="0" w:type="dxa"/>
            <w:left w:w="108" w:type="dxa"/>
            <w:bottom w:w="0" w:type="dxa"/>
            <w:right w:w="108" w:type="dxa"/>
          </w:tblCellMar>
        </w:tblPrEx>
        <w:trPr>
          <w:wAfter w:w="0" w:type="auto"/>
          <w:trHeight w:val="483"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6C9BA71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24</w:t>
            </w:r>
          </w:p>
        </w:tc>
        <w:tc>
          <w:tcPr>
            <w:tcW w:w="1221" w:type="dxa"/>
            <w:tcBorders>
              <w:top w:val="nil"/>
              <w:left w:val="nil"/>
              <w:bottom w:val="single" w:color="auto" w:sz="4" w:space="0"/>
              <w:right w:val="single" w:color="auto" w:sz="4" w:space="0"/>
            </w:tcBorders>
            <w:shd w:val="clear" w:color="auto" w:fill="auto"/>
            <w:vAlign w:val="center"/>
          </w:tcPr>
          <w:p w14:paraId="503A546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right w:val="single" w:color="auto" w:sz="4" w:space="0"/>
            </w:tcBorders>
            <w:vAlign w:val="center"/>
          </w:tcPr>
          <w:p w14:paraId="16B7498F">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0FF97FE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独立网卡网口数量</w:t>
            </w:r>
          </w:p>
        </w:tc>
        <w:tc>
          <w:tcPr>
            <w:tcW w:w="3739" w:type="dxa"/>
            <w:tcBorders>
              <w:top w:val="nil"/>
              <w:left w:val="nil"/>
              <w:bottom w:val="single" w:color="auto" w:sz="4" w:space="0"/>
              <w:right w:val="single" w:color="auto" w:sz="4" w:space="0"/>
            </w:tcBorders>
            <w:shd w:val="clear" w:color="auto" w:fill="auto"/>
            <w:vAlign w:val="center"/>
          </w:tcPr>
          <w:p w14:paraId="2B549217">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≥2个电口，≥2个光口</w:t>
            </w:r>
          </w:p>
        </w:tc>
      </w:tr>
      <w:tr w14:paraId="1B70D911">
        <w:tblPrEx>
          <w:tblCellMar>
            <w:top w:w="0" w:type="dxa"/>
            <w:left w:w="108" w:type="dxa"/>
            <w:bottom w:w="0" w:type="dxa"/>
            <w:right w:w="108" w:type="dxa"/>
          </w:tblCellMar>
        </w:tblPrEx>
        <w:trPr>
          <w:wAfter w:w="0" w:type="auto"/>
          <w:trHeight w:val="41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5E0FB6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25</w:t>
            </w:r>
          </w:p>
        </w:tc>
        <w:tc>
          <w:tcPr>
            <w:tcW w:w="1221" w:type="dxa"/>
            <w:tcBorders>
              <w:top w:val="nil"/>
              <w:left w:val="nil"/>
              <w:bottom w:val="single" w:color="auto" w:sz="4" w:space="0"/>
              <w:right w:val="single" w:color="auto" w:sz="4" w:space="0"/>
            </w:tcBorders>
            <w:shd w:val="clear" w:color="auto" w:fill="auto"/>
            <w:vAlign w:val="center"/>
          </w:tcPr>
          <w:p w14:paraId="7AF1D3EB">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right w:val="single" w:color="auto" w:sz="4" w:space="0"/>
            </w:tcBorders>
            <w:vAlign w:val="center"/>
          </w:tcPr>
          <w:p w14:paraId="792F86F2">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1AB815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独立网卡接口类型</w:t>
            </w:r>
          </w:p>
        </w:tc>
        <w:tc>
          <w:tcPr>
            <w:tcW w:w="3739" w:type="dxa"/>
            <w:tcBorders>
              <w:top w:val="nil"/>
              <w:left w:val="nil"/>
              <w:bottom w:val="single" w:color="auto" w:sz="4" w:space="0"/>
              <w:right w:val="single" w:color="auto" w:sz="4" w:space="0"/>
            </w:tcBorders>
            <w:shd w:val="clear" w:color="auto" w:fill="auto"/>
            <w:vAlign w:val="center"/>
          </w:tcPr>
          <w:p w14:paraId="29F68999">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支持RJ45/SFP</w:t>
            </w:r>
          </w:p>
        </w:tc>
      </w:tr>
      <w:tr w14:paraId="5F01BF35">
        <w:tblPrEx>
          <w:tblCellMar>
            <w:top w:w="0" w:type="dxa"/>
            <w:left w:w="108" w:type="dxa"/>
            <w:bottom w:w="0" w:type="dxa"/>
            <w:right w:w="108" w:type="dxa"/>
          </w:tblCellMar>
        </w:tblPrEx>
        <w:trPr>
          <w:wAfter w:w="0" w:type="auto"/>
          <w:trHeight w:val="41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4BA859B3">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26</w:t>
            </w:r>
          </w:p>
        </w:tc>
        <w:tc>
          <w:tcPr>
            <w:tcW w:w="1221" w:type="dxa"/>
            <w:tcBorders>
              <w:top w:val="nil"/>
              <w:left w:val="nil"/>
              <w:bottom w:val="single" w:color="auto" w:sz="4" w:space="0"/>
              <w:right w:val="single" w:color="auto" w:sz="4" w:space="0"/>
            </w:tcBorders>
            <w:shd w:val="clear" w:color="auto" w:fill="auto"/>
            <w:vAlign w:val="center"/>
          </w:tcPr>
          <w:p w14:paraId="32A92601">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bottom w:val="single" w:color="auto" w:sz="4" w:space="0"/>
              <w:right w:val="single" w:color="auto" w:sz="4" w:space="0"/>
            </w:tcBorders>
            <w:vAlign w:val="center"/>
          </w:tcPr>
          <w:p w14:paraId="06624F64">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A49D1DD">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val="en-US" w:eastAsia="zh-CN"/>
              </w:rPr>
              <w:t>板载</w:t>
            </w:r>
            <w:r>
              <w:rPr>
                <w:rFonts w:hint="eastAsia" w:ascii="仿宋" w:hAnsi="仿宋" w:eastAsia="仿宋" w:cs="仿宋"/>
                <w:color w:val="auto"/>
                <w:kern w:val="0"/>
                <w:sz w:val="21"/>
                <w:szCs w:val="21"/>
                <w:highlight w:val="none"/>
                <w:lang w:eastAsia="zh"/>
              </w:rPr>
              <w:t>网卡接口类型</w:t>
            </w:r>
          </w:p>
        </w:tc>
        <w:tc>
          <w:tcPr>
            <w:tcW w:w="3739" w:type="dxa"/>
            <w:tcBorders>
              <w:top w:val="nil"/>
              <w:left w:val="nil"/>
              <w:bottom w:val="single" w:color="auto" w:sz="4" w:space="0"/>
              <w:right w:val="single" w:color="auto" w:sz="4" w:space="0"/>
            </w:tcBorders>
            <w:shd w:val="clear" w:color="auto" w:fill="auto"/>
            <w:vAlign w:val="center"/>
          </w:tcPr>
          <w:p w14:paraId="7ADE97CA">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rPr>
              <w:t>不涉及</w:t>
            </w:r>
          </w:p>
        </w:tc>
      </w:tr>
      <w:tr w14:paraId="4D1CFB84">
        <w:tblPrEx>
          <w:tblCellMar>
            <w:top w:w="0" w:type="dxa"/>
            <w:left w:w="108" w:type="dxa"/>
            <w:bottom w:w="0" w:type="dxa"/>
            <w:right w:w="108" w:type="dxa"/>
          </w:tblCellMar>
        </w:tblPrEx>
        <w:trPr>
          <w:wAfter w:w="0" w:type="auto"/>
          <w:trHeight w:val="4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DF906E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27</w:t>
            </w:r>
          </w:p>
        </w:tc>
        <w:tc>
          <w:tcPr>
            <w:tcW w:w="1221" w:type="dxa"/>
            <w:tcBorders>
              <w:top w:val="nil"/>
              <w:left w:val="nil"/>
              <w:bottom w:val="single" w:color="auto" w:sz="4" w:space="0"/>
              <w:right w:val="single" w:color="auto" w:sz="4" w:space="0"/>
            </w:tcBorders>
            <w:shd w:val="clear" w:color="auto" w:fill="auto"/>
            <w:vAlign w:val="center"/>
          </w:tcPr>
          <w:p w14:paraId="62F9593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right w:val="single" w:color="auto" w:sz="4" w:space="0"/>
            </w:tcBorders>
            <w:shd w:val="clear" w:color="auto" w:fill="auto"/>
            <w:vAlign w:val="center"/>
          </w:tcPr>
          <w:p w14:paraId="513D495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外部接口规格</w:t>
            </w:r>
          </w:p>
        </w:tc>
        <w:tc>
          <w:tcPr>
            <w:tcW w:w="1650" w:type="dxa"/>
            <w:tcBorders>
              <w:top w:val="nil"/>
              <w:left w:val="nil"/>
              <w:bottom w:val="single" w:color="auto" w:sz="4" w:space="0"/>
              <w:right w:val="single" w:color="auto" w:sz="4" w:space="0"/>
            </w:tcBorders>
            <w:shd w:val="clear" w:color="auto" w:fill="auto"/>
            <w:vAlign w:val="center"/>
          </w:tcPr>
          <w:p w14:paraId="41D9145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显示接口</w:t>
            </w:r>
          </w:p>
        </w:tc>
        <w:tc>
          <w:tcPr>
            <w:tcW w:w="3739" w:type="dxa"/>
            <w:tcBorders>
              <w:top w:val="nil"/>
              <w:left w:val="nil"/>
              <w:bottom w:val="single" w:color="auto" w:sz="4" w:space="0"/>
              <w:right w:val="single" w:color="auto" w:sz="4" w:space="0"/>
            </w:tcBorders>
            <w:shd w:val="clear" w:color="auto" w:fill="auto"/>
            <w:vAlign w:val="center"/>
          </w:tcPr>
          <w:p w14:paraId="5223B59A">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显示接口类型为VGA接口</w:t>
            </w:r>
          </w:p>
        </w:tc>
      </w:tr>
      <w:tr w14:paraId="299C266B">
        <w:tblPrEx>
          <w:tblCellMar>
            <w:top w:w="0" w:type="dxa"/>
            <w:left w:w="108" w:type="dxa"/>
            <w:bottom w:w="0" w:type="dxa"/>
            <w:right w:w="108" w:type="dxa"/>
          </w:tblCellMar>
        </w:tblPrEx>
        <w:trPr>
          <w:wAfter w:w="0" w:type="auto"/>
          <w:trHeight w:val="4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065EEE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28</w:t>
            </w:r>
          </w:p>
        </w:tc>
        <w:tc>
          <w:tcPr>
            <w:tcW w:w="1221" w:type="dxa"/>
            <w:tcBorders>
              <w:top w:val="nil"/>
              <w:left w:val="nil"/>
              <w:bottom w:val="single" w:color="auto" w:sz="4" w:space="0"/>
              <w:right w:val="single" w:color="auto" w:sz="4" w:space="0"/>
            </w:tcBorders>
            <w:shd w:val="clear" w:color="auto" w:fill="auto"/>
            <w:vAlign w:val="center"/>
          </w:tcPr>
          <w:p w14:paraId="144156E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right w:val="single" w:color="auto" w:sz="4" w:space="0"/>
            </w:tcBorders>
            <w:vAlign w:val="center"/>
          </w:tcPr>
          <w:p w14:paraId="41201B1D">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1916388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USB接口</w:t>
            </w:r>
          </w:p>
        </w:tc>
        <w:tc>
          <w:tcPr>
            <w:tcW w:w="3739" w:type="dxa"/>
            <w:tcBorders>
              <w:top w:val="nil"/>
              <w:left w:val="nil"/>
              <w:bottom w:val="single" w:color="auto" w:sz="4" w:space="0"/>
              <w:right w:val="single" w:color="auto" w:sz="4" w:space="0"/>
            </w:tcBorders>
            <w:shd w:val="clear" w:color="auto" w:fill="auto"/>
            <w:vAlign w:val="center"/>
          </w:tcPr>
          <w:p w14:paraId="72D10432">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配备USB3.0接口</w:t>
            </w:r>
          </w:p>
        </w:tc>
      </w:tr>
      <w:tr w14:paraId="2741F6D7">
        <w:tblPrEx>
          <w:tblCellMar>
            <w:top w:w="0" w:type="dxa"/>
            <w:left w:w="108" w:type="dxa"/>
            <w:bottom w:w="0" w:type="dxa"/>
            <w:right w:w="108" w:type="dxa"/>
          </w:tblCellMar>
        </w:tblPrEx>
        <w:trPr>
          <w:wAfter w:w="0" w:type="auto"/>
          <w:trHeight w:val="4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51CF42D">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29</w:t>
            </w:r>
          </w:p>
        </w:tc>
        <w:tc>
          <w:tcPr>
            <w:tcW w:w="1221" w:type="dxa"/>
            <w:tcBorders>
              <w:top w:val="nil"/>
              <w:left w:val="nil"/>
              <w:bottom w:val="single" w:color="auto" w:sz="4" w:space="0"/>
              <w:right w:val="single" w:color="auto" w:sz="4" w:space="0"/>
            </w:tcBorders>
            <w:shd w:val="clear" w:color="auto" w:fill="auto"/>
            <w:vAlign w:val="center"/>
          </w:tcPr>
          <w:p w14:paraId="462B1BA6">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right w:val="single" w:color="auto" w:sz="4" w:space="0"/>
            </w:tcBorders>
            <w:vAlign w:val="center"/>
          </w:tcPr>
          <w:p w14:paraId="64D0D065">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51749AE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rPr>
              <w:t>特殊接口及孔位</w:t>
            </w:r>
          </w:p>
        </w:tc>
        <w:tc>
          <w:tcPr>
            <w:tcW w:w="3739" w:type="dxa"/>
            <w:tcBorders>
              <w:top w:val="nil"/>
              <w:left w:val="nil"/>
              <w:bottom w:val="single" w:color="auto" w:sz="4" w:space="0"/>
              <w:right w:val="single" w:color="auto" w:sz="4" w:space="0"/>
            </w:tcBorders>
            <w:shd w:val="clear" w:color="auto" w:fill="auto"/>
            <w:vAlign w:val="center"/>
          </w:tcPr>
          <w:p w14:paraId="3BFE6EBD">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不涉及</w:t>
            </w:r>
          </w:p>
        </w:tc>
      </w:tr>
      <w:tr w14:paraId="45678307">
        <w:tblPrEx>
          <w:tblCellMar>
            <w:top w:w="0" w:type="dxa"/>
            <w:left w:w="108" w:type="dxa"/>
            <w:bottom w:w="0" w:type="dxa"/>
            <w:right w:w="108" w:type="dxa"/>
          </w:tblCellMar>
        </w:tblPrEx>
        <w:trPr>
          <w:wAfter w:w="0" w:type="auto"/>
          <w:trHeight w:val="4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64F4CD1D">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30</w:t>
            </w:r>
          </w:p>
        </w:tc>
        <w:tc>
          <w:tcPr>
            <w:tcW w:w="1221" w:type="dxa"/>
            <w:tcBorders>
              <w:top w:val="nil"/>
              <w:left w:val="nil"/>
              <w:bottom w:val="single" w:color="auto" w:sz="4" w:space="0"/>
              <w:right w:val="single" w:color="auto" w:sz="4" w:space="0"/>
            </w:tcBorders>
            <w:shd w:val="clear" w:color="auto" w:fill="auto"/>
            <w:vAlign w:val="center"/>
          </w:tcPr>
          <w:p w14:paraId="65E0C4D7">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bottom w:val="single" w:color="auto" w:sz="4" w:space="0"/>
              <w:right w:val="single" w:color="auto" w:sz="4" w:space="0"/>
            </w:tcBorders>
            <w:vAlign w:val="center"/>
          </w:tcPr>
          <w:p w14:paraId="203F5DB6">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9A03A1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其他接口</w:t>
            </w:r>
          </w:p>
        </w:tc>
        <w:tc>
          <w:tcPr>
            <w:tcW w:w="3739" w:type="dxa"/>
            <w:tcBorders>
              <w:top w:val="nil"/>
              <w:left w:val="nil"/>
              <w:bottom w:val="single" w:color="auto" w:sz="4" w:space="0"/>
              <w:right w:val="single" w:color="auto" w:sz="4" w:space="0"/>
            </w:tcBorders>
            <w:shd w:val="clear" w:color="auto" w:fill="auto"/>
            <w:vAlign w:val="center"/>
          </w:tcPr>
          <w:p w14:paraId="0B37B1D2">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不涉及</w:t>
            </w:r>
          </w:p>
        </w:tc>
      </w:tr>
      <w:tr w14:paraId="42A3D6AC">
        <w:tblPrEx>
          <w:tblCellMar>
            <w:top w:w="0" w:type="dxa"/>
            <w:left w:w="108" w:type="dxa"/>
            <w:bottom w:w="0" w:type="dxa"/>
            <w:right w:w="108" w:type="dxa"/>
          </w:tblCellMar>
        </w:tblPrEx>
        <w:trPr>
          <w:wAfter w:w="0" w:type="auto"/>
          <w:trHeight w:val="415"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69CC8EF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31</w:t>
            </w:r>
          </w:p>
        </w:tc>
        <w:tc>
          <w:tcPr>
            <w:tcW w:w="1221" w:type="dxa"/>
            <w:tcBorders>
              <w:top w:val="nil"/>
              <w:left w:val="nil"/>
              <w:bottom w:val="single" w:color="auto" w:sz="4" w:space="0"/>
              <w:right w:val="single" w:color="auto" w:sz="4" w:space="0"/>
            </w:tcBorders>
            <w:shd w:val="clear" w:color="auto" w:fill="auto"/>
            <w:vAlign w:val="center"/>
          </w:tcPr>
          <w:p w14:paraId="187170E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bottom w:val="single" w:color="auto" w:sz="4" w:space="0"/>
              <w:right w:val="single" w:color="auto" w:sz="4" w:space="0"/>
            </w:tcBorders>
            <w:shd w:val="clear" w:color="auto" w:fill="auto"/>
            <w:vAlign w:val="center"/>
          </w:tcPr>
          <w:p w14:paraId="4461194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电源规格</w:t>
            </w:r>
          </w:p>
        </w:tc>
        <w:tc>
          <w:tcPr>
            <w:tcW w:w="1650" w:type="dxa"/>
            <w:tcBorders>
              <w:top w:val="nil"/>
              <w:left w:val="nil"/>
              <w:bottom w:val="single" w:color="auto" w:sz="4" w:space="0"/>
              <w:right w:val="single" w:color="auto" w:sz="4" w:space="0"/>
            </w:tcBorders>
            <w:shd w:val="clear" w:color="auto" w:fill="auto"/>
            <w:vAlign w:val="center"/>
          </w:tcPr>
          <w:p w14:paraId="2FD8689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电源冗余模式</w:t>
            </w:r>
          </w:p>
        </w:tc>
        <w:tc>
          <w:tcPr>
            <w:tcW w:w="3739" w:type="dxa"/>
            <w:tcBorders>
              <w:top w:val="nil"/>
              <w:left w:val="nil"/>
              <w:bottom w:val="single" w:color="auto" w:sz="4" w:space="0"/>
              <w:right w:val="single" w:color="auto" w:sz="4" w:space="0"/>
            </w:tcBorders>
            <w:shd w:val="clear" w:color="auto" w:fill="auto"/>
            <w:vAlign w:val="center"/>
          </w:tcPr>
          <w:p w14:paraId="1B8D4614">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整机电源模块按1+1冗余配置</w:t>
            </w:r>
          </w:p>
        </w:tc>
      </w:tr>
      <w:tr w14:paraId="683A8B9B">
        <w:tblPrEx>
          <w:tblCellMar>
            <w:top w:w="0" w:type="dxa"/>
            <w:left w:w="108" w:type="dxa"/>
            <w:bottom w:w="0" w:type="dxa"/>
            <w:right w:w="108" w:type="dxa"/>
          </w:tblCellMar>
        </w:tblPrEx>
        <w:trPr>
          <w:wAfter w:w="0" w:type="auto"/>
          <w:trHeight w:val="406"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52FDF1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32</w:t>
            </w:r>
          </w:p>
        </w:tc>
        <w:tc>
          <w:tcPr>
            <w:tcW w:w="1221" w:type="dxa"/>
            <w:tcBorders>
              <w:top w:val="nil"/>
              <w:left w:val="nil"/>
              <w:bottom w:val="single" w:color="auto" w:sz="4" w:space="0"/>
              <w:right w:val="single" w:color="auto" w:sz="4" w:space="0"/>
            </w:tcBorders>
            <w:shd w:val="clear" w:color="auto" w:fill="auto"/>
            <w:vAlign w:val="center"/>
          </w:tcPr>
          <w:p w14:paraId="2631643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1D61CA2E">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5044376A">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电源模块数量</w:t>
            </w:r>
          </w:p>
        </w:tc>
        <w:tc>
          <w:tcPr>
            <w:tcW w:w="3739" w:type="dxa"/>
            <w:tcBorders>
              <w:top w:val="nil"/>
              <w:left w:val="nil"/>
              <w:bottom w:val="single" w:color="auto" w:sz="4" w:space="0"/>
              <w:right w:val="single" w:color="auto" w:sz="4" w:space="0"/>
            </w:tcBorders>
            <w:shd w:val="clear" w:color="auto" w:fill="auto"/>
            <w:vAlign w:val="center"/>
          </w:tcPr>
          <w:p w14:paraId="76987586">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≥2</w:t>
            </w:r>
          </w:p>
        </w:tc>
      </w:tr>
      <w:tr w14:paraId="0627C3E8">
        <w:tblPrEx>
          <w:tblCellMar>
            <w:top w:w="0" w:type="dxa"/>
            <w:left w:w="108" w:type="dxa"/>
            <w:bottom w:w="0" w:type="dxa"/>
            <w:right w:w="108" w:type="dxa"/>
          </w:tblCellMar>
        </w:tblPrEx>
        <w:trPr>
          <w:wAfter w:w="0" w:type="auto"/>
          <w:trHeight w:val="71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F325C2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33</w:t>
            </w:r>
          </w:p>
        </w:tc>
        <w:tc>
          <w:tcPr>
            <w:tcW w:w="1221" w:type="dxa"/>
            <w:tcBorders>
              <w:top w:val="nil"/>
              <w:left w:val="nil"/>
              <w:bottom w:val="single" w:color="auto" w:sz="4" w:space="0"/>
              <w:right w:val="single" w:color="auto" w:sz="4" w:space="0"/>
            </w:tcBorders>
            <w:shd w:val="clear" w:color="auto" w:fill="auto"/>
            <w:vAlign w:val="center"/>
          </w:tcPr>
          <w:p w14:paraId="192B4AA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067B98EB">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5CB341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电源功率</w:t>
            </w:r>
          </w:p>
        </w:tc>
        <w:tc>
          <w:tcPr>
            <w:tcW w:w="3739" w:type="dxa"/>
            <w:tcBorders>
              <w:top w:val="nil"/>
              <w:left w:val="nil"/>
              <w:bottom w:val="single" w:color="auto" w:sz="4" w:space="0"/>
              <w:right w:val="single" w:color="auto" w:sz="4" w:space="0"/>
            </w:tcBorders>
            <w:shd w:val="clear" w:color="auto" w:fill="auto"/>
            <w:vAlign w:val="center"/>
          </w:tcPr>
          <w:p w14:paraId="2890079E">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电源模块功率应有一定冗余，满足处理器满载时的需求，单电源模块满足不少于800W功率</w:t>
            </w:r>
          </w:p>
        </w:tc>
      </w:tr>
      <w:tr w14:paraId="4533E836">
        <w:tblPrEx>
          <w:tblCellMar>
            <w:top w:w="0" w:type="dxa"/>
            <w:left w:w="108" w:type="dxa"/>
            <w:bottom w:w="0" w:type="dxa"/>
            <w:right w:w="108" w:type="dxa"/>
          </w:tblCellMar>
        </w:tblPrEx>
        <w:trPr>
          <w:wAfter w:w="0" w:type="auto"/>
          <w:trHeight w:val="40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23C4D3B">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34</w:t>
            </w:r>
          </w:p>
        </w:tc>
        <w:tc>
          <w:tcPr>
            <w:tcW w:w="1221" w:type="dxa"/>
            <w:tcBorders>
              <w:top w:val="nil"/>
              <w:left w:val="nil"/>
              <w:bottom w:val="single" w:color="auto" w:sz="4" w:space="0"/>
              <w:right w:val="single" w:color="auto" w:sz="4" w:space="0"/>
            </w:tcBorders>
            <w:shd w:val="clear" w:color="auto" w:fill="auto"/>
            <w:vAlign w:val="center"/>
          </w:tcPr>
          <w:p w14:paraId="1A1D992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3A922BDF">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7E71F90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电源指示灯</w:t>
            </w:r>
          </w:p>
        </w:tc>
        <w:tc>
          <w:tcPr>
            <w:tcW w:w="3739" w:type="dxa"/>
            <w:tcBorders>
              <w:top w:val="nil"/>
              <w:left w:val="nil"/>
              <w:bottom w:val="single" w:color="auto" w:sz="4" w:space="0"/>
              <w:right w:val="single" w:color="auto" w:sz="4" w:space="0"/>
            </w:tcBorders>
            <w:shd w:val="clear" w:color="auto" w:fill="auto"/>
            <w:vAlign w:val="center"/>
          </w:tcPr>
          <w:p w14:paraId="1C3BB7A4">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配备电源指示灯</w:t>
            </w:r>
          </w:p>
        </w:tc>
      </w:tr>
      <w:tr w14:paraId="156E3429">
        <w:tblPrEx>
          <w:tblCellMar>
            <w:top w:w="0" w:type="dxa"/>
            <w:left w:w="108" w:type="dxa"/>
            <w:bottom w:w="0" w:type="dxa"/>
            <w:right w:w="108" w:type="dxa"/>
          </w:tblCellMar>
        </w:tblPrEx>
        <w:trPr>
          <w:wAfter w:w="0" w:type="auto"/>
          <w:trHeight w:val="551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442E12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35</w:t>
            </w:r>
          </w:p>
        </w:tc>
        <w:tc>
          <w:tcPr>
            <w:tcW w:w="1221" w:type="dxa"/>
            <w:tcBorders>
              <w:top w:val="nil"/>
              <w:left w:val="nil"/>
              <w:bottom w:val="single" w:color="auto" w:sz="4" w:space="0"/>
              <w:right w:val="single" w:color="auto" w:sz="4" w:space="0"/>
            </w:tcBorders>
            <w:shd w:val="clear" w:color="auto" w:fill="auto"/>
            <w:vAlign w:val="center"/>
          </w:tcPr>
          <w:p w14:paraId="569A825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bottom w:val="single" w:color="auto" w:sz="4" w:space="0"/>
              <w:right w:val="single" w:color="auto" w:sz="4" w:space="0"/>
            </w:tcBorders>
            <w:shd w:val="clear" w:color="auto" w:fill="auto"/>
            <w:vAlign w:val="center"/>
          </w:tcPr>
          <w:p w14:paraId="6BEAE87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整机规格</w:t>
            </w:r>
          </w:p>
        </w:tc>
        <w:tc>
          <w:tcPr>
            <w:tcW w:w="1650" w:type="dxa"/>
            <w:tcBorders>
              <w:top w:val="nil"/>
              <w:left w:val="nil"/>
              <w:bottom w:val="single" w:color="auto" w:sz="4" w:space="0"/>
              <w:right w:val="single" w:color="auto" w:sz="4" w:space="0"/>
            </w:tcBorders>
            <w:shd w:val="clear" w:color="auto" w:fill="auto"/>
            <w:vAlign w:val="center"/>
          </w:tcPr>
          <w:p w14:paraId="7206A29A">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外观和结构</w:t>
            </w:r>
          </w:p>
        </w:tc>
        <w:tc>
          <w:tcPr>
            <w:tcW w:w="3739" w:type="dxa"/>
            <w:tcBorders>
              <w:top w:val="nil"/>
              <w:left w:val="nil"/>
              <w:bottom w:val="single" w:color="auto" w:sz="4" w:space="0"/>
              <w:right w:val="single" w:color="auto" w:sz="4" w:space="0"/>
            </w:tcBorders>
            <w:shd w:val="clear" w:color="auto" w:fill="auto"/>
            <w:vAlign w:val="center"/>
          </w:tcPr>
          <w:p w14:paraId="78D9B7ED">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a)服务器的零部件应紧固无松动，可插拔部件可靠连接，开关、按钮和其它控制部件应灵活可靠，布局应方便使用;</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b)产品表面不应有明显的凹痕、划伤、裂缝、变形和污染等。表面涂层均伤、不应起泡、龟裂、脱落和磨损，金属零部件无锈蚀及其它机械损伤；</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c)产品表面说明功能的文字、符号和标志应清晰、端正且牢固；</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d)应在服务器的显著位置提供运行状态的指示功能，并在随机文件中明确具体含义；</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e)机架、机箱的尺寸应符合通用机柜的安装要求，插入总线插座的电路板接口外形尺寸应符合有关总线标准的规定，将机箱固定在机柜上，机箱底面最大下垂变形不得干涉相邻机体；</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f)服务器尺寸具体要求在随机文件中明确</w:t>
            </w:r>
          </w:p>
        </w:tc>
      </w:tr>
      <w:tr w14:paraId="32C8F456">
        <w:tblPrEx>
          <w:tblCellMar>
            <w:top w:w="0" w:type="dxa"/>
            <w:left w:w="108" w:type="dxa"/>
            <w:bottom w:w="0" w:type="dxa"/>
            <w:right w:w="108" w:type="dxa"/>
          </w:tblCellMar>
        </w:tblPrEx>
        <w:trPr>
          <w:wAfter w:w="0" w:type="auto"/>
          <w:trHeight w:val="6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665300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36</w:t>
            </w:r>
          </w:p>
        </w:tc>
        <w:tc>
          <w:tcPr>
            <w:tcW w:w="1221" w:type="dxa"/>
            <w:tcBorders>
              <w:top w:val="nil"/>
              <w:left w:val="nil"/>
              <w:bottom w:val="single" w:color="auto" w:sz="4" w:space="0"/>
              <w:right w:val="single" w:color="auto" w:sz="4" w:space="0"/>
            </w:tcBorders>
            <w:shd w:val="clear" w:color="auto" w:fill="auto"/>
            <w:vAlign w:val="center"/>
          </w:tcPr>
          <w:p w14:paraId="75D54EC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3264991B">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AF2A519">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尺寸（高×宽×深）</w:t>
            </w:r>
          </w:p>
        </w:tc>
        <w:tc>
          <w:tcPr>
            <w:tcW w:w="3739" w:type="dxa"/>
            <w:tcBorders>
              <w:top w:val="nil"/>
              <w:left w:val="nil"/>
              <w:bottom w:val="single" w:color="auto" w:sz="4" w:space="0"/>
              <w:right w:val="single" w:color="auto" w:sz="4" w:space="0"/>
            </w:tcBorders>
            <w:shd w:val="clear" w:color="auto" w:fill="auto"/>
            <w:vAlign w:val="center"/>
          </w:tcPr>
          <w:p w14:paraId="6A227941">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（高）×（宽）×（深）应不超过 87.8mm×446mm×794mm</w:t>
            </w:r>
          </w:p>
        </w:tc>
      </w:tr>
      <w:tr w14:paraId="2F1440AF">
        <w:tblPrEx>
          <w:tblCellMar>
            <w:top w:w="0" w:type="dxa"/>
            <w:left w:w="108" w:type="dxa"/>
            <w:bottom w:w="0" w:type="dxa"/>
            <w:right w:w="108" w:type="dxa"/>
          </w:tblCellMar>
        </w:tblPrEx>
        <w:trPr>
          <w:wAfter w:w="0" w:type="auto"/>
          <w:trHeight w:val="6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6E2A287">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37</w:t>
            </w:r>
          </w:p>
        </w:tc>
        <w:tc>
          <w:tcPr>
            <w:tcW w:w="1221" w:type="dxa"/>
            <w:tcBorders>
              <w:top w:val="nil"/>
              <w:left w:val="nil"/>
              <w:bottom w:val="single" w:color="auto" w:sz="4" w:space="0"/>
              <w:right w:val="single" w:color="auto" w:sz="4" w:space="0"/>
            </w:tcBorders>
            <w:shd w:val="clear" w:color="auto" w:fill="auto"/>
            <w:vAlign w:val="center"/>
          </w:tcPr>
          <w:p w14:paraId="21E5C746">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0AE42475">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133112D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rPr>
              <w:t>服务器导轨</w:t>
            </w:r>
          </w:p>
        </w:tc>
        <w:tc>
          <w:tcPr>
            <w:tcW w:w="3739" w:type="dxa"/>
            <w:tcBorders>
              <w:top w:val="nil"/>
              <w:left w:val="nil"/>
              <w:bottom w:val="single" w:color="auto" w:sz="4" w:space="0"/>
              <w:right w:val="single" w:color="auto" w:sz="4" w:space="0"/>
            </w:tcBorders>
            <w:shd w:val="clear" w:color="auto" w:fill="auto"/>
            <w:vAlign w:val="center"/>
          </w:tcPr>
          <w:p w14:paraId="734054D5">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常规标准机柜</w:t>
            </w:r>
            <w:r>
              <w:rPr>
                <w:rFonts w:hint="eastAsia" w:ascii="仿宋" w:hAnsi="仿宋" w:eastAsia="仿宋" w:cs="仿宋"/>
                <w:color w:val="auto"/>
                <w:kern w:val="0"/>
                <w:sz w:val="21"/>
                <w:szCs w:val="21"/>
                <w:highlight w:val="none"/>
                <w:lang w:val="en-US" w:eastAsia="zh-CN"/>
              </w:rPr>
              <w:t>导轨</w:t>
            </w:r>
          </w:p>
        </w:tc>
      </w:tr>
      <w:tr w14:paraId="0EC17D06">
        <w:tblPrEx>
          <w:tblCellMar>
            <w:top w:w="0" w:type="dxa"/>
            <w:left w:w="108" w:type="dxa"/>
            <w:bottom w:w="0" w:type="dxa"/>
            <w:right w:w="108" w:type="dxa"/>
          </w:tblCellMar>
        </w:tblPrEx>
        <w:trPr>
          <w:wAfter w:w="0" w:type="auto"/>
          <w:trHeight w:val="6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3F17FC1">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38</w:t>
            </w:r>
          </w:p>
        </w:tc>
        <w:tc>
          <w:tcPr>
            <w:tcW w:w="1221" w:type="dxa"/>
            <w:tcBorders>
              <w:top w:val="nil"/>
              <w:left w:val="nil"/>
              <w:bottom w:val="single" w:color="auto" w:sz="4" w:space="0"/>
              <w:right w:val="single" w:color="auto" w:sz="4" w:space="0"/>
            </w:tcBorders>
            <w:shd w:val="clear" w:color="auto" w:fill="auto"/>
            <w:vAlign w:val="center"/>
          </w:tcPr>
          <w:p w14:paraId="46F34B49">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5995D789">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135042FD">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rPr>
              <w:t>CPU 个数与机柜高度单位(U)</w:t>
            </w:r>
          </w:p>
        </w:tc>
        <w:tc>
          <w:tcPr>
            <w:tcW w:w="3739" w:type="dxa"/>
            <w:tcBorders>
              <w:top w:val="nil"/>
              <w:left w:val="nil"/>
              <w:bottom w:val="single" w:color="auto" w:sz="4" w:space="0"/>
              <w:right w:val="single" w:color="auto" w:sz="4" w:space="0"/>
            </w:tcBorders>
            <w:shd w:val="clear" w:color="auto" w:fill="auto"/>
            <w:vAlign w:val="center"/>
          </w:tcPr>
          <w:p w14:paraId="097800FB">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2个</w:t>
            </w:r>
            <w:r>
              <w:rPr>
                <w:rFonts w:hint="eastAsia" w:ascii="仿宋" w:hAnsi="仿宋" w:eastAsia="仿宋" w:cs="仿宋"/>
                <w:color w:val="auto"/>
                <w:kern w:val="0"/>
                <w:sz w:val="21"/>
                <w:szCs w:val="21"/>
                <w:highlight w:val="none"/>
                <w:lang w:val="en-US" w:eastAsia="zh-CN"/>
              </w:rPr>
              <w:t xml:space="preserve">CPU </w:t>
            </w:r>
            <w:r>
              <w:rPr>
                <w:rFonts w:hint="eastAsia" w:ascii="仿宋" w:hAnsi="仿宋" w:eastAsia="仿宋" w:cs="仿宋"/>
                <w:color w:val="auto"/>
                <w:kern w:val="0"/>
                <w:sz w:val="21"/>
                <w:szCs w:val="21"/>
                <w:highlight w:val="none"/>
                <w:lang w:eastAsia="zh"/>
              </w:rPr>
              <w:t>,4U服务器</w:t>
            </w:r>
          </w:p>
        </w:tc>
      </w:tr>
      <w:tr w14:paraId="591089D8">
        <w:tblPrEx>
          <w:tblCellMar>
            <w:top w:w="0" w:type="dxa"/>
            <w:left w:w="108" w:type="dxa"/>
            <w:bottom w:w="0" w:type="dxa"/>
            <w:right w:w="108" w:type="dxa"/>
          </w:tblCellMar>
        </w:tblPrEx>
        <w:trPr>
          <w:wAfter w:w="0" w:type="auto"/>
          <w:trHeight w:val="82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80D9F9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39</w:t>
            </w:r>
          </w:p>
        </w:tc>
        <w:tc>
          <w:tcPr>
            <w:tcW w:w="1221" w:type="dxa"/>
            <w:tcBorders>
              <w:top w:val="nil"/>
              <w:left w:val="nil"/>
              <w:bottom w:val="single" w:color="auto" w:sz="4" w:space="0"/>
              <w:right w:val="single" w:color="auto" w:sz="4" w:space="0"/>
            </w:tcBorders>
            <w:shd w:val="clear" w:color="auto" w:fill="auto"/>
            <w:vAlign w:val="center"/>
          </w:tcPr>
          <w:p w14:paraId="7421206D">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5346EED2">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98332CD">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环境适应性</w:t>
            </w:r>
          </w:p>
        </w:tc>
        <w:tc>
          <w:tcPr>
            <w:tcW w:w="3739" w:type="dxa"/>
            <w:tcBorders>
              <w:top w:val="nil"/>
              <w:left w:val="nil"/>
              <w:bottom w:val="single" w:color="auto" w:sz="4" w:space="0"/>
              <w:right w:val="single" w:color="auto" w:sz="4" w:space="0"/>
            </w:tcBorders>
            <w:shd w:val="clear" w:color="auto" w:fill="auto"/>
            <w:vAlign w:val="center"/>
          </w:tcPr>
          <w:p w14:paraId="68CD9FBD">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气候环境适应性应符合GB/T9813.3 的有关规定，工作温度5~ 45℃</w:t>
            </w:r>
          </w:p>
        </w:tc>
      </w:tr>
      <w:tr w14:paraId="569D5383">
        <w:tblPrEx>
          <w:tblCellMar>
            <w:top w:w="0" w:type="dxa"/>
            <w:left w:w="108" w:type="dxa"/>
            <w:bottom w:w="0" w:type="dxa"/>
            <w:right w:w="108" w:type="dxa"/>
          </w:tblCellMar>
        </w:tblPrEx>
        <w:trPr>
          <w:wAfter w:w="0" w:type="auto"/>
          <w:trHeight w:val="82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6A3298E0">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40</w:t>
            </w:r>
          </w:p>
        </w:tc>
        <w:tc>
          <w:tcPr>
            <w:tcW w:w="1221" w:type="dxa"/>
            <w:tcBorders>
              <w:top w:val="nil"/>
              <w:left w:val="nil"/>
              <w:bottom w:val="single" w:color="auto" w:sz="4" w:space="0"/>
              <w:right w:val="single" w:color="auto" w:sz="4" w:space="0"/>
            </w:tcBorders>
            <w:shd w:val="clear" w:color="auto" w:fill="auto"/>
            <w:vAlign w:val="center"/>
          </w:tcPr>
          <w:p w14:paraId="2C92EB8E">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1762B85B">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D865F4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特殊机型环境适应性</w:t>
            </w:r>
          </w:p>
        </w:tc>
        <w:tc>
          <w:tcPr>
            <w:tcW w:w="3739" w:type="dxa"/>
            <w:tcBorders>
              <w:top w:val="nil"/>
              <w:left w:val="nil"/>
              <w:bottom w:val="single" w:color="auto" w:sz="4" w:space="0"/>
              <w:right w:val="single" w:color="auto" w:sz="4" w:space="0"/>
            </w:tcBorders>
            <w:shd w:val="clear" w:color="auto" w:fill="auto"/>
            <w:vAlign w:val="center"/>
          </w:tcPr>
          <w:p w14:paraId="3B7AA65A">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6A403132">
        <w:tblPrEx>
          <w:tblCellMar>
            <w:top w:w="0" w:type="dxa"/>
            <w:left w:w="108" w:type="dxa"/>
            <w:bottom w:w="0" w:type="dxa"/>
            <w:right w:w="108" w:type="dxa"/>
          </w:tblCellMar>
        </w:tblPrEx>
        <w:trPr>
          <w:wAfter w:w="0" w:type="auto"/>
          <w:trHeight w:val="829"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AD7F763">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41</w:t>
            </w:r>
          </w:p>
        </w:tc>
        <w:tc>
          <w:tcPr>
            <w:tcW w:w="1221" w:type="dxa"/>
            <w:tcBorders>
              <w:top w:val="nil"/>
              <w:left w:val="nil"/>
              <w:bottom w:val="single" w:color="auto" w:sz="4" w:space="0"/>
              <w:right w:val="single" w:color="auto" w:sz="4" w:space="0"/>
            </w:tcBorders>
            <w:shd w:val="clear" w:color="auto" w:fill="auto"/>
            <w:vAlign w:val="center"/>
          </w:tcPr>
          <w:p w14:paraId="796419D7">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5566CF39">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6B1EA1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lang w:val="en-US" w:eastAsia="zh-CN"/>
              </w:rPr>
              <w:t>机械环境适应性</w:t>
            </w:r>
          </w:p>
        </w:tc>
        <w:tc>
          <w:tcPr>
            <w:tcW w:w="3739" w:type="dxa"/>
            <w:tcBorders>
              <w:top w:val="nil"/>
              <w:left w:val="nil"/>
              <w:bottom w:val="single" w:color="auto" w:sz="4" w:space="0"/>
              <w:right w:val="single" w:color="auto" w:sz="4" w:space="0"/>
            </w:tcBorders>
            <w:shd w:val="clear" w:color="auto" w:fill="auto"/>
            <w:vAlign w:val="center"/>
          </w:tcPr>
          <w:p w14:paraId="40C7E347">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rPr>
              <w:t>机械环境适应性应符合 GB/T 9813.3 的有关规定</w:t>
            </w:r>
          </w:p>
        </w:tc>
      </w:tr>
      <w:tr w14:paraId="32E25F56">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D5B851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42</w:t>
            </w:r>
          </w:p>
        </w:tc>
        <w:tc>
          <w:tcPr>
            <w:tcW w:w="1221" w:type="dxa"/>
            <w:tcBorders>
              <w:top w:val="nil"/>
              <w:left w:val="nil"/>
              <w:bottom w:val="single" w:color="auto" w:sz="4" w:space="0"/>
              <w:right w:val="single" w:color="auto" w:sz="4" w:space="0"/>
            </w:tcBorders>
            <w:shd w:val="clear" w:color="auto" w:fill="auto"/>
            <w:vAlign w:val="center"/>
          </w:tcPr>
          <w:p w14:paraId="41846606">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top w:val="nil"/>
              <w:left w:val="single" w:color="auto" w:sz="4" w:space="0"/>
              <w:bottom w:val="single" w:color="auto" w:sz="4" w:space="0"/>
              <w:right w:val="single" w:color="auto" w:sz="4" w:space="0"/>
            </w:tcBorders>
            <w:vAlign w:val="center"/>
          </w:tcPr>
          <w:p w14:paraId="52994357">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3E3208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噪声</w:t>
            </w:r>
          </w:p>
        </w:tc>
        <w:tc>
          <w:tcPr>
            <w:tcW w:w="3739" w:type="dxa"/>
            <w:tcBorders>
              <w:top w:val="nil"/>
              <w:left w:val="nil"/>
              <w:bottom w:val="single" w:color="auto" w:sz="4" w:space="0"/>
              <w:right w:val="single" w:color="auto" w:sz="4" w:space="0"/>
            </w:tcBorders>
            <w:shd w:val="clear" w:color="auto" w:fill="auto"/>
            <w:vAlign w:val="center"/>
          </w:tcPr>
          <w:p w14:paraId="02B59BD7">
            <w:pPr>
              <w:pStyle w:val="8"/>
              <w:spacing w:before="42" w:line="233" w:lineRule="auto"/>
              <w:ind w:left="0" w:leftChars="0" w:right="168"/>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符合GB/T 9813.3 的有关规定，在产品说明中给出具体测试值塔式服务器噪声在空闲状态下不大于50dB</w:t>
            </w:r>
          </w:p>
        </w:tc>
      </w:tr>
      <w:tr w14:paraId="2AD4EC25">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C525C6F">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43</w:t>
            </w:r>
          </w:p>
        </w:tc>
        <w:tc>
          <w:tcPr>
            <w:tcW w:w="1221" w:type="dxa"/>
            <w:tcBorders>
              <w:top w:val="nil"/>
              <w:left w:val="nil"/>
              <w:bottom w:val="single" w:color="auto" w:sz="4" w:space="0"/>
              <w:right w:val="single" w:color="auto" w:sz="4" w:space="0"/>
            </w:tcBorders>
            <w:shd w:val="clear" w:color="auto" w:fill="auto"/>
            <w:vAlign w:val="center"/>
          </w:tcPr>
          <w:p w14:paraId="4C74FD07">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right w:val="single" w:color="auto" w:sz="4" w:space="0"/>
            </w:tcBorders>
            <w:vAlign w:val="center"/>
          </w:tcPr>
          <w:p w14:paraId="5401F4F6">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 w:bidi="ar-SA"/>
              </w:rPr>
              <w:t>AI计算单元</w:t>
            </w:r>
            <w:r>
              <w:rPr>
                <w:rFonts w:hint="eastAsia" w:ascii="仿宋" w:hAnsi="仿宋" w:eastAsia="仿宋" w:cs="仿宋"/>
                <w:color w:val="auto"/>
                <w:kern w:val="0"/>
                <w:sz w:val="21"/>
                <w:szCs w:val="21"/>
                <w:highlight w:val="none"/>
                <w:lang w:val="en-US" w:eastAsia="zh-CN" w:bidi="ar-SA"/>
              </w:rPr>
              <w:t>规格</w:t>
            </w:r>
          </w:p>
        </w:tc>
        <w:tc>
          <w:tcPr>
            <w:tcW w:w="1650" w:type="dxa"/>
            <w:tcBorders>
              <w:top w:val="nil"/>
              <w:left w:val="nil"/>
              <w:bottom w:val="single" w:color="auto" w:sz="4" w:space="0"/>
              <w:right w:val="single" w:color="auto" w:sz="4" w:space="0"/>
            </w:tcBorders>
            <w:shd w:val="clear" w:color="auto" w:fill="auto"/>
            <w:vAlign w:val="center"/>
          </w:tcPr>
          <w:p w14:paraId="600D3D84">
            <w:pPr>
              <w:widowControl/>
              <w:ind w:left="0" w:leftChars="0"/>
              <w:jc w:val="center"/>
              <w:rPr>
                <w:rFonts w:hint="eastAsia" w:ascii="仿宋" w:hAnsi="仿宋" w:eastAsia="仿宋" w:cs="仿宋"/>
                <w:color w:val="auto"/>
                <w:kern w:val="0"/>
                <w:sz w:val="21"/>
                <w:szCs w:val="21"/>
                <w:highlight w:val="none"/>
                <w:lang w:val="en-US" w:eastAsia="zh" w:bidi="ar-SA"/>
              </w:rPr>
            </w:pPr>
            <w:r>
              <w:rPr>
                <w:rFonts w:hint="eastAsia" w:ascii="仿宋" w:hAnsi="仿宋" w:eastAsia="仿宋" w:cs="仿宋"/>
                <w:color w:val="auto"/>
                <w:kern w:val="0"/>
                <w:sz w:val="21"/>
                <w:szCs w:val="21"/>
                <w:highlight w:val="none"/>
                <w:lang w:val="en-US" w:eastAsia="zh" w:bidi="ar-SA"/>
              </w:rPr>
              <w:t>AI计算单元</w:t>
            </w:r>
          </w:p>
        </w:tc>
        <w:tc>
          <w:tcPr>
            <w:tcW w:w="3739" w:type="dxa"/>
            <w:tcBorders>
              <w:top w:val="nil"/>
              <w:left w:val="nil"/>
              <w:bottom w:val="single" w:color="auto" w:sz="4" w:space="0"/>
              <w:right w:val="single" w:color="auto" w:sz="4" w:space="0"/>
            </w:tcBorders>
            <w:shd w:val="clear" w:color="auto" w:fill="auto"/>
            <w:vAlign w:val="center"/>
          </w:tcPr>
          <w:p w14:paraId="56431F75">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支持</w:t>
            </w:r>
            <w:r>
              <w:rPr>
                <w:rFonts w:hint="eastAsia" w:ascii="仿宋" w:hAnsi="仿宋" w:eastAsia="仿宋" w:cs="仿宋"/>
                <w:color w:val="auto"/>
                <w:kern w:val="0"/>
                <w:sz w:val="21"/>
                <w:szCs w:val="21"/>
              </w:rPr>
              <w:t>FP16/INT8</w:t>
            </w:r>
          </w:p>
        </w:tc>
      </w:tr>
      <w:tr w14:paraId="1C7E75C6">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6722716">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44</w:t>
            </w:r>
          </w:p>
        </w:tc>
        <w:tc>
          <w:tcPr>
            <w:tcW w:w="1221" w:type="dxa"/>
            <w:tcBorders>
              <w:top w:val="nil"/>
              <w:left w:val="nil"/>
              <w:bottom w:val="single" w:color="auto" w:sz="4" w:space="0"/>
              <w:right w:val="single" w:color="auto" w:sz="4" w:space="0"/>
            </w:tcBorders>
            <w:shd w:val="clear" w:color="auto" w:fill="auto"/>
            <w:vAlign w:val="center"/>
          </w:tcPr>
          <w:p w14:paraId="364D68A2">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bottom w:val="single" w:color="auto" w:sz="4" w:space="0"/>
              <w:right w:val="single" w:color="auto" w:sz="4" w:space="0"/>
            </w:tcBorders>
            <w:vAlign w:val="center"/>
          </w:tcPr>
          <w:p w14:paraId="07B264A5">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5F1882A">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eastAsia="zh"/>
              </w:rPr>
              <w:t>一键式迁移</w:t>
            </w:r>
          </w:p>
        </w:tc>
        <w:tc>
          <w:tcPr>
            <w:tcW w:w="3739" w:type="dxa"/>
            <w:tcBorders>
              <w:top w:val="nil"/>
              <w:left w:val="nil"/>
              <w:bottom w:val="single" w:color="auto" w:sz="4" w:space="0"/>
              <w:right w:val="single" w:color="auto" w:sz="4" w:space="0"/>
            </w:tcBorders>
            <w:shd w:val="clear" w:color="auto" w:fill="auto"/>
            <w:vAlign w:val="center"/>
          </w:tcPr>
          <w:p w14:paraId="7248D538">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不</w:t>
            </w:r>
            <w:r>
              <w:rPr>
                <w:rFonts w:hint="eastAsia" w:ascii="仿宋" w:hAnsi="仿宋" w:eastAsia="仿宋" w:cs="仿宋"/>
                <w:color w:val="auto"/>
                <w:kern w:val="0"/>
                <w:sz w:val="21"/>
                <w:szCs w:val="21"/>
                <w:highlight w:val="none"/>
              </w:rPr>
              <w:t>涉及</w:t>
            </w:r>
          </w:p>
        </w:tc>
      </w:tr>
      <w:tr w14:paraId="69D7423F">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1118ECE">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45</w:t>
            </w:r>
          </w:p>
        </w:tc>
        <w:tc>
          <w:tcPr>
            <w:tcW w:w="1221" w:type="dxa"/>
            <w:tcBorders>
              <w:top w:val="nil"/>
              <w:left w:val="nil"/>
              <w:bottom w:val="single" w:color="auto" w:sz="4" w:space="0"/>
              <w:right w:val="single" w:color="auto" w:sz="4" w:space="0"/>
            </w:tcBorders>
            <w:shd w:val="clear" w:color="auto" w:fill="auto"/>
            <w:vAlign w:val="center"/>
          </w:tcPr>
          <w:p w14:paraId="6FECD0E9">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restart"/>
            <w:tcBorders>
              <w:top w:val="nil"/>
              <w:left w:val="single" w:color="auto" w:sz="4" w:space="0"/>
              <w:right w:val="single" w:color="auto" w:sz="4" w:space="0"/>
            </w:tcBorders>
            <w:vAlign w:val="center"/>
          </w:tcPr>
          <w:p w14:paraId="7AA93821">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机柜规格</w:t>
            </w:r>
          </w:p>
        </w:tc>
        <w:tc>
          <w:tcPr>
            <w:tcW w:w="1650" w:type="dxa"/>
            <w:tcBorders>
              <w:top w:val="nil"/>
              <w:left w:val="nil"/>
              <w:bottom w:val="single" w:color="auto" w:sz="4" w:space="0"/>
              <w:right w:val="single" w:color="auto" w:sz="4" w:space="0"/>
            </w:tcBorders>
            <w:shd w:val="clear" w:color="auto" w:fill="auto"/>
            <w:vAlign w:val="center"/>
          </w:tcPr>
          <w:p w14:paraId="59D05EC1">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lang w:eastAsia="zh"/>
              </w:rPr>
              <w:t>机柜尺寸</w:t>
            </w:r>
          </w:p>
        </w:tc>
        <w:tc>
          <w:tcPr>
            <w:tcW w:w="3739" w:type="dxa"/>
            <w:tcBorders>
              <w:top w:val="nil"/>
              <w:left w:val="nil"/>
              <w:bottom w:val="single" w:color="auto" w:sz="4" w:space="0"/>
              <w:right w:val="single" w:color="auto" w:sz="4" w:space="0"/>
            </w:tcBorders>
            <w:shd w:val="clear" w:color="auto" w:fill="auto"/>
            <w:vAlign w:val="center"/>
          </w:tcPr>
          <w:p w14:paraId="3237538D">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不</w:t>
            </w:r>
            <w:r>
              <w:rPr>
                <w:rFonts w:hint="eastAsia" w:ascii="仿宋" w:hAnsi="仿宋" w:eastAsia="仿宋" w:cs="仿宋"/>
                <w:color w:val="auto"/>
                <w:kern w:val="0"/>
                <w:sz w:val="21"/>
                <w:szCs w:val="21"/>
                <w:highlight w:val="none"/>
              </w:rPr>
              <w:t>涉及</w:t>
            </w:r>
          </w:p>
        </w:tc>
      </w:tr>
      <w:tr w14:paraId="6641125E">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BAD6B75">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46</w:t>
            </w:r>
          </w:p>
        </w:tc>
        <w:tc>
          <w:tcPr>
            <w:tcW w:w="1221" w:type="dxa"/>
            <w:tcBorders>
              <w:top w:val="nil"/>
              <w:left w:val="nil"/>
              <w:bottom w:val="single" w:color="auto" w:sz="4" w:space="0"/>
              <w:right w:val="single" w:color="auto" w:sz="4" w:space="0"/>
            </w:tcBorders>
            <w:shd w:val="clear" w:color="auto" w:fill="auto"/>
            <w:vAlign w:val="center"/>
          </w:tcPr>
          <w:p w14:paraId="79242CF7">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right w:val="single" w:color="auto" w:sz="4" w:space="0"/>
            </w:tcBorders>
            <w:vAlign w:val="center"/>
          </w:tcPr>
          <w:p w14:paraId="09661DFA">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7DE76C22">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机柜管理板</w:t>
            </w:r>
          </w:p>
        </w:tc>
        <w:tc>
          <w:tcPr>
            <w:tcW w:w="3739" w:type="dxa"/>
            <w:tcBorders>
              <w:top w:val="nil"/>
              <w:left w:val="nil"/>
              <w:bottom w:val="single" w:color="auto" w:sz="4" w:space="0"/>
              <w:right w:val="single" w:color="auto" w:sz="4" w:space="0"/>
            </w:tcBorders>
            <w:shd w:val="clear" w:color="auto" w:fill="auto"/>
            <w:vAlign w:val="center"/>
          </w:tcPr>
          <w:p w14:paraId="500DC18F">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eastAsia="zh"/>
              </w:rPr>
              <w:t>不涉及</w:t>
            </w:r>
          </w:p>
        </w:tc>
      </w:tr>
      <w:tr w14:paraId="73AB1153">
        <w:tblPrEx>
          <w:tblCellMar>
            <w:top w:w="0" w:type="dxa"/>
            <w:left w:w="108" w:type="dxa"/>
            <w:bottom w:w="0" w:type="dxa"/>
            <w:right w:w="108" w:type="dxa"/>
          </w:tblCellMar>
        </w:tblPrEx>
        <w:trPr>
          <w:wAfter w:w="0" w:type="auto"/>
          <w:trHeight w:val="628"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912061C">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47</w:t>
            </w:r>
          </w:p>
        </w:tc>
        <w:tc>
          <w:tcPr>
            <w:tcW w:w="1221" w:type="dxa"/>
            <w:tcBorders>
              <w:top w:val="nil"/>
              <w:left w:val="nil"/>
              <w:bottom w:val="single" w:color="auto" w:sz="4" w:space="0"/>
              <w:right w:val="single" w:color="auto" w:sz="4" w:space="0"/>
            </w:tcBorders>
            <w:shd w:val="clear" w:color="auto" w:fill="auto"/>
            <w:vAlign w:val="center"/>
          </w:tcPr>
          <w:p w14:paraId="401E4DF4">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产品规格</w:t>
            </w:r>
          </w:p>
        </w:tc>
        <w:tc>
          <w:tcPr>
            <w:tcW w:w="1264" w:type="dxa"/>
            <w:vMerge w:val="continue"/>
            <w:tcBorders>
              <w:left w:val="single" w:color="auto" w:sz="4" w:space="0"/>
              <w:bottom w:val="single" w:color="auto" w:sz="4" w:space="0"/>
              <w:right w:val="single" w:color="auto" w:sz="4" w:space="0"/>
            </w:tcBorders>
            <w:vAlign w:val="center"/>
          </w:tcPr>
          <w:p w14:paraId="4C11C311">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40476BC">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机柜电源规格</w:t>
            </w:r>
          </w:p>
        </w:tc>
        <w:tc>
          <w:tcPr>
            <w:tcW w:w="3739" w:type="dxa"/>
            <w:tcBorders>
              <w:top w:val="nil"/>
              <w:left w:val="nil"/>
              <w:bottom w:val="single" w:color="auto" w:sz="4" w:space="0"/>
              <w:right w:val="single" w:color="auto" w:sz="4" w:space="0"/>
            </w:tcBorders>
            <w:shd w:val="clear" w:color="auto" w:fill="auto"/>
            <w:vAlign w:val="center"/>
          </w:tcPr>
          <w:p w14:paraId="163473BB">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eastAsia="zh"/>
              </w:rPr>
              <w:t>不</w:t>
            </w:r>
            <w:r>
              <w:rPr>
                <w:rFonts w:hint="eastAsia" w:ascii="仿宋" w:hAnsi="仿宋" w:eastAsia="仿宋" w:cs="仿宋"/>
                <w:color w:val="auto"/>
                <w:kern w:val="0"/>
                <w:sz w:val="21"/>
                <w:szCs w:val="21"/>
                <w:highlight w:val="none"/>
              </w:rPr>
              <w:t>涉及</w:t>
            </w:r>
          </w:p>
        </w:tc>
      </w:tr>
      <w:tr w14:paraId="3B08B35B">
        <w:tblPrEx>
          <w:tblCellMar>
            <w:top w:w="0" w:type="dxa"/>
            <w:left w:w="108" w:type="dxa"/>
            <w:bottom w:w="0" w:type="dxa"/>
            <w:right w:w="108" w:type="dxa"/>
          </w:tblCellMar>
        </w:tblPrEx>
        <w:trPr>
          <w:wAfter w:w="0" w:type="auto"/>
          <w:trHeight w:val="2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D786162">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48</w:t>
            </w:r>
          </w:p>
        </w:tc>
        <w:tc>
          <w:tcPr>
            <w:tcW w:w="1221" w:type="dxa"/>
            <w:tcBorders>
              <w:top w:val="nil"/>
              <w:left w:val="nil"/>
              <w:bottom w:val="single" w:color="auto" w:sz="4" w:space="0"/>
              <w:right w:val="single" w:color="auto" w:sz="4" w:space="0"/>
            </w:tcBorders>
            <w:shd w:val="clear" w:color="auto" w:fill="auto"/>
            <w:vAlign w:val="center"/>
          </w:tcPr>
          <w:p w14:paraId="6D2924B0">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nil"/>
              <w:left w:val="single" w:color="auto" w:sz="4" w:space="0"/>
              <w:right w:val="single" w:color="auto" w:sz="4" w:space="0"/>
            </w:tcBorders>
            <w:shd w:val="clear" w:color="auto" w:fill="auto"/>
            <w:vAlign w:val="center"/>
          </w:tcPr>
          <w:p w14:paraId="4BBDEDF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主板功能</w:t>
            </w:r>
          </w:p>
        </w:tc>
        <w:tc>
          <w:tcPr>
            <w:tcW w:w="1650" w:type="dxa"/>
            <w:tcBorders>
              <w:top w:val="nil"/>
              <w:left w:val="nil"/>
              <w:bottom w:val="single" w:color="auto" w:sz="4" w:space="0"/>
              <w:right w:val="single" w:color="auto" w:sz="4" w:space="0"/>
            </w:tcBorders>
            <w:shd w:val="clear" w:color="auto" w:fill="auto"/>
            <w:vAlign w:val="center"/>
          </w:tcPr>
          <w:p w14:paraId="47B51B0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主板外部接口种类</w:t>
            </w:r>
          </w:p>
        </w:tc>
        <w:tc>
          <w:tcPr>
            <w:tcW w:w="3739" w:type="dxa"/>
            <w:tcBorders>
              <w:top w:val="nil"/>
              <w:left w:val="nil"/>
              <w:bottom w:val="single" w:color="auto" w:sz="4" w:space="0"/>
              <w:right w:val="single" w:color="auto" w:sz="4" w:space="0"/>
            </w:tcBorders>
            <w:shd w:val="clear" w:color="auto" w:fill="auto"/>
            <w:vAlign w:val="center"/>
          </w:tcPr>
          <w:p w14:paraId="50A994F3">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支持USB、显示、管理等接口</w:t>
            </w:r>
          </w:p>
        </w:tc>
      </w:tr>
      <w:tr w14:paraId="07F18BD9">
        <w:tblPrEx>
          <w:tblCellMar>
            <w:top w:w="0" w:type="dxa"/>
            <w:left w:w="108" w:type="dxa"/>
            <w:bottom w:w="0" w:type="dxa"/>
            <w:right w:w="108" w:type="dxa"/>
          </w:tblCellMar>
        </w:tblPrEx>
        <w:trPr>
          <w:wAfter w:w="0" w:type="auto"/>
          <w:trHeight w:val="2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A7E5DED">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49</w:t>
            </w:r>
          </w:p>
        </w:tc>
        <w:tc>
          <w:tcPr>
            <w:tcW w:w="1221" w:type="dxa"/>
            <w:tcBorders>
              <w:top w:val="nil"/>
              <w:left w:val="nil"/>
              <w:bottom w:val="single" w:color="auto" w:sz="4" w:space="0"/>
              <w:right w:val="single" w:color="auto" w:sz="4" w:space="0"/>
            </w:tcBorders>
            <w:shd w:val="clear" w:color="auto" w:fill="auto"/>
            <w:vAlign w:val="center"/>
          </w:tcPr>
          <w:p w14:paraId="2F0573CD">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right w:val="single" w:color="auto" w:sz="4" w:space="0"/>
            </w:tcBorders>
            <w:shd w:val="clear" w:color="auto" w:fill="auto"/>
            <w:vAlign w:val="center"/>
          </w:tcPr>
          <w:p w14:paraId="56297411">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7C97C72">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主板防烧设计</w:t>
            </w:r>
          </w:p>
        </w:tc>
        <w:tc>
          <w:tcPr>
            <w:tcW w:w="3739" w:type="dxa"/>
            <w:tcBorders>
              <w:top w:val="nil"/>
              <w:left w:val="nil"/>
              <w:bottom w:val="single" w:color="auto" w:sz="4" w:space="0"/>
              <w:right w:val="single" w:color="auto" w:sz="4" w:space="0"/>
            </w:tcBorders>
            <w:shd w:val="clear" w:color="auto" w:fill="auto"/>
            <w:vAlign w:val="center"/>
          </w:tcPr>
          <w:p w14:paraId="33FC05D0">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不涉及</w:t>
            </w:r>
          </w:p>
        </w:tc>
      </w:tr>
      <w:tr w14:paraId="4A200F9A">
        <w:tblPrEx>
          <w:tblCellMar>
            <w:top w:w="0" w:type="dxa"/>
            <w:left w:w="108" w:type="dxa"/>
            <w:bottom w:w="0" w:type="dxa"/>
            <w:right w:w="108" w:type="dxa"/>
          </w:tblCellMar>
        </w:tblPrEx>
        <w:trPr>
          <w:wAfter w:w="0" w:type="auto"/>
          <w:trHeight w:val="2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28F6980">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50</w:t>
            </w:r>
          </w:p>
        </w:tc>
        <w:tc>
          <w:tcPr>
            <w:tcW w:w="1221" w:type="dxa"/>
            <w:tcBorders>
              <w:top w:val="nil"/>
              <w:left w:val="nil"/>
              <w:bottom w:val="single" w:color="auto" w:sz="4" w:space="0"/>
              <w:right w:val="single" w:color="auto" w:sz="4" w:space="0"/>
            </w:tcBorders>
            <w:shd w:val="clear" w:color="auto" w:fill="auto"/>
            <w:vAlign w:val="center"/>
          </w:tcPr>
          <w:p w14:paraId="3BF466FC">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bottom w:val="single" w:color="auto" w:sz="4" w:space="0"/>
              <w:right w:val="single" w:color="auto" w:sz="4" w:space="0"/>
            </w:tcBorders>
            <w:shd w:val="clear" w:color="auto" w:fill="auto"/>
            <w:vAlign w:val="center"/>
          </w:tcPr>
          <w:p w14:paraId="467501C9">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703307A7">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扩展功能</w:t>
            </w:r>
          </w:p>
        </w:tc>
        <w:tc>
          <w:tcPr>
            <w:tcW w:w="3739" w:type="dxa"/>
            <w:tcBorders>
              <w:top w:val="nil"/>
              <w:left w:val="nil"/>
              <w:bottom w:val="single" w:color="auto" w:sz="4" w:space="0"/>
              <w:right w:val="single" w:color="auto" w:sz="4" w:space="0"/>
            </w:tcBorders>
            <w:shd w:val="clear" w:color="auto" w:fill="auto"/>
            <w:vAlign w:val="center"/>
          </w:tcPr>
          <w:p w14:paraId="28923595">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eastAsia="zh"/>
              </w:rPr>
              <w:t>不涉及</w:t>
            </w:r>
          </w:p>
        </w:tc>
      </w:tr>
      <w:tr w14:paraId="6AF334E5">
        <w:tblPrEx>
          <w:tblCellMar>
            <w:top w:w="0" w:type="dxa"/>
            <w:left w:w="108" w:type="dxa"/>
            <w:bottom w:w="0" w:type="dxa"/>
            <w:right w:w="108" w:type="dxa"/>
          </w:tblCellMar>
        </w:tblPrEx>
        <w:trPr>
          <w:wAfter w:w="0" w:type="auto"/>
          <w:trHeight w:val="4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7F4E71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51</w:t>
            </w:r>
          </w:p>
        </w:tc>
        <w:tc>
          <w:tcPr>
            <w:tcW w:w="1221" w:type="dxa"/>
            <w:tcBorders>
              <w:top w:val="nil"/>
              <w:left w:val="nil"/>
              <w:bottom w:val="single" w:color="auto" w:sz="4" w:space="0"/>
              <w:right w:val="single" w:color="auto" w:sz="4" w:space="0"/>
            </w:tcBorders>
            <w:shd w:val="clear" w:color="auto" w:fill="auto"/>
            <w:vAlign w:val="center"/>
          </w:tcPr>
          <w:p w14:paraId="1D6E018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tcBorders>
              <w:top w:val="nil"/>
              <w:left w:val="nil"/>
              <w:bottom w:val="single" w:color="auto" w:sz="4" w:space="0"/>
              <w:right w:val="single" w:color="auto" w:sz="4" w:space="0"/>
            </w:tcBorders>
            <w:shd w:val="clear" w:color="auto" w:fill="auto"/>
            <w:vAlign w:val="center"/>
          </w:tcPr>
          <w:p w14:paraId="00939C38">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网络功能</w:t>
            </w:r>
          </w:p>
        </w:tc>
        <w:tc>
          <w:tcPr>
            <w:tcW w:w="1650" w:type="dxa"/>
            <w:tcBorders>
              <w:top w:val="nil"/>
              <w:left w:val="nil"/>
              <w:bottom w:val="single" w:color="auto" w:sz="4" w:space="0"/>
              <w:right w:val="single" w:color="auto" w:sz="4" w:space="0"/>
            </w:tcBorders>
            <w:shd w:val="clear" w:color="auto" w:fill="auto"/>
            <w:vAlign w:val="center"/>
          </w:tcPr>
          <w:p w14:paraId="56B88F7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网络功能</w:t>
            </w:r>
          </w:p>
        </w:tc>
        <w:tc>
          <w:tcPr>
            <w:tcW w:w="3739" w:type="dxa"/>
            <w:tcBorders>
              <w:top w:val="nil"/>
              <w:left w:val="nil"/>
              <w:bottom w:val="single" w:color="auto" w:sz="4" w:space="0"/>
              <w:right w:val="single" w:color="auto" w:sz="4" w:space="0"/>
            </w:tcBorders>
            <w:shd w:val="clear" w:color="auto" w:fill="auto"/>
            <w:vAlign w:val="center"/>
          </w:tcPr>
          <w:p w14:paraId="7D711087">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支持网络连接，网络访问，数据交换和网络管控功能</w:t>
            </w:r>
          </w:p>
        </w:tc>
      </w:tr>
      <w:tr w14:paraId="6A91117A">
        <w:tblPrEx>
          <w:tblCellMar>
            <w:top w:w="0" w:type="dxa"/>
            <w:left w:w="108" w:type="dxa"/>
            <w:bottom w:w="0" w:type="dxa"/>
            <w:right w:w="108" w:type="dxa"/>
          </w:tblCellMar>
        </w:tblPrEx>
        <w:trPr>
          <w:wAfter w:w="0" w:type="auto"/>
          <w:trHeight w:val="14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2968BC12">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52</w:t>
            </w:r>
          </w:p>
        </w:tc>
        <w:tc>
          <w:tcPr>
            <w:tcW w:w="1221" w:type="dxa"/>
            <w:tcBorders>
              <w:top w:val="nil"/>
              <w:left w:val="nil"/>
              <w:bottom w:val="single" w:color="auto" w:sz="4" w:space="0"/>
              <w:right w:val="single" w:color="auto" w:sz="4" w:space="0"/>
            </w:tcBorders>
            <w:shd w:val="clear" w:color="auto" w:fill="auto"/>
            <w:vAlign w:val="center"/>
          </w:tcPr>
          <w:p w14:paraId="63E46622">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nil"/>
              <w:left w:val="single" w:color="auto" w:sz="4" w:space="0"/>
              <w:right w:val="single" w:color="auto" w:sz="4" w:space="0"/>
            </w:tcBorders>
            <w:shd w:val="clear" w:color="auto" w:fill="auto"/>
            <w:vAlign w:val="center"/>
          </w:tcPr>
          <w:p w14:paraId="3F8080C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CPU功能</w:t>
            </w:r>
          </w:p>
        </w:tc>
        <w:tc>
          <w:tcPr>
            <w:tcW w:w="1650" w:type="dxa"/>
            <w:tcBorders>
              <w:top w:val="nil"/>
              <w:left w:val="nil"/>
              <w:bottom w:val="single" w:color="auto" w:sz="4" w:space="0"/>
              <w:right w:val="single" w:color="auto" w:sz="4" w:space="0"/>
            </w:tcBorders>
            <w:shd w:val="clear" w:color="auto" w:fill="auto"/>
            <w:vAlign w:val="center"/>
          </w:tcPr>
          <w:p w14:paraId="64D5F79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计算处理</w:t>
            </w:r>
          </w:p>
        </w:tc>
        <w:tc>
          <w:tcPr>
            <w:tcW w:w="3739" w:type="dxa"/>
            <w:tcBorders>
              <w:top w:val="nil"/>
              <w:left w:val="nil"/>
              <w:bottom w:val="single" w:color="auto" w:sz="4" w:space="0"/>
              <w:right w:val="single" w:color="auto" w:sz="4" w:space="0"/>
            </w:tcBorders>
            <w:shd w:val="clear" w:color="auto" w:fill="auto"/>
            <w:vAlign w:val="center"/>
          </w:tcPr>
          <w:p w14:paraId="5D47E633">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支持通用计算及虚拟化功能。处理器需集成整型计算单元、浮点计算单元、内存控制器、I/0模块等，处理器与存储部件、网络部件、I/0部件等组成计算系统，提供数据处理、网络接入等计算相关功能</w:t>
            </w:r>
          </w:p>
        </w:tc>
      </w:tr>
      <w:tr w14:paraId="28718D31">
        <w:tblPrEx>
          <w:tblCellMar>
            <w:top w:w="0" w:type="dxa"/>
            <w:left w:w="108" w:type="dxa"/>
            <w:bottom w:w="0" w:type="dxa"/>
            <w:right w:w="108" w:type="dxa"/>
          </w:tblCellMar>
        </w:tblPrEx>
        <w:trPr>
          <w:wAfter w:w="0" w:type="auto"/>
          <w:trHeight w:val="14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40EB6DA8">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53</w:t>
            </w:r>
          </w:p>
        </w:tc>
        <w:tc>
          <w:tcPr>
            <w:tcW w:w="1221" w:type="dxa"/>
            <w:tcBorders>
              <w:top w:val="nil"/>
              <w:left w:val="nil"/>
              <w:bottom w:val="single" w:color="auto" w:sz="4" w:space="0"/>
              <w:right w:val="single" w:color="auto" w:sz="4" w:space="0"/>
            </w:tcBorders>
            <w:shd w:val="clear" w:color="auto" w:fill="auto"/>
            <w:vAlign w:val="center"/>
          </w:tcPr>
          <w:p w14:paraId="703BC378">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bottom w:val="single" w:color="auto" w:sz="4" w:space="0"/>
              <w:right w:val="single" w:color="auto" w:sz="4" w:space="0"/>
            </w:tcBorders>
            <w:shd w:val="clear" w:color="auto" w:fill="auto"/>
            <w:vAlign w:val="center"/>
          </w:tcPr>
          <w:p w14:paraId="6B28F205">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13117611">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lang w:eastAsia="zh"/>
              </w:rPr>
              <w:t>密码算法实现</w:t>
            </w:r>
          </w:p>
        </w:tc>
        <w:tc>
          <w:tcPr>
            <w:tcW w:w="3739" w:type="dxa"/>
            <w:tcBorders>
              <w:top w:val="nil"/>
              <w:left w:val="nil"/>
              <w:bottom w:val="single" w:color="auto" w:sz="4" w:space="0"/>
              <w:right w:val="single" w:color="auto" w:sz="4" w:space="0"/>
            </w:tcBorders>
            <w:shd w:val="clear" w:color="auto" w:fill="auto"/>
            <w:vAlign w:val="center"/>
          </w:tcPr>
          <w:p w14:paraId="7CBFD0B2">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不涉及</w:t>
            </w:r>
          </w:p>
        </w:tc>
      </w:tr>
      <w:tr w14:paraId="2B499C7C">
        <w:tblPrEx>
          <w:tblCellMar>
            <w:top w:w="0" w:type="dxa"/>
            <w:left w:w="108" w:type="dxa"/>
            <w:bottom w:w="0" w:type="dxa"/>
            <w:right w:w="108" w:type="dxa"/>
          </w:tblCellMar>
        </w:tblPrEx>
        <w:trPr>
          <w:wAfter w:w="0" w:type="auto"/>
          <w:trHeight w:val="14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91853E6">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54</w:t>
            </w:r>
          </w:p>
        </w:tc>
        <w:tc>
          <w:tcPr>
            <w:tcW w:w="1221" w:type="dxa"/>
            <w:tcBorders>
              <w:top w:val="nil"/>
              <w:left w:val="nil"/>
              <w:bottom w:val="single" w:color="auto" w:sz="4" w:space="0"/>
              <w:right w:val="single" w:color="auto" w:sz="4" w:space="0"/>
            </w:tcBorders>
            <w:shd w:val="clear" w:color="auto" w:fill="auto"/>
            <w:vAlign w:val="center"/>
          </w:tcPr>
          <w:p w14:paraId="2AEE01ED">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single" w:color="auto" w:sz="4" w:space="0"/>
              <w:left w:val="single" w:color="auto" w:sz="4" w:space="0"/>
              <w:right w:val="single" w:color="auto" w:sz="4" w:space="0"/>
            </w:tcBorders>
            <w:shd w:val="clear" w:color="auto" w:fill="auto"/>
            <w:vAlign w:val="center"/>
          </w:tcPr>
          <w:p w14:paraId="5B5AADFF">
            <w:pPr>
              <w:widowControl/>
              <w:ind w:left="0" w:leftChars="0" w:firstLine="0" w:firstLine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存储功能</w:t>
            </w:r>
          </w:p>
        </w:tc>
        <w:tc>
          <w:tcPr>
            <w:tcW w:w="1650" w:type="dxa"/>
            <w:tcBorders>
              <w:top w:val="single" w:color="auto" w:sz="4" w:space="0"/>
              <w:left w:val="nil"/>
              <w:bottom w:val="single" w:color="auto" w:sz="4" w:space="0"/>
              <w:right w:val="single" w:color="auto" w:sz="4" w:space="0"/>
            </w:tcBorders>
            <w:shd w:val="clear" w:color="auto" w:fill="auto"/>
            <w:vAlign w:val="center"/>
          </w:tcPr>
          <w:p w14:paraId="605DCF51">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内存校验</w:t>
            </w:r>
          </w:p>
        </w:tc>
        <w:tc>
          <w:tcPr>
            <w:tcW w:w="3739" w:type="dxa"/>
            <w:tcBorders>
              <w:top w:val="nil"/>
              <w:left w:val="nil"/>
              <w:bottom w:val="single" w:color="auto" w:sz="4" w:space="0"/>
              <w:right w:val="single" w:color="auto" w:sz="4" w:space="0"/>
            </w:tcBorders>
            <w:shd w:val="clear" w:color="auto" w:fill="auto"/>
            <w:vAlign w:val="center"/>
          </w:tcPr>
          <w:p w14:paraId="6B7263AE">
            <w:pPr>
              <w:widowControl/>
              <w:ind w:left="0" w:leftChars="0" w:firstLine="0" w:firstLineChars="0"/>
              <w:jc w:val="left"/>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不涉及</w:t>
            </w:r>
          </w:p>
        </w:tc>
      </w:tr>
      <w:tr w14:paraId="518CFB2A">
        <w:tblPrEx>
          <w:tblCellMar>
            <w:top w:w="0" w:type="dxa"/>
            <w:left w:w="108" w:type="dxa"/>
            <w:bottom w:w="0" w:type="dxa"/>
            <w:right w:w="108" w:type="dxa"/>
          </w:tblCellMar>
        </w:tblPrEx>
        <w:trPr>
          <w:wAfter w:w="0" w:type="auto"/>
          <w:trHeight w:val="145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2EABFEFA">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55</w:t>
            </w:r>
          </w:p>
        </w:tc>
        <w:tc>
          <w:tcPr>
            <w:tcW w:w="1221" w:type="dxa"/>
            <w:tcBorders>
              <w:top w:val="nil"/>
              <w:left w:val="nil"/>
              <w:bottom w:val="single" w:color="auto" w:sz="4" w:space="0"/>
              <w:right w:val="single" w:color="auto" w:sz="4" w:space="0"/>
            </w:tcBorders>
            <w:shd w:val="clear" w:color="auto" w:fill="auto"/>
            <w:vAlign w:val="center"/>
          </w:tcPr>
          <w:p w14:paraId="4876FC19">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right w:val="single" w:color="auto" w:sz="4" w:space="0"/>
            </w:tcBorders>
            <w:shd w:val="clear" w:color="auto" w:fill="auto"/>
            <w:vAlign w:val="center"/>
          </w:tcPr>
          <w:p w14:paraId="48959D53">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DE9BBBC">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SATA</w:t>
            </w:r>
            <w:r>
              <w:rPr>
                <w:rFonts w:hint="eastAsia" w:ascii="仿宋" w:hAnsi="仿宋" w:eastAsia="仿宋" w:cs="仿宋"/>
                <w:color w:val="auto"/>
                <w:kern w:val="0"/>
                <w:sz w:val="21"/>
                <w:szCs w:val="21"/>
                <w:highlight w:val="none"/>
                <w:lang w:val="en-US" w:eastAsia="zh-CN"/>
              </w:rPr>
              <w:t xml:space="preserve"> </w:t>
            </w:r>
            <w:r>
              <w:rPr>
                <w:rFonts w:hint="eastAsia" w:ascii="仿宋" w:hAnsi="仿宋" w:eastAsia="仿宋" w:cs="仿宋"/>
                <w:color w:val="auto"/>
                <w:kern w:val="0"/>
                <w:sz w:val="21"/>
                <w:szCs w:val="21"/>
                <w:highlight w:val="none"/>
                <w:lang w:eastAsia="zh"/>
              </w:rPr>
              <w:t>SSD NAND 健康</w:t>
            </w:r>
          </w:p>
          <w:p w14:paraId="7756F6D5">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状态上报</w:t>
            </w:r>
          </w:p>
        </w:tc>
        <w:tc>
          <w:tcPr>
            <w:tcW w:w="3739" w:type="dxa"/>
            <w:tcBorders>
              <w:top w:val="nil"/>
              <w:left w:val="nil"/>
              <w:bottom w:val="single" w:color="auto" w:sz="4" w:space="0"/>
              <w:right w:val="single" w:color="auto" w:sz="4" w:space="0"/>
            </w:tcBorders>
            <w:shd w:val="clear" w:color="auto" w:fill="auto"/>
            <w:vAlign w:val="center"/>
          </w:tcPr>
          <w:p w14:paraId="203D21C5">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eastAsia="zh"/>
              </w:rPr>
              <w:t>不涉及</w:t>
            </w:r>
          </w:p>
        </w:tc>
      </w:tr>
      <w:tr w14:paraId="5A706405">
        <w:tblPrEx>
          <w:tblCellMar>
            <w:top w:w="0" w:type="dxa"/>
            <w:left w:w="108" w:type="dxa"/>
            <w:bottom w:w="0" w:type="dxa"/>
            <w:right w:w="108" w:type="dxa"/>
          </w:tblCellMar>
        </w:tblPrEx>
        <w:trPr>
          <w:wAfter w:w="0" w:type="auto"/>
          <w:trHeight w:val="130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60A6F596">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56</w:t>
            </w:r>
          </w:p>
        </w:tc>
        <w:tc>
          <w:tcPr>
            <w:tcW w:w="1221" w:type="dxa"/>
            <w:tcBorders>
              <w:top w:val="nil"/>
              <w:left w:val="nil"/>
              <w:bottom w:val="single" w:color="auto" w:sz="4" w:space="0"/>
              <w:right w:val="single" w:color="auto" w:sz="4" w:space="0"/>
            </w:tcBorders>
            <w:shd w:val="clear" w:color="auto" w:fill="auto"/>
            <w:vAlign w:val="center"/>
          </w:tcPr>
          <w:p w14:paraId="17C414DB">
            <w:pPr>
              <w:widowControl/>
              <w:ind w:left="0" w:leftChars="0" w:firstLine="0" w:firstLine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bottom w:val="single" w:color="auto" w:sz="4" w:space="0"/>
              <w:right w:val="single" w:color="auto" w:sz="4" w:space="0"/>
            </w:tcBorders>
            <w:shd w:val="clear" w:color="auto" w:fill="auto"/>
            <w:vAlign w:val="center"/>
          </w:tcPr>
          <w:p w14:paraId="38F157C1">
            <w:pPr>
              <w:widowControl/>
              <w:ind w:left="0" w:leftChars="0" w:firstLine="0" w:firstLine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D107963">
            <w:pPr>
              <w:widowControl/>
              <w:ind w:left="0" w:leftChars="0" w:firstLine="0" w:firstLineChars="0"/>
              <w:jc w:val="center"/>
              <w:rPr>
                <w:rFonts w:hint="eastAsia" w:ascii="仿宋" w:hAnsi="仿宋" w:eastAsia="仿宋" w:cs="仿宋"/>
                <w:color w:val="auto"/>
                <w:kern w:val="0"/>
                <w:sz w:val="21"/>
                <w:szCs w:val="21"/>
                <w:highlight w:val="none"/>
                <w:lang w:eastAsia="zh"/>
              </w:rPr>
            </w:pPr>
            <w:r>
              <w:rPr>
                <w:rFonts w:hint="eastAsia" w:ascii="仿宋" w:hAnsi="仿宋" w:eastAsia="仿宋" w:cs="仿宋"/>
                <w:color w:val="auto"/>
                <w:kern w:val="0"/>
                <w:sz w:val="21"/>
                <w:szCs w:val="21"/>
                <w:highlight w:val="none"/>
                <w:lang w:eastAsia="zh"/>
              </w:rPr>
              <w:t>SATA SSD单 die 故障隔离</w:t>
            </w:r>
          </w:p>
        </w:tc>
        <w:tc>
          <w:tcPr>
            <w:tcW w:w="3739" w:type="dxa"/>
            <w:tcBorders>
              <w:top w:val="nil"/>
              <w:left w:val="nil"/>
              <w:bottom w:val="single" w:color="auto" w:sz="4" w:space="0"/>
              <w:right w:val="single" w:color="auto" w:sz="4" w:space="0"/>
            </w:tcBorders>
            <w:shd w:val="clear" w:color="auto" w:fill="auto"/>
            <w:vAlign w:val="center"/>
          </w:tcPr>
          <w:p w14:paraId="67309D5D">
            <w:pPr>
              <w:widowControl/>
              <w:ind w:left="0" w:leftChars="0" w:firstLine="0" w:firstLine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eastAsia="zh"/>
              </w:rPr>
              <w:t>不涉及</w:t>
            </w:r>
          </w:p>
        </w:tc>
      </w:tr>
      <w:tr w14:paraId="2E3BFF2F">
        <w:tblPrEx>
          <w:tblCellMar>
            <w:top w:w="0" w:type="dxa"/>
            <w:left w:w="108" w:type="dxa"/>
            <w:bottom w:w="0" w:type="dxa"/>
            <w:right w:w="108" w:type="dxa"/>
          </w:tblCellMar>
        </w:tblPrEx>
        <w:trPr>
          <w:wAfter w:w="0" w:type="auto"/>
          <w:trHeight w:val="451"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73A8F8B0">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57</w:t>
            </w:r>
          </w:p>
        </w:tc>
        <w:tc>
          <w:tcPr>
            <w:tcW w:w="1221" w:type="dxa"/>
            <w:tcBorders>
              <w:top w:val="nil"/>
              <w:left w:val="nil"/>
              <w:bottom w:val="single" w:color="auto" w:sz="4" w:space="0"/>
              <w:right w:val="single" w:color="auto" w:sz="4" w:space="0"/>
            </w:tcBorders>
            <w:shd w:val="clear" w:color="auto" w:fill="auto"/>
            <w:vAlign w:val="center"/>
          </w:tcPr>
          <w:p w14:paraId="4D30E734">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功能要求</w:t>
            </w:r>
          </w:p>
        </w:tc>
        <w:tc>
          <w:tcPr>
            <w:tcW w:w="126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5A29F5B">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RAID卡功能（若支持RAID卡）</w:t>
            </w:r>
          </w:p>
        </w:tc>
        <w:tc>
          <w:tcPr>
            <w:tcW w:w="1650" w:type="dxa"/>
            <w:tcBorders>
              <w:top w:val="nil"/>
              <w:left w:val="nil"/>
              <w:bottom w:val="single" w:color="auto" w:sz="4" w:space="0"/>
              <w:right w:val="single" w:color="auto" w:sz="4" w:space="0"/>
            </w:tcBorders>
            <w:shd w:val="clear" w:color="auto" w:fill="auto"/>
            <w:vAlign w:val="center"/>
          </w:tcPr>
          <w:p w14:paraId="756F4209">
            <w:pPr>
              <w:widowControl/>
              <w:ind w:left="0" w:left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RAID卡RAID级别支持</w:t>
            </w:r>
          </w:p>
        </w:tc>
        <w:tc>
          <w:tcPr>
            <w:tcW w:w="3739" w:type="dxa"/>
            <w:tcBorders>
              <w:top w:val="nil"/>
              <w:left w:val="nil"/>
              <w:bottom w:val="single" w:color="auto" w:sz="4" w:space="0"/>
              <w:right w:val="single" w:color="auto" w:sz="4" w:space="0"/>
            </w:tcBorders>
            <w:shd w:val="clear" w:color="auto" w:fill="auto"/>
            <w:vAlign w:val="center"/>
          </w:tcPr>
          <w:p w14:paraId="7D02313D">
            <w:pPr>
              <w:widowControl/>
              <w:ind w:left="0" w:left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RAID模式支持RAID5</w:t>
            </w:r>
          </w:p>
        </w:tc>
      </w:tr>
      <w:tr w14:paraId="77623AAA">
        <w:tblPrEx>
          <w:tblCellMar>
            <w:top w:w="0" w:type="dxa"/>
            <w:left w:w="108" w:type="dxa"/>
            <w:bottom w:w="0" w:type="dxa"/>
            <w:right w:w="108" w:type="dxa"/>
          </w:tblCellMar>
        </w:tblPrEx>
        <w:trPr>
          <w:wAfter w:w="0" w:type="auto"/>
          <w:trHeight w:val="451"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E3E6A1E">
            <w:pPr>
              <w:widowControl/>
              <w:ind w:left="0" w:leftChars="0" w:firstLine="0" w:firstLine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58</w:t>
            </w:r>
          </w:p>
        </w:tc>
        <w:tc>
          <w:tcPr>
            <w:tcW w:w="1221" w:type="dxa"/>
            <w:tcBorders>
              <w:top w:val="nil"/>
              <w:left w:val="nil"/>
              <w:bottom w:val="single" w:color="auto" w:sz="4" w:space="0"/>
              <w:right w:val="single" w:color="auto" w:sz="4" w:space="0"/>
            </w:tcBorders>
            <w:shd w:val="clear" w:color="auto" w:fill="auto"/>
            <w:vAlign w:val="center"/>
          </w:tcPr>
          <w:p w14:paraId="02330C47">
            <w:pPr>
              <w:widowControl/>
              <w:ind w:left="0" w:leftChars="0" w:firstLine="0" w:firstLine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功能要求</w:t>
            </w:r>
          </w:p>
        </w:tc>
        <w:tc>
          <w:tcPr>
            <w:tcW w:w="126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280582">
            <w:pPr>
              <w:widowControl/>
              <w:ind w:left="0" w:leftChars="0" w:firstLine="0" w:firstLineChars="0"/>
              <w:jc w:val="center"/>
              <w:rPr>
                <w:rFonts w:hint="eastAsia" w:ascii="仿宋" w:hAnsi="仿宋" w:eastAsia="仿宋" w:cs="仿宋"/>
                <w:color w:val="auto"/>
                <w:kern w:val="0"/>
                <w:sz w:val="21"/>
                <w:szCs w:val="21"/>
              </w:rPr>
            </w:pPr>
          </w:p>
        </w:tc>
        <w:tc>
          <w:tcPr>
            <w:tcW w:w="1650" w:type="dxa"/>
            <w:tcBorders>
              <w:top w:val="single" w:color="auto" w:sz="4" w:space="0"/>
              <w:left w:val="nil"/>
              <w:bottom w:val="single" w:color="auto" w:sz="4" w:space="0"/>
              <w:right w:val="single" w:color="auto" w:sz="4" w:space="0"/>
            </w:tcBorders>
            <w:shd w:val="clear" w:color="auto" w:fill="auto"/>
            <w:vAlign w:val="center"/>
          </w:tcPr>
          <w:p w14:paraId="66416E3A">
            <w:pPr>
              <w:widowControl/>
              <w:ind w:left="0" w:leftChars="0" w:firstLine="0" w:firstLine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RAID 卡BBU 单元</w:t>
            </w:r>
          </w:p>
        </w:tc>
        <w:tc>
          <w:tcPr>
            <w:tcW w:w="3739" w:type="dxa"/>
            <w:tcBorders>
              <w:top w:val="nil"/>
              <w:left w:val="nil"/>
              <w:bottom w:val="single" w:color="auto" w:sz="4" w:space="0"/>
              <w:right w:val="single" w:color="auto" w:sz="4" w:space="0"/>
            </w:tcBorders>
            <w:shd w:val="clear" w:color="auto" w:fill="auto"/>
            <w:vAlign w:val="center"/>
          </w:tcPr>
          <w:p w14:paraId="5863829E">
            <w:pPr>
              <w:widowControl/>
              <w:ind w:left="0" w:leftChars="0" w:firstLine="0" w:firstLine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eastAsia="zh"/>
              </w:rPr>
              <w:t>不涉及</w:t>
            </w:r>
          </w:p>
        </w:tc>
      </w:tr>
      <w:tr w14:paraId="0AF9068B">
        <w:tblPrEx>
          <w:tblCellMar>
            <w:top w:w="0" w:type="dxa"/>
            <w:left w:w="108" w:type="dxa"/>
            <w:bottom w:w="0" w:type="dxa"/>
            <w:right w:w="108" w:type="dxa"/>
          </w:tblCellMar>
        </w:tblPrEx>
        <w:trPr>
          <w:wAfter w:w="0" w:type="auto"/>
          <w:trHeight w:val="1021"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29FBCFDE">
            <w:pPr>
              <w:widowControl/>
              <w:ind w:left="0" w:leftChars="0" w:firstLine="0" w:firstLineChars="0"/>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eastAsia="zh"/>
              </w:rPr>
              <w:t>59</w:t>
            </w:r>
          </w:p>
        </w:tc>
        <w:tc>
          <w:tcPr>
            <w:tcW w:w="1221" w:type="dxa"/>
            <w:tcBorders>
              <w:top w:val="nil"/>
              <w:left w:val="nil"/>
              <w:bottom w:val="single" w:color="auto" w:sz="4" w:space="0"/>
              <w:right w:val="single" w:color="auto" w:sz="4" w:space="0"/>
            </w:tcBorders>
            <w:shd w:val="clear" w:color="auto" w:fill="auto"/>
            <w:vAlign w:val="center"/>
          </w:tcPr>
          <w:p w14:paraId="408747D8">
            <w:pPr>
              <w:widowControl/>
              <w:ind w:left="0" w:leftChars="0" w:firstLine="0" w:firstLineChars="0"/>
              <w:jc w:val="center"/>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功能要求</w:t>
            </w:r>
          </w:p>
        </w:tc>
        <w:tc>
          <w:tcPr>
            <w:tcW w:w="1264" w:type="dxa"/>
            <w:tcBorders>
              <w:top w:val="single" w:color="auto" w:sz="4" w:space="0"/>
              <w:left w:val="single" w:color="auto" w:sz="4" w:space="0"/>
              <w:bottom w:val="single" w:color="auto" w:sz="4" w:space="0"/>
              <w:right w:val="single" w:color="auto" w:sz="4" w:space="0"/>
            </w:tcBorders>
            <w:shd w:val="clear" w:color="auto" w:fill="auto"/>
            <w:vAlign w:val="center"/>
          </w:tcPr>
          <w:p w14:paraId="59AED470">
            <w:pPr>
              <w:widowControl/>
              <w:ind w:left="0" w:leftChars="0" w:firstLine="0" w:firstLineChars="0"/>
              <w:jc w:val="center"/>
              <w:rPr>
                <w:rFonts w:hint="eastAsia" w:ascii="仿宋" w:hAnsi="仿宋" w:eastAsia="仿宋" w:cs="仿宋"/>
                <w:color w:val="auto"/>
                <w:kern w:val="0"/>
                <w:sz w:val="21"/>
                <w:szCs w:val="21"/>
                <w:lang w:val="en-US" w:eastAsia="zh-CN"/>
              </w:rPr>
            </w:pPr>
            <w:r>
              <w:rPr>
                <w:rFonts w:hint="eastAsia" w:ascii="仿宋" w:hAnsi="仿宋" w:eastAsia="仿宋" w:cs="仿宋"/>
                <w:color w:val="auto"/>
                <w:kern w:val="0"/>
                <w:sz w:val="21"/>
                <w:szCs w:val="21"/>
                <w:lang w:val="en-US" w:eastAsia="zh-CN"/>
              </w:rPr>
              <w:t>光驱功能</w:t>
            </w:r>
          </w:p>
        </w:tc>
        <w:tc>
          <w:tcPr>
            <w:tcW w:w="1650" w:type="dxa"/>
            <w:tcBorders>
              <w:top w:val="nil"/>
              <w:left w:val="nil"/>
              <w:bottom w:val="single" w:color="auto" w:sz="4" w:space="0"/>
              <w:right w:val="single" w:color="auto" w:sz="4" w:space="0"/>
            </w:tcBorders>
            <w:shd w:val="clear" w:color="auto" w:fill="auto"/>
            <w:vAlign w:val="center"/>
          </w:tcPr>
          <w:p w14:paraId="5059BDFF">
            <w:pPr>
              <w:pStyle w:val="8"/>
              <w:spacing w:before="39" w:line="236" w:lineRule="auto"/>
              <w:ind w:left="0" w:leftChars="0" w:right="214"/>
              <w:jc w:val="center"/>
              <w:rPr>
                <w:rFonts w:hint="eastAsia" w:ascii="仿宋" w:hAnsi="仿宋" w:eastAsia="仿宋" w:cs="仿宋"/>
                <w:color w:val="auto"/>
                <w:kern w:val="0"/>
                <w:sz w:val="21"/>
                <w:szCs w:val="21"/>
                <w:lang w:eastAsia="zh"/>
              </w:rPr>
            </w:pPr>
            <w:r>
              <w:rPr>
                <w:rFonts w:hint="eastAsia" w:ascii="仿宋" w:hAnsi="仿宋" w:eastAsia="仿宋" w:cs="仿宋"/>
                <w:color w:val="auto"/>
                <w:kern w:val="0"/>
                <w:sz w:val="21"/>
                <w:szCs w:val="21"/>
                <w:lang w:val="en-US" w:eastAsia="zh" w:bidi="ar-SA"/>
              </w:rPr>
              <w:t>光驱类型（是否支持RW，以及光盘类型CD/DVD）</w:t>
            </w:r>
          </w:p>
        </w:tc>
        <w:tc>
          <w:tcPr>
            <w:tcW w:w="3739" w:type="dxa"/>
            <w:tcBorders>
              <w:top w:val="nil"/>
              <w:left w:val="nil"/>
              <w:bottom w:val="single" w:color="auto" w:sz="4" w:space="0"/>
              <w:right w:val="single" w:color="auto" w:sz="4" w:space="0"/>
            </w:tcBorders>
            <w:shd w:val="clear" w:color="auto" w:fill="auto"/>
            <w:vAlign w:val="center"/>
          </w:tcPr>
          <w:p w14:paraId="110737B5">
            <w:pPr>
              <w:widowControl/>
              <w:ind w:left="0" w:leftChars="0" w:firstLine="0" w:firstLineChars="0"/>
              <w:jc w:val="left"/>
              <w:rPr>
                <w:rFonts w:hint="eastAsia" w:ascii="仿宋" w:hAnsi="仿宋" w:eastAsia="仿宋" w:cs="仿宋"/>
                <w:color w:val="auto"/>
                <w:kern w:val="0"/>
                <w:sz w:val="21"/>
                <w:szCs w:val="21"/>
              </w:rPr>
            </w:pPr>
            <w:r>
              <w:rPr>
                <w:rFonts w:hint="eastAsia" w:ascii="仿宋" w:hAnsi="仿宋" w:eastAsia="仿宋" w:cs="仿宋"/>
                <w:color w:val="auto"/>
                <w:kern w:val="0"/>
                <w:sz w:val="21"/>
                <w:szCs w:val="21"/>
                <w:highlight w:val="none"/>
                <w:lang w:eastAsia="zh"/>
              </w:rPr>
              <w:t>不涉及</w:t>
            </w:r>
          </w:p>
        </w:tc>
      </w:tr>
      <w:tr w14:paraId="3C147C60">
        <w:tblPrEx>
          <w:tblCellMar>
            <w:top w:w="0" w:type="dxa"/>
            <w:left w:w="108" w:type="dxa"/>
            <w:bottom w:w="0" w:type="dxa"/>
            <w:right w:w="108" w:type="dxa"/>
          </w:tblCellMar>
        </w:tblPrEx>
        <w:trPr>
          <w:wAfter w:w="0" w:type="auto"/>
          <w:trHeight w:val="9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3FB8DB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60</w:t>
            </w:r>
          </w:p>
        </w:tc>
        <w:tc>
          <w:tcPr>
            <w:tcW w:w="1221" w:type="dxa"/>
            <w:tcBorders>
              <w:top w:val="nil"/>
              <w:left w:val="nil"/>
              <w:bottom w:val="single" w:color="auto" w:sz="4" w:space="0"/>
              <w:right w:val="single" w:color="auto" w:sz="4" w:space="0"/>
            </w:tcBorders>
            <w:shd w:val="clear" w:color="auto" w:fill="auto"/>
            <w:vAlign w:val="center"/>
          </w:tcPr>
          <w:p w14:paraId="17211F2A">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B0F19DB">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电源功能</w:t>
            </w:r>
          </w:p>
        </w:tc>
        <w:tc>
          <w:tcPr>
            <w:tcW w:w="1650" w:type="dxa"/>
            <w:tcBorders>
              <w:top w:val="nil"/>
              <w:left w:val="nil"/>
              <w:bottom w:val="single" w:color="auto" w:sz="4" w:space="0"/>
              <w:right w:val="single" w:color="auto" w:sz="4" w:space="0"/>
            </w:tcBorders>
            <w:shd w:val="clear" w:color="auto" w:fill="auto"/>
            <w:vAlign w:val="center"/>
          </w:tcPr>
          <w:p w14:paraId="747F944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电源热插拔</w:t>
            </w:r>
          </w:p>
        </w:tc>
        <w:tc>
          <w:tcPr>
            <w:tcW w:w="3739" w:type="dxa"/>
            <w:tcBorders>
              <w:top w:val="nil"/>
              <w:left w:val="nil"/>
              <w:bottom w:val="single" w:color="auto" w:sz="4" w:space="0"/>
              <w:right w:val="single" w:color="auto" w:sz="4" w:space="0"/>
            </w:tcBorders>
            <w:shd w:val="clear" w:color="auto" w:fill="auto"/>
            <w:vAlign w:val="center"/>
          </w:tcPr>
          <w:p w14:paraId="1D16777B">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整机电源模块应具备热插拔功能</w:t>
            </w:r>
          </w:p>
        </w:tc>
      </w:tr>
      <w:tr w14:paraId="34345A16">
        <w:tblPrEx>
          <w:tblCellMar>
            <w:top w:w="0" w:type="dxa"/>
            <w:left w:w="108" w:type="dxa"/>
            <w:bottom w:w="0" w:type="dxa"/>
            <w:right w:w="108" w:type="dxa"/>
          </w:tblCellMar>
        </w:tblPrEx>
        <w:trPr>
          <w:wAfter w:w="0" w:type="auto"/>
          <w:trHeight w:val="4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47E7BE72">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61</w:t>
            </w:r>
          </w:p>
        </w:tc>
        <w:tc>
          <w:tcPr>
            <w:tcW w:w="1221" w:type="dxa"/>
            <w:tcBorders>
              <w:top w:val="nil"/>
              <w:left w:val="nil"/>
              <w:bottom w:val="single" w:color="auto" w:sz="4" w:space="0"/>
              <w:right w:val="single" w:color="auto" w:sz="4" w:space="0"/>
            </w:tcBorders>
            <w:shd w:val="clear" w:color="auto" w:fill="auto"/>
            <w:vAlign w:val="center"/>
          </w:tcPr>
          <w:p w14:paraId="3C1D6EDB">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top w:val="nil"/>
              <w:left w:val="single" w:color="auto" w:sz="4" w:space="0"/>
              <w:bottom w:val="single" w:color="auto" w:sz="4" w:space="0"/>
              <w:right w:val="single" w:color="auto" w:sz="4" w:space="0"/>
            </w:tcBorders>
            <w:vAlign w:val="center"/>
          </w:tcPr>
          <w:p w14:paraId="6275B99F">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33D07E54">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电源过流保护</w:t>
            </w:r>
          </w:p>
        </w:tc>
        <w:tc>
          <w:tcPr>
            <w:tcW w:w="3739" w:type="dxa"/>
            <w:tcBorders>
              <w:top w:val="nil"/>
              <w:left w:val="nil"/>
              <w:bottom w:val="single" w:color="auto" w:sz="4" w:space="0"/>
              <w:right w:val="single" w:color="auto" w:sz="4" w:space="0"/>
            </w:tcBorders>
            <w:shd w:val="clear" w:color="auto" w:fill="auto"/>
            <w:vAlign w:val="center"/>
          </w:tcPr>
          <w:p w14:paraId="1F96FBDD">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支持过流及短路保护的功能</w:t>
            </w:r>
          </w:p>
        </w:tc>
      </w:tr>
      <w:tr w14:paraId="425D0720">
        <w:tblPrEx>
          <w:tblCellMar>
            <w:top w:w="0" w:type="dxa"/>
            <w:left w:w="108" w:type="dxa"/>
            <w:bottom w:w="0" w:type="dxa"/>
            <w:right w:w="108" w:type="dxa"/>
          </w:tblCellMar>
        </w:tblPrEx>
        <w:trPr>
          <w:wAfter w:w="0" w:type="auto"/>
          <w:trHeight w:val="492"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3ADE3F8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62</w:t>
            </w:r>
          </w:p>
        </w:tc>
        <w:tc>
          <w:tcPr>
            <w:tcW w:w="1221" w:type="dxa"/>
            <w:tcBorders>
              <w:top w:val="nil"/>
              <w:left w:val="nil"/>
              <w:bottom w:val="single" w:color="auto" w:sz="4" w:space="0"/>
              <w:right w:val="single" w:color="auto" w:sz="4" w:space="0"/>
            </w:tcBorders>
            <w:shd w:val="clear" w:color="auto" w:fill="auto"/>
            <w:vAlign w:val="center"/>
          </w:tcPr>
          <w:p w14:paraId="590E6437">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nil"/>
              <w:left w:val="single" w:color="auto" w:sz="4" w:space="0"/>
              <w:bottom w:val="single" w:color="auto" w:sz="4" w:space="0"/>
              <w:right w:val="single" w:color="auto" w:sz="4" w:space="0"/>
            </w:tcBorders>
            <w:shd w:val="clear" w:color="auto" w:fill="auto"/>
            <w:vAlign w:val="center"/>
          </w:tcPr>
          <w:p w14:paraId="762F7F9C">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整机功能</w:t>
            </w:r>
          </w:p>
        </w:tc>
        <w:tc>
          <w:tcPr>
            <w:tcW w:w="1650" w:type="dxa"/>
            <w:tcBorders>
              <w:top w:val="nil"/>
              <w:left w:val="nil"/>
              <w:bottom w:val="single" w:color="auto" w:sz="4" w:space="0"/>
              <w:right w:val="single" w:color="auto" w:sz="4" w:space="0"/>
            </w:tcBorders>
            <w:shd w:val="clear" w:color="auto" w:fill="auto"/>
            <w:vAlign w:val="center"/>
          </w:tcPr>
          <w:p w14:paraId="5861A73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散热方式</w:t>
            </w:r>
          </w:p>
        </w:tc>
        <w:tc>
          <w:tcPr>
            <w:tcW w:w="3739" w:type="dxa"/>
            <w:tcBorders>
              <w:top w:val="nil"/>
              <w:left w:val="nil"/>
              <w:bottom w:val="single" w:color="auto" w:sz="4" w:space="0"/>
              <w:right w:val="single" w:color="auto" w:sz="4" w:space="0"/>
            </w:tcBorders>
            <w:shd w:val="clear" w:color="auto" w:fill="auto"/>
            <w:vAlign w:val="center"/>
          </w:tcPr>
          <w:p w14:paraId="47E48825">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支持风冷或液冷等散热方式</w:t>
            </w:r>
          </w:p>
        </w:tc>
      </w:tr>
      <w:tr w14:paraId="5578FB44">
        <w:tblPrEx>
          <w:tblCellMar>
            <w:top w:w="0" w:type="dxa"/>
            <w:left w:w="108" w:type="dxa"/>
            <w:bottom w:w="0" w:type="dxa"/>
            <w:right w:w="108" w:type="dxa"/>
          </w:tblCellMar>
        </w:tblPrEx>
        <w:trPr>
          <w:wAfter w:w="0" w:type="auto"/>
          <w:trHeight w:val="47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5E7E600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63</w:t>
            </w:r>
          </w:p>
        </w:tc>
        <w:tc>
          <w:tcPr>
            <w:tcW w:w="1221" w:type="dxa"/>
            <w:tcBorders>
              <w:top w:val="nil"/>
              <w:left w:val="nil"/>
              <w:bottom w:val="single" w:color="auto" w:sz="4" w:space="0"/>
              <w:right w:val="single" w:color="auto" w:sz="4" w:space="0"/>
            </w:tcBorders>
            <w:shd w:val="clear" w:color="auto" w:fill="auto"/>
            <w:vAlign w:val="center"/>
          </w:tcPr>
          <w:p w14:paraId="523A3D45">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top w:val="nil"/>
              <w:left w:val="single" w:color="auto" w:sz="4" w:space="0"/>
              <w:bottom w:val="single" w:color="auto" w:sz="4" w:space="0"/>
              <w:right w:val="single" w:color="auto" w:sz="4" w:space="0"/>
            </w:tcBorders>
            <w:vAlign w:val="center"/>
          </w:tcPr>
          <w:p w14:paraId="7C3BF4F0">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635AD32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其他功能</w:t>
            </w:r>
          </w:p>
        </w:tc>
        <w:tc>
          <w:tcPr>
            <w:tcW w:w="3739" w:type="dxa"/>
            <w:tcBorders>
              <w:top w:val="nil"/>
              <w:left w:val="nil"/>
              <w:bottom w:val="single" w:color="auto" w:sz="4" w:space="0"/>
              <w:right w:val="single" w:color="auto" w:sz="4" w:space="0"/>
            </w:tcBorders>
            <w:shd w:val="clear" w:color="auto" w:fill="auto"/>
            <w:vAlign w:val="center"/>
          </w:tcPr>
          <w:p w14:paraId="7E1E31D3">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支持关键部件冗余（包括电源、风扇等）</w:t>
            </w:r>
          </w:p>
        </w:tc>
      </w:tr>
      <w:tr w14:paraId="79DA1635">
        <w:tblPrEx>
          <w:tblCellMar>
            <w:top w:w="0" w:type="dxa"/>
            <w:left w:w="108" w:type="dxa"/>
            <w:bottom w:w="0" w:type="dxa"/>
            <w:right w:w="108" w:type="dxa"/>
          </w:tblCellMar>
        </w:tblPrEx>
        <w:trPr>
          <w:wAfter w:w="0" w:type="auto"/>
          <w:trHeight w:val="375"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B3D028D">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64</w:t>
            </w:r>
          </w:p>
        </w:tc>
        <w:tc>
          <w:tcPr>
            <w:tcW w:w="1221" w:type="dxa"/>
            <w:tcBorders>
              <w:top w:val="nil"/>
              <w:left w:val="single" w:color="auto" w:sz="4" w:space="0"/>
              <w:bottom w:val="single" w:color="auto" w:sz="4" w:space="0"/>
              <w:right w:val="single" w:color="auto" w:sz="4" w:space="0"/>
            </w:tcBorders>
            <w:shd w:val="clear" w:color="auto" w:fill="auto"/>
            <w:vAlign w:val="center"/>
          </w:tcPr>
          <w:p w14:paraId="14A51661">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restart"/>
            <w:tcBorders>
              <w:top w:val="nil"/>
              <w:left w:val="single" w:color="auto" w:sz="4" w:space="0"/>
              <w:right w:val="single" w:color="auto" w:sz="4" w:space="0"/>
            </w:tcBorders>
            <w:shd w:val="clear" w:color="auto" w:fill="auto"/>
            <w:vAlign w:val="center"/>
          </w:tcPr>
          <w:p w14:paraId="4AA360D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管理系统功能</w:t>
            </w:r>
          </w:p>
        </w:tc>
        <w:tc>
          <w:tcPr>
            <w:tcW w:w="1650" w:type="dxa"/>
            <w:tcBorders>
              <w:top w:val="nil"/>
              <w:left w:val="single" w:color="auto" w:sz="4" w:space="0"/>
              <w:bottom w:val="single" w:color="auto" w:sz="4" w:space="0"/>
              <w:right w:val="single" w:color="auto" w:sz="4" w:space="0"/>
            </w:tcBorders>
            <w:shd w:val="clear" w:color="auto" w:fill="auto"/>
            <w:vAlign w:val="center"/>
          </w:tcPr>
          <w:p w14:paraId="5AFBF74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BMC固件基础功能</w:t>
            </w:r>
          </w:p>
        </w:tc>
        <w:tc>
          <w:tcPr>
            <w:tcW w:w="3739" w:type="dxa"/>
            <w:tcBorders>
              <w:top w:val="nil"/>
              <w:left w:val="single" w:color="auto" w:sz="4" w:space="0"/>
              <w:bottom w:val="single" w:color="000000" w:sz="4" w:space="0"/>
              <w:right w:val="single" w:color="auto" w:sz="4" w:space="0"/>
            </w:tcBorders>
            <w:shd w:val="clear" w:color="auto" w:fill="auto"/>
            <w:vAlign w:val="center"/>
          </w:tcPr>
          <w:p w14:paraId="3BCF84A6">
            <w:pPr>
              <w:widowControl/>
              <w:spacing w:after="240"/>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1)支持DHCP设置网络功能；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2)支持静态IP设置网络功能；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3)支持设备日志记录，包括但不限于登录日志、操作日志和报警日志等功能；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4)支持日志信息导出和记录删除功能；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5)设备的BMC管理软件应能够按报警的严重程度进行区分；</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6)支持键盘、鼠标和视频的重定向、文本控制台的重定向、远程虚拟媒 体、高可靠的硬件监控和管理功能；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7)支持故障提示功能，并可通过接口读取服务器故障信息；</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8)支持基于网络的固件更新功能，包括BMC和BIOS等；</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9)支持基于网络安装操作系统的功能，并可通过网络控制台访问设备；</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10)支持通过本地的硬盘或光驱等存储设备，基于网络完成设备的操作系统安装功能；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11)支持通过浏览器打开管理界面并登录功能；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12)支持设置口令策略功能；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13)支持对出厂默认的用户名及口令进行安全保护功能，并提供默认口令修改提示；</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14)支持读取设备主板的工作环境温度功能；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15)支持读取服务器CPU等核心器件的温度功能；</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16)应支持固件版本查询、固件升级</w:t>
            </w:r>
            <w:r>
              <w:rPr>
                <w:rFonts w:hint="eastAsia" w:ascii="仿宋" w:hAnsi="仿宋" w:eastAsia="仿宋" w:cs="仿宋"/>
                <w:color w:val="auto"/>
                <w:kern w:val="0"/>
                <w:sz w:val="21"/>
                <w:szCs w:val="21"/>
                <w:highlight w:val="none"/>
              </w:rPr>
              <w:br w:type="textWrapping"/>
            </w:r>
            <w:r>
              <w:rPr>
                <w:rFonts w:hint="eastAsia" w:ascii="仿宋" w:hAnsi="仿宋" w:eastAsia="仿宋" w:cs="仿宋"/>
                <w:color w:val="auto"/>
                <w:kern w:val="0"/>
                <w:sz w:val="21"/>
                <w:szCs w:val="21"/>
                <w:highlight w:val="none"/>
              </w:rPr>
              <w:t>17)支持BMC固件设置的恢复出厂功能</w:t>
            </w:r>
          </w:p>
        </w:tc>
      </w:tr>
      <w:tr w14:paraId="53E1A933">
        <w:tblPrEx>
          <w:tblCellMar>
            <w:top w:w="0" w:type="dxa"/>
            <w:left w:w="108" w:type="dxa"/>
            <w:bottom w:w="0" w:type="dxa"/>
            <w:right w:w="108" w:type="dxa"/>
          </w:tblCellMar>
        </w:tblPrEx>
        <w:trPr>
          <w:wAfter w:w="0" w:type="auto"/>
          <w:trHeight w:val="28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03CF3A3A">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65</w:t>
            </w:r>
          </w:p>
        </w:tc>
        <w:tc>
          <w:tcPr>
            <w:tcW w:w="1221" w:type="dxa"/>
            <w:tcBorders>
              <w:top w:val="nil"/>
              <w:left w:val="nil"/>
              <w:bottom w:val="single" w:color="auto" w:sz="4" w:space="0"/>
              <w:right w:val="single" w:color="auto" w:sz="4" w:space="0"/>
            </w:tcBorders>
            <w:shd w:val="clear" w:color="auto" w:fill="auto"/>
            <w:vAlign w:val="center"/>
          </w:tcPr>
          <w:p w14:paraId="0CCDD3E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right w:val="single" w:color="auto" w:sz="4" w:space="0"/>
            </w:tcBorders>
            <w:vAlign w:val="center"/>
          </w:tcPr>
          <w:p w14:paraId="1E963282">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4A307793">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BMC固件增强功能</w:t>
            </w:r>
          </w:p>
        </w:tc>
        <w:tc>
          <w:tcPr>
            <w:tcW w:w="3739" w:type="dxa"/>
            <w:tcBorders>
              <w:top w:val="nil"/>
              <w:left w:val="nil"/>
              <w:bottom w:val="single" w:color="auto" w:sz="4" w:space="0"/>
              <w:right w:val="single" w:color="auto" w:sz="4" w:space="0"/>
            </w:tcBorders>
            <w:shd w:val="clear" w:color="auto" w:fill="auto"/>
            <w:vAlign w:val="center"/>
          </w:tcPr>
          <w:p w14:paraId="4CA12C6C">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a)网络控制、安装提供图形访问界面网络;b)设备的BMC管理软件界面显示报警信息，且能够按报警的严重程度进行区分;c)WebGuI采用BMC端口直连，平均响应时间为不大于1s</w:t>
            </w:r>
          </w:p>
        </w:tc>
      </w:tr>
      <w:tr w14:paraId="69ADA024">
        <w:tblPrEx>
          <w:tblCellMar>
            <w:top w:w="0" w:type="dxa"/>
            <w:left w:w="108" w:type="dxa"/>
            <w:bottom w:w="0" w:type="dxa"/>
            <w:right w:w="108" w:type="dxa"/>
          </w:tblCellMar>
        </w:tblPrEx>
        <w:trPr>
          <w:wAfter w:w="0" w:type="auto"/>
          <w:trHeight w:val="90" w:hRule="atLeast"/>
        </w:trPr>
        <w:tc>
          <w:tcPr>
            <w:tcW w:w="429" w:type="dxa"/>
            <w:tcBorders>
              <w:top w:val="nil"/>
              <w:left w:val="single" w:color="auto" w:sz="4" w:space="0"/>
              <w:bottom w:val="single" w:color="auto" w:sz="4" w:space="0"/>
              <w:right w:val="single" w:color="auto" w:sz="4" w:space="0"/>
            </w:tcBorders>
            <w:shd w:val="clear" w:color="auto" w:fill="auto"/>
            <w:vAlign w:val="center"/>
          </w:tcPr>
          <w:p w14:paraId="115409DF">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66</w:t>
            </w:r>
          </w:p>
        </w:tc>
        <w:tc>
          <w:tcPr>
            <w:tcW w:w="1221" w:type="dxa"/>
            <w:tcBorders>
              <w:top w:val="nil"/>
              <w:left w:val="nil"/>
              <w:bottom w:val="single" w:color="auto" w:sz="4" w:space="0"/>
              <w:right w:val="single" w:color="auto" w:sz="4" w:space="0"/>
            </w:tcBorders>
            <w:shd w:val="clear" w:color="auto" w:fill="auto"/>
            <w:vAlign w:val="center"/>
          </w:tcPr>
          <w:p w14:paraId="2EE31A8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功能要求</w:t>
            </w:r>
          </w:p>
        </w:tc>
        <w:tc>
          <w:tcPr>
            <w:tcW w:w="1264" w:type="dxa"/>
            <w:vMerge w:val="continue"/>
            <w:tcBorders>
              <w:left w:val="single" w:color="auto" w:sz="4" w:space="0"/>
              <w:right w:val="single" w:color="auto" w:sz="4" w:space="0"/>
            </w:tcBorders>
            <w:vAlign w:val="center"/>
          </w:tcPr>
          <w:p w14:paraId="565F6D76">
            <w:pPr>
              <w:widowControl/>
              <w:ind w:left="0" w:leftChars="0"/>
              <w:jc w:val="center"/>
              <w:rPr>
                <w:rFonts w:hint="eastAsia" w:ascii="仿宋" w:hAnsi="仿宋" w:eastAsia="仿宋" w:cs="仿宋"/>
                <w:color w:val="auto"/>
                <w:kern w:val="0"/>
                <w:sz w:val="21"/>
                <w:szCs w:val="21"/>
                <w:highlight w:val="none"/>
              </w:rPr>
            </w:pPr>
          </w:p>
        </w:tc>
        <w:tc>
          <w:tcPr>
            <w:tcW w:w="1650" w:type="dxa"/>
            <w:tcBorders>
              <w:top w:val="nil"/>
              <w:left w:val="nil"/>
              <w:bottom w:val="single" w:color="auto" w:sz="4" w:space="0"/>
              <w:right w:val="single" w:color="auto" w:sz="4" w:space="0"/>
            </w:tcBorders>
            <w:shd w:val="clear" w:color="auto" w:fill="auto"/>
            <w:vAlign w:val="center"/>
          </w:tcPr>
          <w:p w14:paraId="2BD74E1E">
            <w:pPr>
              <w:widowControl/>
              <w:ind w:left="0" w:leftChars="0"/>
              <w:jc w:val="center"/>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lang w:val="en-US" w:eastAsia="zh-CN" w:bidi="ar-SA"/>
              </w:rPr>
              <w:t>*</w:t>
            </w:r>
            <w:r>
              <w:rPr>
                <w:rFonts w:hint="eastAsia" w:ascii="仿宋" w:hAnsi="仿宋" w:eastAsia="仿宋" w:cs="仿宋"/>
                <w:color w:val="auto"/>
                <w:kern w:val="0"/>
                <w:sz w:val="21"/>
                <w:szCs w:val="21"/>
                <w:highlight w:val="none"/>
              </w:rPr>
              <w:t>BIOS固件基础功能</w:t>
            </w:r>
          </w:p>
        </w:tc>
        <w:tc>
          <w:tcPr>
            <w:tcW w:w="3739" w:type="dxa"/>
            <w:tcBorders>
              <w:top w:val="nil"/>
              <w:left w:val="nil"/>
              <w:bottom w:val="single" w:color="auto" w:sz="4" w:space="0"/>
              <w:right w:val="single" w:color="auto" w:sz="4" w:space="0"/>
            </w:tcBorders>
            <w:shd w:val="clear" w:color="auto" w:fill="auto"/>
            <w:vAlign w:val="center"/>
          </w:tcPr>
          <w:p w14:paraId="67F68444">
            <w:pPr>
              <w:widowControl/>
              <w:ind w:left="0" w:leftChars="0"/>
              <w:jc w:val="left"/>
              <w:rPr>
                <w:rFonts w:hint="eastAsia" w:ascii="仿宋" w:hAnsi="仿宋" w:eastAsia="仿宋" w:cs="仿宋"/>
                <w:color w:val="auto"/>
                <w:kern w:val="0"/>
                <w:sz w:val="21"/>
                <w:szCs w:val="21"/>
                <w:highlight w:val="none"/>
              </w:rPr>
            </w:pPr>
            <w:r>
              <w:rPr>
                <w:rFonts w:hint="eastAsia" w:ascii="仿宋" w:hAnsi="仿宋" w:eastAsia="仿宋" w:cs="仿宋"/>
                <w:color w:val="auto"/>
                <w:kern w:val="0"/>
                <w:sz w:val="21"/>
                <w:szCs w:val="21"/>
                <w:highlight w:val="none"/>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1)支持固件更新功能;m)支持BI0S固件设置的恢复出厂功能;n)支持网络引导启用和关闭功能</w:t>
            </w:r>
          </w:p>
        </w:tc>
      </w:tr>
      <w:tr w14:paraId="24214DFB">
        <w:tblPrEx>
          <w:tblCellMar>
            <w:top w:w="0" w:type="dxa"/>
            <w:left w:w="108" w:type="dxa"/>
            <w:bottom w:w="0" w:type="dxa"/>
            <w:right w:w="108" w:type="dxa"/>
          </w:tblCellMar>
        </w:tblPrEx>
        <w:trPr>
          <w:wAfter w:w="0" w:type="auto"/>
          <w:trHeight w:val="722" w:hRule="atLeast"/>
        </w:trPr>
        <w:tc>
          <w:tcPr>
            <w:tcW w:w="429" w:type="dxa"/>
            <w:tcBorders>
              <w:top w:val="single" w:color="auto" w:sz="4" w:space="0"/>
              <w:left w:val="single" w:color="auto" w:sz="4" w:space="0"/>
              <w:bottom w:val="nil"/>
              <w:right w:val="single" w:color="auto" w:sz="4" w:space="0"/>
            </w:tcBorders>
            <w:shd w:val="clear" w:color="auto" w:fill="auto"/>
            <w:vAlign w:val="center"/>
          </w:tcPr>
          <w:p w14:paraId="5EAEB7AC">
            <w:pPr>
              <w:widowControl/>
              <w:ind w:left="0" w:leftChars="0"/>
              <w:jc w:val="center"/>
              <w:rPr>
                <w:rFonts w:hint="eastAsia" w:ascii="仿宋" w:hAnsi="仿宋" w:eastAsia="仿宋" w:cs="仿宋"/>
                <w:color w:val="auto"/>
                <w:kern w:val="0"/>
                <w:sz w:val="21"/>
                <w:szCs w:val="21"/>
                <w:highlight w:val="none"/>
                <w:lang w:val="en-US" w:eastAsia="en-US"/>
              </w:rPr>
            </w:pPr>
            <w:r>
              <w:rPr>
                <w:rFonts w:hint="eastAsia" w:ascii="仿宋" w:hAnsi="仿宋" w:eastAsia="仿宋" w:cs="仿宋"/>
                <w:color w:val="auto"/>
                <w:kern w:val="0"/>
                <w:sz w:val="21"/>
                <w:szCs w:val="21"/>
                <w:highlight w:val="none"/>
                <w:lang w:val="en-US" w:eastAsia="zh-CN"/>
              </w:rPr>
              <w:t>67</w:t>
            </w:r>
          </w:p>
        </w:tc>
        <w:tc>
          <w:tcPr>
            <w:tcW w:w="1221" w:type="dxa"/>
            <w:tcBorders>
              <w:top w:val="single" w:color="auto" w:sz="4" w:space="0"/>
              <w:left w:val="nil"/>
              <w:bottom w:val="nil"/>
              <w:right w:val="single" w:color="auto" w:sz="4" w:space="0"/>
            </w:tcBorders>
            <w:shd w:val="clear" w:color="auto" w:fill="auto"/>
            <w:vAlign w:val="center"/>
          </w:tcPr>
          <w:p w14:paraId="3550A082">
            <w:pPr>
              <w:widowControl/>
              <w:ind w:left="0" w:leftChars="0"/>
              <w:jc w:val="center"/>
              <w:rPr>
                <w:rFonts w:hint="eastAsia" w:ascii="仿宋" w:hAnsi="仿宋" w:eastAsia="仿宋" w:cs="仿宋"/>
                <w:color w:val="auto"/>
                <w:kern w:val="0"/>
                <w:sz w:val="21"/>
                <w:szCs w:val="21"/>
                <w:highlight w:val="none"/>
                <w:lang w:val="en-US" w:eastAsia="en-US"/>
              </w:rPr>
            </w:pPr>
            <w:r>
              <w:rPr>
                <w:rFonts w:hint="eastAsia" w:ascii="仿宋" w:hAnsi="仿宋" w:eastAsia="仿宋" w:cs="仿宋"/>
                <w:color w:val="auto"/>
                <w:kern w:val="0"/>
                <w:sz w:val="21"/>
                <w:szCs w:val="21"/>
                <w:highlight w:val="none"/>
                <w:lang w:val="en-US" w:eastAsia="zh-CN"/>
              </w:rPr>
              <w:t>功能要求</w:t>
            </w:r>
          </w:p>
        </w:tc>
        <w:tc>
          <w:tcPr>
            <w:tcW w:w="1264" w:type="dxa"/>
            <w:vMerge w:val="continue"/>
            <w:tcBorders>
              <w:left w:val="single" w:color="auto" w:sz="4" w:space="0"/>
              <w:bottom w:val="nil"/>
              <w:right w:val="single" w:color="auto" w:sz="4" w:space="0"/>
            </w:tcBorders>
            <w:vAlign w:val="center"/>
          </w:tcPr>
          <w:p w14:paraId="331BF1D0">
            <w:pPr>
              <w:widowControl/>
              <w:ind w:left="0" w:leftChars="0"/>
              <w:jc w:val="center"/>
              <w:rPr>
                <w:rFonts w:hint="eastAsia" w:ascii="仿宋" w:hAnsi="仿宋" w:eastAsia="仿宋" w:cs="仿宋"/>
                <w:color w:val="auto"/>
                <w:kern w:val="0"/>
                <w:sz w:val="21"/>
                <w:szCs w:val="21"/>
                <w:highlight w:val="none"/>
                <w:lang w:val="en-US" w:eastAsia="zh-CN"/>
              </w:rPr>
            </w:pPr>
          </w:p>
        </w:tc>
        <w:tc>
          <w:tcPr>
            <w:tcW w:w="1650" w:type="dxa"/>
            <w:tcBorders>
              <w:top w:val="single" w:color="auto" w:sz="4" w:space="0"/>
              <w:left w:val="nil"/>
              <w:bottom w:val="nil"/>
              <w:right w:val="single" w:color="auto" w:sz="4" w:space="0"/>
            </w:tcBorders>
            <w:shd w:val="clear" w:color="auto" w:fill="auto"/>
            <w:vAlign w:val="center"/>
          </w:tcPr>
          <w:p w14:paraId="6432D9A1">
            <w:pPr>
              <w:widowControl/>
              <w:ind w:left="0" w:leftChars="0"/>
              <w:jc w:val="center"/>
              <w:rPr>
                <w:rFonts w:hint="eastAsia" w:ascii="仿宋" w:hAnsi="仿宋" w:eastAsia="仿宋" w:cs="仿宋"/>
                <w:color w:val="auto"/>
                <w:kern w:val="0"/>
                <w:sz w:val="21"/>
                <w:szCs w:val="21"/>
                <w:highlight w:val="none"/>
                <w:lang w:val="en-US" w:eastAsia="en-US"/>
              </w:rPr>
            </w:pPr>
            <w:r>
              <w:rPr>
                <w:rFonts w:hint="eastAsia" w:ascii="仿宋" w:hAnsi="仿宋" w:eastAsia="仿宋" w:cs="仿宋"/>
                <w:color w:val="auto"/>
                <w:kern w:val="0"/>
                <w:sz w:val="21"/>
                <w:szCs w:val="21"/>
                <w:highlight w:val="none"/>
                <w:lang w:val="en-US" w:eastAsia="zh-CN"/>
              </w:rPr>
              <w:t>远程控制</w:t>
            </w:r>
          </w:p>
        </w:tc>
        <w:tc>
          <w:tcPr>
            <w:tcW w:w="3739" w:type="dxa"/>
            <w:tcBorders>
              <w:top w:val="single" w:color="auto" w:sz="4" w:space="0"/>
              <w:left w:val="nil"/>
              <w:bottom w:val="nil"/>
              <w:right w:val="single" w:color="auto" w:sz="4" w:space="0"/>
            </w:tcBorders>
            <w:shd w:val="clear" w:color="auto" w:fill="auto"/>
            <w:vAlign w:val="center"/>
          </w:tcPr>
          <w:p w14:paraId="01C1BF12">
            <w:pPr>
              <w:widowControl/>
              <w:ind w:left="0" w:leftChars="0"/>
              <w:jc w:val="left"/>
              <w:rPr>
                <w:rFonts w:hint="eastAsia" w:ascii="仿宋" w:hAnsi="仿宋" w:eastAsia="仿宋" w:cs="仿宋"/>
                <w:color w:val="auto"/>
                <w:kern w:val="0"/>
                <w:sz w:val="21"/>
                <w:szCs w:val="21"/>
                <w:highlight w:val="none"/>
                <w:lang w:val="en-US" w:eastAsia="en-US"/>
              </w:rPr>
            </w:pPr>
            <w:r>
              <w:rPr>
                <w:rFonts w:hint="eastAsia" w:ascii="仿宋" w:hAnsi="仿宋" w:eastAsia="仿宋" w:cs="仿宋"/>
                <w:color w:val="auto"/>
                <w:kern w:val="0"/>
                <w:sz w:val="21"/>
                <w:szCs w:val="21"/>
                <w:highlight w:val="none"/>
                <w:lang w:val="en-US" w:eastAsia="zh-CN"/>
              </w:rPr>
              <w:t>IPMI管理口在局域网内支持远程关机和重新启动功能</w:t>
            </w:r>
          </w:p>
        </w:tc>
      </w:tr>
    </w:tbl>
    <w:tbl>
      <w:tblPr>
        <w:tblStyle w:val="9"/>
        <w:tblW w:w="0" w:type="auto"/>
        <w:tblInd w:w="-1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29"/>
        <w:gridCol w:w="1231"/>
        <w:gridCol w:w="1259"/>
        <w:gridCol w:w="1640"/>
        <w:gridCol w:w="3744"/>
      </w:tblGrid>
      <w:tr w14:paraId="3F6E4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tcBorders>
              <w:top w:val="single" w:color="000000" w:sz="2" w:space="0"/>
              <w:bottom w:val="single" w:color="000000" w:sz="2" w:space="0"/>
              <w:right w:val="single" w:color="000000" w:sz="2" w:space="0"/>
            </w:tcBorders>
            <w:vAlign w:val="center"/>
          </w:tcPr>
          <w:p w14:paraId="694B913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68</w:t>
            </w:r>
          </w:p>
        </w:tc>
        <w:tc>
          <w:tcPr>
            <w:tcW w:w="1231" w:type="dxa"/>
            <w:tcBorders>
              <w:top w:val="single" w:color="000000" w:sz="2" w:space="0"/>
              <w:left w:val="single" w:color="000000" w:sz="2" w:space="0"/>
              <w:bottom w:val="single" w:color="000000" w:sz="2" w:space="0"/>
              <w:right w:val="single" w:color="000000" w:sz="2" w:space="0"/>
            </w:tcBorders>
            <w:vAlign w:val="center"/>
          </w:tcPr>
          <w:p w14:paraId="7DA7CEE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restart"/>
            <w:tcBorders>
              <w:top w:val="single" w:color="000000" w:sz="2" w:space="0"/>
              <w:left w:val="single" w:color="000000" w:sz="2" w:space="0"/>
              <w:bottom w:val="single" w:color="000000" w:sz="2" w:space="0"/>
              <w:right w:val="single" w:color="000000" w:sz="2" w:space="0"/>
            </w:tcBorders>
            <w:vAlign w:val="center"/>
          </w:tcPr>
          <w:p w14:paraId="1A7495C6">
            <w:pPr>
              <w:widowControl/>
              <w:ind w:left="0" w:leftChars="0"/>
              <w:jc w:val="center"/>
              <w:rPr>
                <w:rFonts w:hint="eastAsia" w:ascii="仿宋" w:hAnsi="仿宋" w:eastAsia="仿宋" w:cs="仿宋"/>
                <w:color w:val="auto"/>
                <w:kern w:val="0"/>
                <w:sz w:val="21"/>
                <w:szCs w:val="21"/>
                <w:highlight w:val="none"/>
                <w:lang w:val="en-US" w:eastAsia="zh-CN"/>
              </w:rPr>
            </w:pPr>
          </w:p>
          <w:p w14:paraId="4C663D07">
            <w:pPr>
              <w:widowControl/>
              <w:ind w:left="0" w:leftChars="0"/>
              <w:jc w:val="center"/>
              <w:rPr>
                <w:rFonts w:hint="eastAsia" w:ascii="仿宋" w:hAnsi="仿宋" w:eastAsia="仿宋" w:cs="仿宋"/>
                <w:color w:val="auto"/>
                <w:kern w:val="0"/>
                <w:sz w:val="21"/>
                <w:szCs w:val="21"/>
                <w:highlight w:val="none"/>
                <w:lang w:val="en-US" w:eastAsia="zh-CN"/>
              </w:rPr>
            </w:pPr>
          </w:p>
          <w:p w14:paraId="37A1C14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*操作系统及驱动功能</w:t>
            </w:r>
          </w:p>
        </w:tc>
        <w:tc>
          <w:tcPr>
            <w:tcW w:w="1640" w:type="dxa"/>
            <w:tcBorders>
              <w:top w:val="single" w:color="000000" w:sz="2" w:space="0"/>
              <w:left w:val="single" w:color="000000" w:sz="2" w:space="0"/>
              <w:bottom w:val="single" w:color="000000" w:sz="2" w:space="0"/>
              <w:right w:val="single" w:color="000000" w:sz="2" w:space="0"/>
            </w:tcBorders>
            <w:vAlign w:val="center"/>
          </w:tcPr>
          <w:p w14:paraId="31A5974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*操作系统及驱动的升级</w:t>
            </w:r>
          </w:p>
        </w:tc>
        <w:tc>
          <w:tcPr>
            <w:tcW w:w="3744" w:type="dxa"/>
            <w:tcBorders>
              <w:top w:val="single" w:color="000000" w:sz="2" w:space="0"/>
              <w:left w:val="single" w:color="000000" w:sz="2" w:space="0"/>
              <w:bottom w:val="single" w:color="000000" w:sz="2" w:space="0"/>
              <w:right w:val="single" w:color="000000" w:sz="2" w:space="0"/>
            </w:tcBorders>
            <w:vAlign w:val="center"/>
          </w:tcPr>
          <w:p w14:paraId="690BBD6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支持通过网络、闪存盘对操作系统、驱动进行升级</w:t>
            </w:r>
          </w:p>
        </w:tc>
      </w:tr>
      <w:tr w14:paraId="1463F8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429" w:type="dxa"/>
            <w:tcBorders>
              <w:top w:val="single" w:color="000000" w:sz="2" w:space="0"/>
            </w:tcBorders>
            <w:vAlign w:val="center"/>
          </w:tcPr>
          <w:p w14:paraId="1004ED8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69</w:t>
            </w:r>
          </w:p>
        </w:tc>
        <w:tc>
          <w:tcPr>
            <w:tcW w:w="1231" w:type="dxa"/>
            <w:tcBorders>
              <w:top w:val="single" w:color="000000" w:sz="2" w:space="0"/>
              <w:right w:val="single" w:color="auto" w:sz="4" w:space="0"/>
            </w:tcBorders>
            <w:vAlign w:val="center"/>
          </w:tcPr>
          <w:p w14:paraId="70FC1EC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continue"/>
            <w:tcBorders>
              <w:top w:val="single" w:color="000000" w:sz="2" w:space="0"/>
              <w:left w:val="single" w:color="auto" w:sz="4" w:space="0"/>
              <w:bottom w:val="single" w:color="auto" w:sz="4" w:space="0"/>
            </w:tcBorders>
            <w:vAlign w:val="center"/>
          </w:tcPr>
          <w:p w14:paraId="0E067F41">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tcBorders>
              <w:top w:val="single" w:color="000000" w:sz="2" w:space="0"/>
              <w:bottom w:val="single" w:color="auto" w:sz="4" w:space="0"/>
            </w:tcBorders>
            <w:vAlign w:val="center"/>
          </w:tcPr>
          <w:p w14:paraId="76837B8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操作系统及驱动的备份还原</w:t>
            </w:r>
          </w:p>
        </w:tc>
        <w:tc>
          <w:tcPr>
            <w:tcW w:w="3744" w:type="dxa"/>
            <w:tcBorders>
              <w:top w:val="single" w:color="000000" w:sz="2" w:space="0"/>
              <w:bottom w:val="single" w:color="auto" w:sz="4" w:space="0"/>
              <w:right w:val="single" w:color="auto" w:sz="4" w:space="0"/>
            </w:tcBorders>
            <w:vAlign w:val="center"/>
          </w:tcPr>
          <w:p w14:paraId="0C27FEE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支持操作系统备份及还原功能</w:t>
            </w:r>
          </w:p>
        </w:tc>
      </w:tr>
      <w:tr w14:paraId="79048E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429" w:type="dxa"/>
            <w:vAlign w:val="center"/>
          </w:tcPr>
          <w:p w14:paraId="2D8C3F5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70</w:t>
            </w:r>
          </w:p>
        </w:tc>
        <w:tc>
          <w:tcPr>
            <w:tcW w:w="1231" w:type="dxa"/>
            <w:tcBorders>
              <w:right w:val="single" w:color="auto" w:sz="4" w:space="0"/>
            </w:tcBorders>
            <w:vAlign w:val="center"/>
          </w:tcPr>
          <w:p w14:paraId="2175451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continue"/>
            <w:tcBorders>
              <w:top w:val="single" w:color="auto" w:sz="4" w:space="0"/>
              <w:left w:val="single" w:color="auto" w:sz="4" w:space="0"/>
            </w:tcBorders>
            <w:vAlign w:val="center"/>
          </w:tcPr>
          <w:p w14:paraId="6415F7EC">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tcBorders>
              <w:top w:val="single" w:color="auto" w:sz="4" w:space="0"/>
            </w:tcBorders>
            <w:vAlign w:val="center"/>
          </w:tcPr>
          <w:p w14:paraId="68DD5AF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*操作系统功能</w:t>
            </w:r>
          </w:p>
        </w:tc>
        <w:tc>
          <w:tcPr>
            <w:tcW w:w="3744" w:type="dxa"/>
            <w:tcBorders>
              <w:top w:val="single" w:color="auto" w:sz="4" w:space="0"/>
            </w:tcBorders>
            <w:vAlign w:val="center"/>
          </w:tcPr>
          <w:p w14:paraId="601D127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 xml:space="preserve">a) </w:t>
            </w:r>
            <w:r>
              <w:rPr>
                <w:rFonts w:hint="eastAsia" w:ascii="仿宋" w:hAnsi="仿宋" w:eastAsia="仿宋" w:cs="仿宋"/>
                <w:color w:val="auto"/>
                <w:kern w:val="0"/>
                <w:sz w:val="21"/>
                <w:szCs w:val="21"/>
                <w:highlight w:val="none"/>
                <w:lang w:val="en-US" w:eastAsia="zh"/>
              </w:rPr>
              <w:t>可以</w:t>
            </w:r>
            <w:r>
              <w:rPr>
                <w:rFonts w:hint="eastAsia" w:ascii="仿宋" w:hAnsi="仿宋" w:eastAsia="仿宋" w:cs="仿宋"/>
                <w:color w:val="auto"/>
                <w:kern w:val="0"/>
                <w:sz w:val="21"/>
                <w:szCs w:val="21"/>
                <w:highlight w:val="none"/>
                <w:lang w:val="en-US" w:eastAsia="zh-CN"/>
              </w:rPr>
              <w:t>访问控制、安全审计、网络 等功能；</w:t>
            </w:r>
          </w:p>
          <w:p w14:paraId="4A074DD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b) 操作系统其他功能应满足操作 系统政府采购需求标准中加*的指标要求</w:t>
            </w:r>
          </w:p>
        </w:tc>
      </w:tr>
      <w:tr w14:paraId="6BB1D3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7E20A755">
            <w:pPr>
              <w:widowControl/>
              <w:ind w:left="0" w:leftChars="0"/>
              <w:jc w:val="center"/>
              <w:rPr>
                <w:rFonts w:hint="eastAsia" w:ascii="仿宋" w:hAnsi="仿宋" w:eastAsia="仿宋" w:cs="仿宋"/>
                <w:color w:val="auto"/>
                <w:kern w:val="0"/>
                <w:sz w:val="21"/>
                <w:szCs w:val="21"/>
                <w:highlight w:val="none"/>
                <w:lang w:val="en-US" w:eastAsia="zh-CN"/>
              </w:rPr>
            </w:pPr>
          </w:p>
          <w:p w14:paraId="66E85E4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71</w:t>
            </w:r>
          </w:p>
        </w:tc>
        <w:tc>
          <w:tcPr>
            <w:tcW w:w="1231" w:type="dxa"/>
            <w:vAlign w:val="center"/>
          </w:tcPr>
          <w:p w14:paraId="1E89AB8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Align w:val="center"/>
          </w:tcPr>
          <w:p w14:paraId="587E2D9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*中文信息处理功能</w:t>
            </w:r>
          </w:p>
        </w:tc>
        <w:tc>
          <w:tcPr>
            <w:tcW w:w="1640" w:type="dxa"/>
            <w:vAlign w:val="center"/>
          </w:tcPr>
          <w:p w14:paraId="770A95C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*中文信息处理</w:t>
            </w:r>
          </w:p>
        </w:tc>
        <w:tc>
          <w:tcPr>
            <w:tcW w:w="3744" w:type="dxa"/>
            <w:vAlign w:val="center"/>
          </w:tcPr>
          <w:p w14:paraId="5EBF6039">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符合 GB18030 的有关规定</w:t>
            </w:r>
          </w:p>
        </w:tc>
      </w:tr>
      <w:tr w14:paraId="7F0D6D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1D10E997">
            <w:pPr>
              <w:widowControl/>
              <w:ind w:left="0" w:leftChars="0"/>
              <w:jc w:val="center"/>
              <w:rPr>
                <w:rFonts w:hint="eastAsia" w:ascii="仿宋" w:hAnsi="仿宋" w:eastAsia="仿宋" w:cs="仿宋"/>
                <w:color w:val="auto"/>
                <w:kern w:val="0"/>
                <w:sz w:val="21"/>
                <w:szCs w:val="21"/>
                <w:highlight w:val="none"/>
                <w:lang w:val="en-US" w:eastAsia="zh-CN"/>
              </w:rPr>
            </w:pPr>
          </w:p>
          <w:p w14:paraId="55F53C8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72</w:t>
            </w:r>
          </w:p>
        </w:tc>
        <w:tc>
          <w:tcPr>
            <w:tcW w:w="1231" w:type="dxa"/>
            <w:vAlign w:val="center"/>
          </w:tcPr>
          <w:p w14:paraId="48B4E38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restart"/>
            <w:tcBorders>
              <w:bottom w:val="nil"/>
            </w:tcBorders>
            <w:vAlign w:val="center"/>
          </w:tcPr>
          <w:p w14:paraId="7F2F3FE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机柜功能</w:t>
            </w:r>
          </w:p>
        </w:tc>
        <w:tc>
          <w:tcPr>
            <w:tcW w:w="1640" w:type="dxa"/>
            <w:vAlign w:val="center"/>
          </w:tcPr>
          <w:p w14:paraId="18A6AED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机柜管理功能</w:t>
            </w:r>
          </w:p>
        </w:tc>
        <w:tc>
          <w:tcPr>
            <w:tcW w:w="3744" w:type="dxa"/>
            <w:vAlign w:val="center"/>
          </w:tcPr>
          <w:p w14:paraId="5DE81BBB">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提供管理口支持查询情况</w:t>
            </w:r>
          </w:p>
        </w:tc>
      </w:tr>
      <w:tr w14:paraId="04D6E8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6B33A2FF">
            <w:pPr>
              <w:widowControl/>
              <w:ind w:left="0" w:leftChars="0"/>
              <w:jc w:val="center"/>
              <w:rPr>
                <w:rFonts w:hint="eastAsia" w:ascii="仿宋" w:hAnsi="仿宋" w:eastAsia="仿宋" w:cs="仿宋"/>
                <w:color w:val="auto"/>
                <w:kern w:val="0"/>
                <w:sz w:val="21"/>
                <w:szCs w:val="21"/>
                <w:highlight w:val="none"/>
                <w:lang w:val="en-US" w:eastAsia="zh-CN"/>
              </w:rPr>
            </w:pPr>
          </w:p>
          <w:p w14:paraId="510DD99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73</w:t>
            </w:r>
          </w:p>
        </w:tc>
        <w:tc>
          <w:tcPr>
            <w:tcW w:w="1231" w:type="dxa"/>
            <w:vAlign w:val="center"/>
          </w:tcPr>
          <w:p w14:paraId="52E4024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continue"/>
            <w:tcBorders>
              <w:top w:val="nil"/>
              <w:bottom w:val="nil"/>
            </w:tcBorders>
            <w:vAlign w:val="center"/>
          </w:tcPr>
          <w:p w14:paraId="12860FE3">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6F94898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机柜通信方式</w:t>
            </w:r>
          </w:p>
        </w:tc>
        <w:tc>
          <w:tcPr>
            <w:tcW w:w="3744" w:type="dxa"/>
            <w:vAlign w:val="center"/>
          </w:tcPr>
          <w:p w14:paraId="6CB40087">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管理口设置IP，随时访问</w:t>
            </w:r>
          </w:p>
        </w:tc>
      </w:tr>
      <w:tr w14:paraId="4604B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429" w:type="dxa"/>
            <w:vAlign w:val="center"/>
          </w:tcPr>
          <w:p w14:paraId="48049D03">
            <w:pPr>
              <w:widowControl/>
              <w:ind w:left="0" w:leftChars="0"/>
              <w:jc w:val="center"/>
              <w:rPr>
                <w:rFonts w:hint="eastAsia" w:ascii="仿宋" w:hAnsi="仿宋" w:eastAsia="仿宋" w:cs="仿宋"/>
                <w:color w:val="auto"/>
                <w:kern w:val="0"/>
                <w:sz w:val="21"/>
                <w:szCs w:val="21"/>
                <w:highlight w:val="none"/>
                <w:lang w:val="en-US" w:eastAsia="zh-CN"/>
              </w:rPr>
            </w:pPr>
          </w:p>
          <w:p w14:paraId="52189D4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74</w:t>
            </w:r>
          </w:p>
        </w:tc>
        <w:tc>
          <w:tcPr>
            <w:tcW w:w="1231" w:type="dxa"/>
            <w:vAlign w:val="center"/>
          </w:tcPr>
          <w:p w14:paraId="316C57E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功能要求</w:t>
            </w:r>
          </w:p>
        </w:tc>
        <w:tc>
          <w:tcPr>
            <w:tcW w:w="1259" w:type="dxa"/>
            <w:vMerge w:val="continue"/>
            <w:tcBorders>
              <w:top w:val="nil"/>
            </w:tcBorders>
            <w:vAlign w:val="center"/>
          </w:tcPr>
          <w:p w14:paraId="3D6850A9">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9313DD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多集群作业管理</w:t>
            </w:r>
          </w:p>
        </w:tc>
        <w:tc>
          <w:tcPr>
            <w:tcW w:w="3744" w:type="dxa"/>
            <w:vAlign w:val="center"/>
          </w:tcPr>
          <w:p w14:paraId="27967E6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08E753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429" w:type="dxa"/>
            <w:vAlign w:val="center"/>
          </w:tcPr>
          <w:p w14:paraId="69E265EA">
            <w:pPr>
              <w:widowControl/>
              <w:ind w:left="0" w:leftChars="0"/>
              <w:jc w:val="center"/>
              <w:rPr>
                <w:rFonts w:hint="eastAsia" w:ascii="仿宋" w:hAnsi="仿宋" w:eastAsia="仿宋" w:cs="仿宋"/>
                <w:color w:val="auto"/>
                <w:kern w:val="0"/>
                <w:sz w:val="21"/>
                <w:szCs w:val="21"/>
                <w:highlight w:val="none"/>
                <w:lang w:val="en-US" w:eastAsia="zh-CN"/>
              </w:rPr>
            </w:pPr>
          </w:p>
          <w:p w14:paraId="0C5985BF">
            <w:pPr>
              <w:widowControl/>
              <w:ind w:left="0" w:leftChars="0"/>
              <w:jc w:val="center"/>
              <w:rPr>
                <w:rFonts w:hint="eastAsia" w:ascii="仿宋" w:hAnsi="仿宋" w:eastAsia="仿宋" w:cs="仿宋"/>
                <w:color w:val="auto"/>
                <w:kern w:val="0"/>
                <w:sz w:val="21"/>
                <w:szCs w:val="21"/>
                <w:highlight w:val="none"/>
                <w:lang w:val="en-US" w:eastAsia="zh-CN"/>
              </w:rPr>
            </w:pPr>
          </w:p>
          <w:p w14:paraId="181B3C5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75</w:t>
            </w:r>
          </w:p>
        </w:tc>
        <w:tc>
          <w:tcPr>
            <w:tcW w:w="1231" w:type="dxa"/>
            <w:vAlign w:val="center"/>
          </w:tcPr>
          <w:p w14:paraId="579856DA">
            <w:pPr>
              <w:widowControl/>
              <w:ind w:left="0" w:leftChars="0"/>
              <w:jc w:val="center"/>
              <w:rPr>
                <w:rFonts w:hint="eastAsia" w:ascii="仿宋" w:hAnsi="仿宋" w:eastAsia="仿宋" w:cs="仿宋"/>
                <w:color w:val="auto"/>
                <w:kern w:val="0"/>
                <w:sz w:val="21"/>
                <w:szCs w:val="21"/>
                <w:highlight w:val="none"/>
                <w:lang w:val="en-US" w:eastAsia="zh-CN"/>
              </w:rPr>
            </w:pPr>
          </w:p>
          <w:p w14:paraId="1E3E0432">
            <w:pPr>
              <w:widowControl/>
              <w:ind w:left="0" w:leftChars="0"/>
              <w:jc w:val="center"/>
              <w:rPr>
                <w:rFonts w:hint="eastAsia" w:ascii="仿宋" w:hAnsi="仿宋" w:eastAsia="仿宋" w:cs="仿宋"/>
                <w:color w:val="auto"/>
                <w:kern w:val="0"/>
                <w:sz w:val="21"/>
                <w:szCs w:val="21"/>
                <w:highlight w:val="none"/>
                <w:lang w:val="en-US" w:eastAsia="zh-CN"/>
              </w:rPr>
            </w:pPr>
          </w:p>
          <w:p w14:paraId="62C6EE7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Align w:val="center"/>
          </w:tcPr>
          <w:p w14:paraId="4718558D">
            <w:pPr>
              <w:widowControl/>
              <w:ind w:left="0" w:leftChars="0"/>
              <w:jc w:val="center"/>
              <w:rPr>
                <w:rFonts w:hint="eastAsia" w:ascii="仿宋" w:hAnsi="仿宋" w:eastAsia="仿宋" w:cs="仿宋"/>
                <w:color w:val="auto"/>
                <w:kern w:val="0"/>
                <w:sz w:val="21"/>
                <w:szCs w:val="21"/>
                <w:highlight w:val="none"/>
                <w:lang w:val="en-US" w:eastAsia="zh-CN"/>
              </w:rPr>
            </w:pPr>
          </w:p>
          <w:p w14:paraId="5D5C78E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*关键部件安全要求</w:t>
            </w:r>
          </w:p>
        </w:tc>
        <w:tc>
          <w:tcPr>
            <w:tcW w:w="1640" w:type="dxa"/>
            <w:vAlign w:val="center"/>
          </w:tcPr>
          <w:p w14:paraId="6BF64C77">
            <w:pPr>
              <w:widowControl/>
              <w:ind w:left="0" w:leftChars="0"/>
              <w:jc w:val="center"/>
              <w:rPr>
                <w:rFonts w:hint="eastAsia" w:ascii="仿宋" w:hAnsi="仿宋" w:eastAsia="仿宋" w:cs="仿宋"/>
                <w:color w:val="auto"/>
                <w:kern w:val="0"/>
                <w:sz w:val="21"/>
                <w:szCs w:val="21"/>
                <w:highlight w:val="none"/>
                <w:lang w:val="en-US" w:eastAsia="zh-CN"/>
              </w:rPr>
            </w:pPr>
          </w:p>
          <w:p w14:paraId="47FA00F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*关键部件安全要求</w:t>
            </w:r>
          </w:p>
        </w:tc>
        <w:tc>
          <w:tcPr>
            <w:tcW w:w="3744" w:type="dxa"/>
            <w:vAlign w:val="center"/>
          </w:tcPr>
          <w:p w14:paraId="13812CE1">
            <w:pPr>
              <w:widowControl/>
              <w:ind w:left="0" w:leftChars="0"/>
              <w:jc w:val="left"/>
              <w:rPr>
                <w:rFonts w:hint="eastAsia" w:ascii="仿宋" w:hAnsi="仿宋" w:eastAsia="仿宋" w:cs="仿宋"/>
                <w:color w:val="auto"/>
                <w:kern w:val="0"/>
                <w:sz w:val="21"/>
                <w:szCs w:val="21"/>
                <w:highlight w:val="none"/>
                <w:lang w:val="en-US" w:eastAsia="zh-CN"/>
              </w:rPr>
            </w:pPr>
          </w:p>
          <w:p w14:paraId="1D5A1FA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CPU 和操作系统等关键部件应当符合安全可靠测评要求</w:t>
            </w:r>
          </w:p>
        </w:tc>
      </w:tr>
      <w:tr w14:paraId="76EA9A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0" w:hRule="atLeast"/>
        </w:trPr>
        <w:tc>
          <w:tcPr>
            <w:tcW w:w="429" w:type="dxa"/>
            <w:tcBorders>
              <w:bottom w:val="single" w:color="auto" w:sz="4" w:space="0"/>
            </w:tcBorders>
            <w:vAlign w:val="center"/>
          </w:tcPr>
          <w:p w14:paraId="1DA41954">
            <w:pPr>
              <w:widowControl/>
              <w:ind w:left="0" w:leftChars="0"/>
              <w:jc w:val="center"/>
              <w:rPr>
                <w:rFonts w:hint="eastAsia" w:ascii="仿宋" w:hAnsi="仿宋" w:eastAsia="仿宋" w:cs="仿宋"/>
                <w:color w:val="auto"/>
                <w:kern w:val="0"/>
                <w:sz w:val="21"/>
                <w:szCs w:val="21"/>
                <w:highlight w:val="none"/>
                <w:lang w:val="en-US" w:eastAsia="zh-CN"/>
              </w:rPr>
            </w:pPr>
          </w:p>
          <w:p w14:paraId="1211947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76</w:t>
            </w:r>
          </w:p>
        </w:tc>
        <w:tc>
          <w:tcPr>
            <w:tcW w:w="1231" w:type="dxa"/>
            <w:tcBorders>
              <w:bottom w:val="single" w:color="auto" w:sz="4" w:space="0"/>
            </w:tcBorders>
            <w:vAlign w:val="center"/>
          </w:tcPr>
          <w:p w14:paraId="5336603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restart"/>
            <w:vAlign w:val="center"/>
          </w:tcPr>
          <w:p w14:paraId="69040AF2">
            <w:pPr>
              <w:widowControl/>
              <w:ind w:left="0" w:leftChars="0"/>
              <w:jc w:val="center"/>
              <w:rPr>
                <w:rFonts w:hint="eastAsia" w:ascii="仿宋" w:hAnsi="仿宋" w:eastAsia="仿宋" w:cs="仿宋"/>
                <w:color w:val="auto"/>
                <w:kern w:val="0"/>
                <w:sz w:val="21"/>
                <w:szCs w:val="21"/>
                <w:highlight w:val="none"/>
                <w:lang w:val="en-US" w:eastAsia="zh-CN"/>
              </w:rPr>
            </w:pPr>
          </w:p>
          <w:p w14:paraId="1C0D443A">
            <w:pPr>
              <w:widowControl/>
              <w:ind w:left="0" w:leftChars="0"/>
              <w:jc w:val="center"/>
              <w:rPr>
                <w:rFonts w:hint="eastAsia" w:ascii="仿宋" w:hAnsi="仿宋" w:eastAsia="仿宋" w:cs="仿宋"/>
                <w:color w:val="auto"/>
                <w:kern w:val="0"/>
                <w:sz w:val="21"/>
                <w:szCs w:val="21"/>
                <w:highlight w:val="none"/>
                <w:lang w:val="en-US" w:eastAsia="zh-CN"/>
              </w:rPr>
            </w:pPr>
          </w:p>
          <w:p w14:paraId="17655C1E">
            <w:pPr>
              <w:widowControl/>
              <w:ind w:left="0" w:leftChars="0"/>
              <w:jc w:val="center"/>
              <w:rPr>
                <w:rFonts w:hint="eastAsia" w:ascii="仿宋" w:hAnsi="仿宋" w:eastAsia="仿宋" w:cs="仿宋"/>
                <w:color w:val="auto"/>
                <w:kern w:val="0"/>
                <w:sz w:val="21"/>
                <w:szCs w:val="21"/>
                <w:highlight w:val="none"/>
                <w:lang w:val="en-US" w:eastAsia="zh-CN"/>
              </w:rPr>
            </w:pPr>
          </w:p>
          <w:p w14:paraId="5F24379A">
            <w:pPr>
              <w:widowControl/>
              <w:ind w:left="0" w:leftChars="0"/>
              <w:jc w:val="center"/>
              <w:rPr>
                <w:rFonts w:hint="eastAsia" w:ascii="仿宋" w:hAnsi="仿宋" w:eastAsia="仿宋" w:cs="仿宋"/>
                <w:color w:val="auto"/>
                <w:kern w:val="0"/>
                <w:sz w:val="21"/>
                <w:szCs w:val="21"/>
                <w:highlight w:val="none"/>
                <w:lang w:val="en-US" w:eastAsia="zh-CN"/>
              </w:rPr>
            </w:pPr>
          </w:p>
          <w:p w14:paraId="699C66A1">
            <w:pPr>
              <w:widowControl/>
              <w:ind w:left="0" w:leftChars="0"/>
              <w:jc w:val="center"/>
              <w:rPr>
                <w:rFonts w:hint="eastAsia" w:ascii="仿宋" w:hAnsi="仿宋" w:eastAsia="仿宋" w:cs="仿宋"/>
                <w:color w:val="auto"/>
                <w:kern w:val="0"/>
                <w:sz w:val="21"/>
                <w:szCs w:val="21"/>
                <w:highlight w:val="none"/>
                <w:lang w:val="en-US" w:eastAsia="zh-CN"/>
              </w:rPr>
            </w:pPr>
          </w:p>
          <w:p w14:paraId="304D0FCB">
            <w:pPr>
              <w:widowControl/>
              <w:ind w:left="0" w:leftChars="0"/>
              <w:jc w:val="center"/>
              <w:rPr>
                <w:rFonts w:hint="eastAsia" w:ascii="仿宋" w:hAnsi="仿宋" w:eastAsia="仿宋" w:cs="仿宋"/>
                <w:color w:val="auto"/>
                <w:kern w:val="0"/>
                <w:sz w:val="21"/>
                <w:szCs w:val="21"/>
                <w:highlight w:val="none"/>
                <w:lang w:val="en-US" w:eastAsia="zh-CN"/>
              </w:rPr>
            </w:pPr>
          </w:p>
          <w:p w14:paraId="65E7BA58">
            <w:pPr>
              <w:widowControl/>
              <w:ind w:left="0" w:leftChars="0"/>
              <w:jc w:val="center"/>
              <w:rPr>
                <w:rFonts w:hint="eastAsia" w:ascii="仿宋" w:hAnsi="仿宋" w:eastAsia="仿宋" w:cs="仿宋"/>
                <w:color w:val="auto"/>
                <w:kern w:val="0"/>
                <w:sz w:val="21"/>
                <w:szCs w:val="21"/>
                <w:highlight w:val="none"/>
                <w:lang w:val="en-US" w:eastAsia="zh-CN"/>
              </w:rPr>
            </w:pPr>
          </w:p>
          <w:p w14:paraId="46399761">
            <w:pPr>
              <w:widowControl/>
              <w:ind w:left="0" w:leftChars="0"/>
              <w:jc w:val="center"/>
              <w:rPr>
                <w:rFonts w:hint="eastAsia" w:ascii="仿宋" w:hAnsi="仿宋" w:eastAsia="仿宋" w:cs="仿宋"/>
                <w:color w:val="auto"/>
                <w:kern w:val="0"/>
                <w:sz w:val="21"/>
                <w:szCs w:val="21"/>
                <w:highlight w:val="none"/>
                <w:lang w:val="en-US" w:eastAsia="zh-CN"/>
              </w:rPr>
            </w:pPr>
          </w:p>
          <w:p w14:paraId="533645FB">
            <w:pPr>
              <w:widowControl/>
              <w:ind w:left="0" w:leftChars="0"/>
              <w:jc w:val="center"/>
              <w:rPr>
                <w:rFonts w:hint="eastAsia" w:ascii="仿宋" w:hAnsi="仿宋" w:eastAsia="仿宋" w:cs="仿宋"/>
                <w:color w:val="auto"/>
                <w:kern w:val="0"/>
                <w:sz w:val="21"/>
                <w:szCs w:val="21"/>
                <w:highlight w:val="none"/>
                <w:lang w:val="en-US" w:eastAsia="zh-CN"/>
              </w:rPr>
            </w:pPr>
          </w:p>
          <w:p w14:paraId="162D072D">
            <w:pPr>
              <w:widowControl/>
              <w:ind w:left="0" w:leftChars="0"/>
              <w:jc w:val="center"/>
              <w:rPr>
                <w:rFonts w:hint="eastAsia" w:ascii="仿宋" w:hAnsi="仿宋" w:eastAsia="仿宋" w:cs="仿宋"/>
                <w:color w:val="auto"/>
                <w:kern w:val="0"/>
                <w:sz w:val="21"/>
                <w:szCs w:val="21"/>
                <w:highlight w:val="none"/>
                <w:lang w:val="en-US" w:eastAsia="zh-CN"/>
              </w:rPr>
            </w:pPr>
          </w:p>
          <w:p w14:paraId="00922FDF">
            <w:pPr>
              <w:widowControl/>
              <w:ind w:left="0" w:leftChars="0"/>
              <w:jc w:val="center"/>
              <w:rPr>
                <w:rFonts w:hint="eastAsia" w:ascii="仿宋" w:hAnsi="仿宋" w:eastAsia="仿宋" w:cs="仿宋"/>
                <w:color w:val="auto"/>
                <w:kern w:val="0"/>
                <w:sz w:val="21"/>
                <w:szCs w:val="21"/>
                <w:highlight w:val="none"/>
                <w:lang w:val="en-US" w:eastAsia="zh-CN"/>
              </w:rPr>
            </w:pPr>
          </w:p>
          <w:p w14:paraId="043FB9A2">
            <w:pPr>
              <w:widowControl/>
              <w:ind w:left="0" w:leftChars="0"/>
              <w:jc w:val="center"/>
              <w:rPr>
                <w:rFonts w:hint="eastAsia" w:ascii="仿宋" w:hAnsi="仿宋" w:eastAsia="仿宋" w:cs="仿宋"/>
                <w:color w:val="auto"/>
                <w:kern w:val="0"/>
                <w:sz w:val="21"/>
                <w:szCs w:val="21"/>
                <w:highlight w:val="none"/>
                <w:lang w:val="en-US" w:eastAsia="zh-CN"/>
              </w:rPr>
            </w:pPr>
          </w:p>
          <w:p w14:paraId="66C36893">
            <w:pPr>
              <w:widowControl/>
              <w:ind w:left="0" w:leftChars="0"/>
              <w:jc w:val="center"/>
              <w:rPr>
                <w:rFonts w:hint="eastAsia" w:ascii="仿宋" w:hAnsi="仿宋" w:eastAsia="仿宋" w:cs="仿宋"/>
                <w:color w:val="auto"/>
                <w:kern w:val="0"/>
                <w:sz w:val="21"/>
                <w:szCs w:val="21"/>
                <w:highlight w:val="none"/>
                <w:lang w:val="en-US" w:eastAsia="zh-CN"/>
              </w:rPr>
            </w:pPr>
          </w:p>
          <w:p w14:paraId="1D4845DE">
            <w:pPr>
              <w:widowControl/>
              <w:ind w:left="0" w:leftChars="0"/>
              <w:jc w:val="center"/>
              <w:rPr>
                <w:rFonts w:hint="eastAsia" w:ascii="仿宋" w:hAnsi="仿宋" w:eastAsia="仿宋" w:cs="仿宋"/>
                <w:color w:val="auto"/>
                <w:kern w:val="0"/>
                <w:sz w:val="21"/>
                <w:szCs w:val="21"/>
                <w:highlight w:val="none"/>
                <w:lang w:val="en-US" w:eastAsia="zh-CN"/>
              </w:rPr>
            </w:pPr>
          </w:p>
          <w:p w14:paraId="64152FC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*固件安全要求</w:t>
            </w:r>
          </w:p>
        </w:tc>
        <w:tc>
          <w:tcPr>
            <w:tcW w:w="1640" w:type="dxa"/>
            <w:tcBorders>
              <w:bottom w:val="single" w:color="auto" w:sz="4" w:space="0"/>
            </w:tcBorders>
            <w:vAlign w:val="center"/>
          </w:tcPr>
          <w:p w14:paraId="0338CBC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*故障检测</w:t>
            </w:r>
          </w:p>
        </w:tc>
        <w:tc>
          <w:tcPr>
            <w:tcW w:w="3744" w:type="dxa"/>
            <w:tcBorders>
              <w:bottom w:val="single" w:color="auto" w:sz="4" w:space="0"/>
            </w:tcBorders>
            <w:vAlign w:val="center"/>
          </w:tcPr>
          <w:p w14:paraId="59289FB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支持故障检测功能，可以检测到具体的 FRU（内存、硬盘等）的故障并发出告警</w:t>
            </w:r>
          </w:p>
        </w:tc>
      </w:tr>
      <w:tr w14:paraId="470BD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tcBorders>
              <w:top w:val="single" w:color="auto" w:sz="4" w:space="0"/>
            </w:tcBorders>
            <w:vAlign w:val="center"/>
          </w:tcPr>
          <w:p w14:paraId="7602132F">
            <w:pPr>
              <w:widowControl/>
              <w:ind w:left="0" w:leftChars="0"/>
              <w:jc w:val="center"/>
              <w:rPr>
                <w:rFonts w:hint="eastAsia" w:ascii="仿宋" w:hAnsi="仿宋" w:eastAsia="仿宋" w:cs="仿宋"/>
                <w:color w:val="auto"/>
                <w:kern w:val="0"/>
                <w:sz w:val="21"/>
                <w:szCs w:val="21"/>
                <w:highlight w:val="none"/>
                <w:lang w:val="en-US" w:eastAsia="zh-CN"/>
              </w:rPr>
            </w:pPr>
          </w:p>
          <w:p w14:paraId="5EBEF78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77</w:t>
            </w:r>
          </w:p>
        </w:tc>
        <w:tc>
          <w:tcPr>
            <w:tcW w:w="1231" w:type="dxa"/>
            <w:tcBorders>
              <w:top w:val="single" w:color="auto" w:sz="4" w:space="0"/>
            </w:tcBorders>
            <w:vAlign w:val="center"/>
          </w:tcPr>
          <w:p w14:paraId="28C653EA">
            <w:pPr>
              <w:widowControl/>
              <w:ind w:left="0" w:leftChars="0"/>
              <w:jc w:val="center"/>
              <w:rPr>
                <w:rFonts w:hint="eastAsia" w:ascii="仿宋" w:hAnsi="仿宋" w:eastAsia="仿宋" w:cs="仿宋"/>
                <w:color w:val="auto"/>
                <w:kern w:val="0"/>
                <w:sz w:val="21"/>
                <w:szCs w:val="21"/>
                <w:highlight w:val="none"/>
                <w:lang w:val="en-US" w:eastAsia="zh-CN"/>
              </w:rPr>
            </w:pPr>
          </w:p>
          <w:p w14:paraId="2DE38D1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04EA3DAC">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tcBorders>
              <w:top w:val="single" w:color="auto" w:sz="4" w:space="0"/>
            </w:tcBorders>
            <w:vAlign w:val="center"/>
          </w:tcPr>
          <w:p w14:paraId="1FAB470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内存故障智能预测和自愈修复</w:t>
            </w:r>
          </w:p>
        </w:tc>
        <w:tc>
          <w:tcPr>
            <w:tcW w:w="3744" w:type="dxa"/>
            <w:tcBorders>
              <w:top w:val="single" w:color="auto" w:sz="4" w:space="0"/>
            </w:tcBorders>
            <w:vAlign w:val="center"/>
          </w:tcPr>
          <w:p w14:paraId="79C313C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支持内存故障智能预测和自愈修</w:t>
            </w:r>
          </w:p>
          <w:p w14:paraId="66133F38">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复，提前自动硬隔离，避免内存故障引起的非预期宕机以及内存寿命的降低</w:t>
            </w:r>
          </w:p>
        </w:tc>
      </w:tr>
      <w:tr w14:paraId="5EF5DA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05739398">
            <w:pPr>
              <w:widowControl/>
              <w:ind w:left="0" w:leftChars="0"/>
              <w:jc w:val="center"/>
              <w:rPr>
                <w:rFonts w:hint="eastAsia" w:ascii="仿宋" w:hAnsi="仿宋" w:eastAsia="仿宋" w:cs="仿宋"/>
                <w:color w:val="auto"/>
                <w:kern w:val="0"/>
                <w:sz w:val="21"/>
                <w:szCs w:val="21"/>
                <w:highlight w:val="none"/>
                <w:lang w:val="en-US" w:eastAsia="zh-CN"/>
              </w:rPr>
            </w:pPr>
          </w:p>
          <w:p w14:paraId="0748912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78</w:t>
            </w:r>
          </w:p>
        </w:tc>
        <w:tc>
          <w:tcPr>
            <w:tcW w:w="1231" w:type="dxa"/>
            <w:vAlign w:val="center"/>
          </w:tcPr>
          <w:p w14:paraId="3CD0044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4E6DDEE1">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930CA4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硬盘故障智能预测</w:t>
            </w:r>
          </w:p>
        </w:tc>
        <w:tc>
          <w:tcPr>
            <w:tcW w:w="3744" w:type="dxa"/>
            <w:vAlign w:val="center"/>
          </w:tcPr>
          <w:p w14:paraId="6AF92820">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支持硬盘故障智能预测，基于故障 预测出硬盘的故障</w:t>
            </w:r>
          </w:p>
        </w:tc>
      </w:tr>
      <w:tr w14:paraId="7CA522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43910C0A">
            <w:pPr>
              <w:widowControl/>
              <w:ind w:left="0" w:leftChars="0"/>
              <w:jc w:val="center"/>
              <w:rPr>
                <w:rFonts w:hint="eastAsia" w:ascii="仿宋" w:hAnsi="仿宋" w:eastAsia="仿宋" w:cs="仿宋"/>
                <w:color w:val="auto"/>
                <w:kern w:val="0"/>
                <w:sz w:val="21"/>
                <w:szCs w:val="21"/>
                <w:highlight w:val="none"/>
                <w:lang w:val="en-US" w:eastAsia="zh-CN"/>
              </w:rPr>
            </w:pPr>
          </w:p>
          <w:p w14:paraId="1E5B617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79</w:t>
            </w:r>
          </w:p>
        </w:tc>
        <w:tc>
          <w:tcPr>
            <w:tcW w:w="1231" w:type="dxa"/>
            <w:vAlign w:val="center"/>
          </w:tcPr>
          <w:p w14:paraId="18616A4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651453D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5E0719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PCIe 链路故障智能诊断</w:t>
            </w:r>
          </w:p>
        </w:tc>
        <w:tc>
          <w:tcPr>
            <w:tcW w:w="3744" w:type="dxa"/>
            <w:vAlign w:val="center"/>
          </w:tcPr>
          <w:p w14:paraId="2D0CB5A0">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 PCIe 链路故障</w:t>
            </w:r>
            <w:r>
              <w:rPr>
                <w:rFonts w:hint="eastAsia" w:ascii="仿宋" w:hAnsi="仿宋" w:eastAsia="仿宋" w:cs="仿宋"/>
                <w:color w:val="auto"/>
                <w:kern w:val="0"/>
                <w:sz w:val="21"/>
                <w:szCs w:val="21"/>
                <w:highlight w:val="none"/>
                <w:lang w:val="en-US" w:eastAsia="zh"/>
              </w:rPr>
              <w:t>通过日志</w:t>
            </w:r>
            <w:r>
              <w:rPr>
                <w:rFonts w:hint="eastAsia" w:ascii="仿宋" w:hAnsi="仿宋" w:eastAsia="仿宋" w:cs="仿宋"/>
                <w:color w:val="auto"/>
                <w:kern w:val="0"/>
                <w:sz w:val="21"/>
                <w:szCs w:val="21"/>
                <w:highlight w:val="none"/>
                <w:lang w:val="en-US" w:eastAsia="zh-CN"/>
              </w:rPr>
              <w:t>诊断，判断出现故障的PCIe 链路</w:t>
            </w:r>
          </w:p>
        </w:tc>
      </w:tr>
      <w:tr w14:paraId="3BA9F5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0" w:hRule="atLeast"/>
        </w:trPr>
        <w:tc>
          <w:tcPr>
            <w:tcW w:w="429" w:type="dxa"/>
            <w:vAlign w:val="center"/>
          </w:tcPr>
          <w:p w14:paraId="1726AF59">
            <w:pPr>
              <w:widowControl/>
              <w:ind w:left="0" w:leftChars="0"/>
              <w:jc w:val="center"/>
              <w:rPr>
                <w:rFonts w:hint="eastAsia" w:ascii="仿宋" w:hAnsi="仿宋" w:eastAsia="仿宋" w:cs="仿宋"/>
                <w:color w:val="auto"/>
                <w:kern w:val="0"/>
                <w:sz w:val="21"/>
                <w:szCs w:val="21"/>
                <w:highlight w:val="none"/>
                <w:lang w:val="en-US" w:eastAsia="zh-CN"/>
              </w:rPr>
            </w:pPr>
          </w:p>
          <w:p w14:paraId="3B2EBC5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80</w:t>
            </w:r>
          </w:p>
        </w:tc>
        <w:tc>
          <w:tcPr>
            <w:tcW w:w="1231" w:type="dxa"/>
            <w:vAlign w:val="center"/>
          </w:tcPr>
          <w:p w14:paraId="48ACBDC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58993AE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466104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内存故障隔离</w:t>
            </w:r>
          </w:p>
        </w:tc>
        <w:tc>
          <w:tcPr>
            <w:tcW w:w="3744" w:type="dxa"/>
            <w:vAlign w:val="center"/>
          </w:tcPr>
          <w:p w14:paraId="16DFBF45">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支持内存故障隔离，在内存产生 故障时，</w:t>
            </w:r>
            <w:r>
              <w:rPr>
                <w:rFonts w:hint="eastAsia" w:ascii="仿宋" w:hAnsi="仿宋" w:eastAsia="仿宋" w:cs="仿宋"/>
                <w:color w:val="auto"/>
                <w:kern w:val="0"/>
                <w:sz w:val="21"/>
                <w:szCs w:val="21"/>
                <w:highlight w:val="none"/>
                <w:lang w:val="en-US" w:eastAsia="zh"/>
              </w:rPr>
              <w:t>可重启，让</w:t>
            </w:r>
            <w:r>
              <w:rPr>
                <w:rFonts w:hint="eastAsia" w:ascii="仿宋" w:hAnsi="仿宋" w:eastAsia="仿宋" w:cs="仿宋"/>
                <w:color w:val="auto"/>
                <w:kern w:val="0"/>
                <w:sz w:val="21"/>
                <w:szCs w:val="21"/>
                <w:highlight w:val="none"/>
                <w:lang w:val="en-US" w:eastAsia="zh-CN"/>
              </w:rPr>
              <w:t>服务器正常运行，业务系统不中断</w:t>
            </w:r>
          </w:p>
        </w:tc>
      </w:tr>
      <w:tr w14:paraId="15440C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429" w:type="dxa"/>
            <w:vAlign w:val="center"/>
          </w:tcPr>
          <w:p w14:paraId="41DFD3E1">
            <w:pPr>
              <w:widowControl/>
              <w:ind w:left="0" w:leftChars="0"/>
              <w:jc w:val="center"/>
              <w:rPr>
                <w:rFonts w:hint="eastAsia" w:ascii="仿宋" w:hAnsi="仿宋" w:eastAsia="仿宋" w:cs="仿宋"/>
                <w:color w:val="auto"/>
                <w:kern w:val="0"/>
                <w:sz w:val="21"/>
                <w:szCs w:val="21"/>
                <w:highlight w:val="none"/>
                <w:lang w:val="en-US" w:eastAsia="zh-CN"/>
              </w:rPr>
            </w:pPr>
          </w:p>
          <w:p w14:paraId="093F89E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81</w:t>
            </w:r>
          </w:p>
        </w:tc>
        <w:tc>
          <w:tcPr>
            <w:tcW w:w="1231" w:type="dxa"/>
            <w:vAlign w:val="center"/>
          </w:tcPr>
          <w:p w14:paraId="5182D121">
            <w:pPr>
              <w:widowControl/>
              <w:ind w:left="0" w:leftChars="0"/>
              <w:jc w:val="center"/>
              <w:rPr>
                <w:rFonts w:hint="eastAsia" w:ascii="仿宋" w:hAnsi="仿宋" w:eastAsia="仿宋" w:cs="仿宋"/>
                <w:color w:val="auto"/>
                <w:kern w:val="0"/>
                <w:sz w:val="21"/>
                <w:szCs w:val="21"/>
                <w:highlight w:val="none"/>
                <w:lang w:val="en-US" w:eastAsia="zh-CN"/>
              </w:rPr>
            </w:pPr>
          </w:p>
          <w:p w14:paraId="6384DAC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6DA8882D">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26D4D5B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内存、PCIe卡的故障精准告警功能</w:t>
            </w:r>
          </w:p>
        </w:tc>
        <w:tc>
          <w:tcPr>
            <w:tcW w:w="3744" w:type="dxa"/>
            <w:vAlign w:val="center"/>
          </w:tcPr>
          <w:p w14:paraId="1A7982A2">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支持内存、PCIe 卡的故障精准告警功能，触发告警并明确指示具体的 故障位置</w:t>
            </w:r>
          </w:p>
        </w:tc>
      </w:tr>
      <w:tr w14:paraId="0396FB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616FC2FE">
            <w:pPr>
              <w:widowControl/>
              <w:ind w:left="0" w:leftChars="0"/>
              <w:jc w:val="center"/>
              <w:rPr>
                <w:rFonts w:hint="eastAsia" w:ascii="仿宋" w:hAnsi="仿宋" w:eastAsia="仿宋" w:cs="仿宋"/>
                <w:color w:val="auto"/>
                <w:kern w:val="0"/>
                <w:sz w:val="21"/>
                <w:szCs w:val="21"/>
                <w:highlight w:val="none"/>
                <w:lang w:val="en-US" w:eastAsia="zh-CN"/>
              </w:rPr>
            </w:pPr>
          </w:p>
          <w:p w14:paraId="2115C5B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82</w:t>
            </w:r>
          </w:p>
        </w:tc>
        <w:tc>
          <w:tcPr>
            <w:tcW w:w="1231" w:type="dxa"/>
            <w:vAlign w:val="center"/>
          </w:tcPr>
          <w:p w14:paraId="6BA5E96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2348E2BB">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5E2CAB9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异常下电关键数据保护</w:t>
            </w:r>
          </w:p>
        </w:tc>
        <w:tc>
          <w:tcPr>
            <w:tcW w:w="3744" w:type="dxa"/>
            <w:vAlign w:val="center"/>
          </w:tcPr>
          <w:p w14:paraId="3B7272A0">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支持异常下电关键数据保护，支持数据备份恢复，防止系统异常掉电导致的丢失</w:t>
            </w:r>
          </w:p>
        </w:tc>
      </w:tr>
      <w:tr w14:paraId="7A1558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3FFA8460">
            <w:pPr>
              <w:widowControl/>
              <w:ind w:left="0" w:leftChars="0"/>
              <w:jc w:val="center"/>
              <w:rPr>
                <w:rFonts w:hint="eastAsia" w:ascii="仿宋" w:hAnsi="仿宋" w:eastAsia="仿宋" w:cs="仿宋"/>
                <w:color w:val="auto"/>
                <w:kern w:val="0"/>
                <w:sz w:val="21"/>
                <w:szCs w:val="21"/>
                <w:highlight w:val="none"/>
                <w:lang w:val="en-US" w:eastAsia="zh-CN"/>
              </w:rPr>
            </w:pPr>
          </w:p>
          <w:p w14:paraId="76FB534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83</w:t>
            </w:r>
          </w:p>
        </w:tc>
        <w:tc>
          <w:tcPr>
            <w:tcW w:w="1231" w:type="dxa"/>
            <w:vAlign w:val="center"/>
          </w:tcPr>
          <w:p w14:paraId="36BD055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25C947AB">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158901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BMC/BIOS固件双镜像保护</w:t>
            </w:r>
          </w:p>
        </w:tc>
        <w:tc>
          <w:tcPr>
            <w:tcW w:w="3744" w:type="dxa"/>
            <w:vAlign w:val="center"/>
          </w:tcPr>
          <w:p w14:paraId="6C14EE80">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
              </w:rPr>
              <w:t>硬件</w:t>
            </w:r>
            <w:r>
              <w:rPr>
                <w:rFonts w:hint="eastAsia" w:ascii="仿宋" w:hAnsi="仿宋" w:eastAsia="仿宋" w:cs="仿宋"/>
                <w:color w:val="auto"/>
                <w:kern w:val="0"/>
                <w:sz w:val="21"/>
                <w:szCs w:val="21"/>
                <w:highlight w:val="none"/>
                <w:lang w:val="en-US" w:eastAsia="zh-CN"/>
              </w:rPr>
              <w:t>支持 BMC/BIOS 固件双镜像保护，运行异常时自动切换到备份镜像运行，提升系统稳定性</w:t>
            </w:r>
          </w:p>
        </w:tc>
      </w:tr>
      <w:tr w14:paraId="4E401D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016ABEA0">
            <w:pPr>
              <w:widowControl/>
              <w:ind w:left="0" w:leftChars="0"/>
              <w:jc w:val="center"/>
              <w:rPr>
                <w:rFonts w:hint="eastAsia" w:ascii="仿宋" w:hAnsi="仿宋" w:eastAsia="仿宋" w:cs="仿宋"/>
                <w:color w:val="auto"/>
                <w:kern w:val="0"/>
                <w:sz w:val="21"/>
                <w:szCs w:val="21"/>
                <w:highlight w:val="none"/>
                <w:lang w:val="en-US" w:eastAsia="zh-CN"/>
              </w:rPr>
            </w:pPr>
          </w:p>
          <w:p w14:paraId="4CB3217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84</w:t>
            </w:r>
          </w:p>
        </w:tc>
        <w:tc>
          <w:tcPr>
            <w:tcW w:w="1231" w:type="dxa"/>
            <w:vAlign w:val="center"/>
          </w:tcPr>
          <w:p w14:paraId="4ACEAB85">
            <w:pPr>
              <w:widowControl/>
              <w:ind w:left="0" w:leftChars="0"/>
              <w:jc w:val="center"/>
              <w:rPr>
                <w:rFonts w:hint="eastAsia" w:ascii="仿宋" w:hAnsi="仿宋" w:eastAsia="仿宋" w:cs="仿宋"/>
                <w:color w:val="auto"/>
                <w:kern w:val="0"/>
                <w:sz w:val="21"/>
                <w:szCs w:val="21"/>
                <w:highlight w:val="none"/>
                <w:lang w:val="en-US" w:eastAsia="zh-CN"/>
              </w:rPr>
            </w:pPr>
          </w:p>
          <w:p w14:paraId="0331678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47BE8EFA">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0E7C809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CPU 核重启隔离</w:t>
            </w:r>
          </w:p>
        </w:tc>
        <w:tc>
          <w:tcPr>
            <w:tcW w:w="3744" w:type="dxa"/>
            <w:vAlign w:val="center"/>
          </w:tcPr>
          <w:p w14:paraId="3985BE9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36C398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 w:hRule="atLeast"/>
        </w:trPr>
        <w:tc>
          <w:tcPr>
            <w:tcW w:w="429" w:type="dxa"/>
            <w:vAlign w:val="center"/>
          </w:tcPr>
          <w:p w14:paraId="31A009A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85</w:t>
            </w:r>
          </w:p>
        </w:tc>
        <w:tc>
          <w:tcPr>
            <w:tcW w:w="1231" w:type="dxa"/>
            <w:vAlign w:val="center"/>
          </w:tcPr>
          <w:p w14:paraId="1BAA783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0F4DAA45">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2A99434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内存地址隔离</w:t>
            </w:r>
          </w:p>
        </w:tc>
        <w:tc>
          <w:tcPr>
            <w:tcW w:w="3744" w:type="dxa"/>
            <w:vAlign w:val="center"/>
          </w:tcPr>
          <w:p w14:paraId="0107CFE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在硬件支持的情况下，支持故障内存地址重启后隔离</w:t>
            </w:r>
          </w:p>
        </w:tc>
      </w:tr>
      <w:tr w14:paraId="5D6CA0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0D83DD68">
            <w:pPr>
              <w:widowControl/>
              <w:ind w:left="0" w:leftChars="0"/>
              <w:jc w:val="center"/>
              <w:rPr>
                <w:rFonts w:hint="eastAsia" w:ascii="仿宋" w:hAnsi="仿宋" w:eastAsia="仿宋" w:cs="仿宋"/>
                <w:color w:val="auto"/>
                <w:kern w:val="0"/>
                <w:sz w:val="21"/>
                <w:szCs w:val="21"/>
                <w:highlight w:val="none"/>
                <w:lang w:val="en-US" w:eastAsia="zh-CN"/>
              </w:rPr>
            </w:pPr>
          </w:p>
          <w:p w14:paraId="23B1A2C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86</w:t>
            </w:r>
          </w:p>
        </w:tc>
        <w:tc>
          <w:tcPr>
            <w:tcW w:w="1231" w:type="dxa"/>
            <w:vAlign w:val="center"/>
          </w:tcPr>
          <w:p w14:paraId="5C2E508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035CEB87">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6AA4019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内存存储阵列替换</w:t>
            </w:r>
          </w:p>
        </w:tc>
        <w:tc>
          <w:tcPr>
            <w:tcW w:w="3744" w:type="dxa"/>
            <w:vAlign w:val="center"/>
          </w:tcPr>
          <w:p w14:paraId="7AED9354">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在硬件支持的情况下，支持故障内 存储阵列</w:t>
            </w:r>
            <w:r>
              <w:rPr>
                <w:rFonts w:hint="eastAsia" w:ascii="仿宋" w:hAnsi="仿宋" w:eastAsia="仿宋" w:cs="仿宋"/>
                <w:color w:val="auto"/>
                <w:kern w:val="0"/>
                <w:sz w:val="21"/>
                <w:szCs w:val="21"/>
                <w:highlight w:val="none"/>
                <w:lang w:val="en-US" w:eastAsia="zh"/>
              </w:rPr>
              <w:t>卡</w:t>
            </w:r>
            <w:r>
              <w:rPr>
                <w:rFonts w:hint="eastAsia" w:ascii="仿宋" w:hAnsi="仿宋" w:eastAsia="仿宋" w:cs="仿宋"/>
                <w:color w:val="auto"/>
                <w:kern w:val="0"/>
                <w:sz w:val="21"/>
                <w:szCs w:val="21"/>
                <w:highlight w:val="none"/>
                <w:lang w:val="en-US" w:eastAsia="zh-CN"/>
              </w:rPr>
              <w:t>替换</w:t>
            </w:r>
          </w:p>
        </w:tc>
      </w:tr>
      <w:tr w14:paraId="17D8DB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454EDD2E">
            <w:pPr>
              <w:widowControl/>
              <w:ind w:left="0" w:leftChars="0"/>
              <w:jc w:val="center"/>
              <w:rPr>
                <w:rFonts w:hint="eastAsia" w:ascii="仿宋" w:hAnsi="仿宋" w:eastAsia="仿宋" w:cs="仿宋"/>
                <w:color w:val="auto"/>
                <w:kern w:val="0"/>
                <w:sz w:val="21"/>
                <w:szCs w:val="21"/>
                <w:highlight w:val="none"/>
                <w:lang w:val="en-US" w:eastAsia="zh-CN"/>
              </w:rPr>
            </w:pPr>
          </w:p>
          <w:p w14:paraId="3CCDBF5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87</w:t>
            </w:r>
          </w:p>
        </w:tc>
        <w:tc>
          <w:tcPr>
            <w:tcW w:w="1231" w:type="dxa"/>
            <w:vAlign w:val="center"/>
          </w:tcPr>
          <w:p w14:paraId="652D908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vAlign w:val="center"/>
          </w:tcPr>
          <w:p w14:paraId="48A95E33">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C3105E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安全启动</w:t>
            </w:r>
          </w:p>
        </w:tc>
        <w:tc>
          <w:tcPr>
            <w:tcW w:w="3744" w:type="dxa"/>
            <w:vAlign w:val="center"/>
          </w:tcPr>
          <w:p w14:paraId="3F71EFD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支持执行环境要求在整个系统启动的过程中，系统应提供一个机制来 保护平台的完整性</w:t>
            </w:r>
          </w:p>
        </w:tc>
      </w:tr>
      <w:tr w14:paraId="02C82C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424E003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88</w:t>
            </w:r>
          </w:p>
        </w:tc>
        <w:tc>
          <w:tcPr>
            <w:tcW w:w="1231" w:type="dxa"/>
            <w:vAlign w:val="center"/>
          </w:tcPr>
          <w:p w14:paraId="0713EB9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restart"/>
            <w:tcBorders>
              <w:bottom w:val="nil"/>
            </w:tcBorders>
            <w:vAlign w:val="center"/>
          </w:tcPr>
          <w:p w14:paraId="63642A2D">
            <w:pPr>
              <w:widowControl/>
              <w:ind w:left="0" w:leftChars="0"/>
              <w:jc w:val="center"/>
              <w:rPr>
                <w:rFonts w:hint="eastAsia" w:ascii="仿宋" w:hAnsi="仿宋" w:eastAsia="仿宋" w:cs="仿宋"/>
                <w:color w:val="auto"/>
                <w:kern w:val="0"/>
                <w:sz w:val="21"/>
                <w:szCs w:val="21"/>
                <w:highlight w:val="none"/>
                <w:lang w:val="en-US" w:eastAsia="zh-CN"/>
              </w:rPr>
            </w:pPr>
          </w:p>
          <w:p w14:paraId="23325F6D">
            <w:pPr>
              <w:widowControl/>
              <w:ind w:left="0" w:leftChars="0"/>
              <w:jc w:val="center"/>
              <w:rPr>
                <w:rFonts w:hint="eastAsia" w:ascii="仿宋" w:hAnsi="仿宋" w:eastAsia="仿宋" w:cs="仿宋"/>
                <w:color w:val="auto"/>
                <w:kern w:val="0"/>
                <w:sz w:val="21"/>
                <w:szCs w:val="21"/>
                <w:highlight w:val="none"/>
                <w:lang w:val="en-US" w:eastAsia="zh-CN"/>
              </w:rPr>
            </w:pPr>
          </w:p>
          <w:p w14:paraId="7507834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*系统安全要求</w:t>
            </w:r>
          </w:p>
        </w:tc>
        <w:tc>
          <w:tcPr>
            <w:tcW w:w="1640" w:type="dxa"/>
            <w:vAlign w:val="center"/>
          </w:tcPr>
          <w:p w14:paraId="1837001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syslog 双向鉴别</w:t>
            </w:r>
          </w:p>
        </w:tc>
        <w:tc>
          <w:tcPr>
            <w:tcW w:w="3744" w:type="dxa"/>
            <w:vAlign w:val="center"/>
          </w:tcPr>
          <w:p w14:paraId="198F7C6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支持系统日志，对服务器 根证书和客户端根证书进行鉴别</w:t>
            </w:r>
          </w:p>
        </w:tc>
      </w:tr>
      <w:tr w14:paraId="455900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3F87E3E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89</w:t>
            </w:r>
          </w:p>
        </w:tc>
        <w:tc>
          <w:tcPr>
            <w:tcW w:w="1231" w:type="dxa"/>
            <w:vAlign w:val="center"/>
          </w:tcPr>
          <w:p w14:paraId="7353B2D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4CEBD07B">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6B796D5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*弱口令字典检查</w:t>
            </w:r>
          </w:p>
        </w:tc>
        <w:tc>
          <w:tcPr>
            <w:tcW w:w="3744" w:type="dxa"/>
            <w:vAlign w:val="center"/>
          </w:tcPr>
          <w:p w14:paraId="5C20CC4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
              </w:rPr>
              <w:t>软件</w:t>
            </w:r>
            <w:r>
              <w:rPr>
                <w:rFonts w:hint="eastAsia" w:ascii="仿宋" w:hAnsi="仿宋" w:eastAsia="仿宋" w:cs="仿宋"/>
                <w:color w:val="auto"/>
                <w:kern w:val="0"/>
                <w:sz w:val="21"/>
                <w:szCs w:val="21"/>
                <w:highlight w:val="none"/>
                <w:lang w:val="en-US" w:eastAsia="zh-CN"/>
              </w:rPr>
              <w:t>支持</w:t>
            </w:r>
            <w:r>
              <w:rPr>
                <w:rFonts w:hint="eastAsia" w:ascii="仿宋" w:hAnsi="仿宋" w:eastAsia="仿宋" w:cs="仿宋"/>
                <w:color w:val="auto"/>
                <w:kern w:val="0"/>
                <w:sz w:val="21"/>
                <w:szCs w:val="21"/>
                <w:highlight w:val="none"/>
                <w:lang w:val="en-US" w:eastAsia="zh"/>
              </w:rPr>
              <w:t>不出现</w:t>
            </w:r>
            <w:r>
              <w:rPr>
                <w:rFonts w:hint="eastAsia" w:ascii="仿宋" w:hAnsi="仿宋" w:eastAsia="仿宋" w:cs="仿宋"/>
                <w:color w:val="auto"/>
                <w:kern w:val="0"/>
                <w:sz w:val="21"/>
                <w:szCs w:val="21"/>
                <w:highlight w:val="none"/>
                <w:lang w:val="en-US" w:eastAsia="zh-CN"/>
              </w:rPr>
              <w:t>弱口令</w:t>
            </w:r>
          </w:p>
        </w:tc>
      </w:tr>
      <w:tr w14:paraId="5FACB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02069C6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90</w:t>
            </w:r>
          </w:p>
        </w:tc>
        <w:tc>
          <w:tcPr>
            <w:tcW w:w="1231" w:type="dxa"/>
            <w:vAlign w:val="center"/>
          </w:tcPr>
          <w:p w14:paraId="02D4561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545123CB">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51B81E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*白名单访问控制</w:t>
            </w:r>
          </w:p>
        </w:tc>
        <w:tc>
          <w:tcPr>
            <w:tcW w:w="3744" w:type="dxa"/>
            <w:vAlign w:val="center"/>
          </w:tcPr>
          <w:p w14:paraId="23AC689B">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支持基于IP 访问控制</w:t>
            </w:r>
          </w:p>
        </w:tc>
      </w:tr>
      <w:tr w14:paraId="593F2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6086E8D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91</w:t>
            </w:r>
          </w:p>
        </w:tc>
        <w:tc>
          <w:tcPr>
            <w:tcW w:w="1231" w:type="dxa"/>
            <w:vAlign w:val="center"/>
          </w:tcPr>
          <w:p w14:paraId="7296B51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471021C8">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17259D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双因素鉴别</w:t>
            </w:r>
          </w:p>
        </w:tc>
        <w:tc>
          <w:tcPr>
            <w:tcW w:w="3744" w:type="dxa"/>
            <w:vAlign w:val="center"/>
          </w:tcPr>
          <w:p w14:paraId="6AC9BCE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支持使用客户端</w:t>
            </w:r>
            <w:r>
              <w:rPr>
                <w:rFonts w:hint="eastAsia" w:ascii="仿宋" w:hAnsi="仿宋" w:eastAsia="仿宋" w:cs="仿宋"/>
                <w:color w:val="auto"/>
                <w:kern w:val="0"/>
                <w:sz w:val="21"/>
                <w:szCs w:val="21"/>
                <w:highlight w:val="none"/>
                <w:lang w:val="en-US" w:eastAsia="zh"/>
              </w:rPr>
              <w:t>账号</w:t>
            </w:r>
            <w:r>
              <w:rPr>
                <w:rFonts w:hint="eastAsia" w:ascii="仿宋" w:hAnsi="仿宋" w:eastAsia="仿宋" w:cs="仿宋"/>
                <w:color w:val="auto"/>
                <w:kern w:val="0"/>
                <w:sz w:val="21"/>
                <w:szCs w:val="21"/>
                <w:highlight w:val="none"/>
                <w:lang w:val="en-US" w:eastAsia="zh-CN"/>
              </w:rPr>
              <w:t>和密码的鉴别方式登录管理系统</w:t>
            </w:r>
          </w:p>
        </w:tc>
      </w:tr>
      <w:tr w14:paraId="12C363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4F841140">
            <w:pPr>
              <w:widowControl/>
              <w:ind w:left="0" w:leftChars="0"/>
              <w:jc w:val="center"/>
              <w:rPr>
                <w:rFonts w:hint="eastAsia" w:ascii="仿宋" w:hAnsi="仿宋" w:eastAsia="仿宋" w:cs="仿宋"/>
                <w:color w:val="auto"/>
                <w:kern w:val="0"/>
                <w:sz w:val="21"/>
                <w:szCs w:val="21"/>
                <w:highlight w:val="none"/>
                <w:lang w:val="en-US" w:eastAsia="zh-CN"/>
              </w:rPr>
            </w:pPr>
          </w:p>
          <w:p w14:paraId="67E4BFB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92</w:t>
            </w:r>
          </w:p>
        </w:tc>
        <w:tc>
          <w:tcPr>
            <w:tcW w:w="1231" w:type="dxa"/>
            <w:vAlign w:val="center"/>
          </w:tcPr>
          <w:p w14:paraId="6BD9ACE9">
            <w:pPr>
              <w:widowControl/>
              <w:ind w:left="0" w:leftChars="0"/>
              <w:jc w:val="center"/>
              <w:rPr>
                <w:rFonts w:hint="eastAsia" w:ascii="仿宋" w:hAnsi="仿宋" w:eastAsia="仿宋" w:cs="仿宋"/>
                <w:color w:val="auto"/>
                <w:kern w:val="0"/>
                <w:sz w:val="21"/>
                <w:szCs w:val="21"/>
                <w:highlight w:val="none"/>
                <w:lang w:val="en-US" w:eastAsia="zh-CN"/>
              </w:rPr>
            </w:pPr>
          </w:p>
          <w:p w14:paraId="2627450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3015F45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5644EC0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*二次鉴别</w:t>
            </w:r>
          </w:p>
        </w:tc>
        <w:tc>
          <w:tcPr>
            <w:tcW w:w="3744" w:type="dxa"/>
            <w:vAlign w:val="center"/>
          </w:tcPr>
          <w:p w14:paraId="687EB13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w:t>
            </w:r>
            <w:r>
              <w:rPr>
                <w:rFonts w:hint="eastAsia" w:ascii="仿宋" w:hAnsi="仿宋" w:eastAsia="仿宋" w:cs="仿宋"/>
                <w:color w:val="auto"/>
                <w:kern w:val="0"/>
                <w:sz w:val="21"/>
                <w:szCs w:val="21"/>
                <w:highlight w:val="none"/>
                <w:lang w:val="en-US" w:eastAsia="zh"/>
              </w:rPr>
              <w:t>系统</w:t>
            </w:r>
            <w:r>
              <w:rPr>
                <w:rFonts w:hint="eastAsia" w:ascii="仿宋" w:hAnsi="仿宋" w:eastAsia="仿宋" w:cs="仿宋"/>
                <w:color w:val="auto"/>
                <w:kern w:val="0"/>
                <w:sz w:val="21"/>
                <w:szCs w:val="21"/>
                <w:highlight w:val="none"/>
                <w:lang w:val="en-US" w:eastAsia="zh-CN"/>
              </w:rPr>
              <w:t>对于用户配置、权限配置、公钥导入等重要的管理操作，已登录用户应才能执行操作</w:t>
            </w:r>
          </w:p>
        </w:tc>
      </w:tr>
      <w:tr w14:paraId="25B970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759E8CC6">
            <w:pPr>
              <w:widowControl/>
              <w:ind w:left="0" w:leftChars="0"/>
              <w:jc w:val="center"/>
              <w:rPr>
                <w:rFonts w:hint="eastAsia" w:ascii="仿宋" w:hAnsi="仿宋" w:eastAsia="仿宋" w:cs="仿宋"/>
                <w:color w:val="auto"/>
                <w:kern w:val="0"/>
                <w:sz w:val="21"/>
                <w:szCs w:val="21"/>
                <w:highlight w:val="none"/>
                <w:lang w:val="en-US" w:eastAsia="zh-CN"/>
              </w:rPr>
            </w:pPr>
          </w:p>
          <w:p w14:paraId="4087B85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93</w:t>
            </w:r>
          </w:p>
        </w:tc>
        <w:tc>
          <w:tcPr>
            <w:tcW w:w="1231" w:type="dxa"/>
            <w:vAlign w:val="center"/>
          </w:tcPr>
          <w:p w14:paraId="7E71105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70AC513C">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6F740F1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匿名化用户告警接收邮箱</w:t>
            </w:r>
          </w:p>
        </w:tc>
        <w:tc>
          <w:tcPr>
            <w:tcW w:w="3744" w:type="dxa"/>
            <w:vAlign w:val="center"/>
          </w:tcPr>
          <w:p w14:paraId="0601F25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51827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4121221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94</w:t>
            </w:r>
          </w:p>
        </w:tc>
        <w:tc>
          <w:tcPr>
            <w:tcW w:w="1231" w:type="dxa"/>
            <w:vAlign w:val="center"/>
          </w:tcPr>
          <w:p w14:paraId="25F6EB6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4EC1615E">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1735D3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*密码证书安全加密存储</w:t>
            </w:r>
          </w:p>
        </w:tc>
        <w:tc>
          <w:tcPr>
            <w:tcW w:w="3744" w:type="dxa"/>
            <w:vAlign w:val="center"/>
          </w:tcPr>
          <w:p w14:paraId="37A6575B">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7DF6E1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4715830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95</w:t>
            </w:r>
          </w:p>
        </w:tc>
        <w:tc>
          <w:tcPr>
            <w:tcW w:w="1231" w:type="dxa"/>
            <w:vAlign w:val="center"/>
          </w:tcPr>
          <w:p w14:paraId="531979A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tcBorders>
            <w:vAlign w:val="center"/>
          </w:tcPr>
          <w:p w14:paraId="31B8E868">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5AF9C95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*敏感信息安全加密传输</w:t>
            </w:r>
          </w:p>
        </w:tc>
        <w:tc>
          <w:tcPr>
            <w:tcW w:w="3744" w:type="dxa"/>
            <w:vAlign w:val="center"/>
          </w:tcPr>
          <w:p w14:paraId="3B6723F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支持使用安全的传输加密协议（如 SSH 或 HTTP 等）</w:t>
            </w:r>
          </w:p>
        </w:tc>
      </w:tr>
      <w:tr w14:paraId="6FDE6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9" w:hRule="atLeast"/>
        </w:trPr>
        <w:tc>
          <w:tcPr>
            <w:tcW w:w="429" w:type="dxa"/>
            <w:vAlign w:val="center"/>
          </w:tcPr>
          <w:p w14:paraId="49CDBF1F">
            <w:pPr>
              <w:widowControl/>
              <w:ind w:left="0" w:leftChars="0"/>
              <w:jc w:val="center"/>
              <w:rPr>
                <w:rFonts w:hint="eastAsia" w:ascii="仿宋" w:hAnsi="仿宋" w:eastAsia="仿宋" w:cs="仿宋"/>
                <w:color w:val="auto"/>
                <w:kern w:val="0"/>
                <w:sz w:val="21"/>
                <w:szCs w:val="21"/>
                <w:highlight w:val="none"/>
                <w:lang w:val="en-US" w:eastAsia="zh-CN"/>
              </w:rPr>
            </w:pPr>
          </w:p>
          <w:p w14:paraId="7AF397C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96</w:t>
            </w:r>
          </w:p>
        </w:tc>
        <w:tc>
          <w:tcPr>
            <w:tcW w:w="1231" w:type="dxa"/>
            <w:vAlign w:val="center"/>
          </w:tcPr>
          <w:p w14:paraId="001A7FBC">
            <w:pPr>
              <w:widowControl/>
              <w:ind w:left="0" w:leftChars="0"/>
              <w:jc w:val="center"/>
              <w:rPr>
                <w:rFonts w:hint="eastAsia" w:ascii="仿宋" w:hAnsi="仿宋" w:eastAsia="仿宋" w:cs="仿宋"/>
                <w:color w:val="auto"/>
                <w:kern w:val="0"/>
                <w:sz w:val="21"/>
                <w:szCs w:val="21"/>
                <w:highlight w:val="none"/>
                <w:lang w:val="en-US" w:eastAsia="zh-CN"/>
              </w:rPr>
            </w:pPr>
          </w:p>
          <w:p w14:paraId="4B15398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restart"/>
            <w:tcBorders>
              <w:bottom w:val="nil"/>
            </w:tcBorders>
            <w:vAlign w:val="center"/>
          </w:tcPr>
          <w:p w14:paraId="0608C045">
            <w:pPr>
              <w:widowControl/>
              <w:ind w:left="0" w:leftChars="0"/>
              <w:jc w:val="center"/>
              <w:rPr>
                <w:rFonts w:hint="eastAsia" w:ascii="仿宋" w:hAnsi="仿宋" w:eastAsia="仿宋" w:cs="仿宋"/>
                <w:color w:val="auto"/>
                <w:kern w:val="0"/>
                <w:sz w:val="21"/>
                <w:szCs w:val="21"/>
                <w:highlight w:val="none"/>
                <w:lang w:val="en-US" w:eastAsia="zh-CN"/>
              </w:rPr>
            </w:pPr>
          </w:p>
          <w:p w14:paraId="0BA47A40">
            <w:pPr>
              <w:widowControl/>
              <w:ind w:left="0" w:leftChars="0"/>
              <w:jc w:val="center"/>
              <w:rPr>
                <w:rFonts w:hint="eastAsia" w:ascii="仿宋" w:hAnsi="仿宋" w:eastAsia="仿宋" w:cs="仿宋"/>
                <w:color w:val="auto"/>
                <w:kern w:val="0"/>
                <w:sz w:val="21"/>
                <w:szCs w:val="21"/>
                <w:highlight w:val="none"/>
                <w:lang w:val="en-US" w:eastAsia="zh-CN"/>
              </w:rPr>
            </w:pPr>
          </w:p>
          <w:p w14:paraId="019C5479">
            <w:pPr>
              <w:widowControl/>
              <w:ind w:left="0" w:leftChars="0"/>
              <w:jc w:val="center"/>
              <w:rPr>
                <w:rFonts w:hint="eastAsia" w:ascii="仿宋" w:hAnsi="仿宋" w:eastAsia="仿宋" w:cs="仿宋"/>
                <w:color w:val="auto"/>
                <w:kern w:val="0"/>
                <w:sz w:val="21"/>
                <w:szCs w:val="21"/>
                <w:highlight w:val="none"/>
                <w:lang w:val="en-US" w:eastAsia="zh-CN"/>
              </w:rPr>
            </w:pPr>
          </w:p>
          <w:p w14:paraId="4844FB51">
            <w:pPr>
              <w:widowControl/>
              <w:ind w:left="0" w:leftChars="0"/>
              <w:jc w:val="center"/>
              <w:rPr>
                <w:rFonts w:hint="eastAsia" w:ascii="仿宋" w:hAnsi="仿宋" w:eastAsia="仿宋" w:cs="仿宋"/>
                <w:color w:val="auto"/>
                <w:kern w:val="0"/>
                <w:sz w:val="21"/>
                <w:szCs w:val="21"/>
                <w:highlight w:val="none"/>
                <w:lang w:val="en-US" w:eastAsia="zh-CN"/>
              </w:rPr>
            </w:pPr>
          </w:p>
          <w:p w14:paraId="34194B3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*信息安全要求</w:t>
            </w:r>
          </w:p>
        </w:tc>
        <w:tc>
          <w:tcPr>
            <w:tcW w:w="1640" w:type="dxa"/>
            <w:vAlign w:val="center"/>
          </w:tcPr>
          <w:p w14:paraId="3E16F738">
            <w:pPr>
              <w:widowControl/>
              <w:ind w:left="0" w:leftChars="0"/>
              <w:jc w:val="center"/>
              <w:rPr>
                <w:rFonts w:hint="eastAsia" w:ascii="仿宋" w:hAnsi="仿宋" w:eastAsia="仿宋" w:cs="仿宋"/>
                <w:color w:val="auto"/>
                <w:kern w:val="0"/>
                <w:sz w:val="21"/>
                <w:szCs w:val="21"/>
                <w:highlight w:val="none"/>
                <w:lang w:val="en-US" w:eastAsia="zh-CN"/>
              </w:rPr>
            </w:pPr>
          </w:p>
          <w:p w14:paraId="29D4217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*研发过程安全</w:t>
            </w:r>
          </w:p>
        </w:tc>
        <w:tc>
          <w:tcPr>
            <w:tcW w:w="3744" w:type="dxa"/>
            <w:vAlign w:val="center"/>
          </w:tcPr>
          <w:p w14:paraId="223C9C98">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供应商承诺，生产商已建立从需求、设计、开发、测试、维护端到端的开发流程管理机制</w:t>
            </w:r>
          </w:p>
        </w:tc>
      </w:tr>
      <w:tr w14:paraId="4A874E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6283FAC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97</w:t>
            </w:r>
          </w:p>
        </w:tc>
        <w:tc>
          <w:tcPr>
            <w:tcW w:w="1231" w:type="dxa"/>
            <w:vAlign w:val="center"/>
          </w:tcPr>
          <w:p w14:paraId="616E208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648107A8">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59A8F6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漏洞管理</w:t>
            </w:r>
          </w:p>
        </w:tc>
        <w:tc>
          <w:tcPr>
            <w:tcW w:w="3744" w:type="dxa"/>
            <w:vAlign w:val="center"/>
          </w:tcPr>
          <w:p w14:paraId="6A490ABC">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CN"/>
              </w:rPr>
              <w:t>供应商承诺，</w:t>
            </w:r>
            <w:r>
              <w:rPr>
                <w:rFonts w:hint="eastAsia" w:ascii="仿宋" w:hAnsi="仿宋" w:eastAsia="仿宋" w:cs="仿宋"/>
                <w:color w:val="auto"/>
                <w:kern w:val="0"/>
                <w:sz w:val="21"/>
                <w:szCs w:val="21"/>
                <w:highlight w:val="none"/>
                <w:lang w:val="en-US" w:eastAsia="zh"/>
              </w:rPr>
              <w:t>发现</w:t>
            </w:r>
            <w:r>
              <w:rPr>
                <w:rFonts w:hint="eastAsia" w:ascii="仿宋" w:hAnsi="仿宋" w:eastAsia="仿宋" w:cs="仿宋"/>
                <w:color w:val="auto"/>
                <w:kern w:val="0"/>
                <w:sz w:val="21"/>
                <w:szCs w:val="21"/>
                <w:highlight w:val="none"/>
                <w:lang w:val="en-US" w:eastAsia="zh-CN"/>
              </w:rPr>
              <w:t>漏洞</w:t>
            </w:r>
            <w:r>
              <w:rPr>
                <w:rFonts w:hint="eastAsia" w:ascii="仿宋" w:hAnsi="仿宋" w:eastAsia="仿宋" w:cs="仿宋"/>
                <w:color w:val="auto"/>
                <w:kern w:val="0"/>
                <w:sz w:val="21"/>
                <w:szCs w:val="21"/>
                <w:highlight w:val="none"/>
                <w:lang w:val="en-US" w:eastAsia="zh"/>
              </w:rPr>
              <w:t>及时打补丁，</w:t>
            </w:r>
            <w:r>
              <w:rPr>
                <w:rFonts w:hint="eastAsia" w:ascii="仿宋" w:hAnsi="仿宋" w:eastAsia="仿宋" w:cs="仿宋"/>
                <w:color w:val="auto"/>
                <w:kern w:val="0"/>
                <w:sz w:val="21"/>
                <w:szCs w:val="21"/>
                <w:highlight w:val="none"/>
                <w:lang w:val="en-US" w:eastAsia="zh-CN"/>
              </w:rPr>
              <w:t>保证产品</w:t>
            </w:r>
            <w:r>
              <w:rPr>
                <w:rFonts w:hint="eastAsia" w:ascii="仿宋" w:hAnsi="仿宋" w:eastAsia="仿宋" w:cs="仿宋"/>
                <w:color w:val="auto"/>
                <w:kern w:val="0"/>
                <w:sz w:val="21"/>
                <w:szCs w:val="21"/>
                <w:highlight w:val="none"/>
                <w:lang w:val="en-US" w:eastAsia="zh"/>
              </w:rPr>
              <w:t>稳定运行</w:t>
            </w:r>
          </w:p>
        </w:tc>
      </w:tr>
      <w:tr w14:paraId="11C310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56D0738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98</w:t>
            </w:r>
          </w:p>
        </w:tc>
        <w:tc>
          <w:tcPr>
            <w:tcW w:w="1231" w:type="dxa"/>
            <w:vAlign w:val="center"/>
          </w:tcPr>
          <w:p w14:paraId="053894A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bottom w:val="nil"/>
            </w:tcBorders>
            <w:vAlign w:val="center"/>
          </w:tcPr>
          <w:p w14:paraId="306E3C2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691E6F1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网络关键设备服务器要求</w:t>
            </w:r>
          </w:p>
        </w:tc>
        <w:tc>
          <w:tcPr>
            <w:tcW w:w="3744" w:type="dxa"/>
            <w:vAlign w:val="center"/>
          </w:tcPr>
          <w:p w14:paraId="4BFBC04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作为网络关键设备的服务器应符合的相关规定</w:t>
            </w:r>
          </w:p>
        </w:tc>
      </w:tr>
      <w:tr w14:paraId="719F0E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429" w:type="dxa"/>
            <w:vAlign w:val="center"/>
          </w:tcPr>
          <w:p w14:paraId="2282D354">
            <w:pPr>
              <w:widowControl/>
              <w:ind w:left="0" w:leftChars="0"/>
              <w:jc w:val="center"/>
              <w:rPr>
                <w:rFonts w:hint="eastAsia" w:ascii="仿宋" w:hAnsi="仿宋" w:eastAsia="仿宋" w:cs="仿宋"/>
                <w:color w:val="auto"/>
                <w:kern w:val="0"/>
                <w:sz w:val="21"/>
                <w:szCs w:val="21"/>
                <w:highlight w:val="none"/>
                <w:lang w:val="en-US" w:eastAsia="zh-CN"/>
              </w:rPr>
            </w:pPr>
          </w:p>
          <w:p w14:paraId="5D0EEB2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99</w:t>
            </w:r>
          </w:p>
        </w:tc>
        <w:tc>
          <w:tcPr>
            <w:tcW w:w="1231" w:type="dxa"/>
            <w:vAlign w:val="center"/>
          </w:tcPr>
          <w:p w14:paraId="66968E43">
            <w:pPr>
              <w:widowControl/>
              <w:ind w:left="0" w:leftChars="0"/>
              <w:jc w:val="center"/>
              <w:rPr>
                <w:rFonts w:hint="eastAsia" w:ascii="仿宋" w:hAnsi="仿宋" w:eastAsia="仿宋" w:cs="仿宋"/>
                <w:color w:val="auto"/>
                <w:kern w:val="0"/>
                <w:sz w:val="21"/>
                <w:szCs w:val="21"/>
                <w:highlight w:val="none"/>
                <w:lang w:val="en-US" w:eastAsia="zh-CN"/>
              </w:rPr>
            </w:pPr>
          </w:p>
          <w:p w14:paraId="0BBCD29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Merge w:val="continue"/>
            <w:tcBorders>
              <w:top w:val="nil"/>
            </w:tcBorders>
            <w:vAlign w:val="center"/>
          </w:tcPr>
          <w:p w14:paraId="0E48D7E5">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3AB26BC">
            <w:pPr>
              <w:widowControl/>
              <w:ind w:left="0" w:leftChars="0"/>
              <w:jc w:val="center"/>
              <w:rPr>
                <w:rFonts w:hint="eastAsia" w:ascii="仿宋" w:hAnsi="仿宋" w:eastAsia="仿宋" w:cs="仿宋"/>
                <w:color w:val="auto"/>
                <w:kern w:val="0"/>
                <w:sz w:val="21"/>
                <w:szCs w:val="21"/>
                <w:highlight w:val="none"/>
                <w:lang w:val="en-US" w:eastAsia="zh-CN"/>
              </w:rPr>
            </w:pPr>
          </w:p>
          <w:p w14:paraId="61EEE9F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增强要求</w:t>
            </w:r>
          </w:p>
        </w:tc>
        <w:tc>
          <w:tcPr>
            <w:tcW w:w="3744" w:type="dxa"/>
            <w:vAlign w:val="center"/>
          </w:tcPr>
          <w:p w14:paraId="48A79C6B">
            <w:pPr>
              <w:widowControl/>
              <w:ind w:left="0" w:leftChars="0"/>
              <w:jc w:val="left"/>
              <w:rPr>
                <w:rFonts w:hint="eastAsia" w:ascii="仿宋" w:hAnsi="仿宋" w:eastAsia="仿宋" w:cs="仿宋"/>
                <w:color w:val="auto"/>
                <w:kern w:val="0"/>
                <w:sz w:val="21"/>
                <w:szCs w:val="21"/>
                <w:highlight w:val="none"/>
                <w:lang w:val="en-US" w:eastAsia="zh-CN"/>
              </w:rPr>
            </w:pPr>
          </w:p>
          <w:p w14:paraId="33591B1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75B0D6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60C3D88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100</w:t>
            </w:r>
          </w:p>
        </w:tc>
        <w:tc>
          <w:tcPr>
            <w:tcW w:w="1231" w:type="dxa"/>
            <w:vAlign w:val="center"/>
          </w:tcPr>
          <w:p w14:paraId="2A82F3B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Align w:val="center"/>
          </w:tcPr>
          <w:p w14:paraId="3294B00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*物理安全</w:t>
            </w:r>
          </w:p>
        </w:tc>
        <w:tc>
          <w:tcPr>
            <w:tcW w:w="1640" w:type="dxa"/>
            <w:vAlign w:val="center"/>
          </w:tcPr>
          <w:p w14:paraId="622A23D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*物理安全</w:t>
            </w:r>
          </w:p>
        </w:tc>
        <w:tc>
          <w:tcPr>
            <w:tcW w:w="3744" w:type="dxa"/>
            <w:vAlign w:val="center"/>
          </w:tcPr>
          <w:p w14:paraId="0FDDA1A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安全要求应符合</w:t>
            </w:r>
            <w:r>
              <w:rPr>
                <w:rFonts w:hint="eastAsia" w:ascii="仿宋" w:hAnsi="仿宋" w:eastAsia="仿宋" w:cs="仿宋"/>
                <w:color w:val="auto"/>
                <w:kern w:val="0"/>
                <w:sz w:val="21"/>
                <w:szCs w:val="21"/>
                <w:highlight w:val="none"/>
                <w:lang w:val="en-US" w:eastAsia="zh"/>
              </w:rPr>
              <w:t>相关</w:t>
            </w:r>
            <w:r>
              <w:rPr>
                <w:rFonts w:hint="eastAsia" w:ascii="仿宋" w:hAnsi="仿宋" w:eastAsia="仿宋" w:cs="仿宋"/>
                <w:color w:val="auto"/>
                <w:kern w:val="0"/>
                <w:sz w:val="21"/>
                <w:szCs w:val="21"/>
                <w:highlight w:val="none"/>
                <w:lang w:val="en-US" w:eastAsia="zh-CN"/>
              </w:rPr>
              <w:t>规定</w:t>
            </w:r>
          </w:p>
        </w:tc>
      </w:tr>
      <w:tr w14:paraId="1BDDB0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429" w:type="dxa"/>
            <w:vAlign w:val="center"/>
          </w:tcPr>
          <w:p w14:paraId="15981A8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101</w:t>
            </w:r>
          </w:p>
        </w:tc>
        <w:tc>
          <w:tcPr>
            <w:tcW w:w="1231" w:type="dxa"/>
            <w:vAlign w:val="center"/>
          </w:tcPr>
          <w:p w14:paraId="039FC14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安全要求</w:t>
            </w:r>
          </w:p>
        </w:tc>
        <w:tc>
          <w:tcPr>
            <w:tcW w:w="1259" w:type="dxa"/>
            <w:vAlign w:val="center"/>
          </w:tcPr>
          <w:p w14:paraId="54ACC66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*限用物质的限量要求</w:t>
            </w:r>
          </w:p>
        </w:tc>
        <w:tc>
          <w:tcPr>
            <w:tcW w:w="1640" w:type="dxa"/>
            <w:vAlign w:val="center"/>
          </w:tcPr>
          <w:p w14:paraId="30DF95E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*限用物质的限量要求</w:t>
            </w:r>
          </w:p>
        </w:tc>
        <w:tc>
          <w:tcPr>
            <w:tcW w:w="3744" w:type="dxa"/>
            <w:vAlign w:val="center"/>
          </w:tcPr>
          <w:p w14:paraId="72CEE2BB">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限用物质的限量应符合的要求</w:t>
            </w:r>
          </w:p>
        </w:tc>
      </w:tr>
      <w:tr w14:paraId="0C7E9C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6" w:hRule="atLeast"/>
        </w:trPr>
        <w:tc>
          <w:tcPr>
            <w:tcW w:w="429" w:type="dxa"/>
            <w:vAlign w:val="center"/>
          </w:tcPr>
          <w:p w14:paraId="7901359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102</w:t>
            </w:r>
          </w:p>
        </w:tc>
        <w:tc>
          <w:tcPr>
            <w:tcW w:w="1231" w:type="dxa"/>
            <w:vAlign w:val="center"/>
          </w:tcPr>
          <w:p w14:paraId="54F2A23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restart"/>
            <w:tcBorders>
              <w:bottom w:val="nil"/>
            </w:tcBorders>
            <w:vAlign w:val="center"/>
          </w:tcPr>
          <w:p w14:paraId="626F355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*CPU性能</w:t>
            </w:r>
          </w:p>
        </w:tc>
        <w:tc>
          <w:tcPr>
            <w:tcW w:w="1640" w:type="dxa"/>
            <w:vAlign w:val="center"/>
          </w:tcPr>
          <w:p w14:paraId="7E78C62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*CPU 主频</w:t>
            </w:r>
          </w:p>
        </w:tc>
        <w:tc>
          <w:tcPr>
            <w:tcW w:w="3744" w:type="dxa"/>
            <w:vAlign w:val="center"/>
          </w:tcPr>
          <w:p w14:paraId="0E1DA5C2">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≥1.8GHz</w:t>
            </w:r>
          </w:p>
        </w:tc>
      </w:tr>
      <w:tr w14:paraId="2BA42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429" w:type="dxa"/>
            <w:vAlign w:val="center"/>
          </w:tcPr>
          <w:p w14:paraId="0B6E6E7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103</w:t>
            </w:r>
          </w:p>
        </w:tc>
        <w:tc>
          <w:tcPr>
            <w:tcW w:w="1231" w:type="dxa"/>
            <w:vAlign w:val="center"/>
          </w:tcPr>
          <w:p w14:paraId="41178B9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continue"/>
            <w:tcBorders>
              <w:top w:val="nil"/>
              <w:bottom w:val="nil"/>
            </w:tcBorders>
            <w:vAlign w:val="center"/>
          </w:tcPr>
          <w:p w14:paraId="76383260">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24A706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*单CPU核数</w:t>
            </w:r>
          </w:p>
        </w:tc>
        <w:tc>
          <w:tcPr>
            <w:tcW w:w="3744" w:type="dxa"/>
            <w:vAlign w:val="center"/>
          </w:tcPr>
          <w:p w14:paraId="227A66C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≥4</w:t>
            </w:r>
          </w:p>
        </w:tc>
      </w:tr>
      <w:tr w14:paraId="23EA2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2" w:hRule="atLeast"/>
        </w:trPr>
        <w:tc>
          <w:tcPr>
            <w:tcW w:w="429" w:type="dxa"/>
            <w:vAlign w:val="center"/>
          </w:tcPr>
          <w:p w14:paraId="5603A87E">
            <w:pPr>
              <w:widowControl/>
              <w:ind w:left="0" w:leftChars="0"/>
              <w:jc w:val="center"/>
              <w:rPr>
                <w:rFonts w:hint="eastAsia" w:ascii="仿宋" w:hAnsi="仿宋" w:eastAsia="仿宋" w:cs="仿宋"/>
                <w:color w:val="auto"/>
                <w:kern w:val="0"/>
                <w:sz w:val="21"/>
                <w:szCs w:val="21"/>
                <w:highlight w:val="none"/>
                <w:lang w:val="en-US" w:eastAsia="zh-CN"/>
              </w:rPr>
            </w:pPr>
          </w:p>
          <w:p w14:paraId="1AF92E3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104</w:t>
            </w:r>
          </w:p>
        </w:tc>
        <w:tc>
          <w:tcPr>
            <w:tcW w:w="1231" w:type="dxa"/>
            <w:vAlign w:val="center"/>
          </w:tcPr>
          <w:p w14:paraId="7375CB88">
            <w:pPr>
              <w:widowControl/>
              <w:ind w:left="0" w:leftChars="0"/>
              <w:jc w:val="center"/>
              <w:rPr>
                <w:rFonts w:hint="eastAsia" w:ascii="仿宋" w:hAnsi="仿宋" w:eastAsia="仿宋" w:cs="仿宋"/>
                <w:color w:val="auto"/>
                <w:kern w:val="0"/>
                <w:sz w:val="21"/>
                <w:szCs w:val="21"/>
                <w:highlight w:val="none"/>
                <w:lang w:val="en-US" w:eastAsia="zh-CN"/>
              </w:rPr>
            </w:pPr>
          </w:p>
          <w:p w14:paraId="4AF665A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continue"/>
            <w:tcBorders>
              <w:top w:val="nil"/>
            </w:tcBorders>
            <w:vAlign w:val="center"/>
          </w:tcPr>
          <w:p w14:paraId="649E6AB0">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D5B2FE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*单CPU末级缓存容量</w:t>
            </w:r>
          </w:p>
        </w:tc>
        <w:tc>
          <w:tcPr>
            <w:tcW w:w="3744" w:type="dxa"/>
            <w:vAlign w:val="center"/>
          </w:tcPr>
          <w:p w14:paraId="4BE4D710">
            <w:pPr>
              <w:widowControl/>
              <w:ind w:left="0" w:leftChars="0"/>
              <w:jc w:val="left"/>
              <w:rPr>
                <w:rFonts w:hint="eastAsia" w:ascii="仿宋" w:hAnsi="仿宋" w:eastAsia="仿宋" w:cs="仿宋"/>
                <w:color w:val="auto"/>
                <w:kern w:val="0"/>
                <w:sz w:val="21"/>
                <w:szCs w:val="21"/>
                <w:highlight w:val="none"/>
                <w:lang w:val="en-US" w:eastAsia="zh-CN"/>
              </w:rPr>
            </w:pPr>
          </w:p>
          <w:p w14:paraId="03B34252">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≥8MB</w:t>
            </w:r>
          </w:p>
        </w:tc>
      </w:tr>
      <w:tr w14:paraId="3DCEBE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429" w:type="dxa"/>
            <w:vAlign w:val="center"/>
          </w:tcPr>
          <w:p w14:paraId="166546E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105</w:t>
            </w:r>
          </w:p>
        </w:tc>
        <w:tc>
          <w:tcPr>
            <w:tcW w:w="1231" w:type="dxa"/>
            <w:vAlign w:val="center"/>
          </w:tcPr>
          <w:p w14:paraId="46ACAD3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restart"/>
            <w:tcBorders>
              <w:bottom w:val="nil"/>
            </w:tcBorders>
            <w:vAlign w:val="center"/>
          </w:tcPr>
          <w:p w14:paraId="13C7998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*内存性能</w:t>
            </w:r>
          </w:p>
        </w:tc>
        <w:tc>
          <w:tcPr>
            <w:tcW w:w="1640" w:type="dxa"/>
            <w:vAlign w:val="center"/>
          </w:tcPr>
          <w:p w14:paraId="3E6C1FA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单内存模块容量</w:t>
            </w:r>
          </w:p>
        </w:tc>
        <w:tc>
          <w:tcPr>
            <w:tcW w:w="3744" w:type="dxa"/>
            <w:vAlign w:val="center"/>
          </w:tcPr>
          <w:p w14:paraId="5452CA3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≥16GB</w:t>
            </w:r>
          </w:p>
        </w:tc>
      </w:tr>
      <w:tr w14:paraId="38755A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36D9C95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106</w:t>
            </w:r>
          </w:p>
        </w:tc>
        <w:tc>
          <w:tcPr>
            <w:tcW w:w="1231" w:type="dxa"/>
            <w:vAlign w:val="center"/>
          </w:tcPr>
          <w:p w14:paraId="094BE6E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continue"/>
            <w:tcBorders>
              <w:top w:val="nil"/>
            </w:tcBorders>
            <w:vAlign w:val="center"/>
          </w:tcPr>
          <w:p w14:paraId="14856853">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4EAAE00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*内存速率</w:t>
            </w:r>
          </w:p>
        </w:tc>
        <w:tc>
          <w:tcPr>
            <w:tcW w:w="3744" w:type="dxa"/>
            <w:vAlign w:val="center"/>
          </w:tcPr>
          <w:p w14:paraId="18F11FE2">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≥2666MT/s</w:t>
            </w:r>
          </w:p>
        </w:tc>
      </w:tr>
      <w:tr w14:paraId="2B8018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414C673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107</w:t>
            </w:r>
          </w:p>
        </w:tc>
        <w:tc>
          <w:tcPr>
            <w:tcW w:w="1231" w:type="dxa"/>
            <w:vAlign w:val="center"/>
          </w:tcPr>
          <w:p w14:paraId="6FE205E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Align w:val="center"/>
          </w:tcPr>
          <w:p w14:paraId="5517B9F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存储性能</w:t>
            </w:r>
          </w:p>
        </w:tc>
        <w:tc>
          <w:tcPr>
            <w:tcW w:w="1640" w:type="dxa"/>
            <w:vAlign w:val="center"/>
          </w:tcPr>
          <w:p w14:paraId="3891697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硬盘转速</w:t>
            </w:r>
          </w:p>
        </w:tc>
        <w:tc>
          <w:tcPr>
            <w:tcW w:w="3744" w:type="dxa"/>
            <w:vAlign w:val="center"/>
          </w:tcPr>
          <w:p w14:paraId="2C2B8B74">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安装的硬磁盘转速不小于7200rpm</w:t>
            </w:r>
          </w:p>
        </w:tc>
      </w:tr>
      <w:tr w14:paraId="630FEB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429" w:type="dxa"/>
            <w:vAlign w:val="center"/>
          </w:tcPr>
          <w:p w14:paraId="6F497CC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108</w:t>
            </w:r>
          </w:p>
        </w:tc>
        <w:tc>
          <w:tcPr>
            <w:tcW w:w="1231" w:type="dxa"/>
            <w:vAlign w:val="center"/>
          </w:tcPr>
          <w:p w14:paraId="7732A1D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Align w:val="center"/>
          </w:tcPr>
          <w:p w14:paraId="7A709CC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RAID卡性能</w:t>
            </w:r>
          </w:p>
        </w:tc>
        <w:tc>
          <w:tcPr>
            <w:tcW w:w="1640" w:type="dxa"/>
            <w:vAlign w:val="center"/>
          </w:tcPr>
          <w:p w14:paraId="73929C2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RAID卡缓存容量大小</w:t>
            </w:r>
          </w:p>
        </w:tc>
        <w:tc>
          <w:tcPr>
            <w:tcW w:w="3744" w:type="dxa"/>
            <w:vAlign w:val="center"/>
          </w:tcPr>
          <w:p w14:paraId="270CAD93">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无raid卡</w:t>
            </w:r>
          </w:p>
        </w:tc>
      </w:tr>
      <w:tr w14:paraId="13A082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429" w:type="dxa"/>
            <w:vAlign w:val="center"/>
          </w:tcPr>
          <w:p w14:paraId="39AE1AE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109</w:t>
            </w:r>
          </w:p>
        </w:tc>
        <w:tc>
          <w:tcPr>
            <w:tcW w:w="1231" w:type="dxa"/>
            <w:vAlign w:val="center"/>
          </w:tcPr>
          <w:p w14:paraId="785503E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Align w:val="center"/>
          </w:tcPr>
          <w:p w14:paraId="1BCE253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FC HBA卡性能</w:t>
            </w:r>
          </w:p>
        </w:tc>
        <w:tc>
          <w:tcPr>
            <w:tcW w:w="1640" w:type="dxa"/>
            <w:vAlign w:val="center"/>
          </w:tcPr>
          <w:p w14:paraId="4B2E566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FC HBA卡速率</w:t>
            </w:r>
          </w:p>
        </w:tc>
        <w:tc>
          <w:tcPr>
            <w:tcW w:w="3744" w:type="dxa"/>
            <w:vAlign w:val="center"/>
          </w:tcPr>
          <w:p w14:paraId="31ACC666">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无</w:t>
            </w:r>
            <w:r>
              <w:rPr>
                <w:rFonts w:hint="eastAsia" w:ascii="仿宋" w:hAnsi="仿宋" w:eastAsia="仿宋" w:cs="仿宋"/>
                <w:color w:val="auto"/>
                <w:kern w:val="0"/>
                <w:sz w:val="21"/>
                <w:szCs w:val="21"/>
                <w:highlight w:val="none"/>
                <w:lang w:val="en-US" w:eastAsia="zh-CN"/>
              </w:rPr>
              <w:t>FC HBA 卡</w:t>
            </w:r>
          </w:p>
        </w:tc>
      </w:tr>
      <w:tr w14:paraId="128B30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5BDAC71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110</w:t>
            </w:r>
          </w:p>
        </w:tc>
        <w:tc>
          <w:tcPr>
            <w:tcW w:w="1231" w:type="dxa"/>
            <w:vAlign w:val="center"/>
          </w:tcPr>
          <w:p w14:paraId="67BEDAE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restart"/>
            <w:tcBorders>
              <w:bottom w:val="nil"/>
            </w:tcBorders>
            <w:vAlign w:val="center"/>
          </w:tcPr>
          <w:p w14:paraId="001F56B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网络性能</w:t>
            </w:r>
          </w:p>
        </w:tc>
        <w:tc>
          <w:tcPr>
            <w:tcW w:w="1640" w:type="dxa"/>
            <w:vAlign w:val="center"/>
          </w:tcPr>
          <w:p w14:paraId="3121C12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独立网卡速率</w:t>
            </w:r>
          </w:p>
        </w:tc>
        <w:tc>
          <w:tcPr>
            <w:tcW w:w="3744" w:type="dxa"/>
            <w:vAlign w:val="center"/>
          </w:tcPr>
          <w:p w14:paraId="14E8B63F">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无独立网卡</w:t>
            </w:r>
          </w:p>
        </w:tc>
      </w:tr>
      <w:tr w14:paraId="54A4F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28E2847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111</w:t>
            </w:r>
          </w:p>
        </w:tc>
        <w:tc>
          <w:tcPr>
            <w:tcW w:w="1231" w:type="dxa"/>
            <w:vAlign w:val="center"/>
          </w:tcPr>
          <w:p w14:paraId="302FFFD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Merge w:val="continue"/>
            <w:tcBorders>
              <w:top w:val="nil"/>
            </w:tcBorders>
            <w:vAlign w:val="center"/>
          </w:tcPr>
          <w:p w14:paraId="162C5CA9">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236E41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板载网卡速率</w:t>
            </w:r>
          </w:p>
        </w:tc>
        <w:tc>
          <w:tcPr>
            <w:tcW w:w="3744" w:type="dxa"/>
            <w:vAlign w:val="center"/>
          </w:tcPr>
          <w:p w14:paraId="45EDACC9">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≥1GE</w:t>
            </w:r>
          </w:p>
        </w:tc>
      </w:tr>
      <w:tr w14:paraId="754EAE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429" w:type="dxa"/>
            <w:vAlign w:val="center"/>
          </w:tcPr>
          <w:p w14:paraId="03B6F48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112</w:t>
            </w:r>
          </w:p>
        </w:tc>
        <w:tc>
          <w:tcPr>
            <w:tcW w:w="1231" w:type="dxa"/>
            <w:vAlign w:val="center"/>
          </w:tcPr>
          <w:p w14:paraId="05CA160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性能要求</w:t>
            </w:r>
          </w:p>
        </w:tc>
        <w:tc>
          <w:tcPr>
            <w:tcW w:w="1259" w:type="dxa"/>
            <w:vAlign w:val="center"/>
          </w:tcPr>
          <w:p w14:paraId="15B239C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*电源能耗</w:t>
            </w:r>
          </w:p>
        </w:tc>
        <w:tc>
          <w:tcPr>
            <w:tcW w:w="1640" w:type="dxa"/>
            <w:vAlign w:val="center"/>
          </w:tcPr>
          <w:p w14:paraId="0ADC40E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*电源能耗</w:t>
            </w:r>
          </w:p>
        </w:tc>
        <w:tc>
          <w:tcPr>
            <w:tcW w:w="3744" w:type="dxa"/>
            <w:vAlign w:val="center"/>
          </w:tcPr>
          <w:p w14:paraId="45EBF50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符合 GB/T 9813.3 的有关规定</w:t>
            </w:r>
          </w:p>
        </w:tc>
      </w:tr>
      <w:tr w14:paraId="073200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7C04C32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113</w:t>
            </w:r>
          </w:p>
        </w:tc>
        <w:tc>
          <w:tcPr>
            <w:tcW w:w="1231" w:type="dxa"/>
            <w:vAlign w:val="center"/>
          </w:tcPr>
          <w:p w14:paraId="7742604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restart"/>
            <w:vAlign w:val="center"/>
          </w:tcPr>
          <w:p w14:paraId="7B63A7A2">
            <w:pPr>
              <w:widowControl/>
              <w:ind w:left="0" w:leftChars="0"/>
              <w:jc w:val="center"/>
              <w:rPr>
                <w:rFonts w:hint="eastAsia" w:ascii="仿宋" w:hAnsi="仿宋" w:eastAsia="仿宋" w:cs="仿宋"/>
                <w:color w:val="auto"/>
                <w:kern w:val="0"/>
                <w:sz w:val="21"/>
                <w:szCs w:val="21"/>
                <w:highlight w:val="none"/>
                <w:lang w:val="en-US" w:eastAsia="zh-CN"/>
              </w:rPr>
            </w:pPr>
          </w:p>
          <w:p w14:paraId="47614BA4">
            <w:pPr>
              <w:widowControl/>
              <w:ind w:left="0" w:leftChars="0"/>
              <w:jc w:val="center"/>
              <w:rPr>
                <w:rFonts w:hint="eastAsia" w:ascii="仿宋" w:hAnsi="仿宋" w:eastAsia="仿宋" w:cs="仿宋"/>
                <w:color w:val="auto"/>
                <w:kern w:val="0"/>
                <w:sz w:val="21"/>
                <w:szCs w:val="21"/>
                <w:highlight w:val="none"/>
                <w:lang w:val="en-US" w:eastAsia="zh-CN"/>
              </w:rPr>
            </w:pPr>
          </w:p>
          <w:p w14:paraId="38365CB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*部件兼容性要求</w:t>
            </w:r>
          </w:p>
        </w:tc>
        <w:tc>
          <w:tcPr>
            <w:tcW w:w="1640" w:type="dxa"/>
            <w:vAlign w:val="center"/>
          </w:tcPr>
          <w:p w14:paraId="57F3878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*内存兼容性</w:t>
            </w:r>
          </w:p>
        </w:tc>
        <w:tc>
          <w:tcPr>
            <w:tcW w:w="3744" w:type="dxa"/>
            <w:vAlign w:val="center"/>
          </w:tcPr>
          <w:p w14:paraId="4EE34045">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适配 3 种及以上厂商的内存产品，且均不低于产品支持的内存规格</w:t>
            </w:r>
          </w:p>
        </w:tc>
      </w:tr>
      <w:tr w14:paraId="0E91BB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429" w:type="dxa"/>
            <w:vAlign w:val="center"/>
          </w:tcPr>
          <w:p w14:paraId="3664D85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114</w:t>
            </w:r>
          </w:p>
        </w:tc>
        <w:tc>
          <w:tcPr>
            <w:tcW w:w="1231" w:type="dxa"/>
            <w:vAlign w:val="center"/>
          </w:tcPr>
          <w:p w14:paraId="560B8D3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vAlign w:val="center"/>
          </w:tcPr>
          <w:p w14:paraId="6DEE50D9">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0592F3D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*固态存储兼容性</w:t>
            </w:r>
          </w:p>
        </w:tc>
        <w:tc>
          <w:tcPr>
            <w:tcW w:w="3744" w:type="dxa"/>
            <w:vAlign w:val="center"/>
          </w:tcPr>
          <w:p w14:paraId="3E41A668">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适配 3种或以上厂商的固态存储产品，且均不低于产品支持的固态存储设备规格</w:t>
            </w:r>
          </w:p>
        </w:tc>
      </w:tr>
      <w:tr w14:paraId="7C643B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26E7F6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115</w:t>
            </w:r>
          </w:p>
        </w:tc>
        <w:tc>
          <w:tcPr>
            <w:tcW w:w="1231" w:type="dxa"/>
            <w:vAlign w:val="center"/>
          </w:tcPr>
          <w:p w14:paraId="68DB45F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vAlign w:val="center"/>
          </w:tcPr>
          <w:p w14:paraId="0AE7C3F7">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BFF938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FC HBA卡兼容性</w:t>
            </w:r>
          </w:p>
        </w:tc>
        <w:tc>
          <w:tcPr>
            <w:tcW w:w="3744" w:type="dxa"/>
            <w:vAlign w:val="center"/>
          </w:tcPr>
          <w:p w14:paraId="1B2F2714">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FC HBA应适配两种或以上厂商产品</w:t>
            </w:r>
          </w:p>
        </w:tc>
      </w:tr>
      <w:tr w14:paraId="2AE68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429" w:type="dxa"/>
            <w:vAlign w:val="center"/>
          </w:tcPr>
          <w:p w14:paraId="2806AF2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116</w:t>
            </w:r>
          </w:p>
        </w:tc>
        <w:tc>
          <w:tcPr>
            <w:tcW w:w="1231" w:type="dxa"/>
            <w:vAlign w:val="center"/>
          </w:tcPr>
          <w:p w14:paraId="60FDD78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vAlign w:val="center"/>
          </w:tcPr>
          <w:p w14:paraId="1AE7E775">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E8A831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RAID卡兼容性</w:t>
            </w:r>
          </w:p>
        </w:tc>
        <w:tc>
          <w:tcPr>
            <w:tcW w:w="3744" w:type="dxa"/>
            <w:vAlign w:val="center"/>
          </w:tcPr>
          <w:p w14:paraId="44B84F54">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RAID卡应适配两种或以上厂商产品</w:t>
            </w:r>
          </w:p>
        </w:tc>
      </w:tr>
      <w:tr w14:paraId="32F02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7" w:hRule="atLeast"/>
        </w:trPr>
        <w:tc>
          <w:tcPr>
            <w:tcW w:w="429" w:type="dxa"/>
            <w:vAlign w:val="center"/>
          </w:tcPr>
          <w:p w14:paraId="5E762CA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117</w:t>
            </w:r>
          </w:p>
        </w:tc>
        <w:tc>
          <w:tcPr>
            <w:tcW w:w="1231" w:type="dxa"/>
            <w:vAlign w:val="center"/>
          </w:tcPr>
          <w:p w14:paraId="53155CE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vAlign w:val="center"/>
          </w:tcPr>
          <w:p w14:paraId="67669E76">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000461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*网卡兼容性</w:t>
            </w:r>
          </w:p>
        </w:tc>
        <w:tc>
          <w:tcPr>
            <w:tcW w:w="3744" w:type="dxa"/>
            <w:vAlign w:val="center"/>
          </w:tcPr>
          <w:p w14:paraId="712C2579">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网卡应适配两种或以上厂商产品</w:t>
            </w:r>
          </w:p>
        </w:tc>
      </w:tr>
      <w:tr w14:paraId="42990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0" w:hRule="atLeast"/>
        </w:trPr>
        <w:tc>
          <w:tcPr>
            <w:tcW w:w="429" w:type="dxa"/>
            <w:vAlign w:val="center"/>
          </w:tcPr>
          <w:p w14:paraId="70A00EE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118</w:t>
            </w:r>
          </w:p>
        </w:tc>
        <w:tc>
          <w:tcPr>
            <w:tcW w:w="1231" w:type="dxa"/>
            <w:vAlign w:val="center"/>
          </w:tcPr>
          <w:p w14:paraId="44FE16C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vAlign w:val="center"/>
          </w:tcPr>
          <w:p w14:paraId="3C3BE488">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DD5B0F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*功能卡兼容性</w:t>
            </w:r>
          </w:p>
        </w:tc>
        <w:tc>
          <w:tcPr>
            <w:tcW w:w="3744" w:type="dxa"/>
            <w:vAlign w:val="center"/>
          </w:tcPr>
          <w:p w14:paraId="0388F967">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内置或适配符合 PCIe 的功能卡，如：网络功能卡、存储功能卡及图形显示功能卡</w:t>
            </w:r>
          </w:p>
        </w:tc>
      </w:tr>
      <w:tr w14:paraId="230085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429" w:type="dxa"/>
            <w:vAlign w:val="center"/>
          </w:tcPr>
          <w:p w14:paraId="75D588AB">
            <w:pPr>
              <w:widowControl/>
              <w:ind w:left="0" w:leftChars="0"/>
              <w:jc w:val="center"/>
              <w:rPr>
                <w:rFonts w:hint="eastAsia" w:ascii="仿宋" w:hAnsi="仿宋" w:eastAsia="仿宋" w:cs="仿宋"/>
                <w:color w:val="auto"/>
                <w:kern w:val="0"/>
                <w:sz w:val="21"/>
                <w:szCs w:val="21"/>
                <w:highlight w:val="none"/>
                <w:lang w:val="en-US" w:eastAsia="zh-CN"/>
              </w:rPr>
            </w:pPr>
          </w:p>
          <w:p w14:paraId="5BE4698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119</w:t>
            </w:r>
          </w:p>
        </w:tc>
        <w:tc>
          <w:tcPr>
            <w:tcW w:w="1231" w:type="dxa"/>
            <w:vAlign w:val="center"/>
          </w:tcPr>
          <w:p w14:paraId="2D4550BA">
            <w:pPr>
              <w:widowControl/>
              <w:ind w:left="0" w:leftChars="0"/>
              <w:jc w:val="center"/>
              <w:rPr>
                <w:rFonts w:hint="eastAsia" w:ascii="仿宋" w:hAnsi="仿宋" w:eastAsia="仿宋" w:cs="仿宋"/>
                <w:color w:val="auto"/>
                <w:kern w:val="0"/>
                <w:sz w:val="21"/>
                <w:szCs w:val="21"/>
                <w:highlight w:val="none"/>
                <w:lang w:val="en-US" w:eastAsia="zh-CN"/>
              </w:rPr>
            </w:pPr>
          </w:p>
          <w:p w14:paraId="1D006ED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Align w:val="center"/>
          </w:tcPr>
          <w:p w14:paraId="056190F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*外设兼容性</w:t>
            </w:r>
          </w:p>
        </w:tc>
        <w:tc>
          <w:tcPr>
            <w:tcW w:w="1640" w:type="dxa"/>
            <w:vAlign w:val="center"/>
          </w:tcPr>
          <w:p w14:paraId="618E1DE0">
            <w:pPr>
              <w:widowControl/>
              <w:ind w:left="0" w:leftChars="0"/>
              <w:jc w:val="center"/>
              <w:rPr>
                <w:rFonts w:hint="eastAsia" w:ascii="仿宋" w:hAnsi="仿宋" w:eastAsia="仿宋" w:cs="仿宋"/>
                <w:color w:val="auto"/>
                <w:kern w:val="0"/>
                <w:sz w:val="21"/>
                <w:szCs w:val="21"/>
                <w:highlight w:val="none"/>
                <w:lang w:val="en-US" w:eastAsia="zh-CN"/>
              </w:rPr>
            </w:pPr>
          </w:p>
          <w:p w14:paraId="7D95FA1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*外设兼容性</w:t>
            </w:r>
          </w:p>
        </w:tc>
        <w:tc>
          <w:tcPr>
            <w:tcW w:w="3744" w:type="dxa"/>
            <w:vAlign w:val="center"/>
          </w:tcPr>
          <w:p w14:paraId="3B726DF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兼容多种主流生产商的外部设备，包括显示器、键盘、鼠标、闪存盘、移动硬盘、USB光驱及 KVM 等，要求使用不同厂商的外部设备时，系统均能正常识别和安装驱动</w:t>
            </w:r>
          </w:p>
        </w:tc>
      </w:tr>
      <w:tr w14:paraId="0E751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4131848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120</w:t>
            </w:r>
          </w:p>
        </w:tc>
        <w:tc>
          <w:tcPr>
            <w:tcW w:w="1231" w:type="dxa"/>
            <w:vAlign w:val="center"/>
          </w:tcPr>
          <w:p w14:paraId="00A19AB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restart"/>
            <w:tcBorders>
              <w:bottom w:val="nil"/>
            </w:tcBorders>
            <w:vAlign w:val="center"/>
          </w:tcPr>
          <w:p w14:paraId="777C4540">
            <w:pPr>
              <w:widowControl/>
              <w:ind w:left="0" w:leftChars="0"/>
              <w:jc w:val="center"/>
              <w:rPr>
                <w:rFonts w:hint="eastAsia" w:ascii="仿宋" w:hAnsi="仿宋" w:eastAsia="仿宋" w:cs="仿宋"/>
                <w:color w:val="auto"/>
                <w:kern w:val="0"/>
                <w:sz w:val="21"/>
                <w:szCs w:val="21"/>
                <w:highlight w:val="none"/>
                <w:lang w:val="en-US" w:eastAsia="zh-CN"/>
              </w:rPr>
            </w:pPr>
          </w:p>
          <w:p w14:paraId="1BD36091">
            <w:pPr>
              <w:widowControl/>
              <w:ind w:left="0" w:leftChars="0"/>
              <w:jc w:val="center"/>
              <w:rPr>
                <w:rFonts w:hint="eastAsia" w:ascii="仿宋" w:hAnsi="仿宋" w:eastAsia="仿宋" w:cs="仿宋"/>
                <w:color w:val="auto"/>
                <w:kern w:val="0"/>
                <w:sz w:val="21"/>
                <w:szCs w:val="21"/>
                <w:highlight w:val="none"/>
                <w:lang w:val="en-US" w:eastAsia="zh-CN"/>
              </w:rPr>
            </w:pPr>
          </w:p>
          <w:p w14:paraId="4C79ECD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*软件兼容性</w:t>
            </w:r>
          </w:p>
        </w:tc>
        <w:tc>
          <w:tcPr>
            <w:tcW w:w="1640" w:type="dxa"/>
            <w:vAlign w:val="center"/>
          </w:tcPr>
          <w:p w14:paraId="22CA524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*数据库兼容</w:t>
            </w:r>
          </w:p>
        </w:tc>
        <w:tc>
          <w:tcPr>
            <w:tcW w:w="3744" w:type="dxa"/>
            <w:vAlign w:val="center"/>
          </w:tcPr>
          <w:p w14:paraId="71B375B7">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兼容3个及以上厂商的数据库产品</w:t>
            </w:r>
          </w:p>
        </w:tc>
      </w:tr>
      <w:tr w14:paraId="65CD8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1F05805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121</w:t>
            </w:r>
          </w:p>
        </w:tc>
        <w:tc>
          <w:tcPr>
            <w:tcW w:w="1231" w:type="dxa"/>
            <w:vAlign w:val="center"/>
          </w:tcPr>
          <w:p w14:paraId="70F4033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tcBorders>
              <w:top w:val="nil"/>
              <w:bottom w:val="nil"/>
            </w:tcBorders>
            <w:vAlign w:val="center"/>
          </w:tcPr>
          <w:p w14:paraId="5639F612">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575DC92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*中间件兼容</w:t>
            </w:r>
          </w:p>
        </w:tc>
        <w:tc>
          <w:tcPr>
            <w:tcW w:w="3744" w:type="dxa"/>
            <w:vAlign w:val="center"/>
          </w:tcPr>
          <w:p w14:paraId="61C3474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兼容3个及以上厂商的中间件产品</w:t>
            </w:r>
          </w:p>
        </w:tc>
      </w:tr>
      <w:tr w14:paraId="1C66C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27ED5FD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122</w:t>
            </w:r>
          </w:p>
        </w:tc>
        <w:tc>
          <w:tcPr>
            <w:tcW w:w="1231" w:type="dxa"/>
            <w:vAlign w:val="center"/>
          </w:tcPr>
          <w:p w14:paraId="75824F9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tcBorders>
              <w:top w:val="nil"/>
              <w:bottom w:val="nil"/>
            </w:tcBorders>
            <w:vAlign w:val="center"/>
          </w:tcPr>
          <w:p w14:paraId="4FA590D6">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5AAFA6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*平台软件兼容</w:t>
            </w:r>
          </w:p>
        </w:tc>
        <w:tc>
          <w:tcPr>
            <w:tcW w:w="3744" w:type="dxa"/>
            <w:vAlign w:val="center"/>
          </w:tcPr>
          <w:p w14:paraId="6E9A625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兼容3个及以上厂商的大数据平台</w:t>
            </w:r>
          </w:p>
        </w:tc>
      </w:tr>
      <w:tr w14:paraId="0B8D2B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5586E67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123</w:t>
            </w:r>
          </w:p>
        </w:tc>
        <w:tc>
          <w:tcPr>
            <w:tcW w:w="1231" w:type="dxa"/>
            <w:vAlign w:val="center"/>
          </w:tcPr>
          <w:p w14:paraId="7DFD5CA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兼容要求</w:t>
            </w:r>
          </w:p>
        </w:tc>
        <w:tc>
          <w:tcPr>
            <w:tcW w:w="1259" w:type="dxa"/>
            <w:vMerge w:val="continue"/>
            <w:tcBorders>
              <w:top w:val="nil"/>
            </w:tcBorders>
            <w:vAlign w:val="center"/>
          </w:tcPr>
          <w:p w14:paraId="051B37F0">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6E41E6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虚拟化软件兼容</w:t>
            </w:r>
          </w:p>
        </w:tc>
        <w:tc>
          <w:tcPr>
            <w:tcW w:w="3744" w:type="dxa"/>
            <w:vAlign w:val="center"/>
          </w:tcPr>
          <w:p w14:paraId="6A0E3F3D">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兼容2款及以上虚拟化软件</w:t>
            </w:r>
          </w:p>
        </w:tc>
      </w:tr>
      <w:tr w14:paraId="55B765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620329A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124</w:t>
            </w:r>
          </w:p>
        </w:tc>
        <w:tc>
          <w:tcPr>
            <w:tcW w:w="1231" w:type="dxa"/>
            <w:vAlign w:val="center"/>
          </w:tcPr>
          <w:p w14:paraId="72EBBAE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可靠性要求</w:t>
            </w:r>
          </w:p>
        </w:tc>
        <w:tc>
          <w:tcPr>
            <w:tcW w:w="1259" w:type="dxa"/>
            <w:vAlign w:val="center"/>
          </w:tcPr>
          <w:p w14:paraId="3835D30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存储可靠性要求</w:t>
            </w:r>
          </w:p>
        </w:tc>
        <w:tc>
          <w:tcPr>
            <w:tcW w:w="1640" w:type="dxa"/>
            <w:vAlign w:val="center"/>
          </w:tcPr>
          <w:p w14:paraId="79E5A05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SATA SSD可靠性</w:t>
            </w:r>
          </w:p>
        </w:tc>
        <w:tc>
          <w:tcPr>
            <w:tcW w:w="3744" w:type="dxa"/>
            <w:vAlign w:val="center"/>
          </w:tcPr>
          <w:p w14:paraId="0D8BFB1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SSD 的 m1 值（MTBF 的不可接受值）不低于 200000h</w:t>
            </w:r>
          </w:p>
        </w:tc>
      </w:tr>
      <w:tr w14:paraId="141B61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429" w:type="dxa"/>
            <w:vAlign w:val="center"/>
          </w:tcPr>
          <w:p w14:paraId="3815257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125</w:t>
            </w:r>
          </w:p>
        </w:tc>
        <w:tc>
          <w:tcPr>
            <w:tcW w:w="1231" w:type="dxa"/>
            <w:vAlign w:val="center"/>
          </w:tcPr>
          <w:p w14:paraId="04A8AB2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可靠性要求</w:t>
            </w:r>
          </w:p>
        </w:tc>
        <w:tc>
          <w:tcPr>
            <w:tcW w:w="1259" w:type="dxa"/>
            <w:vMerge w:val="restart"/>
            <w:tcBorders>
              <w:bottom w:val="nil"/>
            </w:tcBorders>
            <w:vAlign w:val="center"/>
          </w:tcPr>
          <w:p w14:paraId="705563D5">
            <w:pPr>
              <w:widowControl/>
              <w:ind w:left="0" w:leftChars="0"/>
              <w:jc w:val="center"/>
              <w:rPr>
                <w:rFonts w:hint="eastAsia" w:ascii="仿宋" w:hAnsi="仿宋" w:eastAsia="仿宋" w:cs="仿宋"/>
                <w:color w:val="auto"/>
                <w:kern w:val="0"/>
                <w:sz w:val="21"/>
                <w:szCs w:val="21"/>
                <w:highlight w:val="none"/>
                <w:lang w:val="en-US" w:eastAsia="zh-CN"/>
              </w:rPr>
            </w:pPr>
          </w:p>
          <w:p w14:paraId="2BE0138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*整机可靠性要求</w:t>
            </w:r>
          </w:p>
        </w:tc>
        <w:tc>
          <w:tcPr>
            <w:tcW w:w="1640" w:type="dxa"/>
            <w:vAlign w:val="center"/>
          </w:tcPr>
          <w:p w14:paraId="200FD64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*整机可靠性</w:t>
            </w:r>
          </w:p>
        </w:tc>
        <w:tc>
          <w:tcPr>
            <w:tcW w:w="3744" w:type="dxa"/>
            <w:vAlign w:val="center"/>
          </w:tcPr>
          <w:p w14:paraId="269B96D0">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维保1年</w:t>
            </w:r>
          </w:p>
        </w:tc>
      </w:tr>
      <w:tr w14:paraId="14F4E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21278D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126</w:t>
            </w:r>
          </w:p>
        </w:tc>
        <w:tc>
          <w:tcPr>
            <w:tcW w:w="1231" w:type="dxa"/>
            <w:vAlign w:val="center"/>
          </w:tcPr>
          <w:p w14:paraId="3EB7CF5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可靠性要求</w:t>
            </w:r>
          </w:p>
        </w:tc>
        <w:tc>
          <w:tcPr>
            <w:tcW w:w="1259" w:type="dxa"/>
            <w:vMerge w:val="continue"/>
            <w:tcBorders>
              <w:top w:val="nil"/>
              <w:bottom w:val="nil"/>
            </w:tcBorders>
            <w:vAlign w:val="center"/>
          </w:tcPr>
          <w:p w14:paraId="6D20890D">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F0CE6B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*风扇可靠性</w:t>
            </w:r>
          </w:p>
        </w:tc>
        <w:tc>
          <w:tcPr>
            <w:tcW w:w="3744" w:type="dxa"/>
            <w:vAlign w:val="center"/>
          </w:tcPr>
          <w:p w14:paraId="54A2BEF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风扇寿命应不低于40000h</w:t>
            </w:r>
          </w:p>
        </w:tc>
      </w:tr>
      <w:tr w14:paraId="2CBCEE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0" w:hRule="atLeast"/>
        </w:trPr>
        <w:tc>
          <w:tcPr>
            <w:tcW w:w="429" w:type="dxa"/>
            <w:vAlign w:val="center"/>
          </w:tcPr>
          <w:p w14:paraId="309F4D1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127</w:t>
            </w:r>
          </w:p>
        </w:tc>
        <w:tc>
          <w:tcPr>
            <w:tcW w:w="1231" w:type="dxa"/>
            <w:vAlign w:val="center"/>
          </w:tcPr>
          <w:p w14:paraId="1554207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可靠性要求</w:t>
            </w:r>
          </w:p>
        </w:tc>
        <w:tc>
          <w:tcPr>
            <w:tcW w:w="1259" w:type="dxa"/>
            <w:vMerge w:val="continue"/>
            <w:tcBorders>
              <w:top w:val="nil"/>
            </w:tcBorders>
            <w:vAlign w:val="center"/>
          </w:tcPr>
          <w:p w14:paraId="7A95740E">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4DD81A2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*部件可靠性</w:t>
            </w:r>
          </w:p>
        </w:tc>
        <w:tc>
          <w:tcPr>
            <w:tcW w:w="3744" w:type="dxa"/>
            <w:vAlign w:val="center"/>
          </w:tcPr>
          <w:p w14:paraId="01299C69">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
              </w:rPr>
              <w:t>机架服务器</w:t>
            </w:r>
            <w:r>
              <w:rPr>
                <w:rFonts w:hint="eastAsia" w:ascii="仿宋" w:hAnsi="仿宋" w:eastAsia="仿宋" w:cs="仿宋"/>
                <w:color w:val="auto"/>
                <w:kern w:val="0"/>
                <w:sz w:val="21"/>
                <w:szCs w:val="21"/>
                <w:highlight w:val="none"/>
                <w:lang w:val="en-US" w:eastAsia="zh-CN"/>
              </w:rPr>
              <w:t>支持硬盘、电源、风扇热插拔(内置 风扇除外)</w:t>
            </w:r>
          </w:p>
        </w:tc>
      </w:tr>
      <w:tr w14:paraId="6997DD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298F9A0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128</w:t>
            </w:r>
          </w:p>
        </w:tc>
        <w:tc>
          <w:tcPr>
            <w:tcW w:w="1231" w:type="dxa"/>
            <w:vAlign w:val="center"/>
          </w:tcPr>
          <w:p w14:paraId="63809CA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包装及运输要求</w:t>
            </w:r>
          </w:p>
        </w:tc>
        <w:tc>
          <w:tcPr>
            <w:tcW w:w="1259" w:type="dxa"/>
            <w:vAlign w:val="center"/>
          </w:tcPr>
          <w:p w14:paraId="5CF6705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*包装及运输要求</w:t>
            </w:r>
          </w:p>
        </w:tc>
        <w:tc>
          <w:tcPr>
            <w:tcW w:w="1640" w:type="dxa"/>
            <w:vAlign w:val="center"/>
          </w:tcPr>
          <w:p w14:paraId="0896AF1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*标志、包装、运输和贮存</w:t>
            </w:r>
          </w:p>
        </w:tc>
        <w:tc>
          <w:tcPr>
            <w:tcW w:w="3744" w:type="dxa"/>
            <w:vAlign w:val="center"/>
          </w:tcPr>
          <w:p w14:paraId="4094FCF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符合GB/T 9813.3 和商品包装政府采购需求标准的相关规定</w:t>
            </w:r>
          </w:p>
        </w:tc>
      </w:tr>
      <w:tr w14:paraId="284F66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7" w:hRule="atLeast"/>
        </w:trPr>
        <w:tc>
          <w:tcPr>
            <w:tcW w:w="429" w:type="dxa"/>
            <w:vAlign w:val="center"/>
          </w:tcPr>
          <w:p w14:paraId="38A8042C">
            <w:pPr>
              <w:widowControl/>
              <w:ind w:left="0" w:leftChars="0"/>
              <w:jc w:val="center"/>
              <w:rPr>
                <w:rFonts w:hint="eastAsia" w:ascii="仿宋" w:hAnsi="仿宋" w:eastAsia="仿宋" w:cs="仿宋"/>
                <w:color w:val="auto"/>
                <w:kern w:val="0"/>
                <w:sz w:val="21"/>
                <w:szCs w:val="21"/>
                <w:highlight w:val="none"/>
                <w:lang w:val="en-US" w:eastAsia="zh-CN"/>
              </w:rPr>
            </w:pPr>
          </w:p>
          <w:p w14:paraId="635FE746">
            <w:pPr>
              <w:widowControl/>
              <w:ind w:left="0" w:leftChars="0"/>
              <w:jc w:val="center"/>
              <w:rPr>
                <w:rFonts w:hint="eastAsia" w:ascii="仿宋" w:hAnsi="仿宋" w:eastAsia="仿宋" w:cs="仿宋"/>
                <w:color w:val="auto"/>
                <w:kern w:val="0"/>
                <w:sz w:val="21"/>
                <w:szCs w:val="21"/>
                <w:highlight w:val="none"/>
                <w:lang w:val="en-US" w:eastAsia="zh-CN"/>
              </w:rPr>
            </w:pPr>
          </w:p>
          <w:p w14:paraId="5D949B68">
            <w:pPr>
              <w:widowControl/>
              <w:ind w:left="0" w:leftChars="0"/>
              <w:jc w:val="center"/>
              <w:rPr>
                <w:rFonts w:hint="eastAsia" w:ascii="仿宋" w:hAnsi="仿宋" w:eastAsia="仿宋" w:cs="仿宋"/>
                <w:color w:val="auto"/>
                <w:kern w:val="0"/>
                <w:sz w:val="21"/>
                <w:szCs w:val="21"/>
                <w:highlight w:val="none"/>
                <w:lang w:val="en-US" w:eastAsia="zh-CN"/>
              </w:rPr>
            </w:pPr>
          </w:p>
          <w:p w14:paraId="1F095B1A">
            <w:pPr>
              <w:widowControl/>
              <w:ind w:left="0" w:leftChars="0"/>
              <w:jc w:val="center"/>
              <w:rPr>
                <w:rFonts w:hint="eastAsia" w:ascii="仿宋" w:hAnsi="仿宋" w:eastAsia="仿宋" w:cs="仿宋"/>
                <w:color w:val="auto"/>
                <w:kern w:val="0"/>
                <w:sz w:val="21"/>
                <w:szCs w:val="21"/>
                <w:highlight w:val="none"/>
                <w:lang w:val="en-US" w:eastAsia="zh-CN"/>
              </w:rPr>
            </w:pPr>
          </w:p>
          <w:p w14:paraId="61FB769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129</w:t>
            </w:r>
          </w:p>
        </w:tc>
        <w:tc>
          <w:tcPr>
            <w:tcW w:w="1231" w:type="dxa"/>
            <w:vAlign w:val="center"/>
          </w:tcPr>
          <w:p w14:paraId="2541AE74">
            <w:pPr>
              <w:widowControl/>
              <w:ind w:left="0" w:leftChars="0"/>
              <w:jc w:val="center"/>
              <w:rPr>
                <w:rFonts w:hint="eastAsia" w:ascii="仿宋" w:hAnsi="仿宋" w:eastAsia="仿宋" w:cs="仿宋"/>
                <w:color w:val="auto"/>
                <w:kern w:val="0"/>
                <w:sz w:val="21"/>
                <w:szCs w:val="21"/>
                <w:highlight w:val="none"/>
                <w:lang w:val="en-US" w:eastAsia="zh-CN"/>
              </w:rPr>
            </w:pPr>
          </w:p>
          <w:p w14:paraId="04248645">
            <w:pPr>
              <w:widowControl/>
              <w:ind w:left="0" w:leftChars="0"/>
              <w:jc w:val="center"/>
              <w:rPr>
                <w:rFonts w:hint="eastAsia" w:ascii="仿宋" w:hAnsi="仿宋" w:eastAsia="仿宋" w:cs="仿宋"/>
                <w:color w:val="auto"/>
                <w:kern w:val="0"/>
                <w:sz w:val="21"/>
                <w:szCs w:val="21"/>
                <w:highlight w:val="none"/>
                <w:lang w:val="en-US" w:eastAsia="zh-CN"/>
              </w:rPr>
            </w:pPr>
          </w:p>
          <w:p w14:paraId="77DCCAFC">
            <w:pPr>
              <w:widowControl/>
              <w:ind w:left="0" w:leftChars="0"/>
              <w:jc w:val="center"/>
              <w:rPr>
                <w:rFonts w:hint="eastAsia" w:ascii="仿宋" w:hAnsi="仿宋" w:eastAsia="仿宋" w:cs="仿宋"/>
                <w:color w:val="auto"/>
                <w:kern w:val="0"/>
                <w:sz w:val="21"/>
                <w:szCs w:val="21"/>
                <w:highlight w:val="none"/>
                <w:lang w:val="en-US" w:eastAsia="zh-CN"/>
              </w:rPr>
            </w:pPr>
          </w:p>
          <w:p w14:paraId="494671D2">
            <w:pPr>
              <w:widowControl/>
              <w:ind w:left="0" w:leftChars="0"/>
              <w:jc w:val="center"/>
              <w:rPr>
                <w:rFonts w:hint="eastAsia" w:ascii="仿宋" w:hAnsi="仿宋" w:eastAsia="仿宋" w:cs="仿宋"/>
                <w:color w:val="auto"/>
                <w:kern w:val="0"/>
                <w:sz w:val="21"/>
                <w:szCs w:val="21"/>
                <w:highlight w:val="none"/>
                <w:lang w:val="en-US" w:eastAsia="zh-CN"/>
              </w:rPr>
            </w:pPr>
          </w:p>
          <w:p w14:paraId="23714A2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restart"/>
            <w:tcBorders>
              <w:bottom w:val="nil"/>
            </w:tcBorders>
            <w:vAlign w:val="center"/>
          </w:tcPr>
          <w:p w14:paraId="6898BFCA">
            <w:pPr>
              <w:widowControl/>
              <w:ind w:left="0" w:leftChars="0"/>
              <w:jc w:val="center"/>
              <w:rPr>
                <w:rFonts w:hint="eastAsia" w:ascii="仿宋" w:hAnsi="仿宋" w:eastAsia="仿宋" w:cs="仿宋"/>
                <w:color w:val="auto"/>
                <w:kern w:val="0"/>
                <w:sz w:val="21"/>
                <w:szCs w:val="21"/>
                <w:highlight w:val="none"/>
                <w:lang w:val="en-US" w:eastAsia="zh-CN"/>
              </w:rPr>
            </w:pPr>
          </w:p>
          <w:p w14:paraId="4BDA533F">
            <w:pPr>
              <w:widowControl/>
              <w:ind w:left="0" w:leftChars="0"/>
              <w:jc w:val="center"/>
              <w:rPr>
                <w:rFonts w:hint="eastAsia" w:ascii="仿宋" w:hAnsi="仿宋" w:eastAsia="仿宋" w:cs="仿宋"/>
                <w:color w:val="auto"/>
                <w:kern w:val="0"/>
                <w:sz w:val="21"/>
                <w:szCs w:val="21"/>
                <w:highlight w:val="none"/>
                <w:lang w:val="en-US" w:eastAsia="zh-CN"/>
              </w:rPr>
            </w:pPr>
          </w:p>
          <w:p w14:paraId="7B55FD44">
            <w:pPr>
              <w:widowControl/>
              <w:ind w:left="0" w:leftChars="0"/>
              <w:jc w:val="center"/>
              <w:rPr>
                <w:rFonts w:hint="eastAsia" w:ascii="仿宋" w:hAnsi="仿宋" w:eastAsia="仿宋" w:cs="仿宋"/>
                <w:color w:val="auto"/>
                <w:kern w:val="0"/>
                <w:sz w:val="21"/>
                <w:szCs w:val="21"/>
                <w:highlight w:val="none"/>
                <w:lang w:val="en-US" w:eastAsia="zh-CN"/>
              </w:rPr>
            </w:pPr>
          </w:p>
          <w:p w14:paraId="4AF68AE4">
            <w:pPr>
              <w:widowControl/>
              <w:ind w:left="0" w:leftChars="0"/>
              <w:jc w:val="center"/>
              <w:rPr>
                <w:rFonts w:hint="eastAsia" w:ascii="仿宋" w:hAnsi="仿宋" w:eastAsia="仿宋" w:cs="仿宋"/>
                <w:color w:val="auto"/>
                <w:kern w:val="0"/>
                <w:sz w:val="21"/>
                <w:szCs w:val="21"/>
                <w:highlight w:val="none"/>
                <w:lang w:val="en-US" w:eastAsia="zh-CN"/>
              </w:rPr>
            </w:pPr>
          </w:p>
          <w:p w14:paraId="7E644727">
            <w:pPr>
              <w:widowControl/>
              <w:ind w:left="0" w:leftChars="0"/>
              <w:jc w:val="center"/>
              <w:rPr>
                <w:rFonts w:hint="eastAsia" w:ascii="仿宋" w:hAnsi="仿宋" w:eastAsia="仿宋" w:cs="仿宋"/>
                <w:color w:val="auto"/>
                <w:kern w:val="0"/>
                <w:sz w:val="21"/>
                <w:szCs w:val="21"/>
                <w:highlight w:val="none"/>
                <w:lang w:val="en-US" w:eastAsia="zh-CN"/>
              </w:rPr>
            </w:pPr>
          </w:p>
          <w:p w14:paraId="74FA9E4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*服务响应</w:t>
            </w:r>
          </w:p>
        </w:tc>
        <w:tc>
          <w:tcPr>
            <w:tcW w:w="1640" w:type="dxa"/>
            <w:vAlign w:val="center"/>
          </w:tcPr>
          <w:p w14:paraId="53CE6C11">
            <w:pPr>
              <w:widowControl/>
              <w:ind w:left="0" w:leftChars="0"/>
              <w:jc w:val="center"/>
              <w:rPr>
                <w:rFonts w:hint="eastAsia" w:ascii="仿宋" w:hAnsi="仿宋" w:eastAsia="仿宋" w:cs="仿宋"/>
                <w:color w:val="auto"/>
                <w:kern w:val="0"/>
                <w:sz w:val="21"/>
                <w:szCs w:val="21"/>
                <w:highlight w:val="none"/>
                <w:lang w:val="en-US" w:eastAsia="zh-CN"/>
              </w:rPr>
            </w:pPr>
          </w:p>
          <w:p w14:paraId="21C4FDC3">
            <w:pPr>
              <w:widowControl/>
              <w:ind w:left="0" w:leftChars="0"/>
              <w:jc w:val="center"/>
              <w:rPr>
                <w:rFonts w:hint="eastAsia" w:ascii="仿宋" w:hAnsi="仿宋" w:eastAsia="仿宋" w:cs="仿宋"/>
                <w:color w:val="auto"/>
                <w:kern w:val="0"/>
                <w:sz w:val="21"/>
                <w:szCs w:val="21"/>
                <w:highlight w:val="none"/>
                <w:lang w:val="en-US" w:eastAsia="zh-CN"/>
              </w:rPr>
            </w:pPr>
          </w:p>
          <w:p w14:paraId="7F5921B6">
            <w:pPr>
              <w:widowControl/>
              <w:ind w:left="0" w:leftChars="0"/>
              <w:jc w:val="center"/>
              <w:rPr>
                <w:rFonts w:hint="eastAsia" w:ascii="仿宋" w:hAnsi="仿宋" w:eastAsia="仿宋" w:cs="仿宋"/>
                <w:color w:val="auto"/>
                <w:kern w:val="0"/>
                <w:sz w:val="21"/>
                <w:szCs w:val="21"/>
                <w:highlight w:val="none"/>
                <w:lang w:val="en-US" w:eastAsia="zh-CN"/>
              </w:rPr>
            </w:pPr>
          </w:p>
          <w:p w14:paraId="32C29A8B">
            <w:pPr>
              <w:widowControl/>
              <w:ind w:left="0" w:leftChars="0"/>
              <w:jc w:val="center"/>
              <w:rPr>
                <w:rFonts w:hint="eastAsia" w:ascii="仿宋" w:hAnsi="仿宋" w:eastAsia="仿宋" w:cs="仿宋"/>
                <w:color w:val="auto"/>
                <w:kern w:val="0"/>
                <w:sz w:val="21"/>
                <w:szCs w:val="21"/>
                <w:highlight w:val="none"/>
                <w:lang w:val="en-US" w:eastAsia="zh-CN"/>
              </w:rPr>
            </w:pPr>
          </w:p>
          <w:p w14:paraId="537374C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*服务响应</w:t>
            </w:r>
          </w:p>
        </w:tc>
        <w:tc>
          <w:tcPr>
            <w:tcW w:w="3744" w:type="dxa"/>
            <w:vAlign w:val="center"/>
          </w:tcPr>
          <w:p w14:paraId="538AA6B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a) 提供电话、电子邮件、远程连接 等多种形式服务；</w:t>
            </w:r>
          </w:p>
          <w:p w14:paraId="0BF6AF00">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b) 提供同城</w:t>
            </w:r>
            <w:r>
              <w:rPr>
                <w:rFonts w:hint="eastAsia" w:ascii="仿宋" w:hAnsi="仿宋" w:eastAsia="仿宋" w:cs="仿宋"/>
                <w:color w:val="auto"/>
                <w:kern w:val="0"/>
                <w:sz w:val="21"/>
                <w:szCs w:val="21"/>
                <w:highlight w:val="none"/>
                <w:lang w:val="en-US" w:eastAsia="zh"/>
              </w:rPr>
              <w:t>，</w:t>
            </w:r>
            <w:r>
              <w:rPr>
                <w:rFonts w:hint="eastAsia" w:ascii="仿宋" w:hAnsi="仿宋" w:eastAsia="仿宋" w:cs="仿宋"/>
                <w:color w:val="auto"/>
                <w:kern w:val="0"/>
                <w:sz w:val="21"/>
                <w:szCs w:val="21"/>
                <w:highlight w:val="none"/>
                <w:lang w:val="en-US" w:eastAsia="zh-CN"/>
              </w:rPr>
              <w:t>异地技术响应服务，</w:t>
            </w:r>
            <w:r>
              <w:rPr>
                <w:rFonts w:hint="eastAsia" w:ascii="仿宋" w:hAnsi="仿宋" w:eastAsia="仿宋" w:cs="仿宋"/>
                <w:color w:val="auto"/>
                <w:kern w:val="0"/>
                <w:sz w:val="21"/>
                <w:szCs w:val="21"/>
                <w:highlight w:val="none"/>
                <w:lang w:val="en-US" w:eastAsia="zh"/>
              </w:rPr>
              <w:t>3</w:t>
            </w:r>
            <w:r>
              <w:rPr>
                <w:rFonts w:hint="eastAsia" w:ascii="仿宋" w:hAnsi="仿宋" w:eastAsia="仿宋" w:cs="仿宋"/>
                <w:color w:val="auto"/>
                <w:kern w:val="0"/>
                <w:sz w:val="21"/>
                <w:szCs w:val="21"/>
                <w:highlight w:val="none"/>
                <w:lang w:val="en-US" w:eastAsia="zh-CN"/>
              </w:rPr>
              <w:t>个工作日解决问题，对于未 能解决的问题和故障应提供可行的升级方案，并提供周转设备；</w:t>
            </w:r>
          </w:p>
          <w:p w14:paraId="68A47FCB">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 建立全国技术服务体系和服务团体，符合专业服务体系标准要求；</w:t>
            </w:r>
          </w:p>
          <w:p w14:paraId="4E7743B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d) 服务周期内提供产品的维修、换件和升级服务</w:t>
            </w:r>
          </w:p>
        </w:tc>
      </w:tr>
      <w:tr w14:paraId="5D41D9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5BEAA99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130</w:t>
            </w:r>
          </w:p>
        </w:tc>
        <w:tc>
          <w:tcPr>
            <w:tcW w:w="1231" w:type="dxa"/>
            <w:vAlign w:val="center"/>
          </w:tcPr>
          <w:p w14:paraId="0FFDA82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tcBorders>
            <w:vAlign w:val="center"/>
          </w:tcPr>
          <w:p w14:paraId="3285E74E">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24D0812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*培训服务</w:t>
            </w:r>
          </w:p>
        </w:tc>
        <w:tc>
          <w:tcPr>
            <w:tcW w:w="3744" w:type="dxa"/>
            <w:vAlign w:val="center"/>
          </w:tcPr>
          <w:p w14:paraId="455CD9B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供应商提供培训材料、产品手册、 培训视频等培训相关内容</w:t>
            </w:r>
          </w:p>
        </w:tc>
      </w:tr>
      <w:tr w14:paraId="4EA654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7" w:hRule="atLeast"/>
        </w:trPr>
        <w:tc>
          <w:tcPr>
            <w:tcW w:w="429" w:type="dxa"/>
            <w:vAlign w:val="center"/>
          </w:tcPr>
          <w:p w14:paraId="431CB253">
            <w:pPr>
              <w:widowControl/>
              <w:ind w:left="0" w:leftChars="0"/>
              <w:jc w:val="center"/>
              <w:rPr>
                <w:rFonts w:hint="eastAsia" w:ascii="仿宋" w:hAnsi="仿宋" w:eastAsia="仿宋" w:cs="仿宋"/>
                <w:color w:val="auto"/>
                <w:kern w:val="0"/>
                <w:sz w:val="21"/>
                <w:szCs w:val="21"/>
                <w:highlight w:val="none"/>
                <w:lang w:val="en-US" w:eastAsia="zh-CN"/>
              </w:rPr>
            </w:pPr>
          </w:p>
          <w:p w14:paraId="34B15342">
            <w:pPr>
              <w:widowControl/>
              <w:ind w:left="0" w:leftChars="0"/>
              <w:jc w:val="center"/>
              <w:rPr>
                <w:rFonts w:hint="eastAsia" w:ascii="仿宋" w:hAnsi="仿宋" w:eastAsia="仿宋" w:cs="仿宋"/>
                <w:color w:val="auto"/>
                <w:kern w:val="0"/>
                <w:sz w:val="21"/>
                <w:szCs w:val="21"/>
                <w:highlight w:val="none"/>
                <w:lang w:val="en-US" w:eastAsia="zh-CN"/>
              </w:rPr>
            </w:pPr>
          </w:p>
          <w:p w14:paraId="71B51CF3">
            <w:pPr>
              <w:widowControl/>
              <w:ind w:left="0" w:leftChars="0"/>
              <w:jc w:val="center"/>
              <w:rPr>
                <w:rFonts w:hint="eastAsia" w:ascii="仿宋" w:hAnsi="仿宋" w:eastAsia="仿宋" w:cs="仿宋"/>
                <w:color w:val="auto"/>
                <w:kern w:val="0"/>
                <w:sz w:val="21"/>
                <w:szCs w:val="21"/>
                <w:highlight w:val="none"/>
                <w:lang w:val="en-US" w:eastAsia="zh-CN"/>
              </w:rPr>
            </w:pPr>
          </w:p>
          <w:p w14:paraId="172139F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131</w:t>
            </w:r>
          </w:p>
        </w:tc>
        <w:tc>
          <w:tcPr>
            <w:tcW w:w="1231" w:type="dxa"/>
            <w:vAlign w:val="center"/>
          </w:tcPr>
          <w:p w14:paraId="5E1E2C72">
            <w:pPr>
              <w:widowControl/>
              <w:ind w:left="0" w:leftChars="0"/>
              <w:jc w:val="both"/>
              <w:rPr>
                <w:rFonts w:hint="eastAsia" w:ascii="仿宋" w:hAnsi="仿宋" w:eastAsia="仿宋" w:cs="仿宋"/>
                <w:color w:val="auto"/>
                <w:kern w:val="0"/>
                <w:sz w:val="21"/>
                <w:szCs w:val="21"/>
                <w:highlight w:val="none"/>
                <w:lang w:val="en-US" w:eastAsia="zh-CN"/>
              </w:rPr>
            </w:pPr>
          </w:p>
          <w:p w14:paraId="3A97629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Align w:val="center"/>
          </w:tcPr>
          <w:p w14:paraId="5F5222E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*服务周期</w:t>
            </w:r>
          </w:p>
        </w:tc>
        <w:tc>
          <w:tcPr>
            <w:tcW w:w="1640" w:type="dxa"/>
            <w:vAlign w:val="center"/>
          </w:tcPr>
          <w:p w14:paraId="18FD17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*服务周期</w:t>
            </w:r>
          </w:p>
        </w:tc>
        <w:tc>
          <w:tcPr>
            <w:tcW w:w="3744" w:type="dxa"/>
            <w:vAlign w:val="center"/>
          </w:tcPr>
          <w:p w14:paraId="7BB430B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a) 产品免费服务周期（含换件和维 修）应不小于</w:t>
            </w:r>
            <w:r>
              <w:rPr>
                <w:rFonts w:hint="eastAsia" w:ascii="仿宋" w:hAnsi="仿宋" w:eastAsia="仿宋" w:cs="仿宋"/>
                <w:color w:val="auto"/>
                <w:kern w:val="0"/>
                <w:sz w:val="21"/>
                <w:szCs w:val="21"/>
                <w:highlight w:val="none"/>
                <w:lang w:val="en-US" w:eastAsia="zh"/>
              </w:rPr>
              <w:t>1</w:t>
            </w:r>
            <w:r>
              <w:rPr>
                <w:rFonts w:hint="eastAsia" w:ascii="仿宋" w:hAnsi="仿宋" w:eastAsia="仿宋" w:cs="仿宋"/>
                <w:color w:val="auto"/>
                <w:kern w:val="0"/>
                <w:sz w:val="21"/>
                <w:szCs w:val="21"/>
                <w:highlight w:val="none"/>
                <w:lang w:val="en-US" w:eastAsia="zh-CN"/>
              </w:rPr>
              <w:t>年；</w:t>
            </w:r>
          </w:p>
          <w:p w14:paraId="0260ED4F">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b) 设备停产后继续提供质量保障服务（含备品备件）；</w:t>
            </w:r>
          </w:p>
          <w:p w14:paraId="2E68CBAD">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 产品停止服务时间应提前 告知客户；</w:t>
            </w:r>
          </w:p>
          <w:p w14:paraId="77BE726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d) 产品发布日期需在随机文件中明确</w:t>
            </w:r>
          </w:p>
        </w:tc>
      </w:tr>
      <w:tr w14:paraId="03FD23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429" w:type="dxa"/>
            <w:vAlign w:val="center"/>
          </w:tcPr>
          <w:p w14:paraId="31CB4BB1">
            <w:pPr>
              <w:widowControl/>
              <w:ind w:left="0" w:leftChars="0"/>
              <w:jc w:val="center"/>
              <w:rPr>
                <w:rFonts w:hint="eastAsia" w:ascii="仿宋" w:hAnsi="仿宋" w:eastAsia="仿宋" w:cs="仿宋"/>
                <w:color w:val="auto"/>
                <w:kern w:val="0"/>
                <w:sz w:val="21"/>
                <w:szCs w:val="21"/>
                <w:highlight w:val="none"/>
                <w:lang w:val="en-US" w:eastAsia="zh-CN"/>
              </w:rPr>
            </w:pPr>
          </w:p>
          <w:p w14:paraId="1A1D112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132</w:t>
            </w:r>
          </w:p>
        </w:tc>
        <w:tc>
          <w:tcPr>
            <w:tcW w:w="1231" w:type="dxa"/>
            <w:vAlign w:val="center"/>
          </w:tcPr>
          <w:p w14:paraId="224B3D06">
            <w:pPr>
              <w:widowControl/>
              <w:ind w:left="0" w:leftChars="0"/>
              <w:jc w:val="center"/>
              <w:rPr>
                <w:rFonts w:hint="eastAsia" w:ascii="仿宋" w:hAnsi="仿宋" w:eastAsia="仿宋" w:cs="仿宋"/>
                <w:color w:val="auto"/>
                <w:kern w:val="0"/>
                <w:sz w:val="21"/>
                <w:szCs w:val="21"/>
                <w:highlight w:val="none"/>
                <w:lang w:val="en-US" w:eastAsia="zh-CN"/>
              </w:rPr>
            </w:pPr>
          </w:p>
          <w:p w14:paraId="6C0401F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restart"/>
            <w:tcBorders>
              <w:bottom w:val="nil"/>
            </w:tcBorders>
            <w:vAlign w:val="center"/>
          </w:tcPr>
          <w:p w14:paraId="1F8BAEBF">
            <w:pPr>
              <w:widowControl/>
              <w:ind w:left="0" w:leftChars="0"/>
              <w:jc w:val="center"/>
              <w:rPr>
                <w:rFonts w:hint="eastAsia" w:ascii="仿宋" w:hAnsi="仿宋" w:eastAsia="仿宋" w:cs="仿宋"/>
                <w:color w:val="auto"/>
                <w:kern w:val="0"/>
                <w:sz w:val="21"/>
                <w:szCs w:val="21"/>
                <w:highlight w:val="none"/>
                <w:lang w:val="en-US" w:eastAsia="zh-CN"/>
              </w:rPr>
            </w:pPr>
          </w:p>
          <w:p w14:paraId="782C70FB">
            <w:pPr>
              <w:widowControl/>
              <w:ind w:left="0" w:leftChars="0"/>
              <w:jc w:val="center"/>
              <w:rPr>
                <w:rFonts w:hint="eastAsia" w:ascii="仿宋" w:hAnsi="仿宋" w:eastAsia="仿宋" w:cs="仿宋"/>
                <w:color w:val="auto"/>
                <w:kern w:val="0"/>
                <w:sz w:val="21"/>
                <w:szCs w:val="21"/>
                <w:highlight w:val="none"/>
                <w:lang w:val="en-US" w:eastAsia="zh-CN"/>
              </w:rPr>
            </w:pPr>
          </w:p>
          <w:p w14:paraId="2D81B1CD">
            <w:pPr>
              <w:widowControl/>
              <w:ind w:left="0" w:leftChars="0"/>
              <w:jc w:val="center"/>
              <w:rPr>
                <w:rFonts w:hint="eastAsia" w:ascii="仿宋" w:hAnsi="仿宋" w:eastAsia="仿宋" w:cs="仿宋"/>
                <w:color w:val="auto"/>
                <w:kern w:val="0"/>
                <w:sz w:val="21"/>
                <w:szCs w:val="21"/>
                <w:highlight w:val="none"/>
                <w:lang w:val="en-US" w:eastAsia="zh-CN"/>
              </w:rPr>
            </w:pPr>
          </w:p>
          <w:p w14:paraId="72C45D6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*服务工具要求</w:t>
            </w:r>
          </w:p>
        </w:tc>
        <w:tc>
          <w:tcPr>
            <w:tcW w:w="1640" w:type="dxa"/>
            <w:vAlign w:val="center"/>
          </w:tcPr>
          <w:p w14:paraId="7B71DBF0">
            <w:pPr>
              <w:widowControl/>
              <w:ind w:left="0" w:leftChars="0"/>
              <w:jc w:val="center"/>
              <w:rPr>
                <w:rFonts w:hint="eastAsia" w:ascii="仿宋" w:hAnsi="仿宋" w:eastAsia="仿宋" w:cs="仿宋"/>
                <w:color w:val="auto"/>
                <w:kern w:val="0"/>
                <w:sz w:val="21"/>
                <w:szCs w:val="21"/>
                <w:highlight w:val="none"/>
                <w:lang w:val="en-US" w:eastAsia="zh-CN"/>
              </w:rPr>
            </w:pPr>
          </w:p>
          <w:p w14:paraId="0237ADE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*工具要求</w:t>
            </w:r>
          </w:p>
        </w:tc>
        <w:tc>
          <w:tcPr>
            <w:tcW w:w="3744" w:type="dxa"/>
            <w:vAlign w:val="center"/>
          </w:tcPr>
          <w:p w14:paraId="6B349C6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供应商提供设置服务器硬件、辅助操作系统安装等功能的。且随附软件应具有合法授权或版权</w:t>
            </w:r>
          </w:p>
        </w:tc>
      </w:tr>
      <w:tr w14:paraId="11BB27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429" w:type="dxa"/>
            <w:vAlign w:val="center"/>
          </w:tcPr>
          <w:p w14:paraId="1183CC69">
            <w:pPr>
              <w:widowControl/>
              <w:ind w:left="0" w:leftChars="0"/>
              <w:jc w:val="center"/>
              <w:rPr>
                <w:rFonts w:hint="eastAsia" w:ascii="仿宋" w:hAnsi="仿宋" w:eastAsia="仿宋" w:cs="仿宋"/>
                <w:color w:val="auto"/>
                <w:kern w:val="0"/>
                <w:sz w:val="21"/>
                <w:szCs w:val="21"/>
                <w:highlight w:val="none"/>
                <w:lang w:val="en-US" w:eastAsia="zh-CN"/>
              </w:rPr>
            </w:pPr>
          </w:p>
          <w:p w14:paraId="5E461764">
            <w:pPr>
              <w:widowControl/>
              <w:ind w:left="0" w:leftChars="0"/>
              <w:jc w:val="center"/>
              <w:rPr>
                <w:rFonts w:hint="eastAsia" w:ascii="仿宋" w:hAnsi="仿宋" w:eastAsia="仿宋" w:cs="仿宋"/>
                <w:color w:val="auto"/>
                <w:kern w:val="0"/>
                <w:sz w:val="21"/>
                <w:szCs w:val="21"/>
                <w:highlight w:val="none"/>
                <w:lang w:val="en-US" w:eastAsia="zh-CN"/>
              </w:rPr>
            </w:pPr>
          </w:p>
          <w:p w14:paraId="2AC34CB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133</w:t>
            </w:r>
          </w:p>
        </w:tc>
        <w:tc>
          <w:tcPr>
            <w:tcW w:w="1231" w:type="dxa"/>
            <w:vAlign w:val="center"/>
          </w:tcPr>
          <w:p w14:paraId="3191EF03">
            <w:pPr>
              <w:widowControl/>
              <w:ind w:left="0" w:leftChars="0"/>
              <w:jc w:val="center"/>
              <w:rPr>
                <w:rFonts w:hint="eastAsia" w:ascii="仿宋" w:hAnsi="仿宋" w:eastAsia="仿宋" w:cs="仿宋"/>
                <w:color w:val="auto"/>
                <w:kern w:val="0"/>
                <w:sz w:val="21"/>
                <w:szCs w:val="21"/>
                <w:highlight w:val="none"/>
                <w:lang w:val="en-US" w:eastAsia="zh-CN"/>
              </w:rPr>
            </w:pPr>
          </w:p>
          <w:p w14:paraId="6A6A9BCA">
            <w:pPr>
              <w:widowControl/>
              <w:ind w:left="0" w:leftChars="0"/>
              <w:jc w:val="center"/>
              <w:rPr>
                <w:rFonts w:hint="eastAsia" w:ascii="仿宋" w:hAnsi="仿宋" w:eastAsia="仿宋" w:cs="仿宋"/>
                <w:color w:val="auto"/>
                <w:kern w:val="0"/>
                <w:sz w:val="21"/>
                <w:szCs w:val="21"/>
                <w:highlight w:val="none"/>
                <w:lang w:val="en-US" w:eastAsia="zh-CN"/>
              </w:rPr>
            </w:pPr>
          </w:p>
          <w:p w14:paraId="50B1057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40DD95DD">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84FA92D">
            <w:pPr>
              <w:widowControl/>
              <w:ind w:left="0" w:leftChars="0"/>
              <w:jc w:val="center"/>
              <w:rPr>
                <w:rFonts w:hint="eastAsia" w:ascii="仿宋" w:hAnsi="仿宋" w:eastAsia="仿宋" w:cs="仿宋"/>
                <w:color w:val="auto"/>
                <w:kern w:val="0"/>
                <w:sz w:val="21"/>
                <w:szCs w:val="21"/>
                <w:highlight w:val="none"/>
                <w:lang w:val="en-US" w:eastAsia="zh-CN"/>
              </w:rPr>
            </w:pPr>
          </w:p>
          <w:p w14:paraId="4353B3D7">
            <w:pPr>
              <w:widowControl/>
              <w:ind w:left="0" w:leftChars="0"/>
              <w:jc w:val="center"/>
              <w:rPr>
                <w:rFonts w:hint="eastAsia" w:ascii="仿宋" w:hAnsi="仿宋" w:eastAsia="仿宋" w:cs="仿宋"/>
                <w:color w:val="auto"/>
                <w:kern w:val="0"/>
                <w:sz w:val="21"/>
                <w:szCs w:val="21"/>
                <w:highlight w:val="none"/>
                <w:lang w:val="en-US" w:eastAsia="zh-CN"/>
              </w:rPr>
            </w:pPr>
          </w:p>
          <w:p w14:paraId="7A6E2E7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辅助工具</w:t>
            </w:r>
          </w:p>
        </w:tc>
        <w:tc>
          <w:tcPr>
            <w:tcW w:w="3744" w:type="dxa"/>
            <w:vAlign w:val="center"/>
          </w:tcPr>
          <w:p w14:paraId="527FF47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支持如下功能</w:t>
            </w:r>
          </w:p>
          <w:p w14:paraId="0279CDEA">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a) 本地的数据备份和还原功能；</w:t>
            </w:r>
          </w:p>
          <w:p w14:paraId="3742CAE6">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b) 数据备份和还原功能；</w:t>
            </w:r>
          </w:p>
          <w:p w14:paraId="121FBBC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c) 服务器操作系统的安装功 能；</w:t>
            </w:r>
          </w:p>
          <w:p w14:paraId="6D2209A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d) 服务器所配硬件需要的驱动程 序和系统补丁</w:t>
            </w:r>
          </w:p>
        </w:tc>
      </w:tr>
      <w:tr w14:paraId="681057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429" w:type="dxa"/>
            <w:vAlign w:val="center"/>
          </w:tcPr>
          <w:p w14:paraId="460CE58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134</w:t>
            </w:r>
          </w:p>
        </w:tc>
        <w:tc>
          <w:tcPr>
            <w:tcW w:w="1231" w:type="dxa"/>
            <w:vAlign w:val="center"/>
          </w:tcPr>
          <w:p w14:paraId="49F664B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30A94A4B">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0860FB5">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*驱动安装升级指引</w:t>
            </w:r>
          </w:p>
        </w:tc>
        <w:tc>
          <w:tcPr>
            <w:tcW w:w="3744" w:type="dxa"/>
            <w:vAlign w:val="center"/>
          </w:tcPr>
          <w:p w14:paraId="6988FDC1">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供应商提供所需的 驱动程序，形式包括但不限于驱动 光盘、驱动下载链接等。其他配件应提供指引</w:t>
            </w:r>
          </w:p>
        </w:tc>
      </w:tr>
      <w:tr w14:paraId="7F3249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429" w:type="dxa"/>
            <w:vAlign w:val="center"/>
          </w:tcPr>
          <w:p w14:paraId="5E9A669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135</w:t>
            </w:r>
          </w:p>
        </w:tc>
        <w:tc>
          <w:tcPr>
            <w:tcW w:w="1231" w:type="dxa"/>
            <w:vAlign w:val="center"/>
          </w:tcPr>
          <w:p w14:paraId="1B0633C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2DC28C8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EF4591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随机附开盖工具</w:t>
            </w:r>
          </w:p>
        </w:tc>
        <w:tc>
          <w:tcPr>
            <w:tcW w:w="3744" w:type="dxa"/>
            <w:vAlign w:val="center"/>
          </w:tcPr>
          <w:p w14:paraId="6F579FEA">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随服务器打包提供开机箱工具</w:t>
            </w:r>
          </w:p>
        </w:tc>
      </w:tr>
      <w:tr w14:paraId="3C140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429" w:type="dxa"/>
            <w:vAlign w:val="center"/>
          </w:tcPr>
          <w:p w14:paraId="45F9AFA0">
            <w:pPr>
              <w:widowControl/>
              <w:ind w:left="0" w:leftChars="0"/>
              <w:jc w:val="center"/>
              <w:rPr>
                <w:rFonts w:hint="eastAsia" w:ascii="仿宋" w:hAnsi="仿宋" w:eastAsia="仿宋" w:cs="仿宋"/>
                <w:color w:val="auto"/>
                <w:kern w:val="0"/>
                <w:sz w:val="21"/>
                <w:szCs w:val="21"/>
                <w:highlight w:val="none"/>
                <w:lang w:val="en-US" w:eastAsia="zh-CN"/>
              </w:rPr>
            </w:pPr>
          </w:p>
          <w:p w14:paraId="2CC50C2E">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136</w:t>
            </w:r>
          </w:p>
        </w:tc>
        <w:tc>
          <w:tcPr>
            <w:tcW w:w="1231" w:type="dxa"/>
            <w:vAlign w:val="center"/>
          </w:tcPr>
          <w:p w14:paraId="33C8D09C">
            <w:pPr>
              <w:widowControl/>
              <w:ind w:left="0" w:leftChars="0"/>
              <w:jc w:val="center"/>
              <w:rPr>
                <w:rFonts w:hint="eastAsia" w:ascii="仿宋" w:hAnsi="仿宋" w:eastAsia="仿宋" w:cs="仿宋"/>
                <w:color w:val="auto"/>
                <w:kern w:val="0"/>
                <w:sz w:val="21"/>
                <w:szCs w:val="21"/>
                <w:highlight w:val="none"/>
                <w:lang w:val="en-US" w:eastAsia="zh-CN"/>
              </w:rPr>
            </w:pPr>
          </w:p>
          <w:p w14:paraId="6F5E49C9">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2807742D">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4598EAC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代码迁移工具</w:t>
            </w:r>
          </w:p>
        </w:tc>
        <w:tc>
          <w:tcPr>
            <w:tcW w:w="3744" w:type="dxa"/>
            <w:vAlign w:val="center"/>
          </w:tcPr>
          <w:p w14:paraId="39779A04">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
              </w:rPr>
              <w:t>软件容器化，其他机器只要标准软件包安装就好</w:t>
            </w:r>
          </w:p>
        </w:tc>
      </w:tr>
      <w:tr w14:paraId="0B4AE4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429" w:type="dxa"/>
            <w:vAlign w:val="center"/>
          </w:tcPr>
          <w:p w14:paraId="2DD4282C">
            <w:pPr>
              <w:widowControl/>
              <w:ind w:left="0" w:leftChars="0"/>
              <w:jc w:val="center"/>
              <w:rPr>
                <w:rFonts w:hint="eastAsia" w:ascii="仿宋" w:hAnsi="仿宋" w:eastAsia="仿宋" w:cs="仿宋"/>
                <w:color w:val="auto"/>
                <w:kern w:val="0"/>
                <w:sz w:val="21"/>
                <w:szCs w:val="21"/>
                <w:highlight w:val="none"/>
                <w:lang w:val="en-US" w:eastAsia="zh-CN"/>
              </w:rPr>
            </w:pPr>
          </w:p>
          <w:p w14:paraId="1346C8C8">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137</w:t>
            </w:r>
          </w:p>
        </w:tc>
        <w:tc>
          <w:tcPr>
            <w:tcW w:w="1231" w:type="dxa"/>
            <w:vAlign w:val="center"/>
          </w:tcPr>
          <w:p w14:paraId="09473A73">
            <w:pPr>
              <w:widowControl/>
              <w:ind w:left="0" w:leftChars="0"/>
              <w:jc w:val="center"/>
              <w:rPr>
                <w:rFonts w:hint="eastAsia" w:ascii="仿宋" w:hAnsi="仿宋" w:eastAsia="仿宋" w:cs="仿宋"/>
                <w:color w:val="auto"/>
                <w:kern w:val="0"/>
                <w:sz w:val="21"/>
                <w:szCs w:val="21"/>
                <w:highlight w:val="none"/>
                <w:lang w:val="en-US" w:eastAsia="zh-CN"/>
              </w:rPr>
            </w:pPr>
          </w:p>
          <w:p w14:paraId="7E953594">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3C56A279">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034818EC">
            <w:pPr>
              <w:widowControl/>
              <w:ind w:left="0" w:leftChars="0"/>
              <w:jc w:val="center"/>
              <w:rPr>
                <w:rFonts w:hint="eastAsia" w:ascii="仿宋" w:hAnsi="仿宋" w:eastAsia="仿宋" w:cs="仿宋"/>
                <w:color w:val="auto"/>
                <w:kern w:val="0"/>
                <w:sz w:val="21"/>
                <w:szCs w:val="21"/>
                <w:highlight w:val="none"/>
                <w:lang w:val="en-US" w:eastAsia="zh-CN"/>
              </w:rPr>
            </w:pPr>
          </w:p>
          <w:p w14:paraId="25674A8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性能分析工具</w:t>
            </w:r>
          </w:p>
        </w:tc>
        <w:tc>
          <w:tcPr>
            <w:tcW w:w="3744" w:type="dxa"/>
            <w:vAlign w:val="center"/>
          </w:tcPr>
          <w:p w14:paraId="78894627">
            <w:pPr>
              <w:widowControl/>
              <w:ind w:left="0" w:leftChars="0"/>
              <w:jc w:val="left"/>
              <w:rPr>
                <w:rFonts w:hint="eastAsia" w:ascii="仿宋" w:hAnsi="仿宋" w:eastAsia="仿宋" w:cs="仿宋"/>
                <w:color w:val="auto"/>
                <w:kern w:val="0"/>
                <w:sz w:val="21"/>
                <w:szCs w:val="21"/>
                <w:highlight w:val="none"/>
                <w:lang w:val="en-US" w:eastAsia="zh"/>
              </w:rPr>
            </w:pPr>
            <w:r>
              <w:rPr>
                <w:rFonts w:hint="eastAsia" w:ascii="仿宋" w:hAnsi="仿宋" w:eastAsia="仿宋" w:cs="仿宋"/>
                <w:color w:val="auto"/>
                <w:kern w:val="0"/>
                <w:sz w:val="21"/>
                <w:szCs w:val="21"/>
                <w:highlight w:val="none"/>
                <w:lang w:val="en-US" w:eastAsia="zh-CN"/>
              </w:rPr>
              <w:t>供应商提供</w:t>
            </w:r>
            <w:r>
              <w:rPr>
                <w:rFonts w:hint="eastAsia" w:ascii="仿宋" w:hAnsi="仿宋" w:eastAsia="仿宋" w:cs="仿宋"/>
                <w:color w:val="auto"/>
                <w:kern w:val="0"/>
                <w:sz w:val="21"/>
                <w:szCs w:val="21"/>
                <w:highlight w:val="none"/>
                <w:lang w:val="en-US" w:eastAsia="zh"/>
              </w:rPr>
              <w:t>的服务器支持提供硬件参数。性能安装前会做研判</w:t>
            </w:r>
          </w:p>
        </w:tc>
      </w:tr>
      <w:tr w14:paraId="7C7B7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0" w:hRule="atLeast"/>
        </w:trPr>
        <w:tc>
          <w:tcPr>
            <w:tcW w:w="429" w:type="dxa"/>
            <w:vAlign w:val="center"/>
          </w:tcPr>
          <w:p w14:paraId="0466027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138</w:t>
            </w:r>
          </w:p>
        </w:tc>
        <w:tc>
          <w:tcPr>
            <w:tcW w:w="1231" w:type="dxa"/>
            <w:vAlign w:val="center"/>
          </w:tcPr>
          <w:p w14:paraId="22B748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bottom w:val="nil"/>
            </w:tcBorders>
            <w:vAlign w:val="center"/>
          </w:tcPr>
          <w:p w14:paraId="27EAA897">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75A828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跨架构平台应用兼容</w:t>
            </w:r>
          </w:p>
        </w:tc>
        <w:tc>
          <w:tcPr>
            <w:tcW w:w="3744" w:type="dxa"/>
            <w:vAlign w:val="center"/>
          </w:tcPr>
          <w:p w14:paraId="6FCB3772">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不涉及</w:t>
            </w:r>
          </w:p>
        </w:tc>
      </w:tr>
      <w:tr w14:paraId="712AC7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429" w:type="dxa"/>
            <w:vAlign w:val="center"/>
          </w:tcPr>
          <w:p w14:paraId="08BA372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139</w:t>
            </w:r>
          </w:p>
        </w:tc>
        <w:tc>
          <w:tcPr>
            <w:tcW w:w="1231" w:type="dxa"/>
            <w:vAlign w:val="center"/>
          </w:tcPr>
          <w:p w14:paraId="4F85D9C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tcBorders>
              <w:top w:val="nil"/>
            </w:tcBorders>
            <w:vAlign w:val="center"/>
          </w:tcPr>
          <w:p w14:paraId="120E9170">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75F3E73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*管理软件</w:t>
            </w:r>
          </w:p>
        </w:tc>
        <w:tc>
          <w:tcPr>
            <w:tcW w:w="3744" w:type="dxa"/>
            <w:vAlign w:val="center"/>
          </w:tcPr>
          <w:p w14:paraId="103A505D">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具备资源管理、系统管理、性能监控、健康监控、基于网络控制、报警设置功能</w:t>
            </w:r>
          </w:p>
        </w:tc>
      </w:tr>
      <w:tr w14:paraId="599E8B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429" w:type="dxa"/>
            <w:vAlign w:val="center"/>
          </w:tcPr>
          <w:p w14:paraId="268A28B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140</w:t>
            </w:r>
          </w:p>
        </w:tc>
        <w:tc>
          <w:tcPr>
            <w:tcW w:w="1231" w:type="dxa"/>
            <w:vAlign w:val="center"/>
          </w:tcPr>
          <w:p w14:paraId="4BA3A9F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restart"/>
            <w:vAlign w:val="center"/>
          </w:tcPr>
          <w:p w14:paraId="1552CCC8">
            <w:pPr>
              <w:widowControl/>
              <w:ind w:left="0" w:leftChars="0"/>
              <w:jc w:val="center"/>
              <w:rPr>
                <w:rFonts w:hint="eastAsia" w:ascii="仿宋" w:hAnsi="仿宋" w:eastAsia="仿宋" w:cs="仿宋"/>
                <w:color w:val="auto"/>
                <w:kern w:val="0"/>
                <w:sz w:val="21"/>
                <w:szCs w:val="21"/>
                <w:highlight w:val="none"/>
                <w:lang w:val="en-US" w:eastAsia="zh-CN"/>
              </w:rPr>
            </w:pPr>
          </w:p>
          <w:p w14:paraId="0A5116C4">
            <w:pPr>
              <w:widowControl/>
              <w:ind w:left="0" w:leftChars="0"/>
              <w:jc w:val="center"/>
              <w:rPr>
                <w:rFonts w:hint="eastAsia" w:ascii="仿宋" w:hAnsi="仿宋" w:eastAsia="仿宋" w:cs="仿宋"/>
                <w:color w:val="auto"/>
                <w:kern w:val="0"/>
                <w:sz w:val="21"/>
                <w:szCs w:val="21"/>
                <w:highlight w:val="none"/>
                <w:lang w:val="en-US" w:eastAsia="zh-CN"/>
              </w:rPr>
            </w:pPr>
          </w:p>
          <w:p w14:paraId="6335E6B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*增值服务</w:t>
            </w:r>
          </w:p>
        </w:tc>
        <w:tc>
          <w:tcPr>
            <w:tcW w:w="1640" w:type="dxa"/>
            <w:vAlign w:val="center"/>
          </w:tcPr>
          <w:p w14:paraId="49DDD76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*厂家升级产品软件与扩容服务</w:t>
            </w:r>
          </w:p>
        </w:tc>
        <w:tc>
          <w:tcPr>
            <w:tcW w:w="3744" w:type="dxa"/>
            <w:vAlign w:val="center"/>
          </w:tcPr>
          <w:p w14:paraId="2B8F2AB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供应商提供有偿原厂级的部件/软件产品升级和扩容能力</w:t>
            </w:r>
          </w:p>
        </w:tc>
      </w:tr>
      <w:tr w14:paraId="00F12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429" w:type="dxa"/>
            <w:vAlign w:val="center"/>
          </w:tcPr>
          <w:p w14:paraId="533E614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141</w:t>
            </w:r>
          </w:p>
        </w:tc>
        <w:tc>
          <w:tcPr>
            <w:tcW w:w="1231" w:type="dxa"/>
            <w:vAlign w:val="center"/>
          </w:tcPr>
          <w:p w14:paraId="7054542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vAlign w:val="center"/>
          </w:tcPr>
          <w:p w14:paraId="793BA8D6">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3BA127D2">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服务保障升级</w:t>
            </w:r>
          </w:p>
        </w:tc>
        <w:tc>
          <w:tcPr>
            <w:tcW w:w="3744" w:type="dxa"/>
            <w:vAlign w:val="center"/>
          </w:tcPr>
          <w:p w14:paraId="462591A3">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供应商有偿提供远程技术支持、软件授权服务、备件更换服务、现场支承服务</w:t>
            </w:r>
          </w:p>
        </w:tc>
      </w:tr>
      <w:tr w14:paraId="1EF056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429" w:type="dxa"/>
            <w:vAlign w:val="center"/>
          </w:tcPr>
          <w:p w14:paraId="7B298C01">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142</w:t>
            </w:r>
          </w:p>
        </w:tc>
        <w:tc>
          <w:tcPr>
            <w:tcW w:w="1231" w:type="dxa"/>
            <w:vAlign w:val="center"/>
          </w:tcPr>
          <w:p w14:paraId="0F137F8F">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vAlign w:val="center"/>
          </w:tcPr>
          <w:p w14:paraId="7532B3E8">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6EC76F0">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*提供上门服务</w:t>
            </w:r>
          </w:p>
        </w:tc>
        <w:tc>
          <w:tcPr>
            <w:tcW w:w="3744" w:type="dxa"/>
            <w:vAlign w:val="center"/>
          </w:tcPr>
          <w:p w14:paraId="767E4BF9">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供应商具备提供上门服务的能力 (可收费)</w:t>
            </w:r>
          </w:p>
        </w:tc>
      </w:tr>
      <w:tr w14:paraId="18C541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5" w:hRule="atLeast"/>
        </w:trPr>
        <w:tc>
          <w:tcPr>
            <w:tcW w:w="429" w:type="dxa"/>
            <w:vAlign w:val="center"/>
          </w:tcPr>
          <w:p w14:paraId="0C348F0E">
            <w:pPr>
              <w:widowControl/>
              <w:ind w:left="0" w:leftChars="0"/>
              <w:jc w:val="center"/>
              <w:rPr>
                <w:rFonts w:hint="eastAsia" w:ascii="仿宋" w:hAnsi="仿宋" w:eastAsia="仿宋" w:cs="仿宋"/>
                <w:color w:val="auto"/>
                <w:kern w:val="0"/>
                <w:sz w:val="21"/>
                <w:szCs w:val="21"/>
                <w:highlight w:val="none"/>
                <w:lang w:val="en-US" w:eastAsia="zh-CN"/>
              </w:rPr>
            </w:pPr>
          </w:p>
          <w:p w14:paraId="21BBC79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143</w:t>
            </w:r>
          </w:p>
        </w:tc>
        <w:tc>
          <w:tcPr>
            <w:tcW w:w="1231" w:type="dxa"/>
            <w:vAlign w:val="center"/>
          </w:tcPr>
          <w:p w14:paraId="01C1D1C1">
            <w:pPr>
              <w:widowControl/>
              <w:ind w:left="0" w:leftChars="0"/>
              <w:jc w:val="center"/>
              <w:rPr>
                <w:rFonts w:hint="eastAsia" w:ascii="仿宋" w:hAnsi="仿宋" w:eastAsia="仿宋" w:cs="仿宋"/>
                <w:color w:val="auto"/>
                <w:kern w:val="0"/>
                <w:sz w:val="21"/>
                <w:szCs w:val="21"/>
                <w:highlight w:val="none"/>
                <w:lang w:val="en-US" w:eastAsia="zh-CN"/>
              </w:rPr>
            </w:pPr>
          </w:p>
          <w:p w14:paraId="03B50227">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服务要求</w:t>
            </w:r>
          </w:p>
        </w:tc>
        <w:tc>
          <w:tcPr>
            <w:tcW w:w="1259" w:type="dxa"/>
            <w:vMerge w:val="continue"/>
            <w:vAlign w:val="center"/>
          </w:tcPr>
          <w:p w14:paraId="687092FD">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4194ED0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业务场景性能优化服务及整体架构升级服务</w:t>
            </w:r>
          </w:p>
        </w:tc>
        <w:tc>
          <w:tcPr>
            <w:tcW w:w="3744" w:type="dxa"/>
            <w:vAlign w:val="center"/>
          </w:tcPr>
          <w:p w14:paraId="6A2813BE">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供应商提供针对特定业务场景性能优化服务及整体架构升级服务</w:t>
            </w:r>
          </w:p>
        </w:tc>
      </w:tr>
      <w:tr w14:paraId="77ED53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2" w:hRule="atLeast"/>
        </w:trPr>
        <w:tc>
          <w:tcPr>
            <w:tcW w:w="429" w:type="dxa"/>
            <w:vAlign w:val="center"/>
          </w:tcPr>
          <w:p w14:paraId="0D081435">
            <w:pPr>
              <w:widowControl/>
              <w:ind w:left="0" w:leftChars="0"/>
              <w:jc w:val="center"/>
              <w:rPr>
                <w:rFonts w:hint="eastAsia" w:ascii="仿宋" w:hAnsi="仿宋" w:eastAsia="仿宋" w:cs="仿宋"/>
                <w:color w:val="auto"/>
                <w:kern w:val="0"/>
                <w:sz w:val="21"/>
                <w:szCs w:val="21"/>
                <w:highlight w:val="none"/>
                <w:lang w:val="en-US" w:eastAsia="zh-CN"/>
              </w:rPr>
            </w:pPr>
          </w:p>
          <w:p w14:paraId="2F348B1C">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144</w:t>
            </w:r>
          </w:p>
        </w:tc>
        <w:tc>
          <w:tcPr>
            <w:tcW w:w="1231" w:type="dxa"/>
            <w:vAlign w:val="center"/>
          </w:tcPr>
          <w:p w14:paraId="592895AC">
            <w:pPr>
              <w:widowControl/>
              <w:ind w:left="0" w:leftChars="0"/>
              <w:jc w:val="center"/>
              <w:rPr>
                <w:rFonts w:hint="eastAsia" w:ascii="仿宋" w:hAnsi="仿宋" w:eastAsia="仿宋" w:cs="仿宋"/>
                <w:color w:val="auto"/>
                <w:kern w:val="0"/>
                <w:sz w:val="21"/>
                <w:szCs w:val="21"/>
                <w:highlight w:val="none"/>
                <w:lang w:val="en-US" w:eastAsia="zh-CN"/>
              </w:rPr>
            </w:pPr>
          </w:p>
          <w:p w14:paraId="189517EB">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供保要求</w:t>
            </w:r>
          </w:p>
        </w:tc>
        <w:tc>
          <w:tcPr>
            <w:tcW w:w="1259" w:type="dxa"/>
            <w:vMerge w:val="restart"/>
            <w:tcBorders>
              <w:bottom w:val="nil"/>
            </w:tcBorders>
            <w:vAlign w:val="center"/>
          </w:tcPr>
          <w:p w14:paraId="13536491">
            <w:pPr>
              <w:widowControl/>
              <w:ind w:left="0" w:leftChars="0"/>
              <w:jc w:val="center"/>
              <w:rPr>
                <w:rFonts w:hint="eastAsia" w:ascii="仿宋" w:hAnsi="仿宋" w:eastAsia="仿宋" w:cs="仿宋"/>
                <w:color w:val="auto"/>
                <w:kern w:val="0"/>
                <w:sz w:val="21"/>
                <w:szCs w:val="21"/>
                <w:highlight w:val="none"/>
                <w:lang w:val="en-US" w:eastAsia="zh-CN"/>
              </w:rPr>
            </w:pPr>
          </w:p>
          <w:p w14:paraId="4319891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*供应链质量</w:t>
            </w:r>
          </w:p>
        </w:tc>
        <w:tc>
          <w:tcPr>
            <w:tcW w:w="1640" w:type="dxa"/>
            <w:vAlign w:val="center"/>
          </w:tcPr>
          <w:p w14:paraId="20B8B624">
            <w:pPr>
              <w:widowControl/>
              <w:ind w:left="0" w:leftChars="0"/>
              <w:jc w:val="center"/>
              <w:rPr>
                <w:rFonts w:hint="eastAsia" w:ascii="仿宋" w:hAnsi="仿宋" w:eastAsia="仿宋" w:cs="仿宋"/>
                <w:color w:val="auto"/>
                <w:kern w:val="0"/>
                <w:sz w:val="21"/>
                <w:szCs w:val="21"/>
                <w:highlight w:val="none"/>
                <w:lang w:val="en-US" w:eastAsia="zh-CN"/>
              </w:rPr>
            </w:pPr>
          </w:p>
          <w:p w14:paraId="17E312E3">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*抗干扰性</w:t>
            </w:r>
          </w:p>
        </w:tc>
        <w:tc>
          <w:tcPr>
            <w:tcW w:w="3744" w:type="dxa"/>
            <w:vAlign w:val="center"/>
          </w:tcPr>
          <w:p w14:paraId="0858D59C">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当产品部件出现供应风险时，应通 知客户并提供风险应对方案确保产品的服务保障，必要时应停止相关受影响产品的销售</w:t>
            </w:r>
          </w:p>
        </w:tc>
      </w:tr>
      <w:tr w14:paraId="60AB2F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429" w:type="dxa"/>
            <w:vAlign w:val="center"/>
          </w:tcPr>
          <w:p w14:paraId="555AA116">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145</w:t>
            </w:r>
          </w:p>
        </w:tc>
        <w:tc>
          <w:tcPr>
            <w:tcW w:w="1231" w:type="dxa"/>
            <w:vAlign w:val="center"/>
          </w:tcPr>
          <w:p w14:paraId="65B86A2D">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供保要求</w:t>
            </w:r>
          </w:p>
        </w:tc>
        <w:tc>
          <w:tcPr>
            <w:tcW w:w="1259" w:type="dxa"/>
            <w:vMerge w:val="continue"/>
            <w:tcBorders>
              <w:top w:val="nil"/>
            </w:tcBorders>
            <w:vAlign w:val="center"/>
          </w:tcPr>
          <w:p w14:paraId="4344C304">
            <w:pPr>
              <w:widowControl/>
              <w:ind w:left="0" w:leftChars="0"/>
              <w:jc w:val="center"/>
              <w:rPr>
                <w:rFonts w:hint="eastAsia" w:ascii="仿宋" w:hAnsi="仿宋" w:eastAsia="仿宋" w:cs="仿宋"/>
                <w:color w:val="auto"/>
                <w:kern w:val="0"/>
                <w:sz w:val="21"/>
                <w:szCs w:val="21"/>
                <w:highlight w:val="none"/>
                <w:lang w:val="en-US" w:eastAsia="zh-CN"/>
              </w:rPr>
            </w:pPr>
          </w:p>
        </w:tc>
        <w:tc>
          <w:tcPr>
            <w:tcW w:w="1640" w:type="dxa"/>
            <w:vAlign w:val="center"/>
          </w:tcPr>
          <w:p w14:paraId="1265698A">
            <w:pPr>
              <w:widowControl/>
              <w:ind w:left="0" w:leftChars="0"/>
              <w:jc w:val="center"/>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*供应能力证明</w:t>
            </w:r>
          </w:p>
        </w:tc>
        <w:tc>
          <w:tcPr>
            <w:tcW w:w="3744" w:type="dxa"/>
            <w:vAlign w:val="center"/>
          </w:tcPr>
          <w:p w14:paraId="5BDE012B">
            <w:pPr>
              <w:widowControl/>
              <w:ind w:left="0" w:leftChars="0"/>
              <w:jc w:val="left"/>
              <w:rPr>
                <w:rFonts w:hint="eastAsia" w:ascii="仿宋" w:hAnsi="仿宋" w:eastAsia="仿宋" w:cs="仿宋"/>
                <w:color w:val="auto"/>
                <w:kern w:val="0"/>
                <w:sz w:val="21"/>
                <w:szCs w:val="21"/>
                <w:highlight w:val="none"/>
                <w:lang w:val="en-US" w:eastAsia="zh-CN"/>
              </w:rPr>
            </w:pPr>
            <w:r>
              <w:rPr>
                <w:rFonts w:hint="eastAsia" w:ascii="仿宋" w:hAnsi="仿宋" w:eastAsia="仿宋" w:cs="仿宋"/>
                <w:color w:val="auto"/>
                <w:kern w:val="0"/>
                <w:sz w:val="21"/>
                <w:szCs w:val="21"/>
                <w:highlight w:val="none"/>
                <w:lang w:val="en-US" w:eastAsia="zh-CN"/>
              </w:rPr>
              <w:t>供应商提供供应链稳定承诺书，确保产品的部件在产品服务周期内稳定供货</w:t>
            </w:r>
          </w:p>
        </w:tc>
      </w:tr>
    </w:tbl>
    <w:p w14:paraId="0E63423C">
      <w:pPr>
        <w:widowControl/>
        <w:ind w:left="0" w:leftChars="0"/>
        <w:jc w:val="left"/>
        <w:rPr>
          <w:rFonts w:hint="eastAsia" w:ascii="仿宋" w:hAnsi="仿宋" w:eastAsia="仿宋" w:cs="仿宋"/>
          <w:color w:val="auto"/>
          <w:kern w:val="0"/>
          <w:sz w:val="21"/>
          <w:szCs w:val="21"/>
          <w:highlight w:val="none"/>
          <w:lang w:val="en-US" w:eastAsia="zh-CN"/>
        </w:rPr>
      </w:pPr>
    </w:p>
    <w:p w14:paraId="2C081896">
      <w:pPr>
        <w:pStyle w:val="10"/>
        <w:rPr>
          <w:rFonts w:hint="eastAsia" w:ascii="仿宋" w:hAnsi="仿宋" w:eastAsia="仿宋" w:cs="仿宋"/>
          <w:sz w:val="21"/>
          <w:szCs w:val="21"/>
          <w:highlight w:val="none"/>
        </w:rPr>
      </w:pPr>
      <w:r>
        <w:rPr>
          <w:rFonts w:hint="eastAsia" w:ascii="仿宋" w:hAnsi="仿宋" w:eastAsia="仿宋" w:cs="仿宋"/>
          <w:sz w:val="21"/>
          <w:szCs w:val="21"/>
          <w:highlight w:val="none"/>
        </w:rPr>
        <w:t>说明：</w:t>
      </w:r>
    </w:p>
    <w:p w14:paraId="15BDCB33">
      <w:pPr>
        <w:pStyle w:val="10"/>
        <w:rPr>
          <w:rFonts w:hint="eastAsia" w:ascii="仿宋" w:hAnsi="仿宋" w:eastAsia="仿宋" w:cs="仿宋"/>
          <w:sz w:val="21"/>
          <w:szCs w:val="21"/>
          <w:highlight w:val="none"/>
        </w:rPr>
      </w:pPr>
      <w:r>
        <w:rPr>
          <w:rFonts w:hint="eastAsia" w:ascii="仿宋" w:hAnsi="仿宋" w:eastAsia="仿宋" w:cs="仿宋"/>
          <w:sz w:val="21"/>
          <w:szCs w:val="21"/>
          <w:highlight w:val="none"/>
        </w:rPr>
        <w:t>带“★”的参数需求为实质性要求，若有任何一条未响应或不满足则导致投标无效。</w:t>
      </w:r>
    </w:p>
    <w:p w14:paraId="5E214004">
      <w:pPr>
        <w:rPr>
          <w:rFonts w:hint="eastAsia" w:ascii="仿宋" w:hAnsi="仿宋" w:eastAsia="仿宋" w:cs="仿宋"/>
          <w:sz w:val="21"/>
          <w:szCs w:val="21"/>
          <w:highlight w:val="none"/>
        </w:rPr>
      </w:pPr>
      <w:r>
        <w:rPr>
          <w:rFonts w:hint="eastAsia" w:ascii="仿宋" w:hAnsi="仿宋" w:eastAsia="仿宋" w:cs="仿宋"/>
          <w:sz w:val="21"/>
          <w:szCs w:val="21"/>
          <w:highlight w:val="none"/>
        </w:rPr>
        <w:t>带“</w:t>
      </w:r>
      <w:r>
        <w:rPr>
          <w:rFonts w:hint="eastAsia" w:ascii="仿宋" w:hAnsi="仿宋" w:eastAsia="仿宋" w:cs="仿宋"/>
          <w:b/>
          <w:bCs/>
          <w:color w:val="auto"/>
          <w:kern w:val="0"/>
          <w:sz w:val="21"/>
          <w:szCs w:val="21"/>
          <w:highlight w:val="none"/>
          <w:lang w:val="en-US" w:eastAsia="zh-CN" w:bidi="ar-SA"/>
        </w:rPr>
        <w:t>△</w:t>
      </w:r>
      <w:r>
        <w:rPr>
          <w:rFonts w:hint="eastAsia" w:ascii="仿宋" w:hAnsi="仿宋" w:eastAsia="仿宋" w:cs="仿宋"/>
          <w:sz w:val="21"/>
          <w:szCs w:val="21"/>
          <w:highlight w:val="none"/>
        </w:rPr>
        <w:t>”号条款为重要技术参数，若有部分“</w:t>
      </w:r>
      <w:r>
        <w:rPr>
          <w:rFonts w:hint="eastAsia" w:ascii="仿宋" w:hAnsi="仿宋" w:eastAsia="仿宋" w:cs="仿宋"/>
          <w:b/>
          <w:bCs/>
          <w:color w:val="auto"/>
          <w:kern w:val="0"/>
          <w:sz w:val="21"/>
          <w:szCs w:val="21"/>
          <w:highlight w:val="none"/>
          <w:lang w:val="en-US" w:eastAsia="zh-CN" w:bidi="ar-SA"/>
        </w:rPr>
        <w:t>△</w:t>
      </w:r>
      <w:r>
        <w:rPr>
          <w:rFonts w:hint="eastAsia" w:ascii="仿宋" w:hAnsi="仿宋" w:eastAsia="仿宋" w:cs="仿宋"/>
          <w:sz w:val="21"/>
          <w:szCs w:val="21"/>
          <w:highlight w:val="none"/>
        </w:rPr>
        <w:t>”条款未响应或不满足，将对响应性评审产生影响，但不作为无效投标条款。</w:t>
      </w:r>
    </w:p>
    <w:p w14:paraId="7D54F193">
      <w:pPr>
        <w:pStyle w:val="3"/>
        <w:numPr>
          <w:ilvl w:val="0"/>
          <w:numId w:val="2"/>
        </w:numPr>
        <w:rPr>
          <w:rFonts w:hint="eastAsia"/>
          <w:color w:val="auto"/>
          <w:sz w:val="32"/>
          <w:szCs w:val="24"/>
          <w:highlight w:val="none"/>
          <w:lang w:val="en-US" w:eastAsia="zh-CN"/>
        </w:rPr>
      </w:pPr>
      <w:r>
        <w:rPr>
          <w:rFonts w:hint="eastAsia"/>
          <w:color w:val="auto"/>
          <w:sz w:val="32"/>
          <w:szCs w:val="24"/>
          <w:highlight w:val="none"/>
          <w:lang w:val="en-US" w:eastAsia="zh-CN"/>
        </w:rPr>
        <w:t>售后服务要求</w:t>
      </w:r>
    </w:p>
    <w:p w14:paraId="6ECDE791">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hAnsiTheme="minorHAnsi" w:cstheme="minorBidi"/>
          <w:sz w:val="32"/>
          <w:szCs w:val="32"/>
          <w:highlight w:val="none"/>
          <w:lang w:val="en-US" w:eastAsia="zh-CN"/>
        </w:rPr>
        <w:t>质保期：一年（自采购人验收合格之日起计算）</w:t>
      </w:r>
    </w:p>
    <w:p w14:paraId="72CF576E">
      <w:pPr>
        <w:spacing w:line="360" w:lineRule="auto"/>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1、质保期内，非采购人人为因素而出现的问题，由投标人免费负责修理、更换。投标人提供 7 × 8 小时技术响应，应保证在收到采购人维修服务的通知后 4 小时内给予反馈，提出解决方案，并于 2 小时内解决问题。如果采购人要求到场的，投标人需 2 小时内派合格的技术人员赴现场提供免费服务，并于 8 小时内解决问题。投标人未能按约定时间提供技术响应的，或不能排除故障恢复运行的，采购人有权委托第三方机构解决，由此产生的一切费用均由投标人承担。</w:t>
      </w:r>
    </w:p>
    <w:p w14:paraId="07DAFE9F">
      <w:pPr>
        <w:ind w:firstLine="640" w:firstLineChars="200"/>
        <w:rPr>
          <w:rFonts w:hint="eastAsia"/>
          <w:lang w:val="en-US" w:eastAsia="zh-CN"/>
        </w:rPr>
      </w:pPr>
      <w:r>
        <w:rPr>
          <w:rFonts w:hint="eastAsia" w:ascii="仿宋_GB2312" w:eastAsia="仿宋_GB2312"/>
          <w:sz w:val="32"/>
          <w:szCs w:val="32"/>
          <w:highlight w:val="none"/>
          <w:lang w:val="en-US" w:eastAsia="zh-CN"/>
        </w:rPr>
        <w:t>2、由于投标人的系统质量问题，造成事故，投标人除负责修复、调换本合同货物外，还应承担直接受损的其他财产的修复责任，赔偿相关直接损失;包括但不限于造成采购人数据丢失、损坏的，还应承担恢复数据、信息等费用损失</w:t>
      </w:r>
    </w:p>
    <w:p w14:paraId="747D25CE">
      <w:pPr>
        <w:keepNext w:val="0"/>
        <w:keepLines w:val="0"/>
        <w:pageBreakBefore w:val="0"/>
        <w:widowControl/>
        <w:kinsoku/>
        <w:wordWrap/>
        <w:overflowPunct/>
        <w:topLinePunct w:val="0"/>
        <w:autoSpaceDE/>
        <w:autoSpaceDN/>
        <w:bidi w:val="0"/>
        <w:snapToGrid/>
        <w:ind w:firstLine="640" w:firstLineChars="200"/>
        <w:rPr>
          <w:rFonts w:hint="eastAsia" w:ascii="仿宋_GB2312" w:hAnsi="黑体" w:eastAsia="仿宋_GB2312"/>
          <w:bCs/>
          <w:sz w:val="32"/>
          <w:szCs w:val="32"/>
          <w:highlight w:val="none"/>
          <w:lang w:val="en-US" w:eastAsia="zh-CN"/>
        </w:rPr>
      </w:pPr>
      <w:r>
        <w:rPr>
          <w:rFonts w:hint="eastAsia" w:ascii="仿宋_GB2312" w:hAnsi="黑体" w:eastAsia="仿宋_GB2312"/>
          <w:bCs/>
          <w:sz w:val="32"/>
          <w:szCs w:val="32"/>
          <w:highlight w:val="none"/>
          <w:lang w:val="en-US" w:eastAsia="zh-CN"/>
        </w:rPr>
        <w:t>3、培训是指涉及产品基本原理、安装、调试、操作使用和保养维修等有关内容的学习</w:t>
      </w:r>
      <w:r>
        <w:rPr>
          <w:rFonts w:hint="eastAsia" w:ascii="仿宋" w:hAnsi="仿宋" w:eastAsia="仿宋" w:cs="仿宋"/>
          <w:bCs/>
          <w:sz w:val="32"/>
          <w:szCs w:val="32"/>
          <w:highlight w:val="none"/>
          <w:lang w:val="en-US" w:eastAsia="zh-CN"/>
        </w:rPr>
        <w:t>（不包含线上培训）</w:t>
      </w:r>
      <w:r>
        <w:rPr>
          <w:rFonts w:hint="eastAsia" w:ascii="仿宋_GB2312" w:hAnsi="黑体" w:eastAsia="仿宋_GB2312"/>
          <w:bCs/>
          <w:sz w:val="32"/>
          <w:szCs w:val="32"/>
          <w:highlight w:val="none"/>
          <w:lang w:val="en-US" w:eastAsia="zh-CN"/>
        </w:rPr>
        <w:t>。投标人应保证在采购人指定交货地点对最终用户操作人员提供不少于5天的免费培训。投标人投标时应提供详细的培训方案。培训教员的差旅费、食宿费、培训教材等费用，应计入投标报价。</w:t>
      </w:r>
    </w:p>
    <w:p w14:paraId="00647091">
      <w:pPr>
        <w:pStyle w:val="3"/>
        <w:numPr>
          <w:ilvl w:val="0"/>
          <w:numId w:val="2"/>
        </w:numPr>
        <w:bidi w:val="0"/>
        <w:rPr>
          <w:rFonts w:hint="eastAsia"/>
          <w:b/>
          <w:color w:val="auto"/>
          <w:szCs w:val="24"/>
          <w:highlight w:val="none"/>
        </w:rPr>
      </w:pPr>
      <w:r>
        <w:rPr>
          <w:rFonts w:hint="eastAsia"/>
          <w:b/>
          <w:color w:val="auto"/>
          <w:szCs w:val="24"/>
          <w:highlight w:val="none"/>
        </w:rPr>
        <w:t>验收标准及方法</w:t>
      </w:r>
    </w:p>
    <w:p w14:paraId="16E2C23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1.验收主体：天津市第五中心医院生态城医院。</w:t>
      </w:r>
    </w:p>
    <w:p w14:paraId="586B22F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2.验收时间：合同履行达到验收条件时。</w:t>
      </w:r>
    </w:p>
    <w:p w14:paraId="78E6BC80">
      <w:pPr>
        <w:keepNext w:val="0"/>
        <w:keepLines w:val="0"/>
        <w:pageBreakBefore w:val="0"/>
        <w:widowControl/>
        <w:suppressLineNumbers w:val="0"/>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3.验收方式：采取验收专家组验收，验收专家组由采购人负责组织本单位人员、行业专家、受托采购代理机构人员等组成，成员人数为 5 人，其中采购人工作人员不得超过半数，且不得担任验收小组组长。综合采用查阅书证材料、听取报告、实物核查、与利益相关方调研座谈等方式，对采购文件和合同中规定的货物或劳务应满足的各项技术指标进行验收。验收专家组形成验收报告，提出明确验收意见，并经小组全体成员签字后提交采购人。验收阶段产生的相关费用由投标人负责。</w:t>
      </w:r>
    </w:p>
    <w:p w14:paraId="1AEA16CE">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4.验收程序：合同履行达到验收条件时，投标人向采购人发出项目验收建议，采购人通过组建验收专家组的方式进行验收。</w:t>
      </w:r>
    </w:p>
    <w:p w14:paraId="5090052B">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5.验收内容：本项目全部技术和商务要求。</w:t>
      </w:r>
    </w:p>
    <w:p w14:paraId="785A0BD7">
      <w:pPr>
        <w:keepNext w:val="0"/>
        <w:keepLines w:val="0"/>
        <w:pageBreakBefore w:val="0"/>
        <w:widowControl/>
        <w:kinsoku/>
        <w:wordWrap/>
        <w:overflowPunct/>
        <w:topLinePunct w:val="0"/>
        <w:autoSpaceDE/>
        <w:autoSpaceDN/>
        <w:bidi w:val="0"/>
        <w:snapToGrid/>
        <w:ind w:firstLine="640" w:firstLineChars="200"/>
        <w:rPr>
          <w:rFonts w:hint="eastAsia" w:ascii="仿宋_GB2312" w:hAnsi="黑体" w:eastAsia="仿宋_GB2312" w:cstheme="minorBidi"/>
          <w:b w:val="0"/>
          <w:bCs/>
          <w:kern w:val="2"/>
          <w:sz w:val="32"/>
          <w:szCs w:val="32"/>
          <w:highlight w:val="none"/>
          <w:lang w:val="en-US" w:eastAsia="zh-CN" w:bidi="ar-SA"/>
        </w:rPr>
      </w:pPr>
      <w:r>
        <w:rPr>
          <w:rFonts w:hint="eastAsia" w:ascii="仿宋_GB2312" w:hAnsi="黑体" w:eastAsia="仿宋_GB2312" w:cstheme="minorBidi"/>
          <w:b w:val="0"/>
          <w:bCs/>
          <w:kern w:val="2"/>
          <w:sz w:val="32"/>
          <w:szCs w:val="32"/>
          <w:highlight w:val="none"/>
          <w:lang w:val="en-US" w:eastAsia="zh-CN" w:bidi="ar-SA"/>
        </w:rPr>
        <w:t>6.验收标准：按照采购合同的约定和现行国家标准、行业标准、地方标准进行验收，包括所有客观、量化指标。</w:t>
      </w:r>
    </w:p>
    <w:p w14:paraId="3C3C5DBA">
      <w:pPr>
        <w:keepNext w:val="0"/>
        <w:keepLines w:val="0"/>
        <w:pageBreakBefore w:val="0"/>
        <w:widowControl/>
        <w:kinsoku/>
        <w:wordWrap/>
        <w:overflowPunct/>
        <w:topLinePunct w:val="0"/>
        <w:autoSpaceDE/>
        <w:autoSpaceDN/>
        <w:bidi w:val="0"/>
        <w:snapToGrid/>
        <w:ind w:firstLine="640" w:firstLineChars="200"/>
        <w:rPr>
          <w:rFonts w:hint="eastAsia" w:ascii="仿宋_GB2312" w:hAnsi="黑体" w:eastAsia="仿宋_GB2312"/>
          <w:bCs/>
          <w:sz w:val="32"/>
          <w:szCs w:val="32"/>
          <w:highlight w:val="none"/>
          <w:lang w:val="en-US" w:eastAsia="zh-CN"/>
        </w:rPr>
      </w:pPr>
    </w:p>
    <w:p w14:paraId="20A55F3E">
      <w:pPr>
        <w:rPr>
          <w:rFonts w:hint="eastAsia"/>
          <w:highlight w:val="none"/>
        </w:rPr>
      </w:pPr>
    </w:p>
    <w:p w14:paraId="193A471A">
      <w:pPr>
        <w:rPr>
          <w:rFonts w:hint="eastAsia" w:ascii="仿宋" w:hAnsi="仿宋" w:eastAsia="仿宋" w:cs="仿宋"/>
          <w:color w:val="auto"/>
          <w:kern w:val="0"/>
          <w:sz w:val="21"/>
          <w:szCs w:val="21"/>
          <w:highlight w:val="none"/>
          <w:lang w:val="en-US" w:eastAsia="zh-CN" w:bidi="ar-SA"/>
        </w:rPr>
      </w:pPr>
    </w:p>
    <w:p w14:paraId="3A55042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88B01"/>
    <w:multiLevelType w:val="singleLevel"/>
    <w:tmpl w:val="85788B01"/>
    <w:lvl w:ilvl="0" w:tentative="0">
      <w:start w:val="6"/>
      <w:numFmt w:val="chineseCounting"/>
      <w:suff w:val="nothing"/>
      <w:lvlText w:val="%1、"/>
      <w:lvlJc w:val="left"/>
      <w:rPr>
        <w:rFonts w:hint="eastAsia"/>
      </w:rPr>
    </w:lvl>
  </w:abstractNum>
  <w:abstractNum w:abstractNumId="1">
    <w:nsid w:val="861F4580"/>
    <w:multiLevelType w:val="singleLevel"/>
    <w:tmpl w:val="861F4580"/>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204A33"/>
    <w:rsid w:val="1DE64D4E"/>
    <w:rsid w:val="7B204A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6"/>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标题 2 Char"/>
    <w:link w:val="3"/>
    <w:autoRedefine/>
    <w:qFormat/>
    <w:uiPriority w:val="0"/>
    <w:rPr>
      <w:rFonts w:ascii="Arial" w:hAnsi="Arial" w:eastAsia="黑体"/>
      <w:b/>
      <w:sz w:val="32"/>
    </w:rPr>
  </w:style>
  <w:style w:type="paragraph" w:styleId="7">
    <w:name w:val="List Paragraph"/>
    <w:basedOn w:val="1"/>
    <w:autoRedefine/>
    <w:qFormat/>
    <w:uiPriority w:val="34"/>
    <w:pPr>
      <w:ind w:firstLine="420" w:firstLineChars="200"/>
    </w:pPr>
    <w:rPr>
      <w:sz w:val="24"/>
    </w:rPr>
  </w:style>
  <w:style w:type="paragraph" w:customStyle="1" w:styleId="8">
    <w:name w:val="Table Text"/>
    <w:basedOn w:val="1"/>
    <w:semiHidden/>
    <w:qFormat/>
    <w:uiPriority w:val="0"/>
    <w:rPr>
      <w:rFonts w:ascii="黑体" w:hAnsi="黑体" w:eastAsia="黑体" w:cs="黑体"/>
      <w:sz w:val="18"/>
      <w:szCs w:val="18"/>
      <w:lang w:val="en-US" w:eastAsia="en-US" w:bidi="ar-SA"/>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null3"/>
    <w:autoRedefine/>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22</Pages>
  <Words>1458</Words>
  <Characters>1495</Characters>
  <Lines>0</Lines>
  <Paragraphs>0</Paragraphs>
  <TotalTime>1</TotalTime>
  <ScaleCrop>false</ScaleCrop>
  <LinksUpToDate>false</LinksUpToDate>
  <CharactersWithSpaces>1502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2025-10-30T05:01:00Z</dcterms:created>
  <dc:creator>罗洁</dc:creator>
  <cp:lastModifiedBy>罗洁</cp:lastModifiedBy>
  <dcterms:modified xsi:type="dcterms:W3CDTF">2025-10-30T05:19:41Z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FD9372F3F3274F6A98BE89182800D993_11</vt:lpwstr>
  </property>
  <property fmtid="{D5CDD505-2E9C-101B-9397-08002B2CF9AE}" pid="4" name="KSOTemplateDocerSaveRecord">
    <vt:lpwstr>eyJoZGlkIjoiYTU3MjAzOGI1ZWM1NjI3YTE0MjIzZDIwNTMwM2NhZjEiLCJ1c2VySWQiOiIyOTE0NzgzODQifQ==</vt:lpwstr>
  </property>
</Properties>
</file>