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rPr>
          <w:rFonts w:ascii="宋体" w:hAnsi="宋体"/>
          <w:b/>
          <w:sz w:val="24"/>
        </w:rPr>
      </w:pPr>
      <w:r>
        <w:rPr>
          <w:rFonts w:hint="eastAsia" w:ascii="宋体" w:hAnsi="宋体"/>
          <w:b/>
          <w:sz w:val="24"/>
        </w:rPr>
        <w:t>资格要求</w:t>
      </w:r>
    </w:p>
    <w:p>
      <w:pPr>
        <w:spacing w:line="360" w:lineRule="auto"/>
        <w:ind w:firstLine="480" w:firstLineChars="200"/>
        <w:rPr>
          <w:rFonts w:ascii="宋体" w:hAnsi="宋体"/>
          <w:sz w:val="24"/>
        </w:rPr>
      </w:pPr>
      <w:r>
        <w:rPr>
          <w:rFonts w:hint="eastAsia" w:ascii="宋体" w:hAnsi="宋体"/>
          <w:sz w:val="24"/>
        </w:rPr>
        <w:t>（一）根据现行法律法规的要求，设置供应商投标的特定资格条件。</w:t>
      </w:r>
    </w:p>
    <w:p>
      <w:pPr>
        <w:spacing w:line="360" w:lineRule="auto"/>
        <w:ind w:firstLine="480" w:firstLineChars="200"/>
        <w:rPr>
          <w:sz w:val="24"/>
        </w:rPr>
      </w:pPr>
      <w:r>
        <w:rPr>
          <w:rFonts w:hint="eastAsia"/>
          <w:sz w:val="24"/>
        </w:rPr>
        <w:t>（二）投标人须具备《中华人民共和国政府采购法》第二十二条第一款规定的条件。</w:t>
      </w:r>
    </w:p>
    <w:p>
      <w:pPr>
        <w:spacing w:line="540" w:lineRule="exact"/>
        <w:ind w:firstLine="480" w:firstLineChars="200"/>
        <w:rPr>
          <w:rFonts w:ascii="宋体" w:hAnsi="宋体" w:cs="宋体"/>
          <w:sz w:val="24"/>
        </w:rPr>
      </w:pPr>
      <w:r>
        <w:rPr>
          <w:rFonts w:hint="eastAsia" w:ascii="宋体" w:hAnsi="宋体" w:cs="宋体"/>
          <w:sz w:val="24"/>
        </w:rPr>
        <w:t>1、须提供营业执照副本或事业单位法人证书或民办非企业单位登记证书或社会团体法人登记证书或基金会法人登记证书，提供证书复印件并加盖公章。</w:t>
      </w:r>
    </w:p>
    <w:p>
      <w:pPr>
        <w:spacing w:line="540" w:lineRule="exact"/>
        <w:ind w:firstLine="475" w:firstLineChars="198"/>
        <w:rPr>
          <w:rFonts w:ascii="宋体" w:hAnsi="宋体" w:cs="宋体"/>
          <w:sz w:val="24"/>
        </w:rPr>
      </w:pPr>
      <w:r>
        <w:rPr>
          <w:rFonts w:hint="eastAsia" w:ascii="宋体" w:hAnsi="宋体" w:cs="宋体"/>
          <w:sz w:val="24"/>
        </w:rPr>
        <w:t>2、须提供2023或2024年度经第三方会计师事务所审计的企业财务报告扫描件（应包括完整的审计报告和财务报表）或开标前三个月内银行出具的资信证明，提供复印件并加盖公章。</w:t>
      </w:r>
    </w:p>
    <w:p>
      <w:pPr>
        <w:spacing w:line="540" w:lineRule="exact"/>
        <w:ind w:firstLine="475" w:firstLineChars="198"/>
        <w:rPr>
          <w:rFonts w:ascii="宋体" w:hAnsi="宋体" w:cs="宋体"/>
          <w:sz w:val="24"/>
        </w:rPr>
      </w:pPr>
      <w:r>
        <w:rPr>
          <w:rFonts w:hint="eastAsia" w:ascii="宋体" w:hAnsi="宋体" w:cs="宋体"/>
          <w:sz w:val="24"/>
        </w:rPr>
        <w:t>3、须提供2025年1月1日至今任意一个月的依法缴纳税收和社会保险费（专用收据或社会保险缴纳清单等）的相关证明材料，的相关证明材料复印件并加盖公章。依法免税或不需要缴纳社会保障资金的投标人，应提供税务机关出具的依法免税的证明文件或社会保险基金管理部门出具的不需要缴纳社会保障资金的证明文件。</w:t>
      </w:r>
    </w:p>
    <w:p>
      <w:pPr>
        <w:spacing w:line="540" w:lineRule="exact"/>
        <w:ind w:firstLine="475" w:firstLineChars="198"/>
        <w:rPr>
          <w:rFonts w:ascii="宋体" w:hAnsi="宋体" w:cs="宋体"/>
          <w:sz w:val="24"/>
        </w:rPr>
      </w:pPr>
      <w:r>
        <w:rPr>
          <w:rFonts w:hint="eastAsia" w:ascii="宋体" w:hAnsi="宋体" w:cs="宋体"/>
          <w:sz w:val="24"/>
        </w:rPr>
        <w:t>4、须提供投标截止日前3年在经营活动中没有重大违法记录的书面声明（截至开标日成立不足3年的供应商可提供自成立以来无重大违法记录的书面声明）。</w:t>
      </w:r>
    </w:p>
    <w:p>
      <w:pPr>
        <w:spacing w:line="560" w:lineRule="exact"/>
        <w:ind w:firstLine="235" w:firstLineChars="98"/>
        <w:rPr>
          <w:rFonts w:ascii="宋体" w:hAnsi="宋体" w:cs="宋体"/>
          <w:sz w:val="24"/>
        </w:rPr>
      </w:pPr>
      <w:r>
        <w:rPr>
          <w:rFonts w:hint="eastAsia" w:ascii="宋体" w:hAnsi="宋体" w:cs="宋体"/>
          <w:sz w:val="24"/>
        </w:rPr>
        <w:t xml:space="preserve">  注：按照《财政部关于在政府采购活动中查询及使用信用记录有关问题的通知》（财库〔2016〕125号）的要求，实际查询结果以采购代理机构于开标当日、开标时间之前打印的信用中国、中国政府采购网的查询结果为准。</w:t>
      </w:r>
    </w:p>
    <w:p>
      <w:pPr>
        <w:spacing w:line="360" w:lineRule="auto"/>
        <w:ind w:firstLine="480" w:firstLineChars="200"/>
        <w:rPr>
          <w:sz w:val="24"/>
        </w:rPr>
      </w:pPr>
      <w:r>
        <w:rPr>
          <w:rFonts w:hint="eastAsia" w:ascii="宋体" w:hAnsi="宋体" w:cs="宋体"/>
          <w:sz w:val="24"/>
        </w:rPr>
        <w:t>5、供应商若为法人投标，须提供法定代表人资格证明书和法定代表人身份证明原件（如身份证、护照）；供应商若为被授权人投标，须提供法人代表授权书和被授权人身份证原件。</w:t>
      </w:r>
    </w:p>
    <w:p>
      <w:pPr>
        <w:spacing w:line="360" w:lineRule="auto"/>
        <w:ind w:firstLine="480" w:firstLineChars="200"/>
        <w:rPr>
          <w:sz w:val="24"/>
        </w:rPr>
      </w:pPr>
      <w:r>
        <w:rPr>
          <w:rFonts w:hint="eastAsia"/>
          <w:sz w:val="24"/>
        </w:rPr>
        <w:t>（三）本项目不接受联合体。</w:t>
      </w:r>
    </w:p>
    <w:p>
      <w:pPr>
        <w:spacing w:line="360" w:lineRule="auto"/>
        <w:ind w:firstLine="482" w:firstLineChars="200"/>
        <w:rPr>
          <w:rFonts w:hint="eastAsia" w:ascii="宋体" w:hAnsi="宋体"/>
          <w:b/>
          <w:sz w:val="24"/>
        </w:rPr>
      </w:pPr>
      <w:r>
        <w:rPr>
          <w:rFonts w:hint="eastAsia" w:ascii="宋体" w:hAnsi="宋体"/>
          <w:b/>
          <w:sz w:val="24"/>
        </w:rPr>
        <w:t>技术要求</w:t>
      </w:r>
    </w:p>
    <w:tbl>
      <w:tblPr>
        <w:tblStyle w:val="12"/>
        <w:tblW w:w="91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955"/>
        <w:gridCol w:w="2980"/>
        <w:gridCol w:w="1035"/>
        <w:gridCol w:w="877"/>
        <w:gridCol w:w="1870"/>
        <w:gridCol w:w="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1" w:type="dxa"/>
            <w:vAlign w:val="center"/>
          </w:tcPr>
          <w:p>
            <w:pPr>
              <w:jc w:val="center"/>
              <w:rPr>
                <w:color w:val="auto"/>
                <w:szCs w:val="21"/>
                <w:highlight w:val="none"/>
              </w:rPr>
            </w:pPr>
            <w:r>
              <w:rPr>
                <w:color w:val="auto"/>
                <w:szCs w:val="21"/>
                <w:highlight w:val="none"/>
              </w:rPr>
              <w:t>序号</w:t>
            </w:r>
          </w:p>
        </w:tc>
        <w:tc>
          <w:tcPr>
            <w:tcW w:w="955" w:type="dxa"/>
            <w:vAlign w:val="center"/>
          </w:tcPr>
          <w:p>
            <w:pPr>
              <w:jc w:val="center"/>
              <w:rPr>
                <w:color w:val="auto"/>
                <w:szCs w:val="21"/>
                <w:highlight w:val="none"/>
              </w:rPr>
            </w:pPr>
            <w:r>
              <w:rPr>
                <w:rFonts w:hint="eastAsia"/>
                <w:color w:val="auto"/>
                <w:szCs w:val="21"/>
                <w:highlight w:val="none"/>
              </w:rPr>
              <w:t>标的</w:t>
            </w:r>
            <w:r>
              <w:rPr>
                <w:color w:val="auto"/>
                <w:szCs w:val="21"/>
                <w:highlight w:val="none"/>
              </w:rPr>
              <w:t>名称</w:t>
            </w:r>
          </w:p>
        </w:tc>
        <w:tc>
          <w:tcPr>
            <w:tcW w:w="2980" w:type="dxa"/>
            <w:vAlign w:val="center"/>
          </w:tcPr>
          <w:p>
            <w:pPr>
              <w:jc w:val="center"/>
              <w:rPr>
                <w:color w:val="auto"/>
                <w:szCs w:val="21"/>
                <w:highlight w:val="none"/>
              </w:rPr>
            </w:pPr>
            <w:r>
              <w:rPr>
                <w:color w:val="auto"/>
                <w:szCs w:val="21"/>
                <w:highlight w:val="none"/>
              </w:rPr>
              <w:t>技术要求</w:t>
            </w:r>
          </w:p>
        </w:tc>
        <w:tc>
          <w:tcPr>
            <w:tcW w:w="1035" w:type="dxa"/>
            <w:vAlign w:val="center"/>
          </w:tcPr>
          <w:p>
            <w:pPr>
              <w:jc w:val="center"/>
              <w:rPr>
                <w:color w:val="auto"/>
                <w:szCs w:val="21"/>
                <w:highlight w:val="none"/>
              </w:rPr>
            </w:pPr>
            <w:r>
              <w:rPr>
                <w:color w:val="auto"/>
                <w:szCs w:val="21"/>
                <w:highlight w:val="none"/>
              </w:rPr>
              <w:t>单位</w:t>
            </w:r>
          </w:p>
        </w:tc>
        <w:tc>
          <w:tcPr>
            <w:tcW w:w="877" w:type="dxa"/>
            <w:vAlign w:val="center"/>
          </w:tcPr>
          <w:p>
            <w:pPr>
              <w:jc w:val="center"/>
              <w:rPr>
                <w:color w:val="auto"/>
                <w:szCs w:val="21"/>
                <w:highlight w:val="none"/>
              </w:rPr>
            </w:pPr>
            <w:r>
              <w:rPr>
                <w:color w:val="auto"/>
                <w:szCs w:val="21"/>
                <w:highlight w:val="none"/>
              </w:rPr>
              <w:t>数量</w:t>
            </w:r>
          </w:p>
        </w:tc>
        <w:tc>
          <w:tcPr>
            <w:tcW w:w="1870" w:type="dxa"/>
            <w:vAlign w:val="center"/>
          </w:tcPr>
          <w:p>
            <w:pPr>
              <w:jc w:val="center"/>
              <w:rPr>
                <w:color w:val="auto"/>
                <w:szCs w:val="21"/>
                <w:highlight w:val="none"/>
              </w:rPr>
            </w:pPr>
            <w:r>
              <w:rPr>
                <w:color w:val="auto"/>
                <w:szCs w:val="21"/>
                <w:highlight w:val="none"/>
              </w:rPr>
              <w:t>是否属于现行节能产品政府采购清单强制采购范围</w:t>
            </w:r>
          </w:p>
        </w:tc>
        <w:tc>
          <w:tcPr>
            <w:tcW w:w="673" w:type="dxa"/>
            <w:vAlign w:val="center"/>
          </w:tcPr>
          <w:p>
            <w:pPr>
              <w:jc w:val="center"/>
              <w:rPr>
                <w:color w:val="auto"/>
                <w:szCs w:val="21"/>
                <w:highlight w:val="none"/>
              </w:rPr>
            </w:pPr>
            <w:r>
              <w:rPr>
                <w:color w:val="auto"/>
                <w:szCs w:val="21"/>
                <w:highlight w:val="none"/>
              </w:rPr>
              <w:t>是否属于集采目录内产品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1" w:type="dxa"/>
            <w:vAlign w:val="center"/>
          </w:tcPr>
          <w:p>
            <w:pPr>
              <w:jc w:val="center"/>
              <w:rPr>
                <w:color w:val="auto"/>
                <w:szCs w:val="21"/>
                <w:highlight w:val="none"/>
              </w:rPr>
            </w:pPr>
            <w:r>
              <w:rPr>
                <w:color w:val="auto"/>
                <w:szCs w:val="21"/>
                <w:highlight w:val="none"/>
              </w:rPr>
              <w:t>1</w:t>
            </w:r>
          </w:p>
        </w:tc>
        <w:tc>
          <w:tcPr>
            <w:tcW w:w="955" w:type="dxa"/>
            <w:vAlign w:val="center"/>
          </w:tcPr>
          <w:p>
            <w:pPr>
              <w:jc w:val="center"/>
              <w:rPr>
                <w:rFonts w:hint="eastAsia" w:eastAsia="宋体"/>
                <w:color w:val="auto"/>
                <w:szCs w:val="21"/>
                <w:highlight w:val="none"/>
                <w:lang w:val="en-US" w:eastAsia="zh-CN"/>
              </w:rPr>
            </w:pPr>
            <w:r>
              <w:rPr>
                <w:rFonts w:hint="eastAsia"/>
                <w:sz w:val="24"/>
              </w:rPr>
              <w:t>▲</w:t>
            </w:r>
            <w:r>
              <w:rPr>
                <w:rFonts w:hint="eastAsia"/>
                <w:color w:val="auto"/>
                <w:szCs w:val="21"/>
                <w:highlight w:val="none"/>
                <w:lang w:val="en-US" w:eastAsia="zh-CN"/>
              </w:rPr>
              <w:t>工作站</w:t>
            </w:r>
          </w:p>
        </w:tc>
        <w:tc>
          <w:tcPr>
            <w:tcW w:w="2980" w:type="dxa"/>
            <w:vAlign w:val="center"/>
          </w:tcPr>
          <w:p>
            <w:pPr>
              <w:jc w:val="left"/>
              <w:rPr>
                <w:rFonts w:hint="default"/>
                <w:color w:val="auto"/>
                <w:szCs w:val="21"/>
                <w:highlight w:val="none"/>
                <w:lang w:val="en-US" w:eastAsia="zh-CN"/>
              </w:rPr>
            </w:pPr>
            <w:r>
              <w:rPr>
                <w:rFonts w:hint="eastAsia"/>
                <w:color w:val="auto"/>
                <w:szCs w:val="21"/>
                <w:highlight w:val="none"/>
                <w:lang w:val="en-US" w:eastAsia="zh-CN"/>
              </w:rPr>
              <w:t>技术要求见附件1</w:t>
            </w:r>
          </w:p>
        </w:tc>
        <w:tc>
          <w:tcPr>
            <w:tcW w:w="1035" w:type="dxa"/>
            <w:vAlign w:val="center"/>
          </w:tcPr>
          <w:p>
            <w:pPr>
              <w:jc w:val="center"/>
              <w:rPr>
                <w:rFonts w:hint="eastAsia" w:eastAsia="宋体"/>
                <w:color w:val="auto"/>
                <w:szCs w:val="21"/>
                <w:highlight w:val="none"/>
                <w:lang w:val="en-US" w:eastAsia="zh-CN"/>
              </w:rPr>
            </w:pPr>
            <w:r>
              <w:rPr>
                <w:rFonts w:hint="eastAsia"/>
                <w:color w:val="auto"/>
                <w:szCs w:val="21"/>
                <w:highlight w:val="none"/>
                <w:lang w:val="en-US" w:eastAsia="zh-CN"/>
              </w:rPr>
              <w:t>台</w:t>
            </w:r>
          </w:p>
        </w:tc>
        <w:tc>
          <w:tcPr>
            <w:tcW w:w="877" w:type="dxa"/>
            <w:vAlign w:val="center"/>
          </w:tcPr>
          <w:p>
            <w:pPr>
              <w:jc w:val="center"/>
              <w:rPr>
                <w:rFonts w:hint="default" w:eastAsia="宋体"/>
                <w:color w:val="auto"/>
                <w:szCs w:val="21"/>
                <w:highlight w:val="none"/>
                <w:lang w:val="en-US" w:eastAsia="zh-CN"/>
              </w:rPr>
            </w:pPr>
            <w:r>
              <w:rPr>
                <w:rFonts w:hint="eastAsia"/>
                <w:color w:val="auto"/>
                <w:szCs w:val="21"/>
                <w:highlight w:val="none"/>
                <w:lang w:val="en-US" w:eastAsia="zh-CN"/>
              </w:rPr>
              <w:t>61</w:t>
            </w:r>
          </w:p>
        </w:tc>
        <w:tc>
          <w:tcPr>
            <w:tcW w:w="1870" w:type="dxa"/>
            <w:vAlign w:val="center"/>
          </w:tcPr>
          <w:p>
            <w:pPr>
              <w:jc w:val="center"/>
              <w:rPr>
                <w:color w:val="auto"/>
                <w:szCs w:val="21"/>
                <w:highlight w:val="none"/>
              </w:rPr>
            </w:pPr>
          </w:p>
        </w:tc>
        <w:tc>
          <w:tcPr>
            <w:tcW w:w="673" w:type="dxa"/>
            <w:vAlign w:val="center"/>
          </w:tcPr>
          <w:p>
            <w:pPr>
              <w:jc w:val="center"/>
              <w:rPr>
                <w:rFonts w:hint="eastAsia" w:eastAsia="宋体"/>
                <w:color w:val="auto"/>
                <w:szCs w:val="21"/>
                <w:highlight w:val="none"/>
                <w:lang w:val="en-US" w:eastAsia="zh-CN"/>
              </w:rPr>
            </w:pPr>
            <w:r>
              <w:rPr>
                <w:rFonts w:hint="eastAsia"/>
                <w:color w:val="auto"/>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81" w:type="dxa"/>
            <w:vAlign w:val="center"/>
          </w:tcPr>
          <w:p>
            <w:pPr>
              <w:jc w:val="center"/>
              <w:rPr>
                <w:rFonts w:hint="eastAsia" w:eastAsia="宋体"/>
                <w:color w:val="auto"/>
                <w:szCs w:val="21"/>
                <w:highlight w:val="none"/>
                <w:lang w:val="en-US" w:eastAsia="zh-CN"/>
              </w:rPr>
            </w:pPr>
            <w:r>
              <w:rPr>
                <w:rFonts w:hint="eastAsia"/>
                <w:color w:val="auto"/>
                <w:szCs w:val="21"/>
                <w:highlight w:val="none"/>
                <w:lang w:val="en-US" w:eastAsia="zh-CN"/>
              </w:rPr>
              <w:t>2</w:t>
            </w:r>
          </w:p>
        </w:tc>
        <w:tc>
          <w:tcPr>
            <w:tcW w:w="955" w:type="dxa"/>
            <w:shd w:val="clear" w:color="auto" w:fill="auto"/>
            <w:vAlign w:val="center"/>
          </w:tcPr>
          <w:p>
            <w:pPr>
              <w:jc w:val="center"/>
              <w:rPr>
                <w:rFonts w:hint="eastAsia" w:ascii="Times New Roman" w:hAnsi="Times New Roman" w:eastAsia="宋体" w:cs="Times New Roman"/>
                <w:kern w:val="0"/>
                <w:sz w:val="21"/>
                <w:szCs w:val="21"/>
                <w:highlight w:val="none"/>
                <w:lang w:val="en-US" w:eastAsia="zh-CN" w:bidi="ar-SA"/>
              </w:rPr>
            </w:pPr>
            <w:r>
              <w:rPr>
                <w:rFonts w:hint="eastAsia" w:ascii="宋体" w:hAnsi="宋体"/>
                <w:sz w:val="24"/>
                <w:highlight w:val="none"/>
              </w:rPr>
              <w:t>■</w:t>
            </w:r>
            <w:r>
              <w:rPr>
                <w:rFonts w:hint="eastAsia" w:ascii="Times New Roman" w:hAnsi="Times New Roman" w:cs="Times New Roman"/>
                <w:color w:val="auto"/>
                <w:szCs w:val="21"/>
                <w:highlight w:val="none"/>
                <w:lang w:val="en-US" w:eastAsia="zh-CN"/>
              </w:rPr>
              <w:t>显示器</w:t>
            </w:r>
          </w:p>
        </w:tc>
        <w:tc>
          <w:tcPr>
            <w:tcW w:w="2980" w:type="dxa"/>
            <w:shd w:val="clear" w:color="auto" w:fill="auto"/>
            <w:vAlign w:val="center"/>
          </w:tcPr>
          <w:p>
            <w:pPr>
              <w:rPr>
                <w:rFonts w:hint="eastAsia" w:ascii="Times New Roman" w:hAnsi="Times New Roman" w:eastAsia="宋体" w:cs="Times New Roman"/>
                <w:kern w:val="2"/>
                <w:sz w:val="21"/>
                <w:szCs w:val="21"/>
                <w:highlight w:val="none"/>
                <w:lang w:val="en-US" w:eastAsia="zh-CN" w:bidi="ar-SA"/>
              </w:rPr>
            </w:pPr>
            <w:r>
              <w:rPr>
                <w:rFonts w:hint="eastAsia"/>
                <w:szCs w:val="21"/>
                <w:highlight w:val="none"/>
                <w:lang w:val="en-US" w:eastAsia="zh-CN"/>
              </w:rPr>
              <w:t>技术要求</w:t>
            </w:r>
            <w:r>
              <w:rPr>
                <w:rFonts w:hint="eastAsia"/>
                <w:szCs w:val="21"/>
                <w:highlight w:val="none"/>
              </w:rPr>
              <w:t>见附件2</w:t>
            </w:r>
          </w:p>
        </w:tc>
        <w:tc>
          <w:tcPr>
            <w:tcW w:w="1035" w:type="dxa"/>
            <w:vAlign w:val="center"/>
          </w:tcPr>
          <w:p>
            <w:pPr>
              <w:jc w:val="center"/>
              <w:rPr>
                <w:rFonts w:hint="default"/>
                <w:color w:val="auto"/>
                <w:szCs w:val="21"/>
                <w:highlight w:val="none"/>
                <w:lang w:val="en-US" w:eastAsia="zh-CN"/>
              </w:rPr>
            </w:pPr>
            <w:r>
              <w:rPr>
                <w:rFonts w:hint="eastAsia"/>
                <w:color w:val="auto"/>
                <w:szCs w:val="21"/>
                <w:highlight w:val="none"/>
                <w:lang w:val="en-US" w:eastAsia="zh-CN"/>
              </w:rPr>
              <w:t>台</w:t>
            </w:r>
          </w:p>
        </w:tc>
        <w:tc>
          <w:tcPr>
            <w:tcW w:w="877" w:type="dxa"/>
            <w:vAlign w:val="center"/>
          </w:tcPr>
          <w:p>
            <w:pPr>
              <w:jc w:val="center"/>
              <w:rPr>
                <w:rFonts w:hint="default"/>
                <w:color w:val="auto"/>
                <w:szCs w:val="21"/>
                <w:highlight w:val="none"/>
                <w:lang w:val="en-US" w:eastAsia="zh-CN"/>
              </w:rPr>
            </w:pPr>
            <w:r>
              <w:rPr>
                <w:rFonts w:hint="eastAsia"/>
                <w:color w:val="auto"/>
                <w:szCs w:val="21"/>
                <w:highlight w:val="none"/>
                <w:lang w:val="en-US" w:eastAsia="zh-CN"/>
              </w:rPr>
              <w:t>61</w:t>
            </w:r>
          </w:p>
        </w:tc>
        <w:tc>
          <w:tcPr>
            <w:tcW w:w="1870" w:type="dxa"/>
            <w:vAlign w:val="center"/>
          </w:tcPr>
          <w:p>
            <w:pPr>
              <w:jc w:val="center"/>
              <w:rPr>
                <w:color w:val="auto"/>
                <w:szCs w:val="21"/>
                <w:highlight w:val="none"/>
              </w:rPr>
            </w:pPr>
          </w:p>
        </w:tc>
        <w:tc>
          <w:tcPr>
            <w:tcW w:w="673" w:type="dxa"/>
            <w:vAlign w:val="center"/>
          </w:tcPr>
          <w:p>
            <w:pPr>
              <w:jc w:val="center"/>
              <w:rPr>
                <w:rFonts w:hint="eastAsia"/>
                <w:color w:val="auto"/>
                <w:szCs w:val="21"/>
                <w:highlight w:val="none"/>
                <w:lang w:val="en-US" w:eastAsia="zh-CN"/>
              </w:rPr>
            </w:pPr>
            <w:r>
              <w:rPr>
                <w:rFonts w:hint="eastAsia"/>
                <w:color w:val="auto"/>
                <w:szCs w:val="21"/>
                <w:highlight w:val="none"/>
                <w:lang w:val="en-US" w:eastAsia="zh-CN"/>
              </w:rPr>
              <w:t>是</w:t>
            </w:r>
          </w:p>
        </w:tc>
      </w:tr>
    </w:tbl>
    <w:p>
      <w:pPr>
        <w:spacing w:line="360" w:lineRule="auto"/>
        <w:outlineLvl w:val="0"/>
        <w:rPr>
          <w:sz w:val="24"/>
        </w:rPr>
      </w:pPr>
    </w:p>
    <w:p>
      <w:pPr>
        <w:pStyle w:val="4"/>
      </w:pPr>
    </w:p>
    <w:p>
      <w:pPr>
        <w:numPr>
          <w:ilvl w:val="0"/>
          <w:numId w:val="0"/>
        </w:num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附件1：▲</w:t>
      </w:r>
      <w:r>
        <w:rPr>
          <w:rFonts w:hint="eastAsia" w:ascii="宋体" w:hAnsi="宋体" w:cs="宋体"/>
          <w:sz w:val="24"/>
          <w:szCs w:val="24"/>
          <w:lang w:val="en-US" w:eastAsia="zh-CN"/>
        </w:rPr>
        <w:t>工作站</w:t>
      </w:r>
    </w:p>
    <w:tbl>
      <w:tblPr>
        <w:tblStyle w:val="12"/>
        <w:tblW w:w="769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5"/>
        <w:gridCol w:w="863"/>
        <w:gridCol w:w="907"/>
        <w:gridCol w:w="1151"/>
        <w:gridCol w:w="1214"/>
        <w:gridCol w:w="29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指标分类</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是否可以作为评分因素</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采购人技术要求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 信息</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内核数≥10核，基本频率≥2.5GHz、末级缓存≥20M、≥16线程、≥65W热设计功耗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★内存配置容量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≥64GB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产品支持DDR5或以上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★内存条配置数量（板载内存不涉及）</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★主板集成模块</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支持X86架构的Q670芯片组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★主板支持的 CPU和内存情况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CPU：性能核≥6个，能效核≥4个，总线程≥16，基本频率≥2.5GHz；内存≥ DDR5 4800MHz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主板内置PCIe 插槽数量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支持的PCIE插槽数量不少于4个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特殊孔位及接口</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≥8个USB 3.2接口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★主板其他内置接口</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≥3个M.2接口(至少2个M.2固态硬盘接口)，≥4个SATA III接口，≥9个USB 接口（其中≥8个USB 3.2接口，其中前置1个USB 3.2 Gen 2 Type-C接口）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★单内存插槽最大可支持容量（板载内存不涉及）</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≥32GB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★内存插槽满配时提供的最高内存总容量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≥128GB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存储设备规格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★固态盘数量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★固态存储容量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≥1TB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★机械硬盘总容量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★机械硬盘转速</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机械硬盘接口协议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机械硬盘形态</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固态存储接口协议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应支持PCIe或NVMe接口协议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★固态存储形态</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应支持PCIe或NVMe接口形态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存储设备扩展盘位</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≥1个M.2固态硬盘扩展接口，≥2个3.5寸硬盘扩展槽位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★存储设备其他参数要求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固态盘应符合SJ/T11654相关规定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★独立显卡显存类型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显存类型GDDR6</w:t>
            </w:r>
            <w:r>
              <w:rPr>
                <w:rStyle w:val="19"/>
                <w:lang w:val="en-US" w:eastAsia="zh-CN" w:bidi="ar"/>
              </w:rPr>
              <w:t>及以上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★独立显卡显存位宽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显存位宽≥128bit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★独立显卡显存容量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显存容量≥8GB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独立显卡接口协议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支持PCIe协议版本大于等于3.0的独立显卡接口协议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外设规格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传声器数量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扬声器数量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★摄像头数量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光驱数量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★键盘按键数目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★摄像头像素</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★摄像头分辨率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★扬声器功率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18"/>
                <w:szCs w:val="18"/>
                <w:u w:val="none"/>
                <w:lang w:val="en-US" w:eastAsia="zh-CN" w:bidi="ar"/>
              </w:rPr>
              <w:t>≥1 瓦/个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★扬声器频率范围</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扬声器总谐波失真</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扬声器最大声压级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★键盘连接方式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★键盘键程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2.3mm~4.0mm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★键盘按键压力</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按键压力应在0.54N±0.14N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★有线键盘连接线</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★键盘颜色</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黑色商务色系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★键盘其他要求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键盘外观结构、连接方式、主要功能、安全、电磁兼容性、可靠性应符合GB/T14081的相关规定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★鼠标连接方式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★有线鼠标连接线</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★鼠标DPI 分辨率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鼠标颜色</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黑色商务色系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★鼠标其他要求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其它参数应符合GB/T26245的相关规定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内置光驱</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网络设备规格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★有线网卡数量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≥1，需内置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无线网卡及天线数量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单无线网卡天线数量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外部接口规格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★USB 接口数量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机箱前面板应提供不少于4个USB 3.2接口（其中至少一个USB 3.2 Type-C）。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USB 母座接口要求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★视频接口数量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★音频接口数量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存储卡接口数量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整机基础规格</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★整机外观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a)产品表面不应有凹痕、划伤、裂缝、变形和污染等。表面涂层均匀，不应起泡、龟裂、脱落和磨损，金属零部件无锈蚀及其它机械损伤；b)产品表面说明功能的文字、符号、标志，应清晰、端正、牢固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5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72 </w:t>
            </w:r>
          </w:p>
        </w:tc>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★整机结构</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5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9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★机箱防护要求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机箱应符合GB/T4208中IP20防护要求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★整机噪音</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空闲状态下声压级: ≤14 dB(A)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★整机散热</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★整机能效限定值</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机身材质</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塑料/金属等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★机身颜色</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灰色/黑色等商务色系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★机箱尺寸容量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机箱体积应不小于17L。</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CPU性能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 物理核数</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 主频</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≥2.5GHz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 末级缓存容量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≥20MB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 支持的内存最高速率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≥4800MT/s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内存性能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★内存读写速率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≥4400MT/s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显卡性能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★显示分辨率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≥1920x1080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★显卡显示芯片核心频率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≥1550Mhz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★显存等效频率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≥1750MHz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★显卡可支持多屏同时显示数量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显卡应至少支持2块屏幕同时显示，分辨率应不低于1920×1080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网络设备性能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★有线网卡速率</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最高速率应不低于1000Mbps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支持无线网络通信技术协议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无线网卡频宽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★内存扩展接口(板载内存不涉及)</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具备≥4个内存插槽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存储扩展接口(板载存储不涉及)</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≥1个M.2固态硬盘扩展接口，≥2个3.5寸硬盘扩展槽位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★主板USB 瞬间过流保护</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支持有瞬间过流保护功能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★主板防静电保护</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支持防静电保护功能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★I/O 接口功能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≥9个USB接口（其中≥8个USB 3.2接口，其中前置1个USB 3.2 Gen 2 Type-C接口）；视频接口≥2个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★显卡外接显示接口</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显卡至少支持VGA、HDMI、DVI、DP、Type-C中2种显示接口，并与显示器接口相匹配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独立显卡数量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外设功能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摄像头物理隐私保护开关</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传声器降噪</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键盘背光</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光驱功能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★存储功能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通过SATA固态存储/PCIe固态存储/UFS固态存储/SATA硬磁盘等存储部件提供存储功能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内置控制器固态存储加密</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网络设备功能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★网络功能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a)支持网络连接、网络开启/关闭功能；b)支持访问网络和数据交换功能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无线网卡频段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物理开关</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★数据传输</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支持数据传输能力，并提供数据流量和异常日志记录功能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蓝牙协议</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★有线网卡接口类型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支持RJ45接口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无线网卡标准</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★网络设备拆装</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若配备无线网卡和蓝牙模块，需支持物理拆装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外部接口功能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★音频接口类型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支持3.5mm孔径3段式或4段式接口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★视频接口类型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至少支持VGA、HDMI、DP中2种显示接口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★HDMI、DP、Type-C显示接口要求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若提供HDMI或DP或Type-C作为显示接口，应支持音频和视频同步输出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其他接口</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存储卡接口类型</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★电源线适配能力</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电源适配器电线组件应符合GB/T15934的要求，可拆线的插头和连接器可以不做要求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操作系统及软件功能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★中文信息处理要求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符合GB18030的相关规定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★操作系统备份及还原功能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1.支持在一台计算机上安装Windows2012、Windows7、Windows8、Windows10、Windows11等多种桌面操作系统并进行引导和立即还原；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2.支持终端的操作系统设置立即还原、每天还原、每周还原、每月还原的还原方式并可创建还原点；</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3.支持为不同分区设置不同的还原方式，还原方式涵盖随系统、每次还原、每天还原、每周还原、每月还原、手动还原及完全开放；</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4.专属分区的数据只有对应分区系统可见，共享分区的数据由被共享的系统共用；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5.支持终端SSD硬盘和机械硬盘双硬盘保护模式和进行同传操作；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支持显示差异拷贝过程中当前发送端网卡的列表，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7.差异拷贝过程中可显示在线及掉线终端数，可显示数据传输量并记录当前速度及传输已用时间，呈现传输进度的百分比率，预估显示传输剩余时间，结束显示传输平均速度；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8.显示终端上系统桌面信息，底层开机画面支持以保护模式、总管模式或暂存模式进入系统；支持自定义设置终端计算机名，可设置终端的IPv4及IPv6地址、网络连线群组，支持终端多网卡IP设置；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9.支持隐藏底层操作系统选单，有多个操作系统时，可设置默认进入某个操作系统，自定义进入系统的时间（时间可设置到秒）；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10.支持开机画面展示、操作系统托盘图标、倒计时关机、启用频道/虚拟系统/还原点等系统设置；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11.可对多个操作系统自动分配不同网段的IP地址；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12.单个系统可创建不少于250个频道，支持频道的克隆、修改和删除。若存在多个频道，支持将指定频道设置为终端进入系统的默认频道，默认频道无法被删除；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13.分配用户权限，用户在现有安装好的操作系统下面创建属于自己的专用虚拟系统，所安装的软件和保存的数据仅自己可以使用，其他用户无法查看、修改或删除；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14.支持开启屏幕水印，显示内容包括当前系统、计算机名、IP地址、MAC地址及备注信息，可设置水印的文字颜色、字体大小及在桌面上呈现的位置；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15.支持对内置光驱、移动光驱、虚拟光驱、U 盘、移动硬盘、USB外接设备等进行使用控制，可设置例外设备保障教学外设使用；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16.平台管理端支持iOS设备、Android设备、Windows设备APP，支持扫码下载遥控器APP，可以作为控制端进行无线对设备的视频切换和管控，客户端无需安装任何app及插件。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17.管理平台支持简体中文、英文、韩文语言模式快速切换，满足外教教学的要求。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18.用户可控制触控大屏并直接在触控显示屏上触控点击系统工具条，或通过鼠标点击工具条进行操作，工具条具有截屏、录制、广播、布局、切屏、批注、白板、互动等功能按钮，并显示时间、设备名称、网络IP等信息。工具条支持在大屏的左边和右边显示，满足不同习惯的老师教学使用。工具条具有下拉功能，可灵活调整按钮的高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19.支持高清视频4路同步传输播放：支持1080i,p高清音视频无线传输；能够在显示终端不少于4屏画面同时播放并自由拖动画面位置，还支持对输出信号源单个或者全体的音量调节、画面全屏、画面移除、画面旋转的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20.支持通过控制器中“录制”按钮一键录课，支持多画面和外接无线麦克风声音同步录入；支持720P和1080P格式输出，录课视频可保存在本地设备外接U盘中或通过无线方式存储到匹配的无线设备硬盘中，支持录制存储空间不足时的文字提醒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21.支持监测功能，具有查看系统的内存、CPU、硬盘、网络、视频质量、声音质量的使用情况数据，方便快速诊断应用故障。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支持添加≥4个RTMP协议推流地址，可实时将显示≥16路投屏音视频同步直播到互联网，也可将≥4路不同信号源单独选择推流到≥4个不同地址，并且可实现≥4画面推送到接收端，通过终端可自动拉流播放，强制直播效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23.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24.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★固件备份还原能力</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支持备份及还原固件的功能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★操作系统及驱动升级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支持通过网络、闪存盘等方式对操作系统、驱动进行升级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固件升级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支持通过网络、闪存盘等方式对固件进行升级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★BIOS 支持关闭通讯接口</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支持BIOS关闭以太网及USB接口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★固件查看信息</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支持查看固件版本、内存信息、主板信息、处理器信息和系统时间信息等功能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★固件设置启动顺序</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支持设置启动顺序功能，并按照设置的启动顺序启动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★固件设置口令</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支持设置口令、修改口令、验证口令功能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★固件设置网络引导</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支持网络引导启动和关闭功能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生物识别功能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指纹识别</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人脸识别</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静脉识别</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硬件加速功能</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NPU/GPU等 A I 加速模块</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视频编解码加速模块</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影像处理加速模块</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存储设备可靠性</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★固态存储寿命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TBW≥85TB（条件：256GB硬盘容量）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★机械硬盘寿命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外设可靠性</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★键盘按键寿命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≥1000万次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★鼠标按键寿命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≥500万次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★键盘鼠标线材寿命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键盘鼠标所用线材经±60°弯折不低于3000次，功能、外观完好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★风扇寿命</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≥4万小时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整机可靠性要求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★电磁兼容性要求的抗扰度</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通过电磁兼容相关测试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★环境条件要求的气候环境适应性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★环境条件要求的振动适应性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通过抗共振或振动适应性相关测试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★环境条件要求的冲击适应性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通过抗冲击或冲击适应性相关测试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★环境条件要求的碰撞适应性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★环境条件要求的运输包装件跌落适应性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★MTBF 测试</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★常用软件兼容</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支持流式软件、版式软件、浏览器、邮件采购人端、解压软件、多媒体、图形图像处理等常用软件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★数据库兼容</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兼容3个及以上厂商的数据库产品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★中间件兼容</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兼容3个及以上厂商中间件产品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★平台软件兼容</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兼容3个及以上厂商云计算及大数据平台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包装及运输要求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包装及运输要求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★标志、包装、运输和贮存</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符合GB/T9813.1和商品包装政府采购需求标准的相关规定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★配置检查工具</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供应商提供自检测试工具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★服务响应</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★服务周期</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a)设备停产后应继续提供质量保障服务（含备品备件），服务终止时间与最后一批设备交付时间间隔不低于6年；b)产品停止服务时间应提前1年告知；c)应明确产品发布日期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★预装操作系统</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原厂预装操作系统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★培训服务</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供应商提供培训材料、产品手册、培训视频等培训相关内容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★典型问题解决手册</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供应商提供典型问题解决说明文档或视频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★厂家升级软件与扩容服务</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供应商提供上门升级部件/软件与扩容的增值服务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★整机质量服务要求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免费服务周期（含换件和维修）应不小于5年；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★合格证书要求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供应商提供产品合格证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★开箱组装/使用指导要求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供应商提供开箱组装/使用指导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★驱动下载服务要求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供应商提供驱动光盘或下载方式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★兼容适配软件下载服务要求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供应商提供兼容适配软件下载渠道（光盘、网站）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跨架构平台应用兼容</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供应商提供跨架构平台的应用兼容工具，支持一种或者一种以上不同架构平台的应用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179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供应保障要求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供应链合规性</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★产品部件保障</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供应商保障产品主要部件，提供6年的备件服务能力（自购买之日起），或提供可兼容原设备的升级换代产品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180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供应保障要求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供应链质量</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★抗干扰性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当产品部件出现供应风险时，供应商应通知采购人并提供风险应对方案确保产品的服务保障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181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供应保障要求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★供应能力证明</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供应商确保产品的部件在产品服务周期内稳定供货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182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关键部件安全要求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★关键部件安全要求3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183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整机安全性要求</w:t>
            </w: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★密码算法实现</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184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USB 端口管控</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支持USB端口管控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185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安全物理锁</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支持安全物理锁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186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★信息安全基本要求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187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★固件安全启动</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支持固件安全启动功能，固件启动过程中只有通过启动校验才能正常启动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 w:hRule="atLeast"/>
        </w:trPr>
        <w:tc>
          <w:tcPr>
            <w:tcW w:w="5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188 </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★限用物质的限量要求</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2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bl>
    <w:p>
      <w:pPr>
        <w:spacing w:line="360" w:lineRule="auto"/>
        <w:rPr>
          <w:rFonts w:ascii="宋体" w:hAnsi="宋体"/>
          <w:sz w:val="24"/>
        </w:rPr>
      </w:pPr>
    </w:p>
    <w:p>
      <w:pPr>
        <w:pStyle w:val="4"/>
        <w:rPr>
          <w:rFonts w:ascii="宋体" w:hAnsi="宋体"/>
          <w:sz w:val="24"/>
        </w:rPr>
      </w:pPr>
    </w:p>
    <w:p/>
    <w:p>
      <w:pPr>
        <w:numPr>
          <w:ilvl w:val="0"/>
          <w:numId w:val="0"/>
        </w:numPr>
        <w:rPr>
          <w:rFonts w:hint="eastAsia" w:ascii="宋体" w:hAnsi="宋体" w:eastAsia="宋体" w:cs="宋体"/>
          <w:sz w:val="24"/>
          <w:szCs w:val="24"/>
        </w:rPr>
      </w:pPr>
      <w:r>
        <w:rPr>
          <w:rFonts w:hint="eastAsia" w:ascii="宋体" w:hAnsi="宋体" w:eastAsia="宋体" w:cs="宋体"/>
          <w:sz w:val="24"/>
          <w:szCs w:val="24"/>
          <w:lang w:val="en-US" w:eastAsia="zh-CN"/>
        </w:rPr>
        <w:t>附件2：</w:t>
      </w:r>
      <w:r>
        <w:rPr>
          <w:rFonts w:hint="eastAsia" w:ascii="宋体" w:hAnsi="宋体" w:eastAsia="宋体" w:cs="宋体"/>
          <w:sz w:val="24"/>
          <w:szCs w:val="24"/>
        </w:rPr>
        <w:t>▲显示器</w:t>
      </w:r>
    </w:p>
    <w:tbl>
      <w:tblPr>
        <w:tblStyle w:val="12"/>
        <w:tblW w:w="85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9"/>
        <w:gridCol w:w="1019"/>
        <w:gridCol w:w="1021"/>
        <w:gridCol w:w="1021"/>
        <w:gridCol w:w="1021"/>
        <w:gridCol w:w="34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指标分类</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是否可以作为评分因素</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18"/>
                <w:szCs w:val="18"/>
                <w:u w:val="none"/>
              </w:rPr>
            </w:pPr>
            <w:r>
              <w:rPr>
                <w:rFonts w:hint="eastAsia" w:ascii="宋体" w:hAnsi="宋体" w:eastAsia="宋体" w:cs="宋体"/>
                <w:b/>
                <w:bCs/>
                <w:i w:val="0"/>
                <w:iCs w:val="0"/>
                <w:color w:val="FF0000"/>
                <w:kern w:val="0"/>
                <w:sz w:val="18"/>
                <w:szCs w:val="18"/>
                <w:u w:val="none"/>
                <w:lang w:val="en-US" w:eastAsia="zh-CN" w:bidi="ar"/>
              </w:rPr>
              <w:t>采购人技术要求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显示设备规格</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★显示屏屏占比</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★显示屏分辨率</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≥1920*1080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显示屏像素密度</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≥80像素/英寸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显示屏可视角度</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水平≥178°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★显示屏尺寸</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≥27英寸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★显示屏屏幕比例</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★显示器外观颜色</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黑色</w:t>
            </w:r>
            <w:r>
              <w:rPr>
                <w:rFonts w:hint="eastAsia" w:ascii="宋体" w:hAnsi="宋体" w:eastAsia="宋体" w:cs="宋体"/>
                <w:i w:val="0"/>
                <w:iCs w:val="0"/>
                <w:strike w:val="0"/>
                <w:dstrike w:val="0"/>
                <w:color w:val="000000"/>
                <w:kern w:val="0"/>
                <w:sz w:val="18"/>
                <w:szCs w:val="18"/>
                <w:u w:val="none"/>
                <w:lang w:val="en-US" w:eastAsia="zh-CN" w:bidi="ar"/>
              </w:rPr>
              <w:t>商务色系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★显示屏防蓝光</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支持防蓝光模式，蓝光加权辐射亮度比应≤0.0012W/(·cd·sr)（瓦每坎特拉每球面度）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★显示屏低频闪</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显示屏应支持低频闪≤-35dB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★显示屏防炫目</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显示屏镜面反射率≤10%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显示设备性能</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★显示屏刷新率</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≥60Hz</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★显示屏位深</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★显示屏色域</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≥99%sRGB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★显示屏色准</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△E≤4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★显示屏响应时间</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≤8ms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★显示屏亮度</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≥250尼特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★显示屏亮度一致性</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★显示屏对比度</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是</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★显示屏其他参数</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本次采购对此项无需求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1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显示设备功能</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★显示器接口</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显示器显示接口至少有1个与显卡外接显示接口匹配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75"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★显示器支架</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显示器应提供显示器支架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★显示器参数调节</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a)提供OSD选单按钮用于调节色彩、模式等；b)支持色温、亮度、对比度调节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显示设备可靠性</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★显示屏屏幕失效点</w:t>
            </w:r>
          </w:p>
        </w:tc>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否</w:t>
            </w:r>
          </w:p>
        </w:tc>
        <w:tc>
          <w:tcPr>
            <w:tcW w:w="3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符合GB/T9813.2的要求</w:t>
            </w:r>
          </w:p>
        </w:tc>
      </w:tr>
    </w:tbl>
    <w:p/>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pPr>
        <w:spacing w:line="360" w:lineRule="auto"/>
        <w:ind w:firstLine="482" w:firstLineChars="200"/>
        <w:rPr>
          <w:rFonts w:ascii="宋体" w:hAnsi="宋体"/>
          <w:b/>
          <w:sz w:val="24"/>
        </w:rPr>
      </w:pPr>
      <w:r>
        <w:rPr>
          <w:rFonts w:hint="eastAsia" w:ascii="宋体" w:hAnsi="宋体"/>
          <w:b/>
          <w:sz w:val="24"/>
        </w:rPr>
        <w:t>商务要求</w:t>
      </w:r>
    </w:p>
    <w:p>
      <w:pPr>
        <w:spacing w:line="360" w:lineRule="auto"/>
        <w:ind w:firstLine="480" w:firstLineChars="200"/>
        <w:outlineLvl w:val="0"/>
        <w:rPr>
          <w:sz w:val="24"/>
        </w:rPr>
      </w:pPr>
      <w:r>
        <w:rPr>
          <w:rFonts w:hint="eastAsia"/>
          <w:sz w:val="24"/>
        </w:rPr>
        <w:t>1. 提供所投产品</w:t>
      </w:r>
      <w:r>
        <w:rPr>
          <w:rFonts w:hint="eastAsia"/>
          <w:sz w:val="24"/>
          <w:lang w:val="en-US" w:eastAsia="zh-CN"/>
        </w:rPr>
        <w:t>5</w:t>
      </w:r>
      <w:r>
        <w:rPr>
          <w:rFonts w:hint="eastAsia"/>
          <w:sz w:val="24"/>
        </w:rPr>
        <w:t>年的免费上门保修（满足同城4小时、异地12小时响应要求）。</w:t>
      </w:r>
    </w:p>
    <w:p>
      <w:pPr>
        <w:spacing w:line="360" w:lineRule="auto"/>
        <w:ind w:firstLine="480" w:firstLineChars="200"/>
        <w:outlineLvl w:val="0"/>
        <w:rPr>
          <w:sz w:val="24"/>
        </w:rPr>
      </w:pPr>
      <w:r>
        <w:rPr>
          <w:rFonts w:hint="eastAsia"/>
          <w:sz w:val="24"/>
        </w:rPr>
        <w:t>2. 货到：签订合同之日起</w:t>
      </w:r>
      <w:r>
        <w:rPr>
          <w:sz w:val="24"/>
        </w:rPr>
        <w:t>15</w:t>
      </w:r>
      <w:r>
        <w:rPr>
          <w:rFonts w:hint="eastAsia"/>
          <w:sz w:val="24"/>
        </w:rPr>
        <w:t>日内（特殊情况以合同为准）。</w:t>
      </w:r>
    </w:p>
    <w:p>
      <w:pPr>
        <w:spacing w:line="360" w:lineRule="auto"/>
        <w:ind w:firstLine="480" w:firstLineChars="200"/>
        <w:outlineLvl w:val="0"/>
        <w:rPr>
          <w:sz w:val="24"/>
        </w:rPr>
      </w:pPr>
      <w:r>
        <w:rPr>
          <w:rFonts w:hint="eastAsia"/>
          <w:sz w:val="24"/>
        </w:rPr>
        <w:t>安装（施工）完成：货到之日起</w:t>
      </w:r>
      <w:r>
        <w:rPr>
          <w:sz w:val="24"/>
        </w:rPr>
        <w:t>30</w:t>
      </w:r>
      <w:r>
        <w:rPr>
          <w:rFonts w:hint="eastAsia"/>
          <w:sz w:val="24"/>
        </w:rPr>
        <w:t>日内（特殊情况以合同为准）。</w:t>
      </w:r>
    </w:p>
    <w:p>
      <w:pPr>
        <w:spacing w:line="360" w:lineRule="auto"/>
        <w:ind w:firstLine="480" w:firstLineChars="200"/>
        <w:outlineLvl w:val="0"/>
        <w:rPr>
          <w:rFonts w:hint="default" w:eastAsia="宋体"/>
          <w:sz w:val="24"/>
          <w:lang w:val="en-US" w:eastAsia="zh-CN"/>
        </w:rPr>
      </w:pPr>
      <w:r>
        <w:rPr>
          <w:rFonts w:hint="eastAsia"/>
          <w:sz w:val="24"/>
        </w:rPr>
        <w:t>3.付款方式：</w:t>
      </w:r>
      <w:r>
        <w:rPr>
          <w:rFonts w:ascii="宋体" w:hAnsi="宋体" w:eastAsia="宋体" w:cs="宋体"/>
          <w:sz w:val="24"/>
          <w:szCs w:val="24"/>
        </w:rPr>
        <w:t>双方签订合同后30日内支付合同总额的30%；项目验收合格后30日内支付合同总额的70%</w:t>
      </w:r>
      <w:r>
        <w:rPr>
          <w:rFonts w:hint="eastAsia"/>
          <w:sz w:val="24"/>
          <w:lang w:val="en-US" w:eastAsia="zh-CN"/>
        </w:rPr>
        <w:t>。</w:t>
      </w:r>
    </w:p>
    <w:p>
      <w:pPr>
        <w:autoSpaceDE w:val="0"/>
        <w:autoSpaceDN w:val="0"/>
        <w:spacing w:line="360" w:lineRule="auto"/>
        <w:ind w:firstLine="482" w:firstLineChars="200"/>
        <w:rPr>
          <w:b/>
          <w:sz w:val="24"/>
        </w:rPr>
      </w:pPr>
      <w:r>
        <w:rPr>
          <w:rFonts w:hint="eastAsia"/>
          <w:b/>
          <w:sz w:val="24"/>
        </w:rPr>
        <w:t>验收标准</w:t>
      </w:r>
    </w:p>
    <w:p>
      <w:pPr>
        <w:autoSpaceDE w:val="0"/>
        <w:autoSpaceDN w:val="0"/>
        <w:spacing w:line="360" w:lineRule="auto"/>
        <w:ind w:firstLine="480" w:firstLineChars="200"/>
        <w:rPr>
          <w:b/>
          <w:sz w:val="24"/>
        </w:rPr>
      </w:pPr>
      <w:r>
        <w:rPr>
          <w:rFonts w:hint="eastAsia"/>
          <w:sz w:val="24"/>
        </w:rPr>
        <w:t>符合现行国家标准要求。</w:t>
      </w:r>
    </w:p>
    <w:p>
      <w:pPr>
        <w:spacing w:line="360" w:lineRule="auto"/>
        <w:ind w:firstLine="480" w:firstLineChars="200"/>
        <w:rPr>
          <w:sz w:val="24"/>
        </w:rPr>
      </w:pPr>
      <w:r>
        <w:rPr>
          <w:rFonts w:hint="eastAsia" w:ascii="宋体" w:hAnsi="宋体" w:cs="宋体"/>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项目验收所产生的费用由供方承担。</w:t>
      </w:r>
    </w:p>
    <w:p>
      <w:pPr>
        <w:spacing w:line="360" w:lineRule="auto"/>
        <w:ind w:firstLine="482" w:firstLineChars="200"/>
        <w:outlineLvl w:val="0"/>
        <w:rPr>
          <w:b/>
          <w:sz w:val="24"/>
        </w:rPr>
      </w:pPr>
      <w:bookmarkStart w:id="0" w:name="_GoBack"/>
      <w:bookmarkEnd w:id="0"/>
    </w:p>
    <w:p>
      <w:pPr>
        <w:spacing w:line="360" w:lineRule="auto"/>
        <w:rPr>
          <w:rFonts w:ascii="宋体" w:hAnsi="宋体"/>
          <w:sz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1MzFjMmU5OGI1NTJiNzdhMTQ5ZGM4ZmQ5MjVmNmEifQ=="/>
  </w:docVars>
  <w:rsids>
    <w:rsidRoot w:val="00DB3902"/>
    <w:rsid w:val="00005C9B"/>
    <w:rsid w:val="000247DC"/>
    <w:rsid w:val="00045631"/>
    <w:rsid w:val="00071693"/>
    <w:rsid w:val="000A2D6B"/>
    <w:rsid w:val="000A6FE9"/>
    <w:rsid w:val="000C184F"/>
    <w:rsid w:val="000E2EAA"/>
    <w:rsid w:val="00111F73"/>
    <w:rsid w:val="00126FD2"/>
    <w:rsid w:val="001335EE"/>
    <w:rsid w:val="001400A9"/>
    <w:rsid w:val="00155DBE"/>
    <w:rsid w:val="00170C09"/>
    <w:rsid w:val="00192958"/>
    <w:rsid w:val="001D0C0D"/>
    <w:rsid w:val="001E7CF5"/>
    <w:rsid w:val="001F60D5"/>
    <w:rsid w:val="00201493"/>
    <w:rsid w:val="002053EF"/>
    <w:rsid w:val="00211C96"/>
    <w:rsid w:val="00244BBF"/>
    <w:rsid w:val="00270221"/>
    <w:rsid w:val="0028297D"/>
    <w:rsid w:val="002964AE"/>
    <w:rsid w:val="002E519C"/>
    <w:rsid w:val="00305686"/>
    <w:rsid w:val="00306C12"/>
    <w:rsid w:val="00315235"/>
    <w:rsid w:val="00330E0D"/>
    <w:rsid w:val="0033397A"/>
    <w:rsid w:val="00350D30"/>
    <w:rsid w:val="00354155"/>
    <w:rsid w:val="003545AA"/>
    <w:rsid w:val="003A0037"/>
    <w:rsid w:val="003A5016"/>
    <w:rsid w:val="003B4FF3"/>
    <w:rsid w:val="003D6EFB"/>
    <w:rsid w:val="003E7311"/>
    <w:rsid w:val="003F429C"/>
    <w:rsid w:val="00410F83"/>
    <w:rsid w:val="00412918"/>
    <w:rsid w:val="004459D2"/>
    <w:rsid w:val="0045575F"/>
    <w:rsid w:val="00483C3E"/>
    <w:rsid w:val="0049104B"/>
    <w:rsid w:val="004A413C"/>
    <w:rsid w:val="004B6426"/>
    <w:rsid w:val="004E5CED"/>
    <w:rsid w:val="004F0C45"/>
    <w:rsid w:val="00547269"/>
    <w:rsid w:val="00560F0B"/>
    <w:rsid w:val="0057138B"/>
    <w:rsid w:val="00574287"/>
    <w:rsid w:val="00584AB5"/>
    <w:rsid w:val="005C0E7E"/>
    <w:rsid w:val="005D55EA"/>
    <w:rsid w:val="005D6C1B"/>
    <w:rsid w:val="005F56A8"/>
    <w:rsid w:val="00616E51"/>
    <w:rsid w:val="00620A87"/>
    <w:rsid w:val="0062621F"/>
    <w:rsid w:val="00634D3F"/>
    <w:rsid w:val="00645A07"/>
    <w:rsid w:val="00680419"/>
    <w:rsid w:val="00682E4E"/>
    <w:rsid w:val="006B06EF"/>
    <w:rsid w:val="006B0B20"/>
    <w:rsid w:val="006D17C5"/>
    <w:rsid w:val="007135F6"/>
    <w:rsid w:val="007279CA"/>
    <w:rsid w:val="007433F3"/>
    <w:rsid w:val="00776EB7"/>
    <w:rsid w:val="007A45E1"/>
    <w:rsid w:val="00832FA0"/>
    <w:rsid w:val="00845E60"/>
    <w:rsid w:val="00861373"/>
    <w:rsid w:val="00861EA9"/>
    <w:rsid w:val="008662DD"/>
    <w:rsid w:val="00880059"/>
    <w:rsid w:val="008A6D81"/>
    <w:rsid w:val="008C68C8"/>
    <w:rsid w:val="00902800"/>
    <w:rsid w:val="009161CD"/>
    <w:rsid w:val="0091671E"/>
    <w:rsid w:val="00922E8E"/>
    <w:rsid w:val="00930995"/>
    <w:rsid w:val="009356EC"/>
    <w:rsid w:val="00944537"/>
    <w:rsid w:val="00945B13"/>
    <w:rsid w:val="0094738D"/>
    <w:rsid w:val="00973637"/>
    <w:rsid w:val="00990B50"/>
    <w:rsid w:val="009A114C"/>
    <w:rsid w:val="009D5B0D"/>
    <w:rsid w:val="009D6ECB"/>
    <w:rsid w:val="009E14A0"/>
    <w:rsid w:val="009E5E23"/>
    <w:rsid w:val="00A21C5C"/>
    <w:rsid w:val="00A27F3F"/>
    <w:rsid w:val="00A41912"/>
    <w:rsid w:val="00A71C25"/>
    <w:rsid w:val="00A772E5"/>
    <w:rsid w:val="00A80EFE"/>
    <w:rsid w:val="00AA0AF1"/>
    <w:rsid w:val="00AA137D"/>
    <w:rsid w:val="00AB1AAA"/>
    <w:rsid w:val="00AB683B"/>
    <w:rsid w:val="00AC1733"/>
    <w:rsid w:val="00AE2D62"/>
    <w:rsid w:val="00B14697"/>
    <w:rsid w:val="00B14D39"/>
    <w:rsid w:val="00B15F5E"/>
    <w:rsid w:val="00B169E3"/>
    <w:rsid w:val="00B462D8"/>
    <w:rsid w:val="00B514E7"/>
    <w:rsid w:val="00BC7F25"/>
    <w:rsid w:val="00BE10F4"/>
    <w:rsid w:val="00BF4747"/>
    <w:rsid w:val="00C17BFA"/>
    <w:rsid w:val="00C560F1"/>
    <w:rsid w:val="00C60BAE"/>
    <w:rsid w:val="00C718D7"/>
    <w:rsid w:val="00C75C8E"/>
    <w:rsid w:val="00C76B5E"/>
    <w:rsid w:val="00C817E5"/>
    <w:rsid w:val="00C82EF1"/>
    <w:rsid w:val="00CB1A31"/>
    <w:rsid w:val="00CC180E"/>
    <w:rsid w:val="00CC29E1"/>
    <w:rsid w:val="00CC7AE1"/>
    <w:rsid w:val="00CD24E9"/>
    <w:rsid w:val="00CE1F46"/>
    <w:rsid w:val="00CE576F"/>
    <w:rsid w:val="00CF27AF"/>
    <w:rsid w:val="00D17989"/>
    <w:rsid w:val="00D37200"/>
    <w:rsid w:val="00D440D3"/>
    <w:rsid w:val="00D53F64"/>
    <w:rsid w:val="00D5625F"/>
    <w:rsid w:val="00D655A7"/>
    <w:rsid w:val="00D7541F"/>
    <w:rsid w:val="00D819A8"/>
    <w:rsid w:val="00D874CD"/>
    <w:rsid w:val="00D91217"/>
    <w:rsid w:val="00DA2E1C"/>
    <w:rsid w:val="00DB3902"/>
    <w:rsid w:val="00DD4916"/>
    <w:rsid w:val="00DE48FB"/>
    <w:rsid w:val="00E00018"/>
    <w:rsid w:val="00E1214B"/>
    <w:rsid w:val="00E268BE"/>
    <w:rsid w:val="00E35DCE"/>
    <w:rsid w:val="00E425EF"/>
    <w:rsid w:val="00E55C1F"/>
    <w:rsid w:val="00E94501"/>
    <w:rsid w:val="00EC4AE3"/>
    <w:rsid w:val="00ED4738"/>
    <w:rsid w:val="00EF0A57"/>
    <w:rsid w:val="00F11972"/>
    <w:rsid w:val="00F12DFA"/>
    <w:rsid w:val="00F40AFD"/>
    <w:rsid w:val="00F435AC"/>
    <w:rsid w:val="00F50D93"/>
    <w:rsid w:val="00F6052A"/>
    <w:rsid w:val="00F73D28"/>
    <w:rsid w:val="00F873E2"/>
    <w:rsid w:val="00F87F9F"/>
    <w:rsid w:val="00FA79E7"/>
    <w:rsid w:val="00FB491C"/>
    <w:rsid w:val="00FC126E"/>
    <w:rsid w:val="00FE6827"/>
    <w:rsid w:val="01467C45"/>
    <w:rsid w:val="01B14901"/>
    <w:rsid w:val="03B01164"/>
    <w:rsid w:val="072533A8"/>
    <w:rsid w:val="075A0BDC"/>
    <w:rsid w:val="08F3446D"/>
    <w:rsid w:val="0EE303C9"/>
    <w:rsid w:val="11BE502B"/>
    <w:rsid w:val="13AB6CAF"/>
    <w:rsid w:val="1A4D29CD"/>
    <w:rsid w:val="1DE41ABC"/>
    <w:rsid w:val="1ED2489C"/>
    <w:rsid w:val="21B208EE"/>
    <w:rsid w:val="21D40771"/>
    <w:rsid w:val="255E33FA"/>
    <w:rsid w:val="288169CF"/>
    <w:rsid w:val="2DB0268D"/>
    <w:rsid w:val="2EDA02A2"/>
    <w:rsid w:val="2FB84BD7"/>
    <w:rsid w:val="305A49F0"/>
    <w:rsid w:val="322C056C"/>
    <w:rsid w:val="32D833F6"/>
    <w:rsid w:val="394D3961"/>
    <w:rsid w:val="39D71597"/>
    <w:rsid w:val="3C7748E0"/>
    <w:rsid w:val="3CD02839"/>
    <w:rsid w:val="433575D3"/>
    <w:rsid w:val="4687704E"/>
    <w:rsid w:val="48CF4000"/>
    <w:rsid w:val="49CE2BC6"/>
    <w:rsid w:val="4B022EC9"/>
    <w:rsid w:val="4D2D232C"/>
    <w:rsid w:val="53213F70"/>
    <w:rsid w:val="536D3284"/>
    <w:rsid w:val="545F75C3"/>
    <w:rsid w:val="5D3751FA"/>
    <w:rsid w:val="5E45106D"/>
    <w:rsid w:val="61A275C3"/>
    <w:rsid w:val="6DF722C2"/>
    <w:rsid w:val="7F677713"/>
    <w:rsid w:val="7FD15EA4"/>
    <w:rsid w:val="B7F6020D"/>
    <w:rsid w:val="DFDFC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annotation text"/>
    <w:basedOn w:val="1"/>
    <w:qFormat/>
    <w:uiPriority w:val="0"/>
    <w:pPr>
      <w:jc w:val="left"/>
    </w:pPr>
  </w:style>
  <w:style w:type="paragraph" w:styleId="4">
    <w:name w:val="Body Text"/>
    <w:basedOn w:val="1"/>
    <w:next w:val="1"/>
    <w:qFormat/>
    <w:uiPriority w:val="0"/>
  </w:style>
  <w:style w:type="paragraph" w:styleId="5">
    <w:name w:val="Balloon Text"/>
    <w:basedOn w:val="1"/>
    <w:semiHidden/>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6"/>
    <w:qFormat/>
    <w:uiPriority w:val="10"/>
    <w:pPr>
      <w:spacing w:before="240" w:after="60"/>
      <w:jc w:val="center"/>
      <w:outlineLvl w:val="0"/>
    </w:pPr>
    <w:rPr>
      <w:rFonts w:ascii="Cambria" w:hAnsi="Cambria"/>
      <w:b/>
      <w:bCs/>
      <w:sz w:val="32"/>
      <w:szCs w:val="32"/>
    </w:rPr>
  </w:style>
  <w:style w:type="character" w:styleId="10">
    <w:name w:val="Strong"/>
    <w:basedOn w:val="9"/>
    <w:qFormat/>
    <w:uiPriority w:val="0"/>
    <w:rPr>
      <w:b/>
    </w:rPr>
  </w:style>
  <w:style w:type="character" w:styleId="11">
    <w:name w:val="Hyperlink"/>
    <w:unhideWhenUsed/>
    <w:qFormat/>
    <w:uiPriority w:val="99"/>
    <w:rPr>
      <w:color w:val="0000FF"/>
      <w:u w:val="single"/>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4">
    <w:name w:val="页脚 字符"/>
    <w:link w:val="6"/>
    <w:qFormat/>
    <w:uiPriority w:val="0"/>
    <w:rPr>
      <w:kern w:val="2"/>
      <w:sz w:val="18"/>
      <w:szCs w:val="18"/>
    </w:rPr>
  </w:style>
  <w:style w:type="character" w:customStyle="1" w:styleId="15">
    <w:name w:val="页眉 字符"/>
    <w:link w:val="7"/>
    <w:qFormat/>
    <w:uiPriority w:val="0"/>
    <w:rPr>
      <w:kern w:val="2"/>
      <w:sz w:val="18"/>
      <w:szCs w:val="18"/>
    </w:rPr>
  </w:style>
  <w:style w:type="character" w:customStyle="1" w:styleId="16">
    <w:name w:val="标题 字符"/>
    <w:link w:val="8"/>
    <w:qFormat/>
    <w:uiPriority w:val="10"/>
    <w:rPr>
      <w:rFonts w:ascii="Cambria" w:hAnsi="Cambria"/>
      <w:b/>
      <w:bCs/>
      <w:kern w:val="2"/>
      <w:sz w:val="32"/>
      <w:szCs w:val="32"/>
    </w:rPr>
  </w:style>
  <w:style w:type="paragraph" w:customStyle="1" w:styleId="17">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table" w:customStyle="1" w:styleId="18">
    <w:name w:val="TableGrid"/>
    <w:qFormat/>
    <w:uiPriority w:val="0"/>
    <w:tblPr>
      <w:tblLayout w:type="fixed"/>
      <w:tblCellMar>
        <w:top w:w="0" w:type="dxa"/>
        <w:left w:w="0" w:type="dxa"/>
        <w:bottom w:w="0" w:type="dxa"/>
        <w:right w:w="0" w:type="dxa"/>
      </w:tblCellMar>
    </w:tblPr>
  </w:style>
  <w:style w:type="character" w:customStyle="1" w:styleId="19">
    <w:name w:val="font61"/>
    <w:basedOn w:val="9"/>
    <w:qFormat/>
    <w:uiPriority w:val="0"/>
    <w:rPr>
      <w:rFonts w:hint="eastAsia" w:ascii="宋体" w:hAnsi="宋体" w:eastAsia="宋体" w:cs="宋体"/>
      <w:color w:val="000000"/>
      <w:sz w:val="21"/>
      <w:szCs w:val="21"/>
      <w:u w:val="none"/>
    </w:rPr>
  </w:style>
  <w:style w:type="character" w:customStyle="1" w:styleId="20">
    <w:name w:val="font71"/>
    <w:basedOn w:val="9"/>
    <w:qFormat/>
    <w:uiPriority w:val="0"/>
    <w:rPr>
      <w:rFonts w:hint="default" w:ascii="Times New Roman" w:hAnsi="Times New Roman" w:cs="Times New Roman"/>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946</Words>
  <Characters>984</Characters>
  <Lines>54</Lines>
  <Paragraphs>15</Paragraphs>
  <TotalTime>4</TotalTime>
  <ScaleCrop>false</ScaleCrop>
  <LinksUpToDate>false</LinksUpToDate>
  <CharactersWithSpaces>988</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2024-09-11T11:00:00Z</dcterms:created>
  <dc:creator>Data</dc:creator>
  <cp:lastModifiedBy>jgkxhq</cp:lastModifiedBy>
  <cp:lastPrinted>2012-08-27T12:05:00Z</cp:lastPrinted>
  <dcterms:modified xsi:type="dcterms:W3CDTF">2025-10-27T03:37:28Z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605F7A6CE2044A3592B05EB77B9F3A3D_13</vt:lpwstr>
  </property>
  <property fmtid="{D5CDD505-2E9C-101B-9397-08002B2CF9AE}" pid="4" name="KSOTemplateDocerSaveRecord">
    <vt:lpwstr>eyJoZGlkIjoiMmEyZGNlZjUwMmY2Yzc2ODYxNWUxYzQ5YjkyZjRmOTkiLCJ1c2VySWQiOiIxMjg2MzA5NzU0In0=</vt:lpwstr>
  </property>
</Properties>
</file>